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0C6E17F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质量提升专项NX门槛模具、夹具改造技改项目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default" w:ascii="宋体" w:hAnsi="宋体" w:eastAsia="宋体" w:cs="宋体"/>
          <w:b/>
          <w:bCs/>
          <w:spacing w:val="11"/>
          <w:kern w:val="0"/>
          <w:sz w:val="30"/>
          <w:szCs w:val="30"/>
          <w:lang w:val="en-US" w:eastAsia="zh-CN"/>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rPr>
        <w:tab/>
      </w:r>
      <w:r>
        <w:rPr>
          <w:rFonts w:hint="eastAsia" w:ascii="宋体" w:hAnsi="宋体" w:cs="宋体"/>
          <w:b/>
          <w:bCs/>
          <w:spacing w:val="11"/>
          <w:kern w:val="0"/>
          <w:sz w:val="30"/>
          <w:szCs w:val="30"/>
          <w:lang w:val="en-US" w:eastAsia="zh-CN"/>
        </w:rPr>
        <w:t>ZBGL2026050012</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6</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keepNext w:val="0"/>
        <w:keepLines w:val="0"/>
        <w:pageBreakBefore w:val="0"/>
        <w:widowControl w:val="0"/>
        <w:numPr>
          <w:ilvl w:val="0"/>
          <w:numId w:val="0"/>
        </w:numPr>
        <w:kinsoku/>
        <w:wordWrap/>
        <w:overflowPunct/>
        <w:topLinePunct w:val="0"/>
        <w:autoSpaceDE/>
        <w:autoSpaceDN/>
        <w:bidi w:val="0"/>
        <w:jc w:val="center"/>
        <w:textAlignment w:val="auto"/>
      </w:pPr>
      <w:bookmarkStart w:id="1" w:name="_Toc1750"/>
      <w:bookmarkStart w:id="2" w:name="_Toc9937"/>
      <w:r>
        <w:rPr>
          <w:rFonts w:hint="eastAsia"/>
          <w:lang w:val="en-US" w:eastAsia="zh-CN"/>
        </w:rPr>
        <w:t xml:space="preserve">第一章 </w:t>
      </w:r>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24"/>
          <w:szCs w:val="30"/>
          <w:lang w:val="en-US" w:eastAsia="zh-CN"/>
        </w:rPr>
      </w:pPr>
      <w:bookmarkStart w:id="3" w:name="_Toc20919"/>
      <w:r>
        <w:rPr>
          <w:b/>
          <w:sz w:val="24"/>
        </w:rPr>
        <w:t>项目编号：</w:t>
      </w:r>
      <w:bookmarkEnd w:id="3"/>
      <w:r>
        <w:rPr>
          <w:rFonts w:hint="eastAsia"/>
          <w:b/>
          <w:sz w:val="24"/>
          <w:lang w:val="en-US" w:eastAsia="zh-CN"/>
        </w:rPr>
        <w:t>ZBGL2026050012</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14341835"/>
      <w:bookmarkStart w:id="5" w:name="_Toc32544"/>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济宁商用车公司质量提升专项NX门槛模具、夹具改造技改项目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1"/>
        </w:numPr>
        <w:adjustRightInd w:val="0"/>
        <w:snapToGrid w:val="0"/>
        <w:spacing w:line="360" w:lineRule="auto"/>
        <w:ind w:left="0" w:firstLine="480"/>
        <w:jc w:val="left"/>
        <w:rPr>
          <w:rFonts w:ascii="宋体" w:cs="宋体"/>
          <w:kern w:val="0"/>
          <w:sz w:val="24"/>
          <w:lang w:bidi="en-US"/>
        </w:rPr>
      </w:pPr>
      <w:bookmarkStart w:id="7" w:name="_Toc285809451"/>
      <w:bookmarkEnd w:id="7"/>
      <w:bookmarkStart w:id="8" w:name="_Toc152042290"/>
      <w:bookmarkEnd w:id="8"/>
      <w:bookmarkStart w:id="9" w:name="_Toc144974482"/>
      <w:bookmarkEnd w:id="9"/>
      <w:bookmarkStart w:id="10" w:name="_Toc152045514"/>
      <w:bookmarkEnd w:id="10"/>
      <w:bookmarkStart w:id="11" w:name="_Toc179632530"/>
      <w:bookmarkEnd w:id="11"/>
      <w:r>
        <w:rPr>
          <w:rFonts w:hint="eastAsia" w:ascii="宋体" w:cs="宋体"/>
          <w:kern w:val="0"/>
          <w:sz w:val="24"/>
          <w:lang w:bidi="en-US"/>
        </w:rPr>
        <w:t>项目名称：</w:t>
      </w:r>
      <w:r>
        <w:rPr>
          <w:rFonts w:hint="eastAsia" w:ascii="宋体" w:cs="宋体"/>
          <w:kern w:val="0"/>
          <w:sz w:val="24"/>
          <w:u w:val="single"/>
          <w:lang w:bidi="en-US"/>
        </w:rPr>
        <w:t>济宁商用车公司质量提升专项NX门槛模具、夹具改造技改项目</w:t>
      </w:r>
    </w:p>
    <w:p w14:paraId="35785926">
      <w:pPr>
        <w:pStyle w:val="43"/>
        <w:widowControl/>
        <w:numPr>
          <w:ilvl w:val="1"/>
          <w:numId w:val="1"/>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改造1套左、右车门门槛模具，改造2套左、右车门门槛夹具</w:t>
      </w:r>
      <w:r>
        <w:rPr>
          <w:rFonts w:hint="eastAsia" w:ascii="宋体" w:cs="宋体"/>
          <w:kern w:val="0"/>
          <w:sz w:val="24"/>
          <w:lang w:bidi="en-US"/>
        </w:rPr>
        <w:t>，降低翼子板开裂风险，提升门槛总成焊接精度。</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设备采购、工装制作、</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6"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左、右车门门槛模具改造</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tr w14:paraId="7C36D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jc w:val="center"/>
        </w:trPr>
        <w:tc>
          <w:tcPr>
            <w:tcW w:w="1515" w:type="dxa"/>
            <w:shd w:val="clear" w:color="auto" w:fill="auto"/>
            <w:vAlign w:val="center"/>
          </w:tcPr>
          <w:p w14:paraId="26E33E54">
            <w:pPr>
              <w:widowControl/>
              <w:jc w:val="center"/>
              <w:rPr>
                <w:rFonts w:hint="eastAsia" w:ascii="Times New Roman" w:hAnsi="Times New Roman" w:eastAsia="宋体" w:cs="Times New Roman"/>
                <w:kern w:val="2"/>
                <w:sz w:val="22"/>
                <w:szCs w:val="22"/>
                <w:lang w:val="en-US" w:eastAsia="zh-CN" w:bidi="ar-SA"/>
              </w:rPr>
            </w:pPr>
            <w:r>
              <w:rPr>
                <w:rFonts w:hint="eastAsia" w:ascii="宋体" w:cs="宋体"/>
                <w:kern w:val="0"/>
                <w:sz w:val="24"/>
                <w:lang w:val="en-US" w:eastAsia="zh-CN" w:bidi="en-US"/>
              </w:rPr>
              <w:t>左、右车门门槛夹具改造</w:t>
            </w:r>
          </w:p>
        </w:tc>
        <w:tc>
          <w:tcPr>
            <w:tcW w:w="1665" w:type="dxa"/>
            <w:shd w:val="clear" w:color="auto" w:fill="auto"/>
            <w:vAlign w:val="center"/>
          </w:tcPr>
          <w:p w14:paraId="73FDB06E">
            <w:pPr>
              <w:widowControl/>
              <w:jc w:val="center"/>
              <w:rPr>
                <w:rFonts w:hint="eastAsia" w:ascii="Times New Roman" w:hAnsi="Times New Roman" w:eastAsia="宋体" w:cs="Times New Roman"/>
                <w:kern w:val="2"/>
                <w:sz w:val="22"/>
                <w:szCs w:val="22"/>
                <w:lang w:val="en-US" w:eastAsia="zh-CN" w:bidi="ar-SA"/>
              </w:rPr>
            </w:pPr>
            <w:r>
              <w:rPr>
                <w:rFonts w:hint="eastAsia" w:ascii="宋体" w:cs="宋体"/>
                <w:kern w:val="0"/>
                <w:sz w:val="24"/>
                <w:lang w:val="en-US" w:eastAsia="zh-CN" w:bidi="en-US"/>
              </w:rPr>
              <w:t>满足现场使用需求。</w:t>
            </w:r>
          </w:p>
        </w:tc>
        <w:tc>
          <w:tcPr>
            <w:tcW w:w="1005" w:type="dxa"/>
            <w:shd w:val="clear" w:color="auto" w:fill="auto"/>
            <w:vAlign w:val="center"/>
          </w:tcPr>
          <w:p w14:paraId="0DC90226">
            <w:pPr>
              <w:ind w:firstLine="220" w:firstLineChars="0"/>
              <w:jc w:val="both"/>
              <w:rPr>
                <w:rFonts w:hint="eastAsia" w:ascii="Times New Roman" w:hAnsi="Times New Roman" w:eastAsia="宋体" w:cs="Times New Roman"/>
                <w:kern w:val="2"/>
                <w:sz w:val="22"/>
                <w:szCs w:val="22"/>
                <w:lang w:val="en-US" w:eastAsia="zh-CN" w:bidi="ar-SA"/>
              </w:rPr>
            </w:pPr>
            <w:r>
              <w:rPr>
                <w:rFonts w:hint="eastAsia"/>
                <w:sz w:val="22"/>
                <w:szCs w:val="22"/>
                <w:lang w:val="en-US" w:eastAsia="zh-CN"/>
              </w:rPr>
              <w:t>2套</w:t>
            </w:r>
          </w:p>
        </w:tc>
        <w:tc>
          <w:tcPr>
            <w:tcW w:w="1245" w:type="dxa"/>
            <w:shd w:val="clear" w:color="auto" w:fill="auto"/>
            <w:vAlign w:val="center"/>
          </w:tcPr>
          <w:p w14:paraId="0BFEA4A6">
            <w:pPr>
              <w:jc w:val="center"/>
              <w:rPr>
                <w:rFonts w:hint="eastAsia" w:ascii="Times New Roman" w:hAnsi="Times New Roman" w:eastAsia="宋体" w:cs="Times New Roman"/>
                <w:kern w:val="2"/>
                <w:sz w:val="22"/>
                <w:szCs w:val="22"/>
                <w:lang w:val="en-US" w:eastAsia="zh-CN" w:bidi="ar-SA"/>
              </w:rPr>
            </w:pPr>
            <w:r>
              <w:rPr>
                <w:rFonts w:hint="eastAsia"/>
                <w:sz w:val="22"/>
                <w:szCs w:val="22"/>
              </w:rPr>
              <w:t>交钥匙方式</w:t>
            </w:r>
          </w:p>
        </w:tc>
        <w:tc>
          <w:tcPr>
            <w:tcW w:w="2280" w:type="dxa"/>
            <w:shd w:val="clear" w:color="auto" w:fill="auto"/>
            <w:vAlign w:val="center"/>
          </w:tcPr>
          <w:p w14:paraId="54F924F3">
            <w:pPr>
              <w:jc w:val="center"/>
              <w:rPr>
                <w:rFonts w:hint="eastAsia" w:ascii="Times New Roman" w:hAnsi="Times New Roman" w:eastAsia="宋体" w:cs="Times New Roman"/>
                <w:kern w:val="2"/>
                <w:sz w:val="22"/>
                <w:szCs w:val="22"/>
                <w:lang w:val="en-US" w:eastAsia="zh-CN" w:bidi="ar-SA"/>
              </w:rPr>
            </w:pPr>
            <w:r>
              <w:rPr>
                <w:rFonts w:hint="eastAsia"/>
                <w:sz w:val="22"/>
                <w:szCs w:val="22"/>
              </w:rPr>
              <w:t>山东省济宁市诗仙路369号济宁商用车厂区内</w:t>
            </w:r>
          </w:p>
        </w:tc>
        <w:tc>
          <w:tcPr>
            <w:tcW w:w="1393" w:type="dxa"/>
            <w:shd w:val="clear" w:color="auto" w:fill="auto"/>
            <w:vAlign w:val="center"/>
          </w:tcPr>
          <w:p w14:paraId="011D4FD9">
            <w:pPr>
              <w:jc w:val="center"/>
              <w:rPr>
                <w:rFonts w:hint="eastAsia" w:ascii="Times New Roman" w:hAnsi="Times New Roman" w:eastAsia="宋体" w:cs="Times New Roman"/>
                <w:kern w:val="2"/>
                <w:sz w:val="22"/>
                <w:szCs w:val="22"/>
                <w:lang w:val="en-US" w:eastAsia="zh-CN" w:bidi="ar-SA"/>
              </w:rPr>
            </w:pPr>
            <w:r>
              <w:rPr>
                <w:rFonts w:hint="eastAsia"/>
                <w:sz w:val="22"/>
                <w:szCs w:val="22"/>
                <w:lang w:val="en-US" w:eastAsia="zh-CN"/>
              </w:rPr>
              <w:t>详见标书技术要求</w:t>
            </w:r>
          </w:p>
        </w:tc>
      </w:tr>
      <w:bookmarkEnd w:id="12"/>
    </w:tbl>
    <w:p w14:paraId="0F501D08">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2"/>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2"/>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2"/>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w:t>
      </w:r>
      <w:r>
        <w:rPr>
          <w:rFonts w:hint="eastAsia" w:ascii="宋体"/>
          <w:b/>
          <w:bCs/>
          <w:kern w:val="0"/>
          <w:sz w:val="24"/>
          <w:szCs w:val="21"/>
          <w:highlight w:val="none"/>
          <w:shd w:val="clear" w:color="auto" w:fill="FFFFFF" w:themeFill="background1"/>
          <w:lang w:val="en-US" w:eastAsia="zh-CN" w:bidi="en-US"/>
        </w:rPr>
        <w:t>附到</w:t>
      </w:r>
      <w:r>
        <w:rPr>
          <w:rFonts w:hint="eastAsia" w:ascii="宋体" w:cs="宋体"/>
          <w:b/>
          <w:bCs/>
          <w:color w:val="000000"/>
          <w:sz w:val="24"/>
          <w:u w:val="none"/>
          <w:lang w:bidi="ar"/>
        </w:rPr>
        <w:t>报名资料</w:t>
      </w:r>
      <w:r>
        <w:rPr>
          <w:rFonts w:hint="eastAsia" w:ascii="宋体" w:cs="宋体"/>
          <w:b/>
          <w:bCs/>
          <w:color w:val="000000"/>
          <w:sz w:val="24"/>
          <w:u w:val="none"/>
          <w:lang w:val="en-US" w:eastAsia="zh-CN" w:bidi="ar"/>
        </w:rPr>
        <w:t>中</w:t>
      </w:r>
      <w:r>
        <w:rPr>
          <w:rFonts w:hint="eastAsia" w:ascii="宋体"/>
          <w:b/>
          <w:bCs/>
          <w:kern w:val="0"/>
          <w:sz w:val="24"/>
          <w:szCs w:val="21"/>
          <w:highlight w:val="none"/>
          <w:shd w:val="clear" w:color="auto" w:fill="FFFFFF" w:themeFill="background1"/>
          <w:lang w:bidi="en-US"/>
        </w:rPr>
        <w:t>）</w:t>
      </w:r>
      <w:r>
        <w:rPr>
          <w:rFonts w:hint="eastAsia" w:ascii="宋体" w:cs="宋体"/>
          <w:b/>
          <w:bCs/>
          <w:sz w:val="24"/>
          <w:highlight w:val="none"/>
          <w:lang w:bidi="ar"/>
        </w:rPr>
        <w:t>。</w:t>
      </w:r>
    </w:p>
    <w:p w14:paraId="7A2574F6">
      <w:pPr>
        <w:pStyle w:val="43"/>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8</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3"/>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3"/>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7C7A62CE">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ascii="宋体" w:cs="宋体"/>
          <w:kern w:val="0"/>
          <w:sz w:val="24"/>
          <w:highlight w:val="none"/>
        </w:rPr>
        <w:t>投保保证金</w:t>
      </w:r>
      <w:r>
        <w:rPr>
          <w:rFonts w:hint="eastAsia" w:ascii="宋体" w:cs="宋体"/>
          <w:kern w:val="0"/>
          <w:sz w:val="24"/>
          <w:highlight w:val="none"/>
          <w:lang w:val="en-US" w:eastAsia="zh-CN"/>
        </w:rPr>
        <w:t>银行汇款截图。</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lang w:eastAsia="zh-CN"/>
          <w14:textFill>
            <w14:solidFill>
              <w14:schemeClr w14:val="tx1"/>
            </w14:solidFill>
          </w14:textFill>
        </w:rPr>
        <w:t>（</w:t>
      </w:r>
      <w:r>
        <w:rPr>
          <w:rStyle w:val="37"/>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7"/>
          <w:rFonts w:hint="eastAsia" w:ascii="宋体" w:cs="宋体"/>
          <w:b w:val="0"/>
          <w:bCs w:val="0"/>
          <w:color w:val="000000" w:themeColor="text1"/>
          <w:sz w:val="24"/>
          <w:lang w:eastAsia="zh-CN"/>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w:t>
      </w:r>
      <w:r>
        <w:rPr>
          <w:rFonts w:hint="eastAsia" w:ascii="宋体" w:cs="宋体"/>
          <w:b/>
          <w:bCs/>
          <w:kern w:val="0"/>
          <w:sz w:val="24"/>
          <w:lang w:bidi="en-US"/>
        </w:rPr>
        <w:t>第二章 投标人须知</w:t>
      </w:r>
      <w:r>
        <w:rPr>
          <w:rFonts w:hint="eastAsia" w:ascii="宋体" w:cs="宋体"/>
          <w:kern w:val="0"/>
          <w:sz w:val="24"/>
          <w:lang w:bidi="en-US"/>
        </w:rPr>
        <w:t>。</w:t>
      </w:r>
    </w:p>
    <w:p w14:paraId="17B6F02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46063E76">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0A0942CE">
      <w:pPr>
        <w:widowControl/>
        <w:adjustRightInd w:val="0"/>
        <w:snapToGrid w:val="0"/>
        <w:spacing w:line="360" w:lineRule="auto"/>
        <w:jc w:val="left"/>
        <w:rPr>
          <w:rFonts w:hint="eastAsia" w:ascii="宋体" w:cs="宋体"/>
          <w:kern w:val="0"/>
          <w:sz w:val="24"/>
          <w:lang w:bidi="en-US"/>
        </w:rPr>
      </w:pP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6</w:t>
      </w:r>
      <w:r>
        <w:rPr>
          <w:rFonts w:hint="eastAsia" w:ascii="宋体" w:cs="宋体"/>
          <w:kern w:val="0"/>
          <w:sz w:val="24"/>
          <w:lang w:bidi="en-US"/>
        </w:rPr>
        <w:t>月</w:t>
      </w:r>
      <w:r>
        <w:rPr>
          <w:rFonts w:hint="eastAsia" w:ascii="宋体" w:cs="宋体"/>
          <w:kern w:val="0"/>
          <w:sz w:val="24"/>
          <w:u w:val="single"/>
          <w:lang w:val="en-US" w:eastAsia="zh-CN" w:bidi="en-US"/>
        </w:rPr>
        <w:t>16</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p>
    <w:p w14:paraId="552E66EB">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7"/>
          <w:rFonts w:hint="eastAsia" w:ascii="宋体" w:cs="宋体"/>
          <w:kern w:val="0"/>
          <w:sz w:val="24"/>
          <w:lang w:bidi="en-US"/>
        </w:rPr>
        <w:t>chenhe@sinotruk.com</w:t>
      </w:r>
      <w:r>
        <w:rPr>
          <w:rFonts w:hint="eastAsia" w:ascii="宋体" w:cs="宋体"/>
          <w:kern w:val="0"/>
          <w:sz w:val="24"/>
          <w:lang w:bidi="en-US"/>
        </w:rPr>
        <w:fldChar w:fldCharType="end"/>
      </w:r>
    </w:p>
    <w:p w14:paraId="29710580">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技术联系人：张建祯</w:t>
      </w:r>
    </w:p>
    <w:p w14:paraId="2A04A4FA">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电话：19153710692</w:t>
      </w:r>
    </w:p>
    <w:p w14:paraId="099B4BB8">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电子邮件：zhangjianzhen@sinotruk.com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6</w:t>
      </w:r>
      <w:r>
        <w:rPr>
          <w:rFonts w:hint="eastAsia" w:ascii="宋体"/>
          <w:kern w:val="0"/>
          <w:sz w:val="24"/>
          <w:szCs w:val="21"/>
          <w:lang w:bidi="en-US"/>
        </w:rPr>
        <w:t>月</w:t>
      </w:r>
      <w:r>
        <w:rPr>
          <w:rFonts w:hint="eastAsia" w:ascii="宋体"/>
          <w:kern w:val="0"/>
          <w:sz w:val="24"/>
          <w:szCs w:val="21"/>
          <w:u w:val="single"/>
          <w:lang w:val="en-US" w:eastAsia="zh-CN" w:bidi="en-US"/>
        </w:rPr>
        <w:t>2</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2"/>
        <w:rPr>
          <w:sz w:val="24"/>
        </w:rPr>
      </w:pPr>
    </w:p>
    <w:p w14:paraId="57936170">
      <w:pPr>
        <w:pStyle w:val="12"/>
        <w:tabs>
          <w:tab w:val="left" w:pos="4820"/>
        </w:tabs>
        <w:rPr>
          <w:sz w:val="24"/>
        </w:rPr>
      </w:pPr>
      <w:r>
        <w:rPr>
          <w:sz w:val="24"/>
        </w:rPr>
        <w:tab/>
      </w:r>
      <w:r>
        <w:rPr>
          <w:rFonts w:hint="eastAsia"/>
          <w:sz w:val="24"/>
        </w:rPr>
        <w:t>法定代表人（签字或盖章）</w:t>
      </w:r>
    </w:p>
    <w:p w14:paraId="3DBB299F">
      <w:pPr>
        <w:pStyle w:val="12"/>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9"/>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0"/>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21"/>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2"/>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3"/>
                    <a:stretch>
                      <a:fillRect/>
                    </a:stretch>
                  </pic:blipFill>
                  <pic:spPr>
                    <a:xfrm>
                      <a:off x="0" y="0"/>
                      <a:ext cx="5760085" cy="2853375"/>
                    </a:xfrm>
                    <a:prstGeom prst="rect">
                      <a:avLst/>
                    </a:prstGeom>
                  </pic:spPr>
                </pic:pic>
              </a:graphicData>
            </a:graphic>
          </wp:inline>
        </w:drawing>
      </w:r>
    </w:p>
    <w:p w14:paraId="6954F6EA">
      <w:pPr>
        <w:numPr>
          <w:ilvl w:val="0"/>
          <w:numId w:val="4"/>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5"/>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5"/>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6"/>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5"/>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6"/>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7"/>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8"/>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9"/>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30"/>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Fonts w:hint="eastAsia"/>
        </w:rPr>
      </w:pPr>
      <w:bookmarkStart w:id="221" w:name="_GoBack"/>
      <w:bookmarkEnd w:id="221"/>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31"/>
                    <a:stretch>
                      <a:fillRect/>
                    </a:stretch>
                  </pic:blipFill>
                  <pic:spPr>
                    <a:xfrm>
                      <a:off x="0" y="0"/>
                      <a:ext cx="5760085" cy="1956600"/>
                    </a:xfrm>
                    <a:prstGeom prst="rect">
                      <a:avLst/>
                    </a:prstGeom>
                  </pic:spPr>
                </pic:pic>
              </a:graphicData>
            </a:graphic>
          </wp:inline>
        </w:drawing>
      </w:r>
    </w:p>
    <w:p w14:paraId="4761924D">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22033E7F">
      <w:pPr>
        <w:rPr>
          <w:rFonts w:hint="eastAsia"/>
        </w:rPr>
      </w:pPr>
    </w:p>
    <w:p w14:paraId="61352AD7">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5D1FC2D4">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FFFAE92">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6F7E8806">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0EAFFF3">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585782C">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C9A10D6">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pPr>
      <w:r>
        <w:rPr>
          <w:rFonts w:hint="eastAsia"/>
        </w:rPr>
        <w:t>第二章</w:t>
      </w:r>
      <w:r>
        <w:t xml:space="preserve"> </w:t>
      </w:r>
      <w:r>
        <w:rPr>
          <w:rFonts w:hint="eastAsia"/>
        </w:rPr>
        <w:t>投标人须知</w:t>
      </w:r>
      <w:bookmarkEnd w:id="4"/>
      <w:bookmarkEnd w:id="5"/>
    </w:p>
    <w:p w14:paraId="5230B8C2">
      <w:pPr>
        <w:pStyle w:val="4"/>
        <w:spacing w:before="156"/>
      </w:pPr>
      <w:bookmarkStart w:id="15" w:name="_Toc14341836"/>
      <w:bookmarkStart w:id="16" w:name="_Toc32482"/>
      <w:bookmarkStart w:id="17" w:name="_Toc14669812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b w:val="0"/>
                <w:bCs/>
                <w:lang w:val="en-US" w:eastAsia="zh-CN"/>
              </w:rPr>
              <w:t>济宁商用车</w:t>
            </w:r>
            <w:r>
              <w:rPr>
                <w:rFonts w:hint="eastAsia" w:ascii="宋体" w:cs="宋体"/>
                <w:b w:val="0"/>
                <w:bCs/>
                <w:kern w:val="0"/>
                <w:lang w:bidi="en-US"/>
              </w:rPr>
              <w:t>质量提升专项NX门槛模具、夹具改造技改项目</w:t>
            </w:r>
          </w:p>
          <w:p w14:paraId="6891734C">
            <w:pPr>
              <w:spacing w:line="312" w:lineRule="auto"/>
              <w:rPr>
                <w:rFonts w:hint="default" w:ascii="Times New Roman" w:hAnsi="Times New Roman" w:eastAsia="宋体" w:cs="Times New Roman"/>
                <w:b w:val="0"/>
                <w:bCs/>
                <w:kern w:val="2"/>
                <w:sz w:val="24"/>
                <w:szCs w:val="24"/>
                <w:lang w:val="en-US" w:eastAsia="zh-CN" w:bidi="ar-SA"/>
              </w:rPr>
            </w:pPr>
            <w:r>
              <w:rPr>
                <w:b/>
                <w:sz w:val="24"/>
              </w:rPr>
              <w:t>1.2项目编号：</w:t>
            </w:r>
            <w:r>
              <w:rPr>
                <w:rFonts w:hint="eastAsia" w:ascii="Times New Roman" w:hAnsi="Times New Roman" w:eastAsia="宋体" w:cs="Times New Roman"/>
                <w:b w:val="0"/>
                <w:bCs/>
                <w:kern w:val="2"/>
                <w:sz w:val="24"/>
                <w:szCs w:val="24"/>
                <w:lang w:val="en-US" w:eastAsia="zh-CN" w:bidi="ar-SA"/>
              </w:rPr>
              <w:t xml:space="preserve">ZBGL2026050012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C2A9F5F">
            <w:pPr>
              <w:spacing w:line="360" w:lineRule="auto"/>
              <w:ind w:firstLine="453" w:firstLineChars="189"/>
              <w:rPr>
                <w:rFonts w:hint="eastAsia" w:ascii="宋体" w:hAnsi="宋体" w:cs="宋体"/>
                <w:sz w:val="24"/>
              </w:rPr>
            </w:pPr>
            <w:r>
              <w:rPr>
                <w:rFonts w:hint="eastAsia" w:ascii="宋体" w:hAnsi="宋体" w:cs="宋体"/>
                <w:sz w:val="24"/>
              </w:rPr>
              <w:t>合同生效、设备全部到齐无质量问题后，卖方提交金额为合同含税价款</w:t>
            </w:r>
            <w:r>
              <w:rPr>
                <w:rFonts w:hint="eastAsia" w:ascii="宋体" w:hAnsi="宋体" w:cs="宋体"/>
                <w:sz w:val="24"/>
                <w:u w:val="single"/>
              </w:rPr>
              <w:t>30%</w:t>
            </w:r>
            <w:r>
              <w:rPr>
                <w:rFonts w:hint="eastAsia" w:ascii="宋体" w:hAnsi="宋体" w:cs="宋体"/>
                <w:sz w:val="24"/>
              </w:rPr>
              <w:t>的收据及合同全额</w:t>
            </w:r>
            <w:r>
              <w:rPr>
                <w:rFonts w:hint="eastAsia" w:ascii="宋体" w:hAnsi="宋体" w:cs="宋体"/>
                <w:sz w:val="24"/>
                <w:u w:val="single"/>
              </w:rPr>
              <w:t>30%</w:t>
            </w:r>
            <w:r>
              <w:rPr>
                <w:rFonts w:hint="eastAsia" w:ascii="宋体" w:hAnsi="宋体" w:cs="宋体"/>
                <w:sz w:val="24"/>
              </w:rPr>
              <w:t>增值税专用发票(税率为13%，正本一份，复印件二份)，经买方依照财务制度审核无误后支付。</w:t>
            </w:r>
          </w:p>
          <w:p w14:paraId="31F5E8BA">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60</w:t>
            </w:r>
            <w:r>
              <w:rPr>
                <w:rFonts w:hint="eastAsia" w:ascii="宋体" w:hAnsi="宋体" w:cs="宋体"/>
                <w:sz w:val="24"/>
              </w:rPr>
              <w:t>%的收据及合同全额</w:t>
            </w:r>
            <w:r>
              <w:rPr>
                <w:rFonts w:hint="eastAsia" w:ascii="宋体" w:hAnsi="宋体" w:cs="宋体"/>
                <w:sz w:val="24"/>
                <w:u w:val="single"/>
              </w:rPr>
              <w:t>70%</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590B764A">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rPr>
              <w:t>10%</w:t>
            </w:r>
            <w:r>
              <w:rPr>
                <w:rFonts w:hint="eastAsia" w:ascii="宋体" w:hAnsi="宋体" w:cs="宋体"/>
                <w:sz w:val="24"/>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6</w:t>
            </w:r>
            <w:r>
              <w:rPr>
                <w:rFonts w:hint="eastAsia" w:ascii="宋体" w:cs="宋体"/>
                <w:sz w:val="24"/>
                <w:highlight w:val="none"/>
              </w:rPr>
              <w:t>月</w:t>
            </w:r>
            <w:r>
              <w:rPr>
                <w:rFonts w:hint="eastAsia" w:ascii="宋体" w:cs="宋体"/>
                <w:sz w:val="24"/>
                <w:highlight w:val="none"/>
                <w:u w:val="single"/>
                <w:lang w:val="en-US" w:eastAsia="zh-CN"/>
              </w:rPr>
              <w:t>13</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6</w:t>
            </w:r>
            <w:r>
              <w:rPr>
                <w:rFonts w:hint="eastAsia" w:ascii="宋体" w:cs="宋体"/>
                <w:sz w:val="24"/>
                <w:highlight w:val="none"/>
              </w:rPr>
              <w:t>月</w:t>
            </w:r>
            <w:r>
              <w:rPr>
                <w:rFonts w:hint="eastAsia" w:ascii="宋体" w:cs="宋体"/>
                <w:sz w:val="24"/>
                <w:highlight w:val="none"/>
                <w:u w:val="single"/>
                <w:lang w:val="en-US" w:eastAsia="zh-CN"/>
              </w:rPr>
              <w:t>13</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2"/>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3"/>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2"/>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2"/>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2"/>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2"/>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2"/>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2"/>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13</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16</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16</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6</w:t>
            </w:r>
            <w:r>
              <w:rPr>
                <w:rFonts w:hint="eastAsia" w:ascii="宋体" w:cs="宋体"/>
                <w:b/>
                <w:bCs/>
                <w:sz w:val="24"/>
                <w:u w:val="single"/>
              </w:rPr>
              <w:t>月</w:t>
            </w:r>
            <w:r>
              <w:rPr>
                <w:rFonts w:hint="eastAsia" w:ascii="宋体" w:cs="宋体"/>
                <w:b/>
                <w:bCs/>
                <w:sz w:val="24"/>
                <w:u w:val="single"/>
                <w:lang w:val="en-US" w:eastAsia="zh-CN"/>
              </w:rPr>
              <w:t>15</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39ACC34A">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张建祯</w:t>
            </w:r>
          </w:p>
          <w:p w14:paraId="34D1D43E">
            <w:pPr>
              <w:widowControl/>
              <w:spacing w:line="312" w:lineRule="auto"/>
              <w:jc w:val="left"/>
              <w:rPr>
                <w:rFonts w:ascii="宋体" w:cs="宋体"/>
                <w:kern w:val="0"/>
                <w:sz w:val="24"/>
                <w:highlight w:val="none"/>
              </w:rPr>
            </w:pPr>
            <w:r>
              <w:rPr>
                <w:rFonts w:hint="eastAsia" w:ascii="宋体" w:cs="宋体"/>
                <w:kern w:val="0"/>
                <w:sz w:val="24"/>
                <w:highlight w:val="none"/>
              </w:rPr>
              <w:t>电话：19153710692</w:t>
            </w:r>
          </w:p>
          <w:p w14:paraId="01E5138F">
            <w:pPr>
              <w:spacing w:line="312" w:lineRule="auto"/>
              <w:rPr>
                <w:rFonts w:ascii="宋体" w:cs="宋体"/>
                <w:sz w:val="24"/>
              </w:rPr>
            </w:pPr>
            <w:r>
              <w:rPr>
                <w:rFonts w:hint="eastAsia" w:ascii="宋体" w:cs="宋体"/>
                <w:kern w:val="0"/>
                <w:sz w:val="24"/>
                <w:highlight w:val="none"/>
              </w:rPr>
              <w:t>电子邮件：zhangjianzhen@sinotruk.com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4"/>
        <w:spacing w:before="156"/>
        <w:rPr>
          <w:rFonts w:cs="宋体"/>
        </w:rPr>
      </w:pPr>
      <w:bookmarkStart w:id="19" w:name="_Toc11624"/>
      <w:bookmarkStart w:id="20" w:name="_Toc22025"/>
      <w:bookmarkStart w:id="21" w:name="_Toc31044"/>
      <w:bookmarkStart w:id="22" w:name="_Toc345336300"/>
      <w:bookmarkStart w:id="23" w:name="_Toc12285"/>
      <w:bookmarkStart w:id="24" w:name="_Toc146698123"/>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72880"/>
      <w:bookmarkStart w:id="28" w:name="_Toc346306733"/>
      <w:bookmarkStart w:id="29" w:name="_Toc352332854"/>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4"/>
        <w:spacing w:before="156"/>
      </w:pPr>
      <w:bookmarkStart w:id="30" w:name="_Toc16465"/>
      <w:bookmarkStart w:id="31" w:name="_Toc146698124"/>
      <w:bookmarkStart w:id="32" w:name="_Toc27707"/>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4"/>
        <w:spacing w:before="156"/>
      </w:pPr>
      <w:bookmarkStart w:id="33" w:name="_Toc26307"/>
      <w:bookmarkStart w:id="34" w:name="_Toc146698125"/>
      <w:bookmarkStart w:id="35" w:name="_Toc21963"/>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7"/>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7"/>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8"/>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9"/>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9"/>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9"/>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0"/>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0"/>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0"/>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1"/>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1"/>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1"/>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1"/>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1"/>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1"/>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1"/>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1"/>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1"/>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1"/>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1"/>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4"/>
        <w:spacing w:before="156"/>
      </w:pPr>
      <w:bookmarkStart w:id="37" w:name="_Toc4014"/>
      <w:bookmarkStart w:id="38" w:name="_Toc20367"/>
      <w:bookmarkStart w:id="39" w:name="_Toc146698126"/>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46306750"/>
      <w:bookmarkStart w:id="41" w:name="_Toc346372897"/>
      <w:bookmarkStart w:id="42" w:name="_Toc352332871"/>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4"/>
        <w:spacing w:before="156"/>
      </w:pPr>
      <w:bookmarkStart w:id="43" w:name="_Toc1085"/>
      <w:bookmarkStart w:id="44" w:name="_Toc6510"/>
      <w:bookmarkStart w:id="45" w:name="_Toc146698127"/>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1105"/>
      <w:bookmarkStart w:id="47" w:name="_Toc22902"/>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2"/>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2"/>
        <w:numPr>
          <w:ilvl w:val="0"/>
          <w:numId w:val="12"/>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2"/>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2"/>
        <w:numPr>
          <w:ilvl w:val="0"/>
          <w:numId w:val="12"/>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2"/>
        <w:numPr>
          <w:ilvl w:val="0"/>
          <w:numId w:val="12"/>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2"/>
        <w:numPr>
          <w:ilvl w:val="0"/>
          <w:numId w:val="12"/>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2"/>
        <w:numPr>
          <w:ilvl w:val="0"/>
          <w:numId w:val="12"/>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2"/>
        <w:numPr>
          <w:ilvl w:val="0"/>
          <w:numId w:val="12"/>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2"/>
        <w:numPr>
          <w:ilvl w:val="0"/>
          <w:numId w:val="12"/>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2"/>
        <w:numPr>
          <w:ilvl w:val="0"/>
          <w:numId w:val="12"/>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2"/>
        <w:numPr>
          <w:ilvl w:val="0"/>
          <w:numId w:val="12"/>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2"/>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2"/>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2"/>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2"/>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2"/>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2"/>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92678128"/>
      <w:bookmarkStart w:id="50" w:name="_Toc2123695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2"/>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2"/>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2"/>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2"/>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2"/>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4"/>
        <w:spacing w:before="156"/>
      </w:pPr>
      <w:bookmarkStart w:id="52" w:name="_Toc19543"/>
      <w:bookmarkStart w:id="53" w:name="_Toc18108"/>
      <w:bookmarkStart w:id="54" w:name="_Toc14669812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2"/>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2"/>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4"/>
        <w:spacing w:before="156"/>
      </w:pPr>
      <w:bookmarkStart w:id="55" w:name="_Toc7525"/>
      <w:bookmarkStart w:id="56" w:name="_Toc5892"/>
      <w:bookmarkStart w:id="57" w:name="_Toc146698129"/>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4"/>
        <w:spacing w:before="156"/>
      </w:pPr>
      <w:bookmarkStart w:id="59" w:name="_Toc146698130"/>
      <w:bookmarkStart w:id="60" w:name="_Toc29377"/>
      <w:bookmarkStart w:id="61" w:name="_Toc14341844"/>
      <w:r>
        <w:rPr>
          <w:rFonts w:hint="eastAsia"/>
        </w:rPr>
        <w:t>八、解释权</w:t>
      </w:r>
      <w:bookmarkEnd w:id="59"/>
      <w:bookmarkEnd w:id="60"/>
      <w:bookmarkEnd w:id="61"/>
    </w:p>
    <w:p w14:paraId="11A15F1F">
      <w:pPr>
        <w:pStyle w:val="12"/>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4"/>
        <w:spacing w:before="156"/>
      </w:pPr>
      <w:bookmarkStart w:id="62" w:name="_Toc14341845"/>
      <w:bookmarkStart w:id="63" w:name="_Toc14906"/>
      <w:bookmarkStart w:id="64" w:name="_Toc146698131"/>
      <w:r>
        <w:rPr>
          <w:rFonts w:hint="eastAsia"/>
        </w:rPr>
        <w:t>九、</w:t>
      </w:r>
      <w:bookmarkEnd w:id="62"/>
      <w:r>
        <w:rPr>
          <w:rFonts w:hint="eastAsia"/>
        </w:rPr>
        <w:t>中标人瑕疵滞后发现的处理原则</w:t>
      </w:r>
      <w:bookmarkEnd w:id="63"/>
      <w:bookmarkEnd w:id="64"/>
    </w:p>
    <w:p w14:paraId="62F05534">
      <w:pPr>
        <w:pStyle w:val="12"/>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keepNext w:val="0"/>
        <w:keepLines w:val="0"/>
        <w:pageBreakBefore w:val="0"/>
        <w:widowControl w:val="0"/>
        <w:numPr>
          <w:ilvl w:val="0"/>
          <w:numId w:val="0"/>
        </w:numPr>
        <w:kinsoku/>
        <w:wordWrap/>
        <w:overflowPunct/>
        <w:topLinePunct w:val="0"/>
        <w:autoSpaceDE/>
        <w:autoSpaceDN/>
        <w:bidi w:val="0"/>
        <w:jc w:val="center"/>
        <w:textAlignment w:val="auto"/>
      </w:pPr>
      <w:r>
        <w:rPr>
          <w:rFonts w:hint="eastAsia" w:ascii="Times New Roman" w:hAnsi="Times New Roman" w:eastAsia="宋体" w:cs="Times New Roman"/>
          <w:b/>
          <w:bCs/>
          <w:kern w:val="44"/>
          <w:sz w:val="36"/>
          <w:szCs w:val="36"/>
          <w:lang w:val="en-US" w:eastAsia="zh-CN" w:bidi="ar-SA"/>
        </w:rPr>
        <w:t>第三章</w:t>
      </w:r>
      <w:r>
        <w:rPr>
          <w:rFonts w:hint="eastAsia" w:cs="Times New Roman"/>
          <w:b/>
          <w:bCs/>
          <w:kern w:val="44"/>
          <w:sz w:val="36"/>
          <w:szCs w:val="36"/>
          <w:lang w:val="en-US" w:eastAsia="zh-CN" w:bidi="ar-SA"/>
        </w:rPr>
        <w:t xml:space="preserve"> </w:t>
      </w: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3CF8065">
      <w:pPr>
        <w:widowControl/>
        <w:jc w:val="left"/>
        <w:rPr>
          <w:rFonts w:hint="eastAsia" w:ascii="宋体" w:hAnsi="宋体"/>
          <w:b/>
          <w:bCs/>
          <w:sz w:val="24"/>
        </w:rPr>
      </w:pPr>
      <w:r>
        <w:rPr>
          <w:rFonts w:hint="eastAsia" w:ascii="宋体" w:hAnsi="宋体"/>
          <w:b/>
          <w:bCs/>
          <w:sz w:val="24"/>
        </w:rPr>
        <w:br w:type="page"/>
      </w:r>
    </w:p>
    <w:p w14:paraId="19749E54">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7C7B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3646AB8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5832BD0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5D6B948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905" w:type="dxa"/>
            <w:vAlign w:val="center"/>
          </w:tcPr>
          <w:p w14:paraId="61447C5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60" w:type="dxa"/>
            <w:vAlign w:val="center"/>
          </w:tcPr>
          <w:p w14:paraId="5FC00BD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118" w:type="dxa"/>
            <w:vAlign w:val="center"/>
          </w:tcPr>
          <w:p w14:paraId="0692CB1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6EE05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50" w:type="dxa"/>
            <w:vAlign w:val="center"/>
          </w:tcPr>
          <w:p w14:paraId="2939FFE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1A690B0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左、右车门门槛模具</w:t>
            </w:r>
            <w:r>
              <w:rPr>
                <w:rFonts w:hint="eastAsia" w:hAnsi="宋体" w:cs="宋体"/>
                <w:kern w:val="2"/>
                <w:sz w:val="24"/>
                <w:szCs w:val="28"/>
                <w:lang w:val="en-US" w:eastAsia="zh-CN" w:bidi="ar-SA"/>
              </w:rPr>
              <w:t>改造</w:t>
            </w:r>
          </w:p>
        </w:tc>
        <w:tc>
          <w:tcPr>
            <w:tcW w:w="1515" w:type="dxa"/>
            <w:vAlign w:val="center"/>
          </w:tcPr>
          <w:p w14:paraId="5A14CDE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905" w:type="dxa"/>
            <w:vMerge w:val="restart"/>
            <w:vAlign w:val="center"/>
          </w:tcPr>
          <w:p w14:paraId="6AC9941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60" w:type="dxa"/>
            <w:vMerge w:val="restart"/>
            <w:vAlign w:val="center"/>
          </w:tcPr>
          <w:p w14:paraId="397C8A6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118" w:type="dxa"/>
            <w:vMerge w:val="restart"/>
            <w:vAlign w:val="center"/>
          </w:tcPr>
          <w:p w14:paraId="36F62B6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r w14:paraId="4EB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7D53DCB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4457B392">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左、右车门门槛夹具</w:t>
            </w:r>
            <w:r>
              <w:rPr>
                <w:rFonts w:hint="eastAsia" w:hAnsi="宋体" w:cs="宋体"/>
                <w:kern w:val="2"/>
                <w:sz w:val="24"/>
                <w:szCs w:val="28"/>
                <w:lang w:val="en-US" w:eastAsia="zh-CN" w:bidi="ar-SA"/>
              </w:rPr>
              <w:t>改造</w:t>
            </w:r>
          </w:p>
        </w:tc>
        <w:tc>
          <w:tcPr>
            <w:tcW w:w="1515" w:type="dxa"/>
            <w:vAlign w:val="center"/>
          </w:tcPr>
          <w:p w14:paraId="1F111F4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905" w:type="dxa"/>
            <w:vMerge w:val="continue"/>
            <w:vAlign w:val="center"/>
          </w:tcPr>
          <w:p w14:paraId="2E25D308">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p>
        </w:tc>
        <w:tc>
          <w:tcPr>
            <w:tcW w:w="1260" w:type="dxa"/>
            <w:vMerge w:val="continue"/>
            <w:vAlign w:val="center"/>
          </w:tcPr>
          <w:p w14:paraId="233DD84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c>
          <w:tcPr>
            <w:tcW w:w="1118" w:type="dxa"/>
            <w:vMerge w:val="continue"/>
            <w:vAlign w:val="center"/>
          </w:tcPr>
          <w:p w14:paraId="5DD6525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0A5DAC51">
      <w:pPr>
        <w:keepNext w:val="0"/>
        <w:keepLines w:val="0"/>
        <w:pageBreakBefore w:val="0"/>
        <w:kinsoku/>
        <w:wordWrap/>
        <w:overflowPunct/>
        <w:topLinePunct w:val="0"/>
        <w:autoSpaceDE/>
        <w:autoSpaceDN/>
        <w:bidi w:val="0"/>
        <w:adjustRightInd/>
        <w:snapToGrid/>
        <w:spacing w:line="360" w:lineRule="auto"/>
        <w:jc w:val="left"/>
        <w:textAlignment w:val="auto"/>
        <w:outlineLvl w:val="0"/>
        <w:rPr>
          <w:rFonts w:hint="default" w:ascii="宋体" w:hAnsi="宋体" w:eastAsia="宋体" w:cs="Times New Roman"/>
          <w:b/>
          <w:bCs/>
          <w:spacing w:val="-3"/>
          <w:sz w:val="24"/>
          <w:szCs w:val="24"/>
          <w:lang w:val="en-US" w:eastAsia="zh-CN"/>
        </w:rPr>
      </w:pPr>
      <w:r>
        <w:rPr>
          <w:rFonts w:hint="eastAsia" w:ascii="宋体" w:hAnsi="宋体"/>
          <w:b/>
          <w:bCs/>
          <w:spacing w:val="4"/>
          <w:sz w:val="24"/>
          <w:lang w:val="en-US" w:eastAsia="zh-CN"/>
        </w:rPr>
        <w:t>6</w:t>
      </w:r>
      <w:r>
        <w:rPr>
          <w:rFonts w:hint="eastAsia" w:ascii="宋体" w:hAnsi="宋体"/>
          <w:b/>
          <w:bCs/>
          <w:spacing w:val="4"/>
          <w:sz w:val="24"/>
        </w:rPr>
        <w:t>.</w:t>
      </w:r>
      <w:r>
        <w:rPr>
          <w:rFonts w:hint="eastAsia" w:ascii="宋体" w:hAnsi="宋体" w:eastAsia="宋体" w:cs="Times New Roman"/>
          <w:b/>
          <w:bCs/>
          <w:sz w:val="24"/>
          <w:szCs w:val="24"/>
        </w:rPr>
        <w:t>模具</w:t>
      </w:r>
      <w:r>
        <w:rPr>
          <w:rFonts w:hint="eastAsia" w:ascii="宋体" w:hAnsi="宋体" w:eastAsia="宋体" w:cs="Times New Roman"/>
          <w:b/>
          <w:bCs/>
          <w:sz w:val="24"/>
          <w:szCs w:val="24"/>
          <w:lang w:val="en-US" w:eastAsia="zh-CN"/>
        </w:rPr>
        <w:t>改造相关要求</w:t>
      </w:r>
    </w:p>
    <w:p w14:paraId="48C666C6">
      <w:pPr>
        <w:pStyle w:val="5"/>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0"/>
        <w:jc w:val="left"/>
        <w:textAlignment w:val="auto"/>
        <w:rPr>
          <w:rFonts w:hint="eastAsia" w:ascii="宋体" w:hAnsi="宋体" w:eastAsia="宋体" w:cs="宋体"/>
          <w:i w:val="0"/>
          <w:iCs w:val="0"/>
          <w:caps w:val="0"/>
          <w:color w:val="0F1115"/>
          <w:spacing w:val="0"/>
          <w:sz w:val="24"/>
          <w:szCs w:val="24"/>
          <w:shd w:val="clear" w:fill="FFFFFF"/>
        </w:rPr>
      </w:pPr>
      <w:r>
        <w:rPr>
          <w:rFonts w:hint="eastAsia" w:ascii="宋体"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lang w:val="en-US" w:eastAsia="zh-CN"/>
        </w:rPr>
        <w:t>1</w:t>
      </w:r>
      <w:r>
        <w:rPr>
          <w:rFonts w:hint="eastAsia" w:ascii="宋体" w:hAnsi="宋体" w:eastAsia="宋体" w:cs="宋体"/>
          <w:i w:val="0"/>
          <w:iCs w:val="0"/>
          <w:caps w:val="0"/>
          <w:color w:val="0F1115"/>
          <w:spacing w:val="0"/>
          <w:sz w:val="24"/>
          <w:szCs w:val="24"/>
          <w:shd w:val="clear" w:fill="FFFFFF"/>
        </w:rPr>
        <w:t>模具设计输入</w:t>
      </w:r>
    </w:p>
    <w:p w14:paraId="26DAFE7A">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val="0"/>
          <w:i w:val="0"/>
          <w:iCs w:val="0"/>
          <w:caps w:val="0"/>
          <w:color w:val="0F1115"/>
          <w:spacing w:val="0"/>
          <w:sz w:val="24"/>
          <w:szCs w:val="24"/>
        </w:rPr>
      </w:pPr>
      <w:r>
        <w:rPr>
          <w:rFonts w:hint="eastAsia" w:ascii="宋体" w:hAnsi="宋体" w:eastAsia="宋体" w:cs="宋体"/>
          <w:b w:val="0"/>
          <w:bCs w:val="0"/>
          <w:i w:val="0"/>
          <w:iCs w:val="0"/>
          <w:caps w:val="0"/>
          <w:color w:val="0F1115"/>
          <w:spacing w:val="0"/>
          <w:sz w:val="24"/>
          <w:szCs w:val="24"/>
          <w:shd w:val="clear" w:fill="FFFFFF"/>
          <w:lang w:val="en-US" w:eastAsia="zh-CN"/>
        </w:rPr>
        <w:t>6.</w:t>
      </w:r>
      <w:r>
        <w:rPr>
          <w:rFonts w:hint="eastAsia" w:ascii="宋体" w:hAnsi="宋体" w:eastAsia="宋体" w:cs="宋体"/>
          <w:b w:val="0"/>
          <w:bCs w:val="0"/>
          <w:i w:val="0"/>
          <w:iCs w:val="0"/>
          <w:caps w:val="0"/>
          <w:color w:val="0F1115"/>
          <w:spacing w:val="0"/>
          <w:sz w:val="24"/>
          <w:szCs w:val="24"/>
          <w:shd w:val="clear" w:fill="FFFFFF"/>
        </w:rPr>
        <w:t>1.1 生产条件</w:t>
      </w:r>
    </w:p>
    <w:p w14:paraId="5DEF970B">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479" w:leftChars="228" w:right="0" w:firstLine="0" w:firstLineChars="0"/>
        <w:textAlignment w:val="auto"/>
        <w:rPr>
          <w:rFonts w:hint="eastAsia" w:ascii="宋体" w:hAnsi="宋体" w:eastAsia="宋体" w:cs="宋体"/>
          <w:i w:val="0"/>
          <w:iCs w:val="0"/>
          <w:caps w:val="0"/>
          <w:color w:val="0F1115"/>
          <w:spacing w:val="0"/>
          <w:sz w:val="24"/>
          <w:szCs w:val="24"/>
          <w:shd w:val="clear" w:fill="FFFFFF"/>
        </w:rPr>
      </w:pPr>
      <w:r>
        <w:rPr>
          <w:rFonts w:hint="eastAsia" w:ascii="宋体" w:hAnsi="宋体" w:eastAsia="宋体" w:cs="宋体"/>
          <w:i w:val="0"/>
          <w:iCs w:val="0"/>
          <w:caps w:val="0"/>
          <w:color w:val="0F1115"/>
          <w:spacing w:val="0"/>
          <w:sz w:val="24"/>
          <w:szCs w:val="24"/>
          <w:shd w:val="clear" w:fill="FFFFFF"/>
        </w:rPr>
        <w:t>工作环境：室内，温度：-10℃～40℃，相对湿度：≤90%。</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rPr>
        <w:t>生产节拍：手动线4</w:t>
      </w:r>
      <w:r>
        <w:rPr>
          <w:rFonts w:hint="eastAsia" w:ascii="宋体" w:hAnsi="宋体" w:eastAsia="宋体" w:cs="宋体"/>
          <w:i w:val="0"/>
          <w:iCs w:val="0"/>
          <w:caps w:val="0"/>
          <w:color w:val="0F1115"/>
          <w:spacing w:val="0"/>
          <w:sz w:val="24"/>
          <w:szCs w:val="24"/>
          <w:shd w:val="clear" w:fill="FFFFFF"/>
          <w:lang w:val="en-US" w:eastAsia="zh-CN"/>
        </w:rPr>
        <w:t>-</w:t>
      </w:r>
      <w:r>
        <w:rPr>
          <w:rFonts w:hint="eastAsia" w:ascii="宋体" w:hAnsi="宋体" w:eastAsia="宋体" w:cs="宋体"/>
          <w:i w:val="0"/>
          <w:iCs w:val="0"/>
          <w:caps w:val="0"/>
          <w:color w:val="0F1115"/>
          <w:spacing w:val="0"/>
          <w:sz w:val="24"/>
          <w:szCs w:val="24"/>
          <w:shd w:val="clear" w:fill="FFFFFF"/>
        </w:rPr>
        <w:t>8件/分钟。</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rPr>
        <w:t>使用寿命：50万次以上。</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rPr>
        <w:t>操作方式：要求适用于手工操作。</w:t>
      </w:r>
    </w:p>
    <w:p w14:paraId="13811463">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shd w:val="clear" w:fill="FFFFFF"/>
          <w:lang w:val="en-US" w:eastAsia="zh-CN"/>
        </w:rPr>
      </w:pPr>
      <w:r>
        <w:rPr>
          <w:rFonts w:hint="eastAsia" w:ascii="宋体" w:hAnsi="宋体" w:eastAsia="宋体" w:cs="宋体"/>
          <w:i w:val="0"/>
          <w:iCs w:val="0"/>
          <w:caps w:val="0"/>
          <w:color w:val="0F1115"/>
          <w:spacing w:val="0"/>
          <w:sz w:val="24"/>
          <w:szCs w:val="24"/>
          <w:shd w:val="clear" w:fill="FFFFFF"/>
          <w:lang w:val="en-US" w:eastAsia="zh-CN"/>
        </w:rPr>
        <w:t>为现有生产零件后外门槛冲压件的四序模具整改。模具存在工艺缺陷且补偿量不足导致制件回弹。主要为拉延序凸模和凹模、压边圈的部分镶块进行更换，增加回弹补偿；后序模具根据拉延模具出件情况进行相应调整。</w:t>
      </w:r>
    </w:p>
    <w:tbl>
      <w:tblPr>
        <w:tblStyle w:val="32"/>
        <w:tblW w:w="85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811"/>
        <w:gridCol w:w="792"/>
        <w:gridCol w:w="869"/>
        <w:gridCol w:w="987"/>
        <w:gridCol w:w="987"/>
        <w:gridCol w:w="987"/>
        <w:gridCol w:w="1068"/>
        <w:gridCol w:w="905"/>
      </w:tblGrid>
      <w:tr w14:paraId="6C27B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 w:hRule="atLeast"/>
          <w:jc w:val="center"/>
        </w:trPr>
        <w:tc>
          <w:tcPr>
            <w:tcW w:w="1149" w:type="dxa"/>
            <w:vAlign w:val="center"/>
          </w:tcPr>
          <w:p w14:paraId="1285DC9F">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产品名称</w:t>
            </w:r>
          </w:p>
        </w:tc>
        <w:tc>
          <w:tcPr>
            <w:tcW w:w="811" w:type="dxa"/>
            <w:vAlign w:val="center"/>
          </w:tcPr>
          <w:p w14:paraId="70864605">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工序</w:t>
            </w:r>
          </w:p>
        </w:tc>
        <w:tc>
          <w:tcPr>
            <w:tcW w:w="792" w:type="dxa"/>
            <w:vAlign w:val="center"/>
          </w:tcPr>
          <w:p w14:paraId="40D2B20B">
            <w:pPr>
              <w:keepNext w:val="0"/>
              <w:keepLines w:val="0"/>
              <w:widowControl/>
              <w:suppressLineNumbers w:val="0"/>
              <w:jc w:val="left"/>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模具名称</w:t>
            </w:r>
          </w:p>
        </w:tc>
        <w:tc>
          <w:tcPr>
            <w:tcW w:w="869" w:type="dxa"/>
            <w:vAlign w:val="center"/>
          </w:tcPr>
          <w:p w14:paraId="0739AAE8">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适用机床</w:t>
            </w:r>
          </w:p>
        </w:tc>
        <w:tc>
          <w:tcPr>
            <w:tcW w:w="987" w:type="dxa"/>
            <w:vAlign w:val="center"/>
          </w:tcPr>
          <w:p w14:paraId="514971D2">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长度（mm）</w:t>
            </w:r>
          </w:p>
        </w:tc>
        <w:tc>
          <w:tcPr>
            <w:tcW w:w="987" w:type="dxa"/>
            <w:vAlign w:val="center"/>
          </w:tcPr>
          <w:p w14:paraId="76856037">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宽度（mm）</w:t>
            </w:r>
          </w:p>
        </w:tc>
        <w:tc>
          <w:tcPr>
            <w:tcW w:w="987" w:type="dxa"/>
            <w:vAlign w:val="center"/>
          </w:tcPr>
          <w:p w14:paraId="331A39DA">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闭合高度（mm）</w:t>
            </w:r>
          </w:p>
        </w:tc>
        <w:tc>
          <w:tcPr>
            <w:tcW w:w="1068" w:type="dxa"/>
            <w:vAlign w:val="center"/>
          </w:tcPr>
          <w:p w14:paraId="4EE9B9B0">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装模高度（mm）</w:t>
            </w:r>
          </w:p>
        </w:tc>
        <w:tc>
          <w:tcPr>
            <w:tcW w:w="905" w:type="dxa"/>
            <w:vAlign w:val="center"/>
          </w:tcPr>
          <w:p w14:paraId="66B4BC67">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b/>
                <w:bCs/>
                <w:i w:val="0"/>
                <w:iCs w:val="0"/>
                <w:color w:val="000000"/>
                <w:kern w:val="0"/>
                <w:sz w:val="22"/>
                <w:szCs w:val="22"/>
                <w:u w:val="none"/>
                <w:lang w:val="en-US" w:eastAsia="zh-CN" w:bidi="ar"/>
              </w:rPr>
              <w:t>重量</w:t>
            </w:r>
            <w:r>
              <w:rPr>
                <w:rFonts w:hint="eastAsia" w:ascii="宋体" w:hAnsi="宋体" w:eastAsia="宋体" w:cs="宋体"/>
                <w:b/>
                <w:bCs/>
                <w:i w:val="0"/>
                <w:iCs w:val="0"/>
                <w:color w:val="000000"/>
                <w:kern w:val="0"/>
                <w:sz w:val="22"/>
                <w:szCs w:val="22"/>
                <w:u w:val="none"/>
                <w:lang w:val="en-US" w:eastAsia="zh-CN" w:bidi="ar"/>
              </w:rPr>
              <w:br w:type="textWrapping"/>
            </w:r>
            <w:r>
              <w:rPr>
                <w:rFonts w:hint="eastAsia" w:ascii="宋体" w:hAnsi="宋体" w:eastAsia="宋体" w:cs="宋体"/>
                <w:b/>
                <w:bCs/>
                <w:i w:val="0"/>
                <w:iCs w:val="0"/>
                <w:color w:val="000000"/>
                <w:kern w:val="0"/>
                <w:sz w:val="22"/>
                <w:szCs w:val="22"/>
                <w:u w:val="none"/>
                <w:lang w:val="en-US" w:eastAsia="zh-CN" w:bidi="ar"/>
              </w:rPr>
              <w:t>（吨）</w:t>
            </w:r>
          </w:p>
        </w:tc>
      </w:tr>
      <w:tr w14:paraId="76502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 w:hRule="atLeast"/>
          <w:jc w:val="center"/>
        </w:trPr>
        <w:tc>
          <w:tcPr>
            <w:tcW w:w="1149" w:type="dxa"/>
            <w:vMerge w:val="restart"/>
            <w:vAlign w:val="center"/>
          </w:tcPr>
          <w:p w14:paraId="27DF2305">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左/右外侧门槛</w:t>
            </w:r>
          </w:p>
        </w:tc>
        <w:tc>
          <w:tcPr>
            <w:tcW w:w="811" w:type="dxa"/>
            <w:vAlign w:val="center"/>
          </w:tcPr>
          <w:p w14:paraId="6908434A">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OP10</w:t>
            </w:r>
          </w:p>
        </w:tc>
        <w:tc>
          <w:tcPr>
            <w:tcW w:w="792" w:type="dxa"/>
            <w:vAlign w:val="center"/>
          </w:tcPr>
          <w:p w14:paraId="54ACE38F">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拉延</w:t>
            </w:r>
          </w:p>
        </w:tc>
        <w:tc>
          <w:tcPr>
            <w:tcW w:w="869" w:type="dxa"/>
            <w:vAlign w:val="center"/>
          </w:tcPr>
          <w:p w14:paraId="54607F87">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1600T</w:t>
            </w:r>
          </w:p>
        </w:tc>
        <w:tc>
          <w:tcPr>
            <w:tcW w:w="987" w:type="dxa"/>
            <w:vAlign w:val="center"/>
          </w:tcPr>
          <w:p w14:paraId="6A62C11A">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2405</w:t>
            </w:r>
          </w:p>
        </w:tc>
        <w:tc>
          <w:tcPr>
            <w:tcW w:w="987" w:type="dxa"/>
            <w:vAlign w:val="center"/>
          </w:tcPr>
          <w:p w14:paraId="5FD43BA8">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1380</w:t>
            </w:r>
          </w:p>
        </w:tc>
        <w:tc>
          <w:tcPr>
            <w:tcW w:w="987" w:type="dxa"/>
            <w:vAlign w:val="center"/>
          </w:tcPr>
          <w:p w14:paraId="057314C6">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860</w:t>
            </w:r>
          </w:p>
        </w:tc>
        <w:tc>
          <w:tcPr>
            <w:tcW w:w="1068" w:type="dxa"/>
            <w:vAlign w:val="center"/>
          </w:tcPr>
          <w:p w14:paraId="4CDA5282">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970</w:t>
            </w:r>
          </w:p>
        </w:tc>
        <w:tc>
          <w:tcPr>
            <w:tcW w:w="905" w:type="dxa"/>
            <w:vAlign w:val="center"/>
          </w:tcPr>
          <w:p w14:paraId="7AC0229F">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10.02</w:t>
            </w:r>
          </w:p>
        </w:tc>
      </w:tr>
      <w:tr w14:paraId="3320F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 w:hRule="atLeast"/>
          <w:jc w:val="center"/>
        </w:trPr>
        <w:tc>
          <w:tcPr>
            <w:tcW w:w="1149" w:type="dxa"/>
            <w:vMerge w:val="continue"/>
            <w:vAlign w:val="center"/>
          </w:tcPr>
          <w:p w14:paraId="57F84C15">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p>
        </w:tc>
        <w:tc>
          <w:tcPr>
            <w:tcW w:w="811" w:type="dxa"/>
            <w:vAlign w:val="center"/>
          </w:tcPr>
          <w:p w14:paraId="0EAD3A08">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OP20</w:t>
            </w:r>
          </w:p>
        </w:tc>
        <w:tc>
          <w:tcPr>
            <w:tcW w:w="792" w:type="dxa"/>
            <w:vAlign w:val="center"/>
          </w:tcPr>
          <w:p w14:paraId="7749FD3F">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修边切断</w:t>
            </w:r>
          </w:p>
        </w:tc>
        <w:tc>
          <w:tcPr>
            <w:tcW w:w="869" w:type="dxa"/>
            <w:vAlign w:val="center"/>
          </w:tcPr>
          <w:p w14:paraId="0B0A72CC">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1250T</w:t>
            </w:r>
          </w:p>
        </w:tc>
        <w:tc>
          <w:tcPr>
            <w:tcW w:w="987" w:type="dxa"/>
            <w:vAlign w:val="center"/>
          </w:tcPr>
          <w:p w14:paraId="202D689E">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2340</w:t>
            </w:r>
          </w:p>
        </w:tc>
        <w:tc>
          <w:tcPr>
            <w:tcW w:w="987" w:type="dxa"/>
            <w:vAlign w:val="center"/>
          </w:tcPr>
          <w:p w14:paraId="7123858E">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1360</w:t>
            </w:r>
          </w:p>
        </w:tc>
        <w:tc>
          <w:tcPr>
            <w:tcW w:w="987" w:type="dxa"/>
            <w:vAlign w:val="center"/>
          </w:tcPr>
          <w:p w14:paraId="1416A706">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800</w:t>
            </w:r>
          </w:p>
        </w:tc>
        <w:tc>
          <w:tcPr>
            <w:tcW w:w="1068" w:type="dxa"/>
            <w:vAlign w:val="center"/>
          </w:tcPr>
          <w:p w14:paraId="3D0AEFCC">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910</w:t>
            </w:r>
          </w:p>
        </w:tc>
        <w:tc>
          <w:tcPr>
            <w:tcW w:w="905" w:type="dxa"/>
            <w:vAlign w:val="center"/>
          </w:tcPr>
          <w:p w14:paraId="76AA9649">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8.94</w:t>
            </w:r>
          </w:p>
        </w:tc>
      </w:tr>
      <w:tr w14:paraId="759CE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1149" w:type="dxa"/>
            <w:vMerge w:val="continue"/>
            <w:vAlign w:val="center"/>
          </w:tcPr>
          <w:p w14:paraId="1E89C9B2">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p>
        </w:tc>
        <w:tc>
          <w:tcPr>
            <w:tcW w:w="811" w:type="dxa"/>
            <w:vAlign w:val="center"/>
          </w:tcPr>
          <w:p w14:paraId="62A763C5">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OP30</w:t>
            </w:r>
          </w:p>
        </w:tc>
        <w:tc>
          <w:tcPr>
            <w:tcW w:w="792" w:type="dxa"/>
            <w:vAlign w:val="center"/>
          </w:tcPr>
          <w:p w14:paraId="4FCBB2F0">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侧修边冲孔</w:t>
            </w:r>
          </w:p>
        </w:tc>
        <w:tc>
          <w:tcPr>
            <w:tcW w:w="869" w:type="dxa"/>
            <w:vAlign w:val="center"/>
          </w:tcPr>
          <w:p w14:paraId="2F2CCB09">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1250T</w:t>
            </w:r>
          </w:p>
        </w:tc>
        <w:tc>
          <w:tcPr>
            <w:tcW w:w="987" w:type="dxa"/>
            <w:vAlign w:val="center"/>
          </w:tcPr>
          <w:p w14:paraId="68B547F4">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2400</w:t>
            </w:r>
          </w:p>
        </w:tc>
        <w:tc>
          <w:tcPr>
            <w:tcW w:w="987" w:type="dxa"/>
            <w:vAlign w:val="center"/>
          </w:tcPr>
          <w:p w14:paraId="71087357">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1540</w:t>
            </w:r>
          </w:p>
        </w:tc>
        <w:tc>
          <w:tcPr>
            <w:tcW w:w="987" w:type="dxa"/>
            <w:vAlign w:val="center"/>
          </w:tcPr>
          <w:p w14:paraId="5E7CA449">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860</w:t>
            </w:r>
          </w:p>
        </w:tc>
        <w:tc>
          <w:tcPr>
            <w:tcW w:w="1068" w:type="dxa"/>
            <w:vAlign w:val="center"/>
          </w:tcPr>
          <w:p w14:paraId="0705B40A">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970</w:t>
            </w:r>
          </w:p>
        </w:tc>
        <w:tc>
          <w:tcPr>
            <w:tcW w:w="905" w:type="dxa"/>
            <w:vAlign w:val="center"/>
          </w:tcPr>
          <w:p w14:paraId="44864649">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11.16</w:t>
            </w:r>
          </w:p>
        </w:tc>
      </w:tr>
      <w:tr w14:paraId="1FE37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6" w:hRule="atLeast"/>
          <w:jc w:val="center"/>
        </w:trPr>
        <w:tc>
          <w:tcPr>
            <w:tcW w:w="1149" w:type="dxa"/>
            <w:vMerge w:val="continue"/>
            <w:vAlign w:val="center"/>
          </w:tcPr>
          <w:p w14:paraId="6AFA64A7">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p>
        </w:tc>
        <w:tc>
          <w:tcPr>
            <w:tcW w:w="811" w:type="dxa"/>
            <w:vAlign w:val="center"/>
          </w:tcPr>
          <w:p w14:paraId="00E67F6D">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OP40</w:t>
            </w:r>
          </w:p>
        </w:tc>
        <w:tc>
          <w:tcPr>
            <w:tcW w:w="792" w:type="dxa"/>
            <w:vAlign w:val="center"/>
          </w:tcPr>
          <w:p w14:paraId="0F190FD2">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侧翻边侧冲孔</w:t>
            </w:r>
          </w:p>
        </w:tc>
        <w:tc>
          <w:tcPr>
            <w:tcW w:w="869" w:type="dxa"/>
            <w:vAlign w:val="center"/>
          </w:tcPr>
          <w:p w14:paraId="310B70FC">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1250T</w:t>
            </w:r>
          </w:p>
        </w:tc>
        <w:tc>
          <w:tcPr>
            <w:tcW w:w="987" w:type="dxa"/>
            <w:vAlign w:val="center"/>
          </w:tcPr>
          <w:p w14:paraId="304F976A">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1900</w:t>
            </w:r>
          </w:p>
        </w:tc>
        <w:tc>
          <w:tcPr>
            <w:tcW w:w="987" w:type="dxa"/>
            <w:vAlign w:val="center"/>
          </w:tcPr>
          <w:p w14:paraId="643182A5">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1590</w:t>
            </w:r>
          </w:p>
        </w:tc>
        <w:tc>
          <w:tcPr>
            <w:tcW w:w="987" w:type="dxa"/>
            <w:vAlign w:val="center"/>
          </w:tcPr>
          <w:p w14:paraId="0D21016D">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740</w:t>
            </w:r>
          </w:p>
        </w:tc>
        <w:tc>
          <w:tcPr>
            <w:tcW w:w="1068" w:type="dxa"/>
            <w:vAlign w:val="center"/>
          </w:tcPr>
          <w:p w14:paraId="23DF7BA9">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750</w:t>
            </w:r>
          </w:p>
        </w:tc>
        <w:tc>
          <w:tcPr>
            <w:tcW w:w="905" w:type="dxa"/>
            <w:vAlign w:val="center"/>
          </w:tcPr>
          <w:p w14:paraId="0E755462">
            <w:pPr>
              <w:keepNext w:val="0"/>
              <w:keepLines w:val="0"/>
              <w:widowControl/>
              <w:suppressLineNumbers w:val="0"/>
              <w:jc w:val="center"/>
              <w:textAlignment w:val="center"/>
              <w:rPr>
                <w:rFonts w:hint="eastAsia" w:ascii="宋体" w:hAnsi="宋体" w:eastAsia="宋体" w:cs="宋体"/>
                <w:i w:val="0"/>
                <w:iCs w:val="0"/>
                <w:caps w:val="0"/>
                <w:color w:val="0F1115"/>
                <w:spacing w:val="0"/>
                <w:sz w:val="22"/>
                <w:szCs w:val="22"/>
                <w:shd w:val="clear" w:fill="FFFFFF"/>
                <w:vertAlign w:val="baseline"/>
                <w:lang w:val="en-US" w:eastAsia="zh-CN"/>
              </w:rPr>
            </w:pPr>
            <w:r>
              <w:rPr>
                <w:rFonts w:hint="eastAsia" w:ascii="宋体" w:hAnsi="宋体" w:eastAsia="宋体" w:cs="宋体"/>
                <w:i w:val="0"/>
                <w:iCs w:val="0"/>
                <w:color w:val="000000"/>
                <w:kern w:val="0"/>
                <w:sz w:val="22"/>
                <w:szCs w:val="22"/>
                <w:u w:val="none"/>
                <w:lang w:val="en-US" w:eastAsia="zh-CN" w:bidi="ar"/>
              </w:rPr>
              <w:t>7.85</w:t>
            </w:r>
          </w:p>
        </w:tc>
      </w:tr>
    </w:tbl>
    <w:p w14:paraId="17376436">
      <w:pPr>
        <w:pStyle w:val="6"/>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val="0"/>
          <w:i w:val="0"/>
          <w:iCs w:val="0"/>
          <w:caps w:val="0"/>
          <w:color w:val="0F1115"/>
          <w:spacing w:val="0"/>
          <w:sz w:val="24"/>
          <w:szCs w:val="24"/>
        </w:rPr>
      </w:pPr>
      <w:r>
        <w:rPr>
          <w:rFonts w:hint="eastAsia" w:ascii="宋体" w:hAnsi="宋体" w:eastAsia="宋体" w:cs="宋体"/>
          <w:b w:val="0"/>
          <w:bCs w:val="0"/>
          <w:i w:val="0"/>
          <w:iCs w:val="0"/>
          <w:caps w:val="0"/>
          <w:color w:val="0F1115"/>
          <w:spacing w:val="0"/>
          <w:sz w:val="24"/>
          <w:szCs w:val="24"/>
          <w:shd w:val="clear" w:fill="FFFFFF"/>
          <w:lang w:val="en-US" w:eastAsia="zh-CN"/>
        </w:rPr>
        <w:t>6.</w:t>
      </w:r>
      <w:r>
        <w:rPr>
          <w:rFonts w:hint="eastAsia" w:ascii="宋体" w:hAnsi="宋体" w:eastAsia="宋体" w:cs="宋体"/>
          <w:b w:val="0"/>
          <w:bCs w:val="0"/>
          <w:i w:val="0"/>
          <w:iCs w:val="0"/>
          <w:caps w:val="0"/>
          <w:color w:val="0F1115"/>
          <w:spacing w:val="0"/>
          <w:sz w:val="24"/>
          <w:szCs w:val="24"/>
          <w:shd w:val="clear" w:fill="FFFFFF"/>
        </w:rPr>
        <w:t>1.2 产品数据及要求</w:t>
      </w:r>
    </w:p>
    <w:p w14:paraId="5213E4C1">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479" w:leftChars="228" w:right="0" w:firstLine="0" w:firstLineChars="0"/>
        <w:textAlignment w:val="auto"/>
        <w:rPr>
          <w:rFonts w:hint="eastAsia" w:ascii="宋体" w:hAnsi="宋体" w:eastAsia="宋体" w:cs="宋体"/>
          <w:i w:val="0"/>
          <w:iCs w:val="0"/>
          <w:caps w:val="0"/>
          <w:color w:val="0F1115"/>
          <w:spacing w:val="0"/>
          <w:sz w:val="24"/>
          <w:szCs w:val="24"/>
        </w:rPr>
      </w:pPr>
      <w:r>
        <w:rPr>
          <w:rFonts w:hint="eastAsia" w:ascii="宋体" w:hAnsi="宋体" w:eastAsia="宋体" w:cs="宋体"/>
          <w:i w:val="0"/>
          <w:iCs w:val="0"/>
          <w:caps w:val="0"/>
          <w:color w:val="0F1115"/>
          <w:spacing w:val="0"/>
          <w:sz w:val="24"/>
          <w:szCs w:val="24"/>
          <w:shd w:val="clear" w:fill="FFFFFF"/>
        </w:rPr>
        <w:t>产品数模；</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rPr>
        <w:t>冲压件零件质量判定标准(见附件)。</w:t>
      </w:r>
    </w:p>
    <w:p w14:paraId="76390ECB">
      <w:pPr>
        <w:pStyle w:val="5"/>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0"/>
        <w:textAlignment w:val="auto"/>
        <w:rPr>
          <w:rFonts w:hint="eastAsia" w:ascii="宋体" w:hAnsi="宋体" w:eastAsia="宋体" w:cs="宋体"/>
          <w:i w:val="0"/>
          <w:iCs w:val="0"/>
          <w:caps w:val="0"/>
          <w:color w:val="0F1115"/>
          <w:spacing w:val="0"/>
          <w:sz w:val="24"/>
          <w:szCs w:val="24"/>
        </w:rPr>
      </w:pPr>
      <w:r>
        <w:rPr>
          <w:rFonts w:hint="eastAsia" w:ascii="宋体"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2模具设计、制造的技术要求</w:t>
      </w:r>
    </w:p>
    <w:p w14:paraId="79560B74">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 冲压工艺和模具应能冲制出与产品技术文件一致的冲压件。</w:t>
      </w:r>
    </w:p>
    <w:p w14:paraId="28F33850">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kern w:val="2"/>
          <w:sz w:val="24"/>
          <w:szCs w:val="24"/>
          <w:lang w:val="en-US" w:eastAsia="zh-CN" w:bidi="ar-SA"/>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 xml:space="preserve">2.2 </w:t>
      </w:r>
      <w:r>
        <w:rPr>
          <w:rFonts w:hint="eastAsia" w:ascii="宋体" w:hAnsi="宋体" w:eastAsia="宋体" w:cs="宋体"/>
          <w:kern w:val="2"/>
          <w:sz w:val="24"/>
          <w:szCs w:val="24"/>
          <w:lang w:val="en-US" w:eastAsia="zh-CN" w:bidi="ar-SA"/>
        </w:rPr>
        <w:t>应保证模具使用的便利和安全，并便于维修、搬运、存放。模具闭合高度按招标方设备参数进行合理设计，以方便安装、拆卸为前提；结构以保证安全并具有足够的强度、刚性为原则。起吊及用于翻转的结构采用招标方认可的标准，设计时考虑模具吊装的平衡。凡模具零件超过15KG或取放不方便的模具零件，均设置起重螺孔或起重孔，起重螺孔原则上用： M16、M20、M24公制螺纹，起重孔采用：Φ16、Φ21、Φ26、Φ34，较大件要求四点起重。模具镶块起吊孔至少采用M16以上，压料器起吊孔至少采用M20以上。</w:t>
      </w:r>
    </w:p>
    <w:p w14:paraId="075CDAAA">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2.3 为便于上、下模合模时的安全性，应设计防反装置。上模的活动部件均应有安全措施。</w:t>
      </w:r>
    </w:p>
    <w:p w14:paraId="20ACB779">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2.4 模具上无功能要求的棱角全部倒钝。</w:t>
      </w:r>
    </w:p>
    <w:p w14:paraId="758B05A8">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2.5 一般拉延模：凹模、凸模及压边圈采用QT600-3A或HT300铸铁，均匀淬火硬度HRC53±2°。工作部位表面粗糙度要求Ra0.8。硬度测试为每100mm随机取点，硬度平均值达到要求，且最小值≥50。制件料厚大于等于1.5MM或材质为高强钢或成形复杂的模具压边圈和凹模采用Cr12MoV镶钢块（Cr12MoV）型面，硬度HRC58～62。</w:t>
      </w:r>
    </w:p>
    <w:p w14:paraId="5684A0FB">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2.6 修边冲孔模：模座采用HT300，料厚&lt;1.2mm时，修边镶块采用7CrSiMnMoV，硬度HRC55～58。料厚≥1.2mm时，修边镶块采用Cr12MoV，硬度HRC58～62。压料芯等其他部件，采用HT300。工作部位表面及刃口表面粗糙度要求Ra0.8。</w:t>
      </w:r>
    </w:p>
    <w:p w14:paraId="6B19F9E8">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2.7 翻边整形模：模座采用HT300，料厚＜1.2mm时，镶块采用7CrSiMnMoV，硬度HRC55～58。料厚≥1.2mm时，镶块采用Cr12MoV，硬度HRC58～62。需进行整形过程的压料芯等其他部件，采用Mocr，硬度要求达到HRC50以上，其他采用HT300。工作部位表面粗糙度要求Ra0.8。</w:t>
      </w:r>
    </w:p>
    <w:p w14:paraId="5356B5CB">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2.8 铸件及钢镶块可拆卸件应进行打号标记，打号位置为可拆卸件及对应的模座（阿拉伯数字）。</w:t>
      </w:r>
    </w:p>
    <w:p w14:paraId="3FD63CF7">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2.9 拉延、成形类模具，要求有合模到底标记，模具布置2个到底标记，且不可集中于模具一侧，标记深度为0.3mm以内，且深度均匀。内板件需左右区分时，标识为R、L，取代到底标记。最终制件上不能有任何影响外观质量的标记存在。</w:t>
      </w:r>
    </w:p>
    <w:p w14:paraId="2C990718">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2.10 压边圈压料面设置平衡块，两相邻垫块间距小于500mm，保证到底时同时接触。</w:t>
      </w:r>
    </w:p>
    <w:p w14:paraId="3762C1C9">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2.11 压边圈与凸模的内导板不得少于8个，因模具尺寸等问题不能布置的，需得到招标方认可。导向间隙0.1～0.12mm，80%以上均匀接触视为合格。</w:t>
      </w:r>
    </w:p>
    <w:p w14:paraId="27D9982B">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2.12 拉延模二级托杆与顶杆均要加装标准垫块，垫块厚20mm，HRC40-45。</w:t>
      </w:r>
    </w:p>
    <w:p w14:paraId="5D461284">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2.13 模具图纸上要附有顶杆布置图。为使顶杆长度规格统一，减少顶杆种类，采用二级顶杆方式。</w:t>
      </w:r>
    </w:p>
    <w:p w14:paraId="69AC9B1A">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2.14 应保证对所采用的铸件进行消除应力处理，并提供试棒及其它有关材料的资料。铸造时必须同时带出标准材质检验棒（不少于3个），并要求铸造厂家提供材质单及铸件检验报告。主要模具铸件须经理化性能试验（理化性能试验包括：抗拉强度、硬度、化学成份、金相组织四个项目）合格后，方可开始加工重要模具铸件（如：凸模、凹模等），还须在铸件上预留用于理化性能复查的连体试棒。</w:t>
      </w:r>
    </w:p>
    <w:p w14:paraId="2C5B07E2">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2.15 模具标准件采用全球知名品牌，采用三柱、三协、盘起等。</w:t>
      </w:r>
    </w:p>
    <w:p w14:paraId="775DC71F">
      <w:pPr>
        <w:pStyle w:val="5"/>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0"/>
        <w:textAlignment w:val="auto"/>
        <w:rPr>
          <w:rFonts w:hint="eastAsia" w:ascii="宋体" w:hAnsi="宋体" w:eastAsia="宋体" w:cs="宋体"/>
          <w:i w:val="0"/>
          <w:iCs w:val="0"/>
          <w:caps w:val="0"/>
          <w:color w:val="0F1115"/>
          <w:spacing w:val="0"/>
          <w:sz w:val="24"/>
          <w:szCs w:val="24"/>
        </w:rPr>
      </w:pPr>
      <w:r>
        <w:rPr>
          <w:rFonts w:hint="eastAsia" w:ascii="宋体"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3模具图纸会签、模具的验收</w:t>
      </w:r>
    </w:p>
    <w:p w14:paraId="1808892C">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3.1 模具方案及模具图纸会签：中标方依照定标的模具设计方案进行设计，若需调整，需经招标方认可。模具设计图纸在中标方进行会签后方可投入后续工作。</w:t>
      </w:r>
    </w:p>
    <w:p w14:paraId="2531ADF5">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right="0" w:firstLine="480" w:firstLineChars="200"/>
        <w:jc w:val="both"/>
        <w:textAlignment w:val="auto"/>
        <w:rPr>
          <w:rFonts w:hint="eastAsia"/>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3.2 预验收</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Times New Roman" w:eastAsia="宋体" w:cs="Times New Roman"/>
          <w:lang w:val="en-US" w:eastAsia="zh-CN"/>
        </w:rPr>
        <w:t xml:space="preserve">    </w:t>
      </w:r>
      <w:r>
        <w:rPr>
          <w:rFonts w:hint="eastAsia" w:cs="Times New Roman"/>
          <w:lang w:val="en-US" w:eastAsia="zh-CN"/>
        </w:rPr>
        <w:t>（1）</w:t>
      </w:r>
      <w:r>
        <w:rPr>
          <w:rFonts w:hint="eastAsia" w:ascii="宋体" w:hAnsi="Times New Roman" w:eastAsia="宋体" w:cs="Times New Roman"/>
          <w:lang w:val="en-US" w:eastAsia="zh-CN"/>
        </w:rPr>
        <w:t>预验收依据：中标方提供并经招标方认可的模具设计制造标准、合同，工艺及模具图纸会签纪要，冲压件零件质量判定标准。</w:t>
      </w:r>
      <w:r>
        <w:rPr>
          <w:rFonts w:hint="eastAsia" w:ascii="宋体" w:hAnsi="Times New Roman" w:eastAsia="宋体" w:cs="Times New Roman"/>
          <w:lang w:val="en-US" w:eastAsia="zh-CN"/>
        </w:rPr>
        <w:br w:type="textWrapping"/>
      </w:r>
      <w:r>
        <w:rPr>
          <w:rFonts w:hint="eastAsia" w:ascii="宋体" w:hAnsi="Times New Roman" w:eastAsia="宋体" w:cs="Times New Roman"/>
          <w:lang w:val="en-US" w:eastAsia="zh-CN"/>
        </w:rPr>
        <w:t xml:space="preserve">    </w:t>
      </w:r>
      <w:r>
        <w:rPr>
          <w:rFonts w:hint="eastAsia" w:cs="Times New Roman"/>
          <w:lang w:val="en-US" w:eastAsia="zh-CN"/>
        </w:rPr>
        <w:t>（2）</w:t>
      </w:r>
      <w:r>
        <w:rPr>
          <w:rFonts w:hint="eastAsia" w:ascii="宋体" w:hAnsi="Times New Roman" w:eastAsia="宋体" w:cs="Times New Roman"/>
          <w:lang w:val="en-US" w:eastAsia="zh-CN"/>
        </w:rPr>
        <w:t>预验收启动条件：中标方完成模具制造，通过动、静态、硬度自检符合要求，冲压件自检质量达到冲压件零件质量判定标准(见附件1)要求，并按要求完成款所示的内容后，中标方向招标方提出预验收申请。</w:t>
      </w:r>
      <w:r>
        <w:rPr>
          <w:rFonts w:hint="eastAsia" w:ascii="宋体" w:hAnsi="Times New Roman" w:eastAsia="宋体" w:cs="Times New Roman"/>
          <w:lang w:val="en-US" w:eastAsia="zh-CN"/>
        </w:rPr>
        <w:br w:type="textWrapping"/>
      </w:r>
      <w:r>
        <w:rPr>
          <w:rFonts w:hint="eastAsia" w:ascii="宋体" w:hAnsi="Times New Roman" w:eastAsia="宋体" w:cs="Times New Roman"/>
          <w:lang w:val="en-US" w:eastAsia="zh-CN"/>
        </w:rPr>
        <w:t xml:space="preserve">   </w:t>
      </w:r>
      <w:r>
        <w:rPr>
          <w:rFonts w:hint="eastAsia" w:cs="Times New Roman"/>
          <w:lang w:val="en-US" w:eastAsia="zh-CN"/>
        </w:rPr>
        <w:t>（3）</w:t>
      </w:r>
      <w:r>
        <w:rPr>
          <w:rFonts w:hint="eastAsia" w:ascii="宋体" w:hAnsi="Times New Roman" w:eastAsia="宋体" w:cs="Times New Roman"/>
          <w:lang w:val="en-US" w:eastAsia="zh-CN"/>
        </w:rPr>
        <w:t>投标方负责向招标方提供冲压件及《冲压制件检查基准书》，并派技术人员参加零件匹配性验证。招标方按产品图纸及技术要求对制件的形状及尺寸进行必要的检测，并负责协调组织零件匹配性验证工作，验证完成后双方签署《验收纪要》。零件匹配性验证在招标方现场组织实施。</w:t>
      </w:r>
      <w:r>
        <w:rPr>
          <w:rFonts w:hint="eastAsia" w:ascii="宋体" w:hAnsi="Times New Roman" w:eastAsia="宋体" w:cs="Times New Roman"/>
          <w:lang w:val="en-US" w:eastAsia="zh-CN"/>
        </w:rPr>
        <w:br w:type="textWrapping"/>
      </w:r>
      <w:r>
        <w:rPr>
          <w:rFonts w:hint="eastAsia" w:ascii="宋体" w:hAnsi="Times New Roman" w:eastAsia="宋体" w:cs="Times New Roman"/>
          <w:lang w:val="en-US" w:eastAsia="zh-CN"/>
        </w:rPr>
        <w:t xml:space="preserve">   </w:t>
      </w:r>
      <w:r>
        <w:rPr>
          <w:rFonts w:hint="eastAsia" w:cs="Times New Roman"/>
          <w:lang w:val="en-US" w:eastAsia="zh-CN"/>
        </w:rPr>
        <w:t>（4）</w:t>
      </w:r>
      <w:r>
        <w:rPr>
          <w:rFonts w:hint="eastAsia" w:ascii="宋体" w:hAnsi="Times New Roman" w:eastAsia="宋体" w:cs="Times New Roman"/>
          <w:lang w:val="en-US" w:eastAsia="zh-CN"/>
        </w:rPr>
        <w:t>在完成零件匹配性验证后，开展模具预验收工作，预验收场地在投标方处进行，并由投标方提供必要的设备、仪器、场地等预验收工作必须的条件。</w:t>
      </w:r>
      <w:r>
        <w:rPr>
          <w:rFonts w:hint="eastAsia"/>
        </w:rPr>
        <w:br w:type="textWrapping"/>
      </w:r>
      <w:r>
        <w:rPr>
          <w:rFonts w:hint="eastAsia"/>
          <w:lang w:val="en-US" w:eastAsia="zh-CN"/>
        </w:rPr>
        <w:t xml:space="preserve">  </w:t>
      </w:r>
      <w:r>
        <w:rPr>
          <w:rFonts w:hint="eastAsia" w:ascii="宋体" w:hAnsi="Times New Roman" w:eastAsia="宋体" w:cs="Times New Roman"/>
          <w:lang w:val="en-US" w:eastAsia="zh-CN"/>
        </w:rPr>
        <w:t xml:space="preserve"> </w:t>
      </w:r>
      <w:r>
        <w:rPr>
          <w:rFonts w:hint="eastAsia" w:cs="Times New Roman"/>
          <w:lang w:val="en-US" w:eastAsia="zh-CN"/>
        </w:rPr>
        <w:t>（5）</w:t>
      </w:r>
      <w:r>
        <w:rPr>
          <w:rFonts w:hint="eastAsia" w:ascii="宋体" w:hAnsi="宋体" w:eastAsia="宋体" w:cs="宋体"/>
          <w:i w:val="0"/>
          <w:iCs w:val="0"/>
          <w:caps w:val="0"/>
          <w:color w:val="0F1115"/>
          <w:spacing w:val="0"/>
          <w:sz w:val="24"/>
          <w:szCs w:val="24"/>
          <w:shd w:val="clear" w:fill="FFFFFF"/>
        </w:rPr>
        <w:t>预验收工作由双方配合完成。除完成动静态检测、硬度检测等基础检查项目外，连续试冲不少于30个合格冲压制件(以冲压件零件质量判定标准判定是否合格)，侧围外板、车门外板拉延模具凸模、凹模、压边圈及所有模具导向面着色率≥95%，其余拉延模着色率≥92%，视为预验收合格。预验收合格后，双方签署《预验收纪要》。</w:t>
      </w:r>
    </w:p>
    <w:p w14:paraId="17EADEAA">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i w:val="0"/>
          <w:iCs w:val="0"/>
          <w:caps w:val="0"/>
          <w:color w:val="0F1115"/>
          <w:spacing w:val="0"/>
          <w:sz w:val="24"/>
          <w:szCs w:val="24"/>
          <w:shd w:val="clear" w:fill="FFFFFF"/>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3.3 终验收</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cs="Times New Roman"/>
          <w:lang w:val="en-US" w:eastAsia="zh-CN"/>
        </w:rPr>
        <w:t>（1）</w:t>
      </w:r>
      <w:r>
        <w:rPr>
          <w:rFonts w:hint="eastAsia" w:ascii="宋体" w:hAnsi="宋体" w:eastAsia="宋体" w:cs="宋体"/>
          <w:i w:val="0"/>
          <w:iCs w:val="0"/>
          <w:caps w:val="0"/>
          <w:color w:val="0F1115"/>
          <w:spacing w:val="0"/>
          <w:sz w:val="24"/>
          <w:szCs w:val="24"/>
          <w:shd w:val="clear" w:fill="FFFFFF"/>
        </w:rPr>
        <w:t>在模具所有者现场，用工艺规定的材料、设备压出合格的制件（符合合同及技术协议中相关条款），并能够装出合格汽车车身为准。</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cs="Times New Roman"/>
          <w:lang w:val="en-US" w:eastAsia="zh-CN"/>
        </w:rPr>
        <w:t>（2）</w:t>
      </w:r>
      <w:r>
        <w:rPr>
          <w:rFonts w:hint="eastAsia" w:ascii="宋体" w:hAnsi="宋体" w:eastAsia="宋体" w:cs="宋体"/>
          <w:i w:val="0"/>
          <w:iCs w:val="0"/>
          <w:caps w:val="0"/>
          <w:color w:val="0F1115"/>
          <w:spacing w:val="0"/>
          <w:sz w:val="24"/>
          <w:szCs w:val="24"/>
          <w:shd w:val="clear" w:fill="FFFFFF"/>
        </w:rPr>
        <w:t>终验收前，</w:t>
      </w:r>
      <w:r>
        <w:rPr>
          <w:rFonts w:hint="eastAsia" w:ascii="宋体" w:hAnsi="宋体" w:eastAsia="宋体" w:cs="宋体"/>
          <w:b/>
          <w:bCs/>
          <w:i w:val="0"/>
          <w:iCs w:val="0"/>
          <w:caps w:val="0"/>
          <w:color w:val="0F1115"/>
          <w:spacing w:val="0"/>
          <w:sz w:val="24"/>
          <w:szCs w:val="24"/>
          <w:shd w:val="clear" w:fill="FFFFFF"/>
        </w:rPr>
        <w:t>模具应在招标方生产加工3000件</w:t>
      </w:r>
      <w:r>
        <w:rPr>
          <w:rFonts w:hint="eastAsia" w:ascii="宋体" w:hAnsi="宋体" w:eastAsia="宋体" w:cs="宋体"/>
          <w:i w:val="0"/>
          <w:iCs w:val="0"/>
          <w:caps w:val="0"/>
          <w:color w:val="0F1115"/>
          <w:spacing w:val="0"/>
          <w:sz w:val="24"/>
          <w:szCs w:val="24"/>
          <w:shd w:val="clear" w:fill="FFFFFF"/>
        </w:rPr>
        <w:t>，若因招标方原因，在模具招标方1年内，仍未生产加工3000件的，则满足模具在到达招标方一年后，由投标方提出书面申请，进行模具终验收工作。</w:t>
      </w:r>
    </w:p>
    <w:p w14:paraId="6FA9E6A8">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right="0" w:firstLine="240" w:firstLineChars="100"/>
        <w:textAlignment w:val="auto"/>
        <w:rPr>
          <w:rFonts w:hint="eastAsia" w:ascii="宋体" w:hAnsi="宋体" w:eastAsia="宋体" w:cs="宋体"/>
          <w:i w:val="0"/>
          <w:iCs w:val="0"/>
          <w:caps w:val="0"/>
          <w:color w:val="0F1115"/>
          <w:spacing w:val="0"/>
          <w:sz w:val="24"/>
          <w:szCs w:val="24"/>
        </w:rPr>
      </w:pPr>
      <w:r>
        <w:rPr>
          <w:rFonts w:hint="eastAsia" w:cs="Times New Roman"/>
          <w:lang w:val="en-US" w:eastAsia="zh-CN"/>
        </w:rPr>
        <w:t>（3）</w:t>
      </w:r>
      <w:r>
        <w:rPr>
          <w:rFonts w:hint="eastAsia" w:ascii="宋体" w:hAnsi="宋体" w:eastAsia="宋体" w:cs="宋体"/>
          <w:i w:val="0"/>
          <w:iCs w:val="0"/>
          <w:caps w:val="0"/>
          <w:color w:val="0F1115"/>
          <w:spacing w:val="0"/>
          <w:sz w:val="24"/>
          <w:szCs w:val="24"/>
          <w:shd w:val="clear" w:fill="FFFFFF"/>
        </w:rPr>
        <w:t>招标方收到投标方终验收申请后，根据生产情况，安排模具终验收工作。</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hAnsi="宋体" w:cs="宋体"/>
          <w:i w:val="0"/>
          <w:iCs w:val="0"/>
          <w:caps w:val="0"/>
          <w:color w:val="0F1115"/>
          <w:spacing w:val="0"/>
          <w:sz w:val="24"/>
          <w:szCs w:val="24"/>
          <w:shd w:val="clear" w:fill="FFFFFF"/>
          <w:lang w:val="en-US" w:eastAsia="zh-CN"/>
        </w:rPr>
        <w:t xml:space="preserve"> </w:t>
      </w:r>
      <w:r>
        <w:rPr>
          <w:rFonts w:hint="eastAsia" w:cs="Times New Roman"/>
          <w:lang w:val="en-US" w:eastAsia="zh-CN"/>
        </w:rPr>
        <w:t>（4）</w:t>
      </w:r>
      <w:r>
        <w:rPr>
          <w:rFonts w:hint="eastAsia" w:ascii="宋体" w:hAnsi="宋体" w:eastAsia="宋体" w:cs="宋体"/>
          <w:i w:val="0"/>
          <w:iCs w:val="0"/>
          <w:caps w:val="0"/>
          <w:color w:val="0F1115"/>
          <w:spacing w:val="0"/>
          <w:sz w:val="24"/>
          <w:szCs w:val="24"/>
          <w:shd w:val="clear" w:fill="FFFFFF"/>
        </w:rPr>
        <w:t>模具的最终验收在招标方生产现场实施。投标方对全部模具在招标方的安装调整负全责。模具最终验收前，为便于事前安排调整，投标方须提出压力机使用计划，以便尽快完成模具终验收。另外，由于投标方责任导致机械故障，须赔偿。模具在压力机上调试时，全工序必须要完全和生产状态同一条件下进行，不可添加生产状态以外的条件（涂油、贴薄膜等）。</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cs="Times New Roman"/>
          <w:lang w:val="en-US" w:eastAsia="zh-CN"/>
        </w:rPr>
        <w:t>（5）</w:t>
      </w:r>
      <w:r>
        <w:rPr>
          <w:rFonts w:hint="eastAsia" w:ascii="宋体" w:hAnsi="宋体" w:eastAsia="宋体" w:cs="宋体"/>
          <w:i w:val="0"/>
          <w:iCs w:val="0"/>
          <w:caps w:val="0"/>
          <w:color w:val="0F1115"/>
          <w:spacing w:val="0"/>
          <w:sz w:val="24"/>
          <w:szCs w:val="24"/>
          <w:shd w:val="clear" w:fill="FFFFFF"/>
        </w:rPr>
        <w:t>模具终验时，投标方派遣模具技术人员在招标方工厂对接。模具调试用的工具、焊接棒、其它易耗品、技术人员所需的工作服、安全保护用品等均由投标方准备。投标方派遣的模具技术人员（模具交付人员）必须取得国家相关部门承认的证书（如天车操作证、焊机操作证等），并且遵守招标方的各项规定，若有违法或违反招标方公司制度，招标方有权对其进行相应的处罚并要求更换交模人员。</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ascii="宋体" w:hAnsi="Times New Roman" w:eastAsia="宋体" w:cs="Times New Roman"/>
          <w:lang w:val="en-US" w:eastAsia="zh-CN"/>
        </w:rPr>
        <w:t xml:space="preserve"> </w:t>
      </w:r>
      <w:r>
        <w:rPr>
          <w:rFonts w:hint="eastAsia" w:cs="Times New Roman"/>
          <w:lang w:val="en-US" w:eastAsia="zh-CN"/>
        </w:rPr>
        <w:t>（6）</w:t>
      </w:r>
      <w:r>
        <w:rPr>
          <w:rFonts w:hint="eastAsia" w:ascii="宋体" w:hAnsi="宋体" w:eastAsia="宋体" w:cs="宋体"/>
          <w:i w:val="0"/>
          <w:iCs w:val="0"/>
          <w:caps w:val="0"/>
          <w:color w:val="0F1115"/>
          <w:spacing w:val="0"/>
          <w:sz w:val="24"/>
          <w:szCs w:val="24"/>
          <w:shd w:val="clear" w:fill="FFFFFF"/>
        </w:rPr>
        <w:t>除进行必要的模具动态检测外，招标方有权重新安排不少于20%的模具重新进行全面的静态及硬度检测，投标方应予以配合。</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cs="Times New Roman"/>
          <w:lang w:val="en-US" w:eastAsia="zh-CN"/>
        </w:rPr>
        <w:t>（7）</w:t>
      </w:r>
      <w:r>
        <w:rPr>
          <w:rFonts w:hint="eastAsia" w:ascii="宋体" w:hAnsi="宋体" w:eastAsia="宋体" w:cs="宋体"/>
          <w:i w:val="0"/>
          <w:iCs w:val="0"/>
          <w:caps w:val="0"/>
          <w:color w:val="0F1115"/>
          <w:spacing w:val="0"/>
          <w:sz w:val="24"/>
          <w:szCs w:val="24"/>
          <w:shd w:val="clear" w:fill="FFFFFF"/>
        </w:rPr>
        <w:t>拉延模具硬度，除满足硬度要求外，还应保证招标方能完成连续500件生产（不涂油），而不产生有明显触感的拉毛情况。</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cs="Times New Roman"/>
          <w:lang w:val="en-US" w:eastAsia="zh-CN"/>
        </w:rPr>
        <w:t>（8）</w:t>
      </w:r>
      <w:r>
        <w:rPr>
          <w:rFonts w:hint="eastAsia" w:ascii="宋体" w:hAnsi="宋体" w:eastAsia="宋体" w:cs="宋体"/>
          <w:i w:val="0"/>
          <w:iCs w:val="0"/>
          <w:caps w:val="0"/>
          <w:color w:val="0F1115"/>
          <w:spacing w:val="0"/>
          <w:sz w:val="24"/>
          <w:szCs w:val="24"/>
          <w:shd w:val="clear" w:fill="FFFFFF"/>
        </w:rPr>
        <w:t>终验收时所生产零件需进行全尺寸检查及SPC检查。</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hAnsi="宋体" w:cs="宋体"/>
          <w:i w:val="0"/>
          <w:iCs w:val="0"/>
          <w:caps w:val="0"/>
          <w:color w:val="0F1115"/>
          <w:spacing w:val="0"/>
          <w:sz w:val="24"/>
          <w:szCs w:val="24"/>
          <w:shd w:val="clear" w:fill="FFFFFF"/>
          <w:lang w:val="en-US" w:eastAsia="zh-CN"/>
        </w:rPr>
        <w:t xml:space="preserve"> </w:t>
      </w:r>
      <w:r>
        <w:rPr>
          <w:rFonts w:hint="eastAsia" w:ascii="宋体" w:hAnsi="宋体" w:eastAsia="宋体" w:cs="宋体"/>
          <w:i w:val="0"/>
          <w:iCs w:val="0"/>
          <w:caps w:val="0"/>
          <w:color w:val="0F1115"/>
          <w:spacing w:val="0"/>
          <w:sz w:val="24"/>
          <w:szCs w:val="24"/>
          <w:shd w:val="clear" w:fill="FFFFFF"/>
        </w:rPr>
        <w:t>零件在自由状态下放置于检具或检测支架上（不夹紧状态），零件的反弹在2mm以下时进行全尺寸检查，否则不进行全尺寸检查。</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ascii="宋体" w:hAnsi="宋体" w:eastAsia="宋体" w:cs="宋体"/>
          <w:i w:val="0"/>
          <w:iCs w:val="0"/>
          <w:caps w:val="0"/>
          <w:color w:val="0F1115"/>
          <w:spacing w:val="0"/>
          <w:sz w:val="24"/>
          <w:szCs w:val="24"/>
          <w:shd w:val="clear" w:fill="FFFFFF"/>
        </w:rPr>
        <w:t>全尺寸检测中，所有的尺寸公差，按照招标方提供的冲压件质量判定标准进行。</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ascii="宋体" w:hAnsi="宋体" w:eastAsia="宋体" w:cs="宋体"/>
          <w:i w:val="0"/>
          <w:iCs w:val="0"/>
          <w:caps w:val="0"/>
          <w:color w:val="0F1115"/>
          <w:spacing w:val="0"/>
          <w:sz w:val="24"/>
          <w:szCs w:val="24"/>
          <w:shd w:val="clear" w:fill="FFFFFF"/>
        </w:rPr>
        <w:t xml:space="preserve"> SPC检查：关键点SPC测定，以cpk1.67以上为合格。</w:t>
      </w:r>
      <w:r>
        <w:rPr>
          <w:rFonts w:hint="eastAsia" w:ascii="宋体" w:hAnsi="宋体" w:eastAsia="宋体" w:cs="宋体"/>
          <w:i w:val="0"/>
          <w:iCs w:val="0"/>
          <w:caps w:val="0"/>
          <w:color w:val="0F1115"/>
          <w:spacing w:val="0"/>
          <w:sz w:val="24"/>
          <w:szCs w:val="24"/>
          <w:shd w:val="clear" w:fill="FFFFFF"/>
        </w:rPr>
        <w:br w:type="textWrapping"/>
      </w:r>
      <w:r>
        <w:rPr>
          <w:rFonts w:hint="eastAsia" w:ascii="宋体" w:hAnsi="宋体" w:eastAsia="宋体" w:cs="宋体"/>
          <w:i w:val="0"/>
          <w:iCs w:val="0"/>
          <w:caps w:val="0"/>
          <w:color w:val="0F1115"/>
          <w:spacing w:val="0"/>
          <w:sz w:val="24"/>
          <w:szCs w:val="24"/>
          <w:shd w:val="clear" w:fill="FFFFFF"/>
          <w:lang w:val="en-US" w:eastAsia="zh-CN"/>
        </w:rPr>
        <w:t xml:space="preserve">  </w:t>
      </w:r>
      <w:r>
        <w:rPr>
          <w:rFonts w:hint="eastAsia" w:hAnsi="宋体" w:cs="宋体"/>
          <w:i w:val="0"/>
          <w:iCs w:val="0"/>
          <w:caps w:val="0"/>
          <w:color w:val="0F1115"/>
          <w:spacing w:val="0"/>
          <w:sz w:val="24"/>
          <w:szCs w:val="24"/>
          <w:shd w:val="clear" w:fill="FFFFFF"/>
          <w:lang w:val="en-US" w:eastAsia="zh-CN"/>
        </w:rPr>
        <w:t xml:space="preserve"> </w:t>
      </w:r>
      <w:r>
        <w:rPr>
          <w:rFonts w:hint="eastAsia" w:cs="Times New Roman"/>
          <w:lang w:val="en-US" w:eastAsia="zh-CN"/>
        </w:rPr>
        <w:t>（9）</w:t>
      </w:r>
      <w:r>
        <w:rPr>
          <w:rFonts w:hint="eastAsia" w:ascii="宋体" w:hAnsi="宋体" w:eastAsia="宋体" w:cs="宋体"/>
          <w:i w:val="0"/>
          <w:iCs w:val="0"/>
          <w:caps w:val="0"/>
          <w:color w:val="0F1115"/>
          <w:spacing w:val="0"/>
          <w:sz w:val="24"/>
          <w:szCs w:val="24"/>
          <w:shd w:val="clear" w:fill="FFFFFF"/>
        </w:rPr>
        <w:t>若在合同约定的时间内，投标方无法达到招标方的终验收要求，投标方应无条件按招标方的要求的时间，将模具发运至招标方指定的地点并派出合格的调试人员去调整交模。整改发生的费用由投标方承担，并从合同中扣除。</w:t>
      </w:r>
    </w:p>
    <w:p w14:paraId="34E9D185">
      <w:pPr>
        <w:pStyle w:val="5"/>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0"/>
        <w:textAlignment w:val="auto"/>
        <w:rPr>
          <w:rFonts w:hint="eastAsia" w:ascii="宋体" w:hAnsi="宋体" w:eastAsia="宋体" w:cs="宋体"/>
          <w:i w:val="0"/>
          <w:iCs w:val="0"/>
          <w:caps w:val="0"/>
          <w:color w:val="0F1115"/>
          <w:spacing w:val="0"/>
          <w:sz w:val="24"/>
          <w:szCs w:val="24"/>
        </w:rPr>
      </w:pPr>
      <w:r>
        <w:rPr>
          <w:rFonts w:hint="eastAsia" w:ascii="宋体"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4模具发运和包装</w:t>
      </w:r>
    </w:p>
    <w:p w14:paraId="60D96B02">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4.1 模具交付前，应进行清理、涂抹防锈油、固定模具连接板。根据使用单位要求涂装防锈漆，面漆颜色由招标方提供。</w:t>
      </w:r>
    </w:p>
    <w:p w14:paraId="32E7905E">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4.2 中标方负责模具的包装，包装要适用长途运输，做到防潮、防锈、防震、防变形。</w:t>
      </w:r>
    </w:p>
    <w:p w14:paraId="1ADE4D0D">
      <w:pPr>
        <w:pStyle w:val="27"/>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0F1115"/>
          <w:spacing w:val="0"/>
          <w:sz w:val="24"/>
          <w:szCs w:val="24"/>
        </w:rPr>
      </w:pPr>
      <w:r>
        <w:rPr>
          <w:rFonts w:hint="eastAsia"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4.3 模具由中标方负责运至模具所有者生产车间。</w:t>
      </w:r>
    </w:p>
    <w:p w14:paraId="429B16BE">
      <w:pPr>
        <w:pStyle w:val="5"/>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360" w:lineRule="auto"/>
        <w:ind w:left="0" w:right="0" w:firstLine="0"/>
        <w:textAlignment w:val="auto"/>
        <w:rPr>
          <w:rFonts w:hint="eastAsia" w:ascii="宋体" w:hAnsi="宋体" w:eastAsia="宋体" w:cs="宋体"/>
          <w:sz w:val="24"/>
          <w:szCs w:val="24"/>
          <w:highlight w:val="green"/>
        </w:rPr>
      </w:pPr>
      <w:r>
        <w:rPr>
          <w:rFonts w:hint="eastAsia" w:ascii="宋体" w:hAnsi="宋体" w:cs="宋体"/>
          <w:i w:val="0"/>
          <w:iCs w:val="0"/>
          <w:caps w:val="0"/>
          <w:color w:val="0F1115"/>
          <w:spacing w:val="0"/>
          <w:sz w:val="24"/>
          <w:szCs w:val="24"/>
          <w:shd w:val="clear" w:fill="FFFFFF"/>
          <w:lang w:val="en-US" w:eastAsia="zh-CN"/>
        </w:rPr>
        <w:t>6.</w:t>
      </w:r>
      <w:r>
        <w:rPr>
          <w:rFonts w:hint="eastAsia" w:ascii="宋体" w:hAnsi="宋体" w:eastAsia="宋体" w:cs="宋体"/>
          <w:i w:val="0"/>
          <w:iCs w:val="0"/>
          <w:caps w:val="0"/>
          <w:color w:val="0F1115"/>
          <w:spacing w:val="0"/>
          <w:sz w:val="24"/>
          <w:szCs w:val="24"/>
          <w:shd w:val="clear" w:fill="FFFFFF"/>
        </w:rPr>
        <w:t>5模具发运所附带的标准件等备品数量要求</w:t>
      </w:r>
    </w:p>
    <w:tbl>
      <w:tblPr>
        <w:tblStyle w:val="31"/>
        <w:tblW w:w="915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50"/>
        <w:gridCol w:w="887"/>
        <w:gridCol w:w="863"/>
        <w:gridCol w:w="687"/>
        <w:gridCol w:w="2375"/>
        <w:gridCol w:w="2012"/>
        <w:gridCol w:w="1582"/>
      </w:tblGrid>
      <w:tr w14:paraId="08F1D9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0" w:type="dxa"/>
            <w:vAlign w:val="center"/>
          </w:tcPr>
          <w:p w14:paraId="3D342798">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序号</w:t>
            </w:r>
          </w:p>
        </w:tc>
        <w:tc>
          <w:tcPr>
            <w:tcW w:w="4812" w:type="dxa"/>
            <w:gridSpan w:val="4"/>
            <w:vAlign w:val="center"/>
          </w:tcPr>
          <w:p w14:paraId="14DFC3AB">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品种及规格</w:t>
            </w:r>
          </w:p>
        </w:tc>
        <w:tc>
          <w:tcPr>
            <w:tcW w:w="2012" w:type="dxa"/>
            <w:vAlign w:val="center"/>
          </w:tcPr>
          <w:p w14:paraId="67623B9A">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备件数量</w:t>
            </w:r>
          </w:p>
        </w:tc>
        <w:tc>
          <w:tcPr>
            <w:tcW w:w="1582" w:type="dxa"/>
          </w:tcPr>
          <w:p w14:paraId="3E9583E6">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备注</w:t>
            </w:r>
          </w:p>
        </w:tc>
      </w:tr>
      <w:tr w14:paraId="37496A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0" w:type="dxa"/>
            <w:vAlign w:val="center"/>
          </w:tcPr>
          <w:p w14:paraId="4125B69E">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1</w:t>
            </w:r>
          </w:p>
        </w:tc>
        <w:tc>
          <w:tcPr>
            <w:tcW w:w="1750" w:type="dxa"/>
            <w:gridSpan w:val="2"/>
            <w:vAlign w:val="center"/>
          </w:tcPr>
          <w:p w14:paraId="5EDB9D5E">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弹簧</w:t>
            </w:r>
          </w:p>
        </w:tc>
        <w:tc>
          <w:tcPr>
            <w:tcW w:w="3062" w:type="dxa"/>
            <w:gridSpan w:val="2"/>
            <w:vAlign w:val="center"/>
          </w:tcPr>
          <w:p w14:paraId="2A31146A">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每种规格按总数的5％提供备件</w:t>
            </w:r>
          </w:p>
        </w:tc>
        <w:tc>
          <w:tcPr>
            <w:tcW w:w="2012" w:type="dxa"/>
            <w:vAlign w:val="center"/>
          </w:tcPr>
          <w:p w14:paraId="37E8E440">
            <w:pPr>
              <w:autoSpaceDE w:val="0"/>
              <w:autoSpaceDN w:val="0"/>
              <w:adjustRightInd w:val="0"/>
              <w:spacing w:line="360" w:lineRule="auto"/>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每种规格按总数的5％提供备件</w:t>
            </w:r>
          </w:p>
        </w:tc>
        <w:tc>
          <w:tcPr>
            <w:tcW w:w="1582" w:type="dxa"/>
            <w:vAlign w:val="center"/>
          </w:tcPr>
          <w:p w14:paraId="7C89387F">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不少于5件</w:t>
            </w:r>
          </w:p>
        </w:tc>
      </w:tr>
      <w:tr w14:paraId="2B37B8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8" w:hRule="atLeast"/>
          <w:jc w:val="center"/>
        </w:trPr>
        <w:tc>
          <w:tcPr>
            <w:tcW w:w="750" w:type="dxa"/>
            <w:vMerge w:val="restart"/>
            <w:vAlign w:val="center"/>
          </w:tcPr>
          <w:p w14:paraId="16914974">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2</w:t>
            </w:r>
          </w:p>
        </w:tc>
        <w:tc>
          <w:tcPr>
            <w:tcW w:w="887" w:type="dxa"/>
            <w:vMerge w:val="restart"/>
            <w:tcBorders>
              <w:right w:val="single" w:color="auto" w:sz="4" w:space="0"/>
            </w:tcBorders>
            <w:vAlign w:val="center"/>
          </w:tcPr>
          <w:p w14:paraId="5EBBAAB9">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冲孔凸模</w:t>
            </w:r>
          </w:p>
          <w:p w14:paraId="60917543">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和凹模</w:t>
            </w:r>
          </w:p>
        </w:tc>
        <w:tc>
          <w:tcPr>
            <w:tcW w:w="863" w:type="dxa"/>
            <w:vMerge w:val="restart"/>
            <w:tcBorders>
              <w:left w:val="single" w:color="auto" w:sz="4" w:space="0"/>
            </w:tcBorders>
            <w:vAlign w:val="center"/>
          </w:tcPr>
          <w:p w14:paraId="474C876C">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圆孔</w:t>
            </w:r>
          </w:p>
        </w:tc>
        <w:tc>
          <w:tcPr>
            <w:tcW w:w="687" w:type="dxa"/>
            <w:vMerge w:val="restart"/>
            <w:tcBorders>
              <w:right w:val="single" w:color="auto" w:sz="4" w:space="0"/>
            </w:tcBorders>
            <w:vAlign w:val="center"/>
          </w:tcPr>
          <w:p w14:paraId="5DF40C48">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标准件</w:t>
            </w:r>
          </w:p>
        </w:tc>
        <w:tc>
          <w:tcPr>
            <w:tcW w:w="2375" w:type="dxa"/>
            <w:tcBorders>
              <w:left w:val="single" w:color="auto" w:sz="4" w:space="0"/>
              <w:bottom w:val="single" w:color="auto" w:sz="4" w:space="0"/>
            </w:tcBorders>
            <w:vAlign w:val="center"/>
          </w:tcPr>
          <w:p w14:paraId="7687FC05">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直径小于ф10mm</w:t>
            </w:r>
          </w:p>
        </w:tc>
        <w:tc>
          <w:tcPr>
            <w:tcW w:w="2012" w:type="dxa"/>
            <w:tcBorders>
              <w:bottom w:val="single" w:color="auto" w:sz="4" w:space="0"/>
            </w:tcBorders>
            <w:vAlign w:val="center"/>
          </w:tcPr>
          <w:p w14:paraId="59DC5229">
            <w:pPr>
              <w:autoSpaceDE w:val="0"/>
              <w:autoSpaceDN w:val="0"/>
              <w:adjustRightInd w:val="0"/>
              <w:spacing w:line="360" w:lineRule="auto"/>
              <w:jc w:val="left"/>
              <w:rPr>
                <w:rFonts w:hint="eastAsia" w:ascii="宋体" w:hAnsi="宋体" w:eastAsia="宋体" w:cs="宋体"/>
                <w:sz w:val="24"/>
                <w:szCs w:val="24"/>
                <w:highlight w:val="none"/>
              </w:rPr>
            </w:pPr>
            <w:r>
              <w:rPr>
                <w:rFonts w:hint="eastAsia" w:ascii="宋体" w:hAnsi="宋体" w:eastAsia="宋体" w:cs="宋体"/>
                <w:kern w:val="0"/>
                <w:sz w:val="24"/>
                <w:szCs w:val="24"/>
                <w:highlight w:val="none"/>
              </w:rPr>
              <w:t>每种规格按总数的3％提供备件</w:t>
            </w:r>
          </w:p>
        </w:tc>
        <w:tc>
          <w:tcPr>
            <w:tcW w:w="1582" w:type="dxa"/>
            <w:vAlign w:val="center"/>
          </w:tcPr>
          <w:p w14:paraId="7448E2F5">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不少于5件</w:t>
            </w:r>
          </w:p>
        </w:tc>
      </w:tr>
      <w:tr w14:paraId="3C6D86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1" w:hRule="atLeast"/>
          <w:jc w:val="center"/>
        </w:trPr>
        <w:tc>
          <w:tcPr>
            <w:tcW w:w="750" w:type="dxa"/>
            <w:vMerge w:val="continue"/>
            <w:vAlign w:val="center"/>
          </w:tcPr>
          <w:p w14:paraId="13B5BA38">
            <w:pPr>
              <w:spacing w:line="360" w:lineRule="auto"/>
              <w:jc w:val="center"/>
              <w:rPr>
                <w:rFonts w:hint="eastAsia" w:ascii="宋体" w:hAnsi="宋体" w:eastAsia="宋体" w:cs="宋体"/>
                <w:sz w:val="24"/>
                <w:szCs w:val="24"/>
                <w:highlight w:val="none"/>
              </w:rPr>
            </w:pPr>
          </w:p>
        </w:tc>
        <w:tc>
          <w:tcPr>
            <w:tcW w:w="887" w:type="dxa"/>
            <w:vMerge w:val="continue"/>
            <w:tcBorders>
              <w:right w:val="single" w:color="auto" w:sz="4" w:space="0"/>
            </w:tcBorders>
            <w:vAlign w:val="center"/>
          </w:tcPr>
          <w:p w14:paraId="3DB5AE3E">
            <w:pPr>
              <w:keepNext/>
              <w:numPr>
                <w:ilvl w:val="3"/>
                <w:numId w:val="13"/>
              </w:numPr>
              <w:autoSpaceDE w:val="0"/>
              <w:autoSpaceDN w:val="0"/>
              <w:adjustRightInd w:val="0"/>
              <w:spacing w:line="360" w:lineRule="auto"/>
              <w:ind w:right="206" w:rightChars="98"/>
              <w:jc w:val="center"/>
              <w:outlineLvl w:val="0"/>
              <w:rPr>
                <w:rFonts w:hint="eastAsia" w:ascii="宋体" w:hAnsi="宋体" w:eastAsia="宋体" w:cs="宋体"/>
                <w:kern w:val="0"/>
                <w:sz w:val="24"/>
                <w:szCs w:val="24"/>
                <w:highlight w:val="none"/>
              </w:rPr>
            </w:pPr>
          </w:p>
        </w:tc>
        <w:tc>
          <w:tcPr>
            <w:tcW w:w="863" w:type="dxa"/>
            <w:vMerge w:val="continue"/>
            <w:tcBorders>
              <w:left w:val="single" w:color="auto" w:sz="4" w:space="0"/>
            </w:tcBorders>
            <w:vAlign w:val="center"/>
          </w:tcPr>
          <w:p w14:paraId="7DEA4754">
            <w:pPr>
              <w:keepNext/>
              <w:numPr>
                <w:ilvl w:val="3"/>
                <w:numId w:val="13"/>
              </w:numPr>
              <w:autoSpaceDE w:val="0"/>
              <w:autoSpaceDN w:val="0"/>
              <w:adjustRightInd w:val="0"/>
              <w:spacing w:line="360" w:lineRule="auto"/>
              <w:ind w:right="206" w:rightChars="98"/>
              <w:jc w:val="center"/>
              <w:outlineLvl w:val="0"/>
              <w:rPr>
                <w:rFonts w:hint="eastAsia" w:ascii="宋体" w:hAnsi="宋体" w:eastAsia="宋体" w:cs="宋体"/>
                <w:kern w:val="0"/>
                <w:sz w:val="24"/>
                <w:szCs w:val="24"/>
                <w:highlight w:val="none"/>
              </w:rPr>
            </w:pPr>
          </w:p>
        </w:tc>
        <w:tc>
          <w:tcPr>
            <w:tcW w:w="687" w:type="dxa"/>
            <w:vMerge w:val="continue"/>
            <w:tcBorders>
              <w:right w:val="single" w:color="auto" w:sz="4" w:space="0"/>
            </w:tcBorders>
            <w:vAlign w:val="center"/>
          </w:tcPr>
          <w:p w14:paraId="1FBF544F">
            <w:pPr>
              <w:spacing w:line="360" w:lineRule="auto"/>
              <w:jc w:val="center"/>
              <w:rPr>
                <w:rFonts w:hint="eastAsia" w:ascii="宋体" w:hAnsi="宋体" w:eastAsia="宋体" w:cs="宋体"/>
                <w:sz w:val="24"/>
                <w:szCs w:val="24"/>
                <w:highlight w:val="none"/>
              </w:rPr>
            </w:pPr>
          </w:p>
        </w:tc>
        <w:tc>
          <w:tcPr>
            <w:tcW w:w="2375" w:type="dxa"/>
            <w:tcBorders>
              <w:top w:val="single" w:color="auto" w:sz="4" w:space="0"/>
              <w:left w:val="single" w:color="auto" w:sz="4" w:space="0"/>
            </w:tcBorders>
            <w:vAlign w:val="center"/>
          </w:tcPr>
          <w:p w14:paraId="0A1218AB">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直径ф10mm～ф20mm</w:t>
            </w:r>
          </w:p>
        </w:tc>
        <w:tc>
          <w:tcPr>
            <w:tcW w:w="2012" w:type="dxa"/>
            <w:tcBorders>
              <w:top w:val="single" w:color="auto" w:sz="4" w:space="0"/>
            </w:tcBorders>
            <w:vAlign w:val="center"/>
          </w:tcPr>
          <w:p w14:paraId="734913E9">
            <w:pPr>
              <w:autoSpaceDE w:val="0"/>
              <w:autoSpaceDN w:val="0"/>
              <w:adjustRightInd w:val="0"/>
              <w:spacing w:line="360" w:lineRule="auto"/>
              <w:jc w:val="left"/>
              <w:rPr>
                <w:rFonts w:hint="eastAsia" w:ascii="宋体" w:hAnsi="宋体" w:eastAsia="宋体" w:cs="宋体"/>
                <w:sz w:val="24"/>
                <w:szCs w:val="24"/>
                <w:highlight w:val="none"/>
              </w:rPr>
            </w:pPr>
            <w:r>
              <w:rPr>
                <w:rFonts w:hint="eastAsia" w:ascii="宋体" w:hAnsi="宋体" w:eastAsia="宋体" w:cs="宋体"/>
                <w:kern w:val="0"/>
                <w:sz w:val="24"/>
                <w:szCs w:val="24"/>
                <w:highlight w:val="none"/>
              </w:rPr>
              <w:t>每种规格按总数的2％提供备件</w:t>
            </w:r>
          </w:p>
        </w:tc>
        <w:tc>
          <w:tcPr>
            <w:tcW w:w="1582" w:type="dxa"/>
            <w:vAlign w:val="center"/>
          </w:tcPr>
          <w:p w14:paraId="558DCFE6">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不少于3件</w:t>
            </w:r>
          </w:p>
        </w:tc>
      </w:tr>
      <w:tr w14:paraId="725C2C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0" w:type="dxa"/>
            <w:vMerge w:val="continue"/>
            <w:vAlign w:val="center"/>
          </w:tcPr>
          <w:p w14:paraId="50DEA3F7">
            <w:pPr>
              <w:spacing w:line="360" w:lineRule="auto"/>
              <w:jc w:val="center"/>
              <w:rPr>
                <w:rFonts w:hint="eastAsia" w:ascii="宋体" w:hAnsi="宋体" w:eastAsia="宋体" w:cs="宋体"/>
                <w:sz w:val="24"/>
                <w:szCs w:val="24"/>
                <w:highlight w:val="none"/>
              </w:rPr>
            </w:pPr>
          </w:p>
        </w:tc>
        <w:tc>
          <w:tcPr>
            <w:tcW w:w="887" w:type="dxa"/>
            <w:vMerge w:val="continue"/>
            <w:tcBorders>
              <w:right w:val="single" w:color="auto" w:sz="4" w:space="0"/>
            </w:tcBorders>
            <w:vAlign w:val="center"/>
          </w:tcPr>
          <w:p w14:paraId="08452176">
            <w:pPr>
              <w:spacing w:line="360" w:lineRule="auto"/>
              <w:jc w:val="center"/>
              <w:rPr>
                <w:rFonts w:hint="eastAsia" w:ascii="宋体" w:hAnsi="宋体" w:eastAsia="宋体" w:cs="宋体"/>
                <w:sz w:val="24"/>
                <w:szCs w:val="24"/>
                <w:highlight w:val="none"/>
              </w:rPr>
            </w:pPr>
          </w:p>
        </w:tc>
        <w:tc>
          <w:tcPr>
            <w:tcW w:w="863" w:type="dxa"/>
            <w:vMerge w:val="continue"/>
            <w:tcBorders>
              <w:left w:val="single" w:color="auto" w:sz="4" w:space="0"/>
            </w:tcBorders>
            <w:vAlign w:val="center"/>
          </w:tcPr>
          <w:p w14:paraId="5F216077">
            <w:pPr>
              <w:spacing w:line="360" w:lineRule="auto"/>
              <w:jc w:val="center"/>
              <w:rPr>
                <w:rFonts w:hint="eastAsia" w:ascii="宋体" w:hAnsi="宋体" w:eastAsia="宋体" w:cs="宋体"/>
                <w:sz w:val="24"/>
                <w:szCs w:val="24"/>
                <w:highlight w:val="none"/>
              </w:rPr>
            </w:pPr>
          </w:p>
        </w:tc>
        <w:tc>
          <w:tcPr>
            <w:tcW w:w="3062" w:type="dxa"/>
            <w:gridSpan w:val="2"/>
            <w:vAlign w:val="center"/>
          </w:tcPr>
          <w:p w14:paraId="1E7EA2B4">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非标准的冲孔凹模镶块</w:t>
            </w:r>
          </w:p>
        </w:tc>
        <w:tc>
          <w:tcPr>
            <w:tcW w:w="2012" w:type="dxa"/>
            <w:vAlign w:val="center"/>
          </w:tcPr>
          <w:p w14:paraId="7B349553">
            <w:pPr>
              <w:autoSpaceDE w:val="0"/>
              <w:autoSpaceDN w:val="0"/>
              <w:adjustRightInd w:val="0"/>
              <w:spacing w:line="360" w:lineRule="auto"/>
              <w:jc w:val="left"/>
              <w:rPr>
                <w:rFonts w:hint="eastAsia" w:ascii="宋体" w:hAnsi="宋体" w:eastAsia="宋体" w:cs="宋体"/>
                <w:sz w:val="24"/>
                <w:szCs w:val="24"/>
                <w:highlight w:val="none"/>
              </w:rPr>
            </w:pPr>
            <w:r>
              <w:rPr>
                <w:rFonts w:hint="eastAsia" w:ascii="宋体" w:hAnsi="宋体" w:eastAsia="宋体" w:cs="宋体"/>
                <w:kern w:val="0"/>
                <w:sz w:val="24"/>
                <w:szCs w:val="24"/>
                <w:highlight w:val="none"/>
              </w:rPr>
              <w:t>按总数的100％提供备件</w:t>
            </w:r>
          </w:p>
        </w:tc>
        <w:tc>
          <w:tcPr>
            <w:tcW w:w="1582" w:type="dxa"/>
            <w:vAlign w:val="center"/>
          </w:tcPr>
          <w:p w14:paraId="2B518B5D">
            <w:pPr>
              <w:spacing w:line="360" w:lineRule="auto"/>
              <w:jc w:val="center"/>
              <w:rPr>
                <w:rFonts w:hint="eastAsia" w:ascii="宋体" w:hAnsi="宋体" w:eastAsia="宋体" w:cs="宋体"/>
                <w:sz w:val="24"/>
                <w:szCs w:val="24"/>
                <w:highlight w:val="none"/>
              </w:rPr>
            </w:pPr>
          </w:p>
        </w:tc>
      </w:tr>
      <w:tr w14:paraId="233FD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2" w:hRule="atLeast"/>
          <w:jc w:val="center"/>
        </w:trPr>
        <w:tc>
          <w:tcPr>
            <w:tcW w:w="750" w:type="dxa"/>
            <w:vMerge w:val="continue"/>
            <w:vAlign w:val="center"/>
          </w:tcPr>
          <w:p w14:paraId="5516A4F1">
            <w:pPr>
              <w:spacing w:line="360" w:lineRule="auto"/>
              <w:jc w:val="center"/>
              <w:rPr>
                <w:rFonts w:hint="eastAsia" w:ascii="宋体" w:hAnsi="宋体" w:eastAsia="宋体" w:cs="宋体"/>
                <w:sz w:val="24"/>
                <w:szCs w:val="24"/>
                <w:highlight w:val="none"/>
              </w:rPr>
            </w:pPr>
          </w:p>
        </w:tc>
        <w:tc>
          <w:tcPr>
            <w:tcW w:w="887" w:type="dxa"/>
            <w:vMerge w:val="continue"/>
            <w:tcBorders>
              <w:right w:val="single" w:color="auto" w:sz="4" w:space="0"/>
            </w:tcBorders>
            <w:vAlign w:val="center"/>
          </w:tcPr>
          <w:p w14:paraId="60C28432">
            <w:pPr>
              <w:spacing w:line="360" w:lineRule="auto"/>
              <w:jc w:val="center"/>
              <w:rPr>
                <w:rFonts w:hint="eastAsia" w:ascii="宋体" w:hAnsi="宋体" w:eastAsia="宋体" w:cs="宋体"/>
                <w:sz w:val="24"/>
                <w:szCs w:val="24"/>
                <w:highlight w:val="none"/>
              </w:rPr>
            </w:pPr>
          </w:p>
        </w:tc>
        <w:tc>
          <w:tcPr>
            <w:tcW w:w="863" w:type="dxa"/>
            <w:vMerge w:val="restart"/>
            <w:tcBorders>
              <w:left w:val="single" w:color="auto" w:sz="4" w:space="0"/>
            </w:tcBorders>
            <w:vAlign w:val="center"/>
          </w:tcPr>
          <w:p w14:paraId="2156596B">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异形孔</w:t>
            </w:r>
          </w:p>
        </w:tc>
        <w:tc>
          <w:tcPr>
            <w:tcW w:w="687" w:type="dxa"/>
            <w:vMerge w:val="restart"/>
            <w:tcBorders>
              <w:right w:val="single" w:color="auto" w:sz="4" w:space="0"/>
            </w:tcBorders>
            <w:vAlign w:val="center"/>
          </w:tcPr>
          <w:p w14:paraId="08B11CE4">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标准件</w:t>
            </w:r>
          </w:p>
        </w:tc>
        <w:tc>
          <w:tcPr>
            <w:tcW w:w="2375" w:type="dxa"/>
            <w:tcBorders>
              <w:left w:val="single" w:color="auto" w:sz="4" w:space="0"/>
              <w:bottom w:val="single" w:color="auto" w:sz="4" w:space="0"/>
            </w:tcBorders>
            <w:vAlign w:val="center"/>
          </w:tcPr>
          <w:p w14:paraId="0DAE0117">
            <w:pPr>
              <w:autoSpaceDE w:val="0"/>
              <w:autoSpaceDN w:val="0"/>
              <w:adjustRightInd w:val="0"/>
              <w:spacing w:line="360" w:lineRule="auto"/>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长边尺寸小于12mm</w:t>
            </w:r>
          </w:p>
        </w:tc>
        <w:tc>
          <w:tcPr>
            <w:tcW w:w="2012" w:type="dxa"/>
            <w:tcBorders>
              <w:bottom w:val="single" w:color="auto" w:sz="4" w:space="0"/>
            </w:tcBorders>
            <w:vAlign w:val="center"/>
          </w:tcPr>
          <w:p w14:paraId="676C93EA">
            <w:pPr>
              <w:spacing w:line="360" w:lineRule="auto"/>
              <w:jc w:val="left"/>
              <w:rPr>
                <w:rFonts w:hint="eastAsia" w:ascii="宋体" w:hAnsi="宋体" w:eastAsia="宋体" w:cs="宋体"/>
                <w:sz w:val="24"/>
                <w:szCs w:val="24"/>
                <w:highlight w:val="none"/>
              </w:rPr>
            </w:pPr>
            <w:r>
              <w:rPr>
                <w:rFonts w:hint="eastAsia" w:ascii="宋体" w:hAnsi="宋体" w:eastAsia="宋体" w:cs="宋体"/>
                <w:kern w:val="0"/>
                <w:sz w:val="24"/>
                <w:szCs w:val="24"/>
                <w:highlight w:val="none"/>
              </w:rPr>
              <w:t>每种规格按总数的3％提供备件</w:t>
            </w:r>
          </w:p>
        </w:tc>
        <w:tc>
          <w:tcPr>
            <w:tcW w:w="1582" w:type="dxa"/>
            <w:vAlign w:val="center"/>
          </w:tcPr>
          <w:p w14:paraId="4B735990">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不少于5件</w:t>
            </w:r>
          </w:p>
        </w:tc>
      </w:tr>
      <w:tr w14:paraId="23886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7" w:hRule="atLeast"/>
          <w:jc w:val="center"/>
        </w:trPr>
        <w:tc>
          <w:tcPr>
            <w:tcW w:w="750" w:type="dxa"/>
            <w:vMerge w:val="continue"/>
            <w:vAlign w:val="center"/>
          </w:tcPr>
          <w:p w14:paraId="63089FFD">
            <w:pPr>
              <w:spacing w:line="360" w:lineRule="auto"/>
              <w:jc w:val="center"/>
              <w:rPr>
                <w:rFonts w:hint="eastAsia" w:ascii="宋体" w:hAnsi="宋体" w:eastAsia="宋体" w:cs="宋体"/>
                <w:sz w:val="24"/>
                <w:szCs w:val="24"/>
                <w:highlight w:val="none"/>
              </w:rPr>
            </w:pPr>
          </w:p>
        </w:tc>
        <w:tc>
          <w:tcPr>
            <w:tcW w:w="887" w:type="dxa"/>
            <w:vMerge w:val="continue"/>
            <w:tcBorders>
              <w:right w:val="single" w:color="auto" w:sz="4" w:space="0"/>
            </w:tcBorders>
            <w:vAlign w:val="center"/>
          </w:tcPr>
          <w:p w14:paraId="5CEEA1B9">
            <w:pPr>
              <w:spacing w:line="360" w:lineRule="auto"/>
              <w:jc w:val="center"/>
              <w:rPr>
                <w:rFonts w:hint="eastAsia" w:ascii="宋体" w:hAnsi="宋体" w:eastAsia="宋体" w:cs="宋体"/>
                <w:sz w:val="24"/>
                <w:szCs w:val="24"/>
                <w:highlight w:val="none"/>
              </w:rPr>
            </w:pPr>
          </w:p>
        </w:tc>
        <w:tc>
          <w:tcPr>
            <w:tcW w:w="863" w:type="dxa"/>
            <w:vMerge w:val="continue"/>
            <w:tcBorders>
              <w:left w:val="single" w:color="auto" w:sz="4" w:space="0"/>
            </w:tcBorders>
            <w:vAlign w:val="center"/>
          </w:tcPr>
          <w:p w14:paraId="49BF16DD">
            <w:pPr>
              <w:spacing w:line="360" w:lineRule="auto"/>
              <w:jc w:val="center"/>
              <w:rPr>
                <w:rFonts w:hint="eastAsia" w:ascii="宋体" w:hAnsi="宋体" w:eastAsia="宋体" w:cs="宋体"/>
                <w:sz w:val="24"/>
                <w:szCs w:val="24"/>
                <w:highlight w:val="none"/>
              </w:rPr>
            </w:pPr>
          </w:p>
        </w:tc>
        <w:tc>
          <w:tcPr>
            <w:tcW w:w="687" w:type="dxa"/>
            <w:vMerge w:val="continue"/>
            <w:tcBorders>
              <w:right w:val="single" w:color="auto" w:sz="4" w:space="0"/>
            </w:tcBorders>
            <w:vAlign w:val="center"/>
          </w:tcPr>
          <w:p w14:paraId="42DD0243">
            <w:pPr>
              <w:spacing w:line="360" w:lineRule="auto"/>
              <w:jc w:val="center"/>
              <w:rPr>
                <w:rFonts w:hint="eastAsia" w:ascii="宋体" w:hAnsi="宋体" w:eastAsia="宋体" w:cs="宋体"/>
                <w:sz w:val="24"/>
                <w:szCs w:val="24"/>
                <w:highlight w:val="none"/>
              </w:rPr>
            </w:pPr>
          </w:p>
        </w:tc>
        <w:tc>
          <w:tcPr>
            <w:tcW w:w="2375" w:type="dxa"/>
            <w:tcBorders>
              <w:top w:val="single" w:color="auto" w:sz="4" w:space="0"/>
              <w:left w:val="single" w:color="auto" w:sz="4" w:space="0"/>
            </w:tcBorders>
            <w:vAlign w:val="center"/>
          </w:tcPr>
          <w:p w14:paraId="33ACA659">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长边尺寸12～24mm</w:t>
            </w:r>
          </w:p>
        </w:tc>
        <w:tc>
          <w:tcPr>
            <w:tcW w:w="2012" w:type="dxa"/>
            <w:tcBorders>
              <w:top w:val="single" w:color="auto" w:sz="4" w:space="0"/>
            </w:tcBorders>
            <w:vAlign w:val="center"/>
          </w:tcPr>
          <w:p w14:paraId="01766E4A">
            <w:pPr>
              <w:spacing w:line="360" w:lineRule="auto"/>
              <w:jc w:val="left"/>
              <w:rPr>
                <w:rFonts w:hint="eastAsia" w:ascii="宋体" w:hAnsi="宋体" w:eastAsia="宋体" w:cs="宋体"/>
                <w:sz w:val="24"/>
                <w:szCs w:val="24"/>
                <w:highlight w:val="none"/>
              </w:rPr>
            </w:pPr>
            <w:r>
              <w:rPr>
                <w:rFonts w:hint="eastAsia" w:ascii="宋体" w:hAnsi="宋体" w:eastAsia="宋体" w:cs="宋体"/>
                <w:kern w:val="0"/>
                <w:sz w:val="24"/>
                <w:szCs w:val="24"/>
                <w:highlight w:val="none"/>
              </w:rPr>
              <w:t>每种规格按总数的2％提供备件</w:t>
            </w:r>
          </w:p>
        </w:tc>
        <w:tc>
          <w:tcPr>
            <w:tcW w:w="1582" w:type="dxa"/>
            <w:vAlign w:val="center"/>
          </w:tcPr>
          <w:p w14:paraId="3771CB13">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不少于3件</w:t>
            </w:r>
          </w:p>
        </w:tc>
      </w:tr>
      <w:tr w14:paraId="7975E3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50" w:type="dxa"/>
            <w:vMerge w:val="continue"/>
            <w:vAlign w:val="center"/>
          </w:tcPr>
          <w:p w14:paraId="4321B2F0">
            <w:pPr>
              <w:spacing w:line="360" w:lineRule="auto"/>
              <w:jc w:val="center"/>
              <w:rPr>
                <w:rFonts w:hint="eastAsia" w:ascii="宋体" w:hAnsi="宋体" w:eastAsia="宋体" w:cs="宋体"/>
                <w:sz w:val="24"/>
                <w:szCs w:val="24"/>
                <w:highlight w:val="none"/>
              </w:rPr>
            </w:pPr>
          </w:p>
        </w:tc>
        <w:tc>
          <w:tcPr>
            <w:tcW w:w="887" w:type="dxa"/>
            <w:vMerge w:val="continue"/>
            <w:tcBorders>
              <w:right w:val="single" w:color="auto" w:sz="4" w:space="0"/>
            </w:tcBorders>
            <w:vAlign w:val="center"/>
          </w:tcPr>
          <w:p w14:paraId="7EDA769A">
            <w:pPr>
              <w:spacing w:line="360" w:lineRule="auto"/>
              <w:jc w:val="center"/>
              <w:rPr>
                <w:rFonts w:hint="eastAsia" w:ascii="宋体" w:hAnsi="宋体" w:eastAsia="宋体" w:cs="宋体"/>
                <w:sz w:val="24"/>
                <w:szCs w:val="24"/>
                <w:highlight w:val="none"/>
              </w:rPr>
            </w:pPr>
          </w:p>
        </w:tc>
        <w:tc>
          <w:tcPr>
            <w:tcW w:w="863" w:type="dxa"/>
            <w:vMerge w:val="continue"/>
            <w:tcBorders>
              <w:left w:val="single" w:color="auto" w:sz="4" w:space="0"/>
            </w:tcBorders>
            <w:vAlign w:val="center"/>
          </w:tcPr>
          <w:p w14:paraId="1E04F4D9">
            <w:pPr>
              <w:spacing w:line="360" w:lineRule="auto"/>
              <w:jc w:val="center"/>
              <w:rPr>
                <w:rFonts w:hint="eastAsia" w:ascii="宋体" w:hAnsi="宋体" w:eastAsia="宋体" w:cs="宋体"/>
                <w:sz w:val="24"/>
                <w:szCs w:val="24"/>
                <w:highlight w:val="none"/>
              </w:rPr>
            </w:pPr>
          </w:p>
        </w:tc>
        <w:tc>
          <w:tcPr>
            <w:tcW w:w="3062" w:type="dxa"/>
            <w:gridSpan w:val="2"/>
            <w:vAlign w:val="center"/>
          </w:tcPr>
          <w:p w14:paraId="3F31E8E5">
            <w:pPr>
              <w:spacing w:line="360" w:lineRule="auto"/>
              <w:jc w:val="center"/>
              <w:rPr>
                <w:rFonts w:hint="eastAsia" w:ascii="宋体" w:hAnsi="宋体" w:eastAsia="宋体" w:cs="宋体"/>
                <w:sz w:val="24"/>
                <w:szCs w:val="24"/>
                <w:highlight w:val="none"/>
              </w:rPr>
            </w:pPr>
            <w:r>
              <w:rPr>
                <w:rFonts w:hint="eastAsia" w:ascii="宋体" w:hAnsi="宋体" w:eastAsia="宋体" w:cs="宋体"/>
                <w:kern w:val="0"/>
                <w:sz w:val="24"/>
                <w:szCs w:val="24"/>
                <w:highlight w:val="none"/>
              </w:rPr>
              <w:t>非标准的冲孔凹模镶块</w:t>
            </w:r>
          </w:p>
        </w:tc>
        <w:tc>
          <w:tcPr>
            <w:tcW w:w="2012" w:type="dxa"/>
          </w:tcPr>
          <w:p w14:paraId="78C07EA4">
            <w:pPr>
              <w:autoSpaceDE w:val="0"/>
              <w:autoSpaceDN w:val="0"/>
              <w:adjustRightInd w:val="0"/>
              <w:spacing w:line="360" w:lineRule="auto"/>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按总数的100％提供备件</w:t>
            </w:r>
          </w:p>
        </w:tc>
        <w:tc>
          <w:tcPr>
            <w:tcW w:w="1582" w:type="dxa"/>
            <w:vAlign w:val="center"/>
          </w:tcPr>
          <w:p w14:paraId="0BC75789">
            <w:pPr>
              <w:spacing w:line="360" w:lineRule="auto"/>
              <w:jc w:val="center"/>
              <w:rPr>
                <w:rFonts w:hint="eastAsia" w:ascii="宋体" w:hAnsi="宋体" w:eastAsia="宋体" w:cs="宋体"/>
                <w:sz w:val="24"/>
                <w:szCs w:val="24"/>
                <w:highlight w:val="none"/>
              </w:rPr>
            </w:pPr>
          </w:p>
        </w:tc>
      </w:tr>
      <w:tr w14:paraId="036DF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156" w:type="dxa"/>
            <w:gridSpan w:val="7"/>
            <w:vAlign w:val="center"/>
          </w:tcPr>
          <w:p w14:paraId="3A9D2A0E">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备注：</w:t>
            </w:r>
          </w:p>
          <w:p w14:paraId="3A634051">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1）备件上应有标准、规格、型号标识，并按规格分类包装，包装袋外侧应有备件明细。</w:t>
            </w:r>
          </w:p>
          <w:p w14:paraId="0CA7261E">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2）易损备件随模具一起交货。</w:t>
            </w:r>
          </w:p>
        </w:tc>
      </w:tr>
    </w:tbl>
    <w:p w14:paraId="713DBF45">
      <w:pPr>
        <w:spacing w:line="360" w:lineRule="auto"/>
        <w:rPr>
          <w:rFonts w:hint="eastAsia" w:ascii="宋体" w:hAnsi="宋体" w:eastAsia="宋体"/>
          <w:b/>
          <w:bCs/>
          <w:sz w:val="24"/>
        </w:rPr>
      </w:pPr>
      <w:r>
        <w:rPr>
          <w:rFonts w:hint="eastAsia" w:ascii="宋体" w:hAnsi="宋体"/>
          <w:b/>
          <w:bCs/>
          <w:sz w:val="24"/>
          <w:lang w:val="en-US" w:eastAsia="zh-CN"/>
        </w:rPr>
        <w:t>6.</w:t>
      </w:r>
      <w:r>
        <w:rPr>
          <w:rFonts w:hint="eastAsia" w:ascii="宋体" w:hAnsi="宋体" w:eastAsia="宋体"/>
          <w:b/>
          <w:bCs/>
          <w:sz w:val="24"/>
        </w:rPr>
        <w:t>6、关于中标方项目管理的要求</w:t>
      </w:r>
    </w:p>
    <w:p w14:paraId="68DFBA31">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6.1 项目管理组织</w:t>
      </w:r>
    </w:p>
    <w:p w14:paraId="5FC5EC3C">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（1）</w:t>
      </w:r>
      <w:r>
        <w:rPr>
          <w:rFonts w:hint="eastAsia" w:ascii="宋体" w:hAnsi="宋体" w:eastAsia="宋体"/>
          <w:sz w:val="24"/>
        </w:rPr>
        <w:t>对投标方参与本项目的人员的要求，包括但不限于项目经理，项目管理团队，设计人员，加工管理人员，调试人员，质保人员。</w:t>
      </w:r>
    </w:p>
    <w:p w14:paraId="3E3D13E7">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（2）</w:t>
      </w:r>
      <w:r>
        <w:rPr>
          <w:rFonts w:hint="eastAsia" w:ascii="宋体" w:hAnsi="宋体" w:eastAsia="宋体"/>
          <w:sz w:val="24"/>
        </w:rPr>
        <w:t>项目期间，未经招标方书面许可，投标方不得中途更换项目经理。</w:t>
      </w:r>
    </w:p>
    <w:p w14:paraId="48314A87">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3</w:t>
      </w:r>
      <w:r>
        <w:rPr>
          <w:rFonts w:hint="eastAsia" w:ascii="宋体" w:hAnsi="宋体" w:eastAsia="宋体"/>
          <w:sz w:val="24"/>
          <w:lang w:val="en-US" w:eastAsia="zh-CN"/>
        </w:rPr>
        <w:t>）</w:t>
      </w:r>
      <w:r>
        <w:rPr>
          <w:rFonts w:hint="eastAsia" w:ascii="宋体" w:hAnsi="宋体" w:eastAsia="宋体"/>
          <w:sz w:val="24"/>
        </w:rPr>
        <w:t>项目期间，投标方的项目经理、品管经理、技术经理等主要管理人员在项目过程中不得变动，模具制造关键工序的模具钳工不得变动，项目组80%的人员在项目过程中不得变动。招标方有权随时要求投标方更换招标方认为不适合的投标方项目参与人员。在招标方提供出充分理由的情况下，投标方应予以无条件配合。</w:t>
      </w:r>
    </w:p>
    <w:p w14:paraId="2604ED11">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4</w:t>
      </w:r>
      <w:r>
        <w:rPr>
          <w:rFonts w:hint="eastAsia" w:ascii="宋体" w:hAnsi="宋体" w:eastAsia="宋体"/>
          <w:sz w:val="24"/>
          <w:lang w:val="en-US" w:eastAsia="zh-CN"/>
        </w:rPr>
        <w:t>）</w:t>
      </w:r>
      <w:r>
        <w:rPr>
          <w:rFonts w:hint="eastAsia" w:ascii="宋体" w:hAnsi="宋体" w:eastAsia="宋体"/>
          <w:sz w:val="24"/>
        </w:rPr>
        <w:t>投标方必须提供管理组织结构图，要求包括参与人员的名字、年龄、学历、工作经历以及项目角色等信息。</w:t>
      </w:r>
    </w:p>
    <w:p w14:paraId="26077EB8">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6.2 项目沟通的要求</w:t>
      </w:r>
    </w:p>
    <w:p w14:paraId="08950EA5">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1</w:t>
      </w:r>
      <w:r>
        <w:rPr>
          <w:rFonts w:hint="eastAsia" w:ascii="宋体" w:hAnsi="宋体" w:eastAsia="宋体"/>
          <w:sz w:val="24"/>
          <w:lang w:val="en-US" w:eastAsia="zh-CN"/>
        </w:rPr>
        <w:t>）</w:t>
      </w:r>
      <w:r>
        <w:rPr>
          <w:rFonts w:hint="eastAsia" w:ascii="宋体" w:hAnsi="宋体" w:eastAsia="宋体"/>
          <w:sz w:val="24"/>
        </w:rPr>
        <w:t>投标方在投标文件中，根据招标方项目进度要求制订详细的设计、制造计划。</w:t>
      </w:r>
    </w:p>
    <w:p w14:paraId="595F9373">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（2）</w:t>
      </w:r>
      <w:r>
        <w:rPr>
          <w:rFonts w:hint="eastAsia" w:ascii="宋体" w:hAnsi="宋体" w:eastAsia="宋体"/>
          <w:sz w:val="24"/>
        </w:rPr>
        <w:t>每周固定约定一天，由投标方向招标方反馈项目的进度情况，包括项目总体汇报、项目进度汇报以及图片。如果发生项目拖期的情况，要求投标方同时反馈挽回计划以及挽回的情况。</w:t>
      </w:r>
    </w:p>
    <w:p w14:paraId="42A895DE">
      <w:pPr>
        <w:spacing w:line="360" w:lineRule="auto"/>
        <w:rPr>
          <w:rFonts w:hint="eastAsia" w:ascii="宋体" w:hAnsi="宋体" w:eastAsia="宋体"/>
          <w:b/>
          <w:bCs/>
          <w:sz w:val="24"/>
        </w:rPr>
      </w:pPr>
      <w:r>
        <w:rPr>
          <w:rFonts w:hint="eastAsia" w:ascii="宋体" w:hAnsi="宋体"/>
          <w:b/>
          <w:bCs/>
          <w:sz w:val="24"/>
          <w:lang w:val="en-US" w:eastAsia="zh-CN"/>
        </w:rPr>
        <w:t>6.</w:t>
      </w:r>
      <w:r>
        <w:rPr>
          <w:rFonts w:hint="eastAsia" w:ascii="宋体" w:hAnsi="宋体" w:eastAsia="宋体"/>
          <w:b/>
          <w:bCs/>
          <w:sz w:val="24"/>
        </w:rPr>
        <w:t>7培训、保修和终验收后的技术服务</w:t>
      </w:r>
    </w:p>
    <w:p w14:paraId="588A3F7C">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7.1 模具到招标方后,投标方需派遣人员在招标方现场对招标方人员进行模具安装调试、操作、维修及冲压件、板件测量检验方法等技能培训。上述培训应持续至招标方操作及维修人员完全掌握模具的使用为止，且费用由投标方承担。</w:t>
      </w:r>
    </w:p>
    <w:p w14:paraId="4AB27015">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7.2 现场服务内容及范围包括：现场安装、调试的技术准备；指导并参与现场安装、调试和试运行工作；处理安装、调试和试运行工作中出现的各种问题；检验调试、生产产品的精度及与设计的符合性等。</w:t>
      </w:r>
    </w:p>
    <w:p w14:paraId="3A82AF05">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7.3 在正常使用条件下，投标方需保证模具设计寿命。除易损件外，出现导向面磨损影响精度、托料块凹陷等现象的首次维修应在40万冲次以后。如果发生40万次之内所发生的维修由投标方承担。</w:t>
      </w:r>
    </w:p>
    <w:p w14:paraId="4281210B">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7.4本项目终验收起一年内为项目质保期，投标方需在质保期内保证模具运行良好，且投标方提供免费维修服务。</w:t>
      </w:r>
    </w:p>
    <w:p w14:paraId="6EDD6EBF">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7.5在质保期内,正常使用条件下,投标方对模具出现的故障提供免费维修,零部件损坏须及时免费更换，免费维修与更换缺陷部件的期限为投标方收到招标方通知后3天。投标方需自备安装调试及维修用工具。</w:t>
      </w:r>
    </w:p>
    <w:p w14:paraId="3FEE87BA">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7.6 质保期内，投标方在收到招标方关于模、检具故障通知后，能以通讯方式解决的故障，2小时之内给予答复；不能以通讯方式解决的故障，投标方维修人员应在24小时内到达招标方现场，并确保对一般问题在此期限内排除故障。需维修与更换缺陷部件的故障，投标方维修人员应在到达货物使用方现场后2个日历日内解决。倘若投标方未能履行上述服务的，招标方有权自行或委托有能力的第三方对货物进行维修，所需的费用由投标方承担。</w:t>
      </w:r>
    </w:p>
    <w:p w14:paraId="3CD9CB9A">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7.7 质量保证期不含投标方对其交付物的排故时间，即在质量保证期内由投标方原因导致故障，质量保证期顺延，且更换的零件保质期自更换日起开始计算。</w:t>
      </w:r>
    </w:p>
    <w:p w14:paraId="0A64B568">
      <w:pPr>
        <w:spacing w:line="360" w:lineRule="auto"/>
        <w:rPr>
          <w:rFonts w:hint="eastAsia" w:ascii="宋体" w:hAnsi="宋体" w:eastAsia="宋体"/>
          <w:b/>
          <w:bCs/>
          <w:sz w:val="24"/>
        </w:rPr>
      </w:pPr>
      <w:r>
        <w:rPr>
          <w:rFonts w:hint="eastAsia" w:ascii="宋体" w:hAnsi="宋体"/>
          <w:b/>
          <w:bCs/>
          <w:sz w:val="24"/>
          <w:lang w:val="en-US" w:eastAsia="zh-CN"/>
        </w:rPr>
        <w:t>6.</w:t>
      </w:r>
      <w:r>
        <w:rPr>
          <w:rFonts w:hint="eastAsia" w:ascii="宋体" w:hAnsi="宋体" w:eastAsia="宋体"/>
          <w:b/>
          <w:bCs/>
          <w:sz w:val="24"/>
        </w:rPr>
        <w:t>8其它条款</w:t>
      </w:r>
    </w:p>
    <w:p w14:paraId="548FFDD1">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8.1 关于设变、板料运输、设变费用的说明</w:t>
      </w:r>
    </w:p>
    <w:p w14:paraId="33092D1E">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1</w:t>
      </w:r>
      <w:r>
        <w:rPr>
          <w:rFonts w:hint="eastAsia" w:ascii="宋体" w:hAnsi="宋体" w:eastAsia="宋体"/>
          <w:sz w:val="24"/>
          <w:lang w:val="en-US" w:eastAsia="zh-CN"/>
        </w:rPr>
        <w:t>）</w:t>
      </w:r>
      <w:r>
        <w:rPr>
          <w:rFonts w:hint="eastAsia" w:ascii="宋体" w:hAnsi="宋体" w:eastAsia="宋体"/>
          <w:sz w:val="24"/>
        </w:rPr>
        <w:t>要求投标方报价详细到模具的重量及价格。</w:t>
      </w:r>
    </w:p>
    <w:p w14:paraId="6B019554">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2</w:t>
      </w:r>
      <w:r>
        <w:rPr>
          <w:rFonts w:hint="eastAsia" w:ascii="宋体" w:hAnsi="宋体" w:eastAsia="宋体"/>
          <w:sz w:val="24"/>
          <w:lang w:val="en-US" w:eastAsia="zh-CN"/>
        </w:rPr>
        <w:t>）</w:t>
      </w:r>
      <w:r>
        <w:rPr>
          <w:rFonts w:hint="eastAsia" w:ascii="宋体" w:hAnsi="宋体" w:eastAsia="宋体"/>
          <w:sz w:val="24"/>
        </w:rPr>
        <w:t>招标方设变发生在模具投铸之前，不计设变费用。</w:t>
      </w:r>
    </w:p>
    <w:p w14:paraId="36CAA0A4">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3</w:t>
      </w:r>
      <w:r>
        <w:rPr>
          <w:rFonts w:hint="eastAsia" w:ascii="宋体" w:hAnsi="宋体" w:eastAsia="宋体"/>
          <w:sz w:val="24"/>
          <w:lang w:val="en-US" w:eastAsia="zh-CN"/>
        </w:rPr>
        <w:t>）</w:t>
      </w:r>
      <w:r>
        <w:rPr>
          <w:rFonts w:hint="eastAsia" w:ascii="宋体" w:hAnsi="宋体" w:eastAsia="宋体"/>
          <w:sz w:val="24"/>
        </w:rPr>
        <w:t>招标方设变发生在投标方模具投铸之后，若对后续制造工作（如加工）没有影响，不计设变费用。若影响后续制造工作而产生费用，全部费用不超过模具费用的3%(含)，费用由投标方承提，超过3%，双方协商解决；设变费用按加工成本核算。</w:t>
      </w:r>
    </w:p>
    <w:p w14:paraId="1681876D">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4</w:t>
      </w:r>
      <w:r>
        <w:rPr>
          <w:rFonts w:hint="eastAsia" w:ascii="宋体" w:hAnsi="宋体" w:eastAsia="宋体"/>
          <w:sz w:val="24"/>
          <w:lang w:val="en-US" w:eastAsia="zh-CN"/>
        </w:rPr>
        <w:t>）</w:t>
      </w:r>
      <w:r>
        <w:rPr>
          <w:rFonts w:hint="eastAsia" w:ascii="宋体" w:hAnsi="宋体" w:eastAsia="宋体"/>
          <w:sz w:val="24"/>
        </w:rPr>
        <w:t>若因投标方提出产品设计变更要求，投标方需向招标方提出书面申请（含工艺分析报告），招标方确认后，方可实施，但不计设变费用。</w:t>
      </w:r>
    </w:p>
    <w:p w14:paraId="02351DE5">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5</w:t>
      </w:r>
      <w:r>
        <w:rPr>
          <w:rFonts w:hint="eastAsia" w:ascii="宋体" w:hAnsi="宋体" w:eastAsia="宋体"/>
          <w:sz w:val="24"/>
          <w:lang w:val="en-US" w:eastAsia="zh-CN"/>
        </w:rPr>
        <w:t>）</w:t>
      </w:r>
      <w:r>
        <w:rPr>
          <w:rFonts w:hint="eastAsia" w:ascii="宋体" w:hAnsi="宋体" w:eastAsia="宋体"/>
          <w:sz w:val="24"/>
        </w:rPr>
        <w:t>以上设变，若投标方向招标方提出设变费用，必须将设变留底，以备查。</w:t>
      </w:r>
    </w:p>
    <w:p w14:paraId="4AC87DA2">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8.2.关于模具重量</w:t>
      </w:r>
    </w:p>
    <w:p w14:paraId="0BDB6750">
      <w:pPr>
        <w:spacing w:line="360" w:lineRule="auto"/>
        <w:ind w:firstLine="480" w:firstLineChars="200"/>
        <w:rPr>
          <w:rFonts w:hint="eastAsia" w:ascii="宋体" w:hAnsi="宋体" w:eastAsia="宋体"/>
          <w:sz w:val="24"/>
          <w:lang w:val="en-US" w:eastAsia="zh-CN"/>
        </w:rPr>
      </w:pPr>
      <w:r>
        <w:rPr>
          <w:rFonts w:hint="eastAsia" w:ascii="宋体" w:hAnsi="宋体" w:eastAsia="宋体"/>
          <w:sz w:val="24"/>
          <w:lang w:val="en-US" w:eastAsia="zh-CN"/>
        </w:rPr>
        <w:t>改制模具不做具体重量要求。</w:t>
      </w:r>
    </w:p>
    <w:p w14:paraId="789B9989">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8.3调试板料</w:t>
      </w:r>
    </w:p>
    <w:p w14:paraId="25ECB7D9">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1</w:t>
      </w:r>
      <w:r>
        <w:rPr>
          <w:rFonts w:hint="eastAsia" w:ascii="宋体" w:hAnsi="宋体" w:eastAsia="宋体"/>
          <w:sz w:val="24"/>
          <w:lang w:val="en-US" w:eastAsia="zh-CN"/>
        </w:rPr>
        <w:t>）</w:t>
      </w:r>
      <w:r>
        <w:rPr>
          <w:rFonts w:hint="eastAsia" w:ascii="宋体" w:hAnsi="宋体" w:eastAsia="宋体"/>
          <w:sz w:val="24"/>
        </w:rPr>
        <w:t>关于调试板料的约定:调试板料、50 台全工装样件、及预验收等用料由投标方自采。</w:t>
      </w:r>
    </w:p>
    <w:p w14:paraId="0555D075">
      <w:pPr>
        <w:spacing w:line="360" w:lineRule="auto"/>
        <w:ind w:firstLine="480" w:firstLineChars="200"/>
        <w:rPr>
          <w:rFonts w:hint="eastAsia" w:ascii="宋体" w:hAnsi="宋体" w:eastAsia="宋体"/>
          <w:sz w:val="24"/>
        </w:rPr>
      </w:pPr>
      <w:r>
        <w:rPr>
          <w:rFonts w:hint="eastAsia" w:ascii="宋体" w:hAnsi="宋体" w:eastAsia="宋体"/>
          <w:sz w:val="24"/>
          <w:lang w:val="en-US" w:eastAsia="zh-CN"/>
        </w:rPr>
        <w:t>（</w:t>
      </w:r>
      <w:r>
        <w:rPr>
          <w:rFonts w:hint="eastAsia" w:ascii="宋体" w:hAnsi="宋体"/>
          <w:sz w:val="24"/>
          <w:lang w:val="en-US" w:eastAsia="zh-CN"/>
        </w:rPr>
        <w:t>2</w:t>
      </w:r>
      <w:r>
        <w:rPr>
          <w:rFonts w:hint="eastAsia" w:ascii="宋体" w:hAnsi="宋体" w:eastAsia="宋体"/>
          <w:sz w:val="24"/>
          <w:lang w:val="en-US" w:eastAsia="zh-CN"/>
        </w:rPr>
        <w:t>）</w:t>
      </w:r>
      <w:r>
        <w:rPr>
          <w:rFonts w:hint="eastAsia" w:ascii="宋体" w:hAnsi="宋体" w:eastAsia="宋体"/>
          <w:sz w:val="24"/>
        </w:rPr>
        <w:t>板料及样件运输</w:t>
      </w:r>
      <w:r>
        <w:rPr>
          <w:rFonts w:hint="eastAsia" w:ascii="宋体" w:hAnsi="宋体" w:eastAsia="宋体"/>
          <w:sz w:val="24"/>
          <w:lang w:val="en-US" w:eastAsia="zh-CN"/>
        </w:rPr>
        <w:t>等</w:t>
      </w:r>
      <w:r>
        <w:rPr>
          <w:rFonts w:hint="eastAsia" w:ascii="宋体" w:hAnsi="宋体" w:eastAsia="宋体"/>
          <w:sz w:val="24"/>
        </w:rPr>
        <w:t>费用包含在总合同费用之内。</w:t>
      </w:r>
    </w:p>
    <w:p w14:paraId="482ADD10">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8.4材料利用率</w:t>
      </w:r>
      <w:r>
        <w:rPr>
          <w:rFonts w:hint="eastAsia" w:ascii="宋体" w:hAnsi="宋体" w:eastAsia="宋体"/>
          <w:sz w:val="24"/>
          <w:lang w:val="en-US" w:eastAsia="zh-CN"/>
        </w:rPr>
        <w:t>不做要求</w:t>
      </w:r>
      <w:r>
        <w:rPr>
          <w:rFonts w:hint="eastAsia" w:ascii="宋体" w:hAnsi="宋体" w:eastAsia="宋体"/>
          <w:sz w:val="24"/>
        </w:rPr>
        <w:t>。</w:t>
      </w:r>
    </w:p>
    <w:p w14:paraId="2F6F905F">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8.5投标方需提供产品</w:t>
      </w:r>
      <w:r>
        <w:rPr>
          <w:rFonts w:hint="eastAsia" w:ascii="宋体" w:hAnsi="宋体" w:eastAsia="宋体"/>
          <w:sz w:val="24"/>
          <w:lang w:val="en-US" w:eastAsia="zh-CN"/>
        </w:rPr>
        <w:t>整改</w:t>
      </w:r>
      <w:r>
        <w:rPr>
          <w:rFonts w:hint="eastAsia" w:ascii="宋体" w:hAnsi="宋体" w:eastAsia="宋体"/>
          <w:sz w:val="24"/>
        </w:rPr>
        <w:t>分析报告。鼓励投标方对产品进行工艺性分析，提出改进方案，如有需要，可在招标方指定电脑，使用分析软件进行分析，分析结果可作为投标文件的附件，格式不做统一要求。</w:t>
      </w:r>
    </w:p>
    <w:p w14:paraId="66025304">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8.6关于不能准时交付的说明</w:t>
      </w:r>
    </w:p>
    <w:p w14:paraId="0237BDBD">
      <w:pPr>
        <w:spacing w:line="360" w:lineRule="auto"/>
        <w:ind w:firstLine="480" w:firstLineChars="200"/>
        <w:rPr>
          <w:rFonts w:hint="eastAsia" w:ascii="宋体" w:hAnsi="宋体" w:eastAsia="宋体"/>
          <w:sz w:val="24"/>
        </w:rPr>
      </w:pPr>
      <w:r>
        <w:rPr>
          <w:rFonts w:hint="eastAsia" w:ascii="宋体" w:hAnsi="宋体" w:eastAsia="宋体"/>
          <w:sz w:val="24"/>
        </w:rPr>
        <w:t>如果因投标方原因模具不能在规定周期内交付,招标方装车所需单件由投标方负责免费生产及运输，且投标方承担相应的商务责任。</w:t>
      </w:r>
    </w:p>
    <w:p w14:paraId="2F76A3C0">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8.7关于保密的说明</w:t>
      </w:r>
    </w:p>
    <w:p w14:paraId="7574B70B">
      <w:pPr>
        <w:spacing w:line="360" w:lineRule="auto"/>
        <w:ind w:firstLine="480" w:firstLineChars="200"/>
        <w:rPr>
          <w:rFonts w:hint="eastAsia" w:ascii="宋体" w:hAnsi="宋体" w:eastAsia="宋体"/>
          <w:sz w:val="24"/>
        </w:rPr>
      </w:pPr>
      <w:r>
        <w:rPr>
          <w:rFonts w:hint="eastAsia" w:ascii="宋体" w:hAnsi="宋体" w:eastAsia="宋体"/>
          <w:sz w:val="24"/>
        </w:rPr>
        <w:t>投标方对招标方提供的汽车产品数模、数据及相关技术资料负有保密责任，投标方负有保密责任，违者将按保密协议有关条款执行。</w:t>
      </w:r>
    </w:p>
    <w:p w14:paraId="184C55FA">
      <w:pPr>
        <w:spacing w:line="360" w:lineRule="auto"/>
        <w:ind w:firstLine="480" w:firstLineChars="200"/>
        <w:rPr>
          <w:rFonts w:hint="eastAsia" w:ascii="宋体" w:hAnsi="宋体" w:eastAsia="宋体"/>
          <w:sz w:val="24"/>
        </w:rPr>
      </w:pPr>
      <w:r>
        <w:rPr>
          <w:rFonts w:hint="eastAsia" w:ascii="宋体" w:hAnsi="宋体"/>
          <w:sz w:val="24"/>
          <w:lang w:val="en-US" w:eastAsia="zh-CN"/>
        </w:rPr>
        <w:t>6.</w:t>
      </w:r>
      <w:r>
        <w:rPr>
          <w:rFonts w:hint="eastAsia" w:ascii="宋体" w:hAnsi="宋体" w:eastAsia="宋体"/>
          <w:sz w:val="24"/>
        </w:rPr>
        <w:t>8.8带*条款为否决项。</w:t>
      </w:r>
    </w:p>
    <w:p w14:paraId="199F1DFB">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附件：</w:t>
      </w:r>
    </w:p>
    <w:p w14:paraId="084DD8C4">
      <w:pPr>
        <w:spacing w:line="360" w:lineRule="auto"/>
        <w:rPr>
          <w:rFonts w:hint="eastAsia" w:ascii="宋体" w:hAnsi="宋体" w:eastAsia="宋体" w:cs="宋体"/>
          <w:b/>
          <w:sz w:val="28"/>
          <w:szCs w:val="28"/>
        </w:rPr>
      </w:pPr>
      <w:r>
        <w:rPr>
          <w:rFonts w:hint="eastAsia" w:ascii="宋体" w:hAnsi="宋体" w:eastAsia="宋体" w:cs="宋体"/>
          <w:b/>
          <w:sz w:val="28"/>
          <w:szCs w:val="28"/>
        </w:rPr>
        <w:t>附件1：冲压件零件质量判定标准</w:t>
      </w:r>
    </w:p>
    <w:p w14:paraId="2D817B9F">
      <w:pPr>
        <w:spacing w:line="360" w:lineRule="auto"/>
        <w:rPr>
          <w:rFonts w:hint="eastAsia" w:ascii="宋体" w:hAnsi="宋体" w:eastAsia="宋体"/>
          <w:b/>
          <w:sz w:val="28"/>
          <w:szCs w:val="28"/>
        </w:rPr>
      </w:pPr>
      <w:r>
        <w:rPr>
          <w:rFonts w:hint="eastAsia" w:ascii="宋体" w:hAnsi="宋体" w:eastAsia="宋体"/>
          <w:b/>
          <w:bCs/>
          <w:sz w:val="28"/>
          <w:szCs w:val="28"/>
        </w:rPr>
        <w:t>1 冲压零件质量术语</w:t>
      </w:r>
    </w:p>
    <w:p w14:paraId="5B7040E0">
      <w:pPr>
        <w:spacing w:line="360" w:lineRule="auto"/>
        <w:ind w:firstLine="482" w:firstLineChars="200"/>
        <w:rPr>
          <w:rFonts w:hint="eastAsia" w:ascii="宋体" w:hAnsi="宋体" w:eastAsia="宋体"/>
          <w:b/>
          <w:bCs/>
          <w:sz w:val="24"/>
        </w:rPr>
      </w:pPr>
      <w:r>
        <w:rPr>
          <w:rFonts w:hint="eastAsia" w:ascii="宋体" w:hAnsi="宋体" w:eastAsia="宋体"/>
          <w:b/>
          <w:bCs/>
          <w:sz w:val="24"/>
        </w:rPr>
        <w:t>1.1合格率</w:t>
      </w:r>
    </w:p>
    <w:p w14:paraId="7C75C177">
      <w:pPr>
        <w:spacing w:line="360" w:lineRule="auto"/>
        <w:ind w:firstLine="480" w:firstLineChars="200"/>
        <w:rPr>
          <w:rFonts w:hint="eastAsia" w:ascii="宋体" w:hAnsi="宋体" w:eastAsia="宋体"/>
          <w:bCs/>
          <w:sz w:val="24"/>
        </w:rPr>
      </w:pPr>
      <w:r>
        <w:rPr>
          <w:rFonts w:hint="eastAsia" w:ascii="宋体" w:hAnsi="宋体" w:eastAsia="宋体"/>
          <w:bCs/>
          <w:sz w:val="24"/>
        </w:rPr>
        <w:t>1.1.1检测点：中标方制定检测点方案，招标方确认。</w:t>
      </w:r>
    </w:p>
    <w:p w14:paraId="4C8BE83E">
      <w:pPr>
        <w:spacing w:line="360" w:lineRule="auto"/>
        <w:ind w:firstLine="480" w:firstLineChars="200"/>
        <w:rPr>
          <w:rFonts w:hint="eastAsia" w:ascii="宋体" w:hAnsi="宋体" w:eastAsia="宋体"/>
          <w:bCs/>
          <w:sz w:val="24"/>
        </w:rPr>
      </w:pPr>
      <w:r>
        <w:rPr>
          <w:rFonts w:hint="eastAsia" w:ascii="宋体" w:hAnsi="宋体" w:eastAsia="宋体"/>
          <w:bCs/>
          <w:sz w:val="24"/>
        </w:rPr>
        <w:t>1.1.2合格率：以检测点来计算合格率，每批次每种样件的平均合格率。</w:t>
      </w:r>
    </w:p>
    <w:p w14:paraId="2E596FA9">
      <w:pPr>
        <w:spacing w:line="360" w:lineRule="auto"/>
        <w:ind w:firstLine="482" w:firstLineChars="200"/>
        <w:rPr>
          <w:rFonts w:hint="eastAsia" w:ascii="宋体" w:hAnsi="宋体" w:eastAsia="宋体"/>
          <w:b/>
          <w:bCs/>
          <w:sz w:val="24"/>
        </w:rPr>
      </w:pPr>
      <w:r>
        <w:rPr>
          <w:rFonts w:hint="eastAsia" w:ascii="宋体" w:hAnsi="宋体" w:eastAsia="宋体"/>
          <w:b/>
          <w:bCs/>
          <w:sz w:val="24"/>
        </w:rPr>
        <w:t>1.2 零件公差要求</w:t>
      </w:r>
    </w:p>
    <w:p w14:paraId="381D77C4">
      <w:pPr>
        <w:spacing w:line="360" w:lineRule="auto"/>
        <w:ind w:firstLine="480" w:firstLineChars="200"/>
        <w:rPr>
          <w:rFonts w:hint="eastAsia" w:ascii="宋体" w:hAnsi="宋体" w:eastAsia="宋体"/>
          <w:bCs/>
          <w:sz w:val="24"/>
        </w:rPr>
      </w:pPr>
      <w:r>
        <w:rPr>
          <w:rFonts w:hint="eastAsia" w:ascii="宋体" w:hAnsi="宋体" w:eastAsia="宋体"/>
          <w:bCs/>
          <w:sz w:val="24"/>
        </w:rPr>
        <w:t>1.2.1基准面公差：±0.1；</w:t>
      </w:r>
    </w:p>
    <w:p w14:paraId="5D887E15">
      <w:pPr>
        <w:spacing w:line="360" w:lineRule="auto"/>
        <w:ind w:firstLine="480" w:firstLineChars="200"/>
        <w:rPr>
          <w:rFonts w:hint="eastAsia" w:ascii="宋体" w:hAnsi="宋体" w:eastAsia="宋体"/>
          <w:bCs/>
          <w:sz w:val="24"/>
        </w:rPr>
      </w:pPr>
      <w:r>
        <w:rPr>
          <w:rFonts w:hint="eastAsia" w:ascii="宋体" w:hAnsi="宋体" w:eastAsia="宋体"/>
          <w:bCs/>
          <w:sz w:val="24"/>
        </w:rPr>
        <w:t>1.2.2装配面公差：面轮廓度的公差带t=0.5，具体的公差分配（相对于理论面的偏置方向）由焊装线制造厂家提供；</w:t>
      </w:r>
    </w:p>
    <w:p w14:paraId="5859CA56">
      <w:pPr>
        <w:spacing w:line="360" w:lineRule="auto"/>
        <w:ind w:firstLine="480" w:firstLineChars="200"/>
        <w:rPr>
          <w:rFonts w:hint="eastAsia" w:ascii="宋体" w:hAnsi="宋体" w:eastAsia="宋体"/>
          <w:bCs/>
          <w:sz w:val="24"/>
        </w:rPr>
      </w:pPr>
      <w:r>
        <w:rPr>
          <w:rFonts w:hint="eastAsia" w:ascii="宋体" w:hAnsi="宋体" w:eastAsia="宋体"/>
          <w:bCs/>
          <w:sz w:val="24"/>
        </w:rPr>
        <w:t>1.2.3一般面公差：±0.5；</w:t>
      </w:r>
    </w:p>
    <w:p w14:paraId="07B435DD">
      <w:pPr>
        <w:spacing w:line="360" w:lineRule="auto"/>
        <w:ind w:firstLine="480" w:firstLineChars="200"/>
        <w:rPr>
          <w:rFonts w:hint="eastAsia" w:ascii="宋体" w:hAnsi="宋体" w:eastAsia="宋体"/>
          <w:bCs/>
          <w:sz w:val="24"/>
        </w:rPr>
      </w:pPr>
      <w:r>
        <w:rPr>
          <w:rFonts w:hint="eastAsia" w:ascii="宋体" w:hAnsi="宋体" w:eastAsia="宋体"/>
          <w:bCs/>
          <w:sz w:val="24"/>
        </w:rPr>
        <w:t>1.2.4基准孔径公差：0.0-0.1；</w:t>
      </w:r>
    </w:p>
    <w:p w14:paraId="278312FD">
      <w:pPr>
        <w:spacing w:line="360" w:lineRule="auto"/>
        <w:ind w:firstLine="480" w:firstLineChars="200"/>
        <w:rPr>
          <w:rFonts w:hint="eastAsia" w:ascii="宋体" w:hAnsi="宋体" w:eastAsia="宋体"/>
          <w:bCs/>
          <w:sz w:val="24"/>
        </w:rPr>
      </w:pPr>
      <w:r>
        <w:rPr>
          <w:rFonts w:hint="eastAsia" w:ascii="宋体" w:hAnsi="宋体" w:eastAsia="宋体"/>
          <w:bCs/>
          <w:sz w:val="24"/>
        </w:rPr>
        <w:t>1.2.5基准孔位公差：±0.1；</w:t>
      </w:r>
    </w:p>
    <w:p w14:paraId="6A7C341F">
      <w:pPr>
        <w:spacing w:line="360" w:lineRule="auto"/>
        <w:ind w:firstLine="480" w:firstLineChars="200"/>
        <w:rPr>
          <w:rFonts w:hint="eastAsia" w:ascii="宋体" w:hAnsi="宋体" w:eastAsia="宋体"/>
          <w:bCs/>
          <w:sz w:val="24"/>
        </w:rPr>
      </w:pPr>
      <w:r>
        <w:rPr>
          <w:rFonts w:hint="eastAsia" w:ascii="宋体" w:hAnsi="宋体" w:eastAsia="宋体"/>
          <w:bCs/>
          <w:sz w:val="24"/>
        </w:rPr>
        <w:t>1.2.6装配孔径公差：0.0-0.2；</w:t>
      </w:r>
    </w:p>
    <w:p w14:paraId="39E87CA7">
      <w:pPr>
        <w:spacing w:line="360" w:lineRule="auto"/>
        <w:ind w:firstLine="480" w:firstLineChars="200"/>
        <w:rPr>
          <w:rFonts w:hint="eastAsia" w:ascii="宋体" w:hAnsi="宋体" w:eastAsia="宋体"/>
          <w:bCs/>
          <w:sz w:val="24"/>
        </w:rPr>
      </w:pPr>
      <w:r>
        <w:rPr>
          <w:rFonts w:hint="eastAsia" w:ascii="宋体" w:hAnsi="宋体" w:eastAsia="宋体"/>
          <w:bCs/>
          <w:sz w:val="24"/>
        </w:rPr>
        <w:t>1.2.7装配孔位公差：±0.2；</w:t>
      </w:r>
    </w:p>
    <w:p w14:paraId="2702E205">
      <w:pPr>
        <w:spacing w:line="360" w:lineRule="auto"/>
        <w:ind w:firstLine="480" w:firstLineChars="200"/>
        <w:rPr>
          <w:rFonts w:hint="eastAsia" w:ascii="宋体" w:hAnsi="宋体" w:eastAsia="宋体"/>
          <w:bCs/>
          <w:sz w:val="24"/>
        </w:rPr>
      </w:pPr>
      <w:r>
        <w:rPr>
          <w:rFonts w:hint="eastAsia" w:ascii="宋体" w:hAnsi="宋体" w:eastAsia="宋体"/>
          <w:bCs/>
          <w:sz w:val="24"/>
        </w:rPr>
        <w:t>1.2.8一般孔径公差：0.0-0.3；</w:t>
      </w:r>
    </w:p>
    <w:p w14:paraId="34A59B01">
      <w:pPr>
        <w:spacing w:line="360" w:lineRule="auto"/>
        <w:ind w:firstLine="480" w:firstLineChars="200"/>
        <w:rPr>
          <w:rFonts w:hint="eastAsia" w:ascii="宋体" w:hAnsi="宋体" w:eastAsia="宋体"/>
          <w:bCs/>
          <w:sz w:val="24"/>
        </w:rPr>
      </w:pPr>
      <w:r>
        <w:rPr>
          <w:rFonts w:hint="eastAsia" w:ascii="宋体" w:hAnsi="宋体" w:eastAsia="宋体"/>
          <w:bCs/>
          <w:sz w:val="24"/>
        </w:rPr>
        <w:t>1.2.9一般孔位公差：±0.5；</w:t>
      </w:r>
    </w:p>
    <w:p w14:paraId="50385040">
      <w:pPr>
        <w:spacing w:line="360" w:lineRule="auto"/>
        <w:ind w:firstLine="480" w:firstLineChars="200"/>
        <w:rPr>
          <w:rFonts w:hint="eastAsia" w:ascii="宋体" w:hAnsi="宋体" w:eastAsia="宋体"/>
          <w:bCs/>
          <w:sz w:val="24"/>
        </w:rPr>
      </w:pPr>
      <w:r>
        <w:rPr>
          <w:rFonts w:hint="eastAsia" w:ascii="宋体" w:hAnsi="宋体" w:eastAsia="宋体"/>
          <w:bCs/>
          <w:sz w:val="24"/>
        </w:rPr>
        <w:t>1.2.10切边公差：±0.8；</w:t>
      </w:r>
    </w:p>
    <w:p w14:paraId="1B6B8DC1">
      <w:pPr>
        <w:spacing w:line="360" w:lineRule="auto"/>
        <w:ind w:firstLine="480" w:firstLineChars="200"/>
        <w:rPr>
          <w:rFonts w:hint="eastAsia" w:ascii="宋体" w:hAnsi="宋体" w:eastAsia="宋体"/>
          <w:bCs/>
          <w:sz w:val="24"/>
        </w:rPr>
      </w:pPr>
      <w:r>
        <w:rPr>
          <w:rFonts w:hint="eastAsia" w:ascii="宋体" w:hAnsi="宋体" w:eastAsia="宋体"/>
          <w:bCs/>
          <w:sz w:val="24"/>
        </w:rPr>
        <w:t>1.2.11凸缘高度公差：±1.0；</w:t>
      </w:r>
    </w:p>
    <w:p w14:paraId="0829EB2D">
      <w:pPr>
        <w:spacing w:line="360" w:lineRule="auto"/>
        <w:ind w:firstLine="480" w:firstLineChars="200"/>
        <w:rPr>
          <w:rFonts w:hint="eastAsia" w:ascii="宋体" w:hAnsi="宋体" w:eastAsia="宋体"/>
          <w:bCs/>
          <w:sz w:val="24"/>
        </w:rPr>
      </w:pPr>
      <w:r>
        <w:rPr>
          <w:rFonts w:hint="eastAsia" w:ascii="宋体" w:hAnsi="宋体" w:eastAsia="宋体"/>
          <w:bCs/>
          <w:sz w:val="24"/>
        </w:rPr>
        <w:t>1.2.12 材料厚度减薄率：≤20%。</w:t>
      </w:r>
    </w:p>
    <w:p w14:paraId="4B2FCA74">
      <w:pPr>
        <w:spacing w:line="360" w:lineRule="auto"/>
        <w:ind w:firstLine="482" w:firstLineChars="200"/>
        <w:rPr>
          <w:rFonts w:hint="eastAsia" w:ascii="宋体" w:hAnsi="宋体" w:eastAsia="宋体"/>
          <w:b/>
          <w:bCs/>
          <w:sz w:val="24"/>
        </w:rPr>
      </w:pPr>
      <w:r>
        <w:rPr>
          <w:rFonts w:hint="eastAsia" w:ascii="宋体" w:hAnsi="宋体" w:eastAsia="宋体"/>
          <w:b/>
          <w:bCs/>
          <w:sz w:val="24"/>
        </w:rPr>
        <w:t>1.3质量缺陷定义</w:t>
      </w:r>
    </w:p>
    <w:p w14:paraId="0376AB52">
      <w:pPr>
        <w:spacing w:line="360" w:lineRule="auto"/>
        <w:ind w:firstLine="480" w:firstLineChars="200"/>
        <w:rPr>
          <w:rFonts w:hint="eastAsia" w:ascii="宋体" w:hAnsi="宋体" w:eastAsia="宋体"/>
          <w:bCs/>
          <w:sz w:val="24"/>
        </w:rPr>
      </w:pPr>
      <w:r>
        <w:rPr>
          <w:rFonts w:hint="eastAsia" w:ascii="宋体" w:hAnsi="宋体" w:eastAsia="宋体"/>
          <w:bCs/>
          <w:sz w:val="24"/>
        </w:rPr>
        <w:t>1.3.1起皱：局部毛坯受压引起失稳和材料流向不均引起局部材料堆积的现象。</w:t>
      </w:r>
    </w:p>
    <w:p w14:paraId="7A9720D5">
      <w:pPr>
        <w:spacing w:line="360" w:lineRule="auto"/>
        <w:ind w:firstLine="480" w:firstLineChars="200"/>
        <w:rPr>
          <w:rFonts w:hint="eastAsia" w:ascii="宋体" w:hAnsi="宋体" w:eastAsia="宋体"/>
          <w:bCs/>
          <w:sz w:val="24"/>
        </w:rPr>
      </w:pPr>
      <w:r>
        <w:rPr>
          <w:rFonts w:hint="eastAsia" w:ascii="宋体" w:hAnsi="宋体" w:eastAsia="宋体"/>
          <w:bCs/>
          <w:sz w:val="24"/>
        </w:rPr>
        <w:t>1.3.2缩颈、开裂：材料在拉伸过程中，载荷达到最大值后，材料的某一局部发生显著收缩的现象称为缩颈。当应变超过其极限，而形成失稳称为开裂。</w:t>
      </w:r>
    </w:p>
    <w:p w14:paraId="12D3867D">
      <w:pPr>
        <w:spacing w:line="360" w:lineRule="auto"/>
        <w:ind w:firstLine="480" w:firstLineChars="200"/>
        <w:rPr>
          <w:rFonts w:hint="eastAsia" w:ascii="宋体" w:hAnsi="宋体" w:eastAsia="宋体"/>
          <w:bCs/>
          <w:sz w:val="24"/>
        </w:rPr>
      </w:pPr>
      <w:r>
        <w:rPr>
          <w:rFonts w:hint="eastAsia" w:ascii="宋体" w:hAnsi="宋体" w:eastAsia="宋体"/>
          <w:bCs/>
          <w:sz w:val="24"/>
        </w:rPr>
        <w:t>1.3.3 隐形伤：包括压伤、凸点、凹点、凸痕、凹痕、波纹等。</w:t>
      </w:r>
    </w:p>
    <w:p w14:paraId="57DB2DAB">
      <w:pPr>
        <w:spacing w:line="360" w:lineRule="auto"/>
        <w:ind w:firstLine="424" w:firstLineChars="200"/>
        <w:rPr>
          <w:rFonts w:hint="eastAsia" w:ascii="宋体" w:hAnsi="宋体" w:eastAsia="宋体"/>
          <w:sz w:val="24"/>
        </w:rPr>
      </w:pPr>
      <w:r>
        <w:rPr>
          <w:rFonts w:hint="eastAsia" w:ascii="宋体" w:hAnsi="宋体" w:eastAsia="宋体"/>
          <w:spacing w:val="-14"/>
          <w:sz w:val="24"/>
        </w:rPr>
        <w:t>按</w:t>
      </w:r>
      <w:r>
        <w:rPr>
          <w:rFonts w:hint="eastAsia" w:ascii="宋体" w:hAnsi="宋体" w:eastAsia="宋体"/>
          <w:sz w:val="24"/>
        </w:rPr>
        <w:t>严重度</w:t>
      </w:r>
      <w:r>
        <w:rPr>
          <w:rFonts w:ascii="宋体" w:hAnsi="宋体" w:eastAsia="宋体"/>
          <w:sz w:val="24"/>
        </w:rPr>
        <w:t>分为三类：A类、B类和C类：</w:t>
      </w:r>
    </w:p>
    <w:p w14:paraId="0E73E52C">
      <w:pPr>
        <w:spacing w:line="360" w:lineRule="auto"/>
        <w:ind w:firstLine="480" w:firstLineChars="200"/>
        <w:rPr>
          <w:rFonts w:hint="eastAsia" w:ascii="宋体" w:hAnsi="宋体" w:eastAsia="宋体"/>
          <w:sz w:val="24"/>
        </w:rPr>
      </w:pPr>
      <w:r>
        <w:rPr>
          <w:rFonts w:ascii="宋体" w:hAnsi="宋体" w:eastAsia="宋体"/>
          <w:sz w:val="24"/>
        </w:rPr>
        <w:t>A类问题是指在</w:t>
      </w:r>
      <w:r>
        <w:rPr>
          <w:rFonts w:hint="eastAsia" w:ascii="宋体" w:hAnsi="宋体" w:eastAsia="宋体"/>
          <w:color w:val="000000"/>
          <w:sz w:val="24"/>
        </w:rPr>
        <w:t>2</w:t>
      </w:r>
      <w:r>
        <w:rPr>
          <w:rFonts w:ascii="宋体" w:hAnsi="宋体" w:eastAsia="宋体"/>
          <w:color w:val="000000"/>
          <w:sz w:val="24"/>
        </w:rPr>
        <w:t>000Lux</w:t>
      </w:r>
      <w:r>
        <w:rPr>
          <w:rFonts w:ascii="宋体" w:hAnsi="宋体" w:eastAsia="宋体"/>
          <w:sz w:val="24"/>
        </w:rPr>
        <w:t>的光线下能够目视发现的凸凹点(痕)、划伤、棱线清晰、过渡圆滑、外露部分无走料痕迹等问题。</w:t>
      </w:r>
    </w:p>
    <w:p w14:paraId="0F2B799E">
      <w:pPr>
        <w:spacing w:line="360" w:lineRule="auto"/>
        <w:ind w:firstLine="480" w:firstLineChars="200"/>
        <w:rPr>
          <w:rFonts w:hint="eastAsia" w:ascii="宋体" w:hAnsi="宋体" w:eastAsia="宋体"/>
          <w:sz w:val="24"/>
        </w:rPr>
      </w:pPr>
      <w:r>
        <w:rPr>
          <w:rFonts w:ascii="宋体" w:hAnsi="宋体" w:eastAsia="宋体"/>
          <w:sz w:val="24"/>
        </w:rPr>
        <w:t>B类问题是指在</w:t>
      </w:r>
      <w:r>
        <w:rPr>
          <w:rFonts w:hint="eastAsia" w:ascii="宋体" w:hAnsi="宋体" w:eastAsia="宋体"/>
          <w:color w:val="000000"/>
          <w:sz w:val="24"/>
        </w:rPr>
        <w:t>2</w:t>
      </w:r>
      <w:r>
        <w:rPr>
          <w:rFonts w:ascii="宋体" w:hAnsi="宋体" w:eastAsia="宋体"/>
          <w:color w:val="000000"/>
          <w:sz w:val="24"/>
        </w:rPr>
        <w:t>000Lux</w:t>
      </w:r>
      <w:r>
        <w:rPr>
          <w:rFonts w:ascii="宋体" w:hAnsi="宋体" w:eastAsia="宋体"/>
          <w:sz w:val="24"/>
        </w:rPr>
        <w:t>的光线下目视不出，但可以通过手感感觉出的凸凹点（痕），其中有很强或较强手感的为B1类问题，手感很微弱的为B2类问题。</w:t>
      </w:r>
    </w:p>
    <w:p w14:paraId="11E55175">
      <w:pPr>
        <w:spacing w:line="360" w:lineRule="auto"/>
        <w:ind w:firstLine="480" w:firstLineChars="200"/>
        <w:rPr>
          <w:rFonts w:hint="eastAsia" w:ascii="宋体" w:hAnsi="宋体" w:eastAsia="宋体"/>
          <w:sz w:val="24"/>
        </w:rPr>
      </w:pPr>
      <w:r>
        <w:rPr>
          <w:rFonts w:ascii="宋体" w:hAnsi="宋体" w:eastAsia="宋体"/>
          <w:sz w:val="24"/>
        </w:rPr>
        <w:t>C类问题是指手感无法感觉出，但通过油石可以打出的凸凹点（痕）。</w:t>
      </w:r>
    </w:p>
    <w:p w14:paraId="2572ABAE">
      <w:pPr>
        <w:spacing w:line="360" w:lineRule="auto"/>
        <w:ind w:firstLine="480" w:firstLineChars="200"/>
        <w:rPr>
          <w:rFonts w:hint="eastAsia" w:ascii="宋体" w:hAnsi="宋体" w:eastAsia="宋体"/>
          <w:bCs/>
          <w:sz w:val="24"/>
        </w:rPr>
      </w:pPr>
      <w:r>
        <w:rPr>
          <w:rFonts w:hint="eastAsia" w:ascii="宋体" w:hAnsi="宋体" w:eastAsia="宋体"/>
          <w:bCs/>
          <w:sz w:val="24"/>
        </w:rPr>
        <w:t>1.3.4滑移线、双线：指冲压件表面具有位移的轮廓冲击线，指在冲压成形过程中，模具冲击板料，在冲压件表面形成轮廓印痕，该印痕随冲压行程的进行而与模具轮廓发生的相对位移。</w:t>
      </w:r>
    </w:p>
    <w:p w14:paraId="3B30F233">
      <w:pPr>
        <w:spacing w:line="360" w:lineRule="auto"/>
        <w:ind w:firstLine="480" w:firstLineChars="200"/>
        <w:rPr>
          <w:rFonts w:hint="eastAsia" w:ascii="宋体" w:hAnsi="宋体" w:eastAsia="宋体"/>
          <w:bCs/>
          <w:sz w:val="24"/>
        </w:rPr>
      </w:pPr>
      <w:r>
        <w:rPr>
          <w:rFonts w:hint="eastAsia" w:ascii="宋体" w:hAnsi="宋体" w:eastAsia="宋体"/>
          <w:bCs/>
          <w:sz w:val="24"/>
        </w:rPr>
        <w:t>1.3.5卷边：指板料一端将板料向上或向下卷出圆筒或者半圆筒；</w:t>
      </w:r>
    </w:p>
    <w:p w14:paraId="5FC86D03">
      <w:pPr>
        <w:spacing w:line="360" w:lineRule="auto"/>
        <w:ind w:firstLine="480" w:firstLineChars="200"/>
        <w:rPr>
          <w:rFonts w:hint="eastAsia" w:ascii="宋体" w:hAnsi="宋体" w:eastAsia="宋体"/>
          <w:bCs/>
          <w:sz w:val="24"/>
        </w:rPr>
      </w:pPr>
      <w:r>
        <w:rPr>
          <w:rFonts w:hint="eastAsia" w:ascii="宋体" w:hAnsi="宋体" w:eastAsia="宋体"/>
          <w:bCs/>
          <w:sz w:val="24"/>
        </w:rPr>
        <w:t>1.3.6外观R不顺、包边R不顺、包边不良：外观R不一致指拉延或者整形过程中棱线圆角大小不一致或者尖角叠料；包边R不顺、包边不良指扣合后扣合圆角大小不一致、存在外板未包住内板情况、包边或者双线等。</w:t>
      </w:r>
    </w:p>
    <w:p w14:paraId="270AE7CE">
      <w:pPr>
        <w:spacing w:line="360" w:lineRule="auto"/>
        <w:ind w:firstLine="480" w:firstLineChars="200"/>
        <w:rPr>
          <w:rFonts w:hint="eastAsia" w:ascii="宋体" w:hAnsi="宋体" w:eastAsia="宋体"/>
          <w:bCs/>
          <w:sz w:val="24"/>
        </w:rPr>
      </w:pPr>
      <w:r>
        <w:rPr>
          <w:rFonts w:hint="eastAsia" w:ascii="宋体" w:hAnsi="宋体" w:eastAsia="宋体"/>
          <w:bCs/>
          <w:sz w:val="24"/>
        </w:rPr>
        <w:t>1.3.7毛刺：</w:t>
      </w:r>
      <w:r>
        <w:rPr>
          <w:rFonts w:hint="eastAsia" w:ascii="宋体" w:hAnsi="宋体" w:eastAsia="宋体"/>
          <w:sz w:val="24"/>
        </w:rPr>
        <w:t>指板料冲裁时留在冲压成品件断面上的异常凸起。</w:t>
      </w:r>
    </w:p>
    <w:p w14:paraId="686B89E6">
      <w:pPr>
        <w:spacing w:line="360" w:lineRule="auto"/>
        <w:rPr>
          <w:rFonts w:hint="eastAsia" w:ascii="宋体" w:hAnsi="宋体" w:eastAsia="宋体"/>
          <w:b/>
          <w:bCs/>
          <w:sz w:val="28"/>
          <w:szCs w:val="28"/>
        </w:rPr>
      </w:pPr>
      <w:r>
        <w:rPr>
          <w:rFonts w:hint="eastAsia" w:ascii="宋体" w:hAnsi="宋体" w:eastAsia="宋体"/>
          <w:b/>
          <w:bCs/>
          <w:sz w:val="28"/>
          <w:szCs w:val="28"/>
        </w:rPr>
        <w:t>2</w:t>
      </w:r>
      <w:r>
        <w:rPr>
          <w:rFonts w:ascii="宋体" w:hAnsi="宋体" w:eastAsia="宋体"/>
          <w:b/>
          <w:bCs/>
          <w:sz w:val="28"/>
          <w:szCs w:val="28"/>
        </w:rPr>
        <w:t>试制</w:t>
      </w:r>
      <w:r>
        <w:rPr>
          <w:rFonts w:hint="eastAsia" w:ascii="宋体" w:hAnsi="宋体" w:eastAsia="宋体"/>
          <w:b/>
          <w:bCs/>
          <w:sz w:val="28"/>
          <w:szCs w:val="28"/>
        </w:rPr>
        <w:t>各</w:t>
      </w:r>
      <w:r>
        <w:rPr>
          <w:rFonts w:ascii="宋体" w:hAnsi="宋体" w:eastAsia="宋体"/>
          <w:b/>
          <w:bCs/>
          <w:sz w:val="28"/>
          <w:szCs w:val="28"/>
        </w:rPr>
        <w:t>阶段零部</w:t>
      </w:r>
      <w:r>
        <w:rPr>
          <w:rFonts w:hint="eastAsia" w:ascii="宋体" w:hAnsi="宋体" w:eastAsia="宋体"/>
          <w:b/>
          <w:bCs/>
          <w:sz w:val="28"/>
          <w:szCs w:val="28"/>
        </w:rPr>
        <w:t>件质量</w:t>
      </w:r>
      <w:r>
        <w:rPr>
          <w:rFonts w:ascii="宋体" w:hAnsi="宋体" w:eastAsia="宋体"/>
          <w:b/>
          <w:bCs/>
          <w:sz w:val="28"/>
          <w:szCs w:val="28"/>
        </w:rPr>
        <w:t>判定标准</w:t>
      </w:r>
    </w:p>
    <w:p w14:paraId="00962203">
      <w:pPr>
        <w:spacing w:line="360" w:lineRule="auto"/>
        <w:ind w:firstLine="482" w:firstLineChars="200"/>
        <w:rPr>
          <w:rFonts w:hint="eastAsia" w:ascii="宋体" w:hAnsi="宋体" w:eastAsia="宋体"/>
          <w:b/>
          <w:bCs/>
          <w:sz w:val="24"/>
        </w:rPr>
      </w:pPr>
      <w:r>
        <w:rPr>
          <w:rFonts w:hint="eastAsia" w:ascii="宋体" w:hAnsi="宋体" w:eastAsia="宋体"/>
          <w:b/>
          <w:bCs/>
          <w:sz w:val="24"/>
        </w:rPr>
        <w:t>2.1  半工装件</w:t>
      </w:r>
      <w:r>
        <w:rPr>
          <w:rFonts w:ascii="宋体" w:hAnsi="宋体" w:eastAsia="宋体"/>
          <w:b/>
          <w:bCs/>
          <w:sz w:val="24"/>
        </w:rPr>
        <w:t>合格品判定</w:t>
      </w:r>
    </w:p>
    <w:p w14:paraId="1AA37E52">
      <w:pPr>
        <w:spacing w:line="360" w:lineRule="auto"/>
        <w:ind w:left="420" w:leftChars="200"/>
        <w:rPr>
          <w:rFonts w:hint="eastAsia" w:ascii="宋体" w:hAnsi="宋体" w:eastAsia="宋体"/>
          <w:bCs/>
          <w:color w:val="D9D9D9"/>
          <w:sz w:val="24"/>
        </w:rPr>
      </w:pPr>
      <w:r>
        <w:rPr>
          <w:rFonts w:hint="eastAsia" w:ascii="宋体" w:hAnsi="宋体" w:eastAsia="宋体"/>
          <w:bCs/>
          <w:sz w:val="24"/>
        </w:rPr>
        <w:t>a) 合格率：零件总体合格率：</w:t>
      </w:r>
      <w:r>
        <w:rPr>
          <w:rFonts w:hint="eastAsia" w:ascii="宋体" w:hAnsi="宋体" w:eastAsia="宋体"/>
          <w:bCs/>
          <w:color w:val="000000"/>
          <w:sz w:val="24"/>
        </w:rPr>
        <w:t>≥</w:t>
      </w:r>
      <w:r>
        <w:rPr>
          <w:rFonts w:hint="eastAsia" w:ascii="宋体" w:hAnsi="宋体" w:eastAsia="宋体"/>
          <w:bCs/>
          <w:sz w:val="24"/>
        </w:rPr>
        <w:t>70%。</w:t>
      </w:r>
      <w:r>
        <w:rPr>
          <w:rFonts w:hint="eastAsia" w:ascii="宋体" w:hAnsi="宋体" w:eastAsia="宋体"/>
          <w:bCs/>
          <w:color w:val="000000"/>
          <w:sz w:val="24"/>
        </w:rPr>
        <w:t>基准孔、基准面</w:t>
      </w:r>
      <w:r>
        <w:rPr>
          <w:rFonts w:ascii="宋体" w:hAnsi="宋体" w:eastAsia="宋体"/>
          <w:bCs/>
          <w:color w:val="000000"/>
          <w:sz w:val="24"/>
        </w:rPr>
        <w:t>合格率</w:t>
      </w:r>
      <w:r>
        <w:rPr>
          <w:rFonts w:hint="eastAsia" w:ascii="宋体" w:hAnsi="宋体" w:eastAsia="宋体"/>
          <w:bCs/>
          <w:color w:val="000000"/>
          <w:sz w:val="24"/>
        </w:rPr>
        <w:t>≥80</w:t>
      </w:r>
      <w:r>
        <w:rPr>
          <w:rFonts w:ascii="宋体" w:hAnsi="宋体" w:eastAsia="宋体"/>
          <w:bCs/>
          <w:color w:val="000000"/>
          <w:sz w:val="24"/>
        </w:rPr>
        <w:t>%，</w:t>
      </w:r>
      <w:r>
        <w:rPr>
          <w:rFonts w:hint="eastAsia" w:ascii="宋体" w:hAnsi="宋体" w:eastAsia="宋体"/>
          <w:bCs/>
          <w:color w:val="000000"/>
          <w:sz w:val="24"/>
        </w:rPr>
        <w:t>搭接面</w:t>
      </w:r>
      <w:r>
        <w:rPr>
          <w:rFonts w:ascii="宋体" w:hAnsi="宋体" w:eastAsia="宋体"/>
          <w:bCs/>
          <w:color w:val="000000"/>
          <w:sz w:val="24"/>
        </w:rPr>
        <w:t>合格率</w:t>
      </w:r>
      <w:r>
        <w:rPr>
          <w:rFonts w:hint="eastAsia" w:ascii="宋体" w:hAnsi="宋体" w:eastAsia="宋体"/>
          <w:bCs/>
          <w:color w:val="000000"/>
          <w:sz w:val="24"/>
        </w:rPr>
        <w:t>≥60</w:t>
      </w:r>
      <w:r>
        <w:rPr>
          <w:rFonts w:ascii="宋体" w:hAnsi="宋体" w:eastAsia="宋体"/>
          <w:bCs/>
          <w:color w:val="000000"/>
          <w:sz w:val="24"/>
        </w:rPr>
        <w:t>%，</w:t>
      </w:r>
      <w:r>
        <w:rPr>
          <w:rFonts w:hint="eastAsia" w:ascii="宋体" w:hAnsi="宋体" w:eastAsia="宋体"/>
          <w:bCs/>
          <w:color w:val="000000"/>
          <w:sz w:val="24"/>
        </w:rPr>
        <w:t>安装孔</w:t>
      </w:r>
      <w:r>
        <w:rPr>
          <w:rFonts w:ascii="宋体" w:hAnsi="宋体" w:eastAsia="宋体"/>
          <w:bCs/>
          <w:color w:val="000000"/>
          <w:sz w:val="24"/>
        </w:rPr>
        <w:t>合格率</w:t>
      </w:r>
      <w:r>
        <w:rPr>
          <w:rFonts w:hint="eastAsia" w:ascii="宋体" w:hAnsi="宋体" w:eastAsia="宋体"/>
          <w:bCs/>
          <w:color w:val="000000"/>
          <w:sz w:val="24"/>
        </w:rPr>
        <w:t>≥70</w:t>
      </w:r>
      <w:r>
        <w:rPr>
          <w:rFonts w:ascii="宋体" w:hAnsi="宋体" w:eastAsia="宋体"/>
          <w:bCs/>
          <w:color w:val="000000"/>
          <w:sz w:val="24"/>
        </w:rPr>
        <w:t>%</w:t>
      </w:r>
      <w:r>
        <w:rPr>
          <w:rFonts w:hint="eastAsia" w:ascii="宋体" w:hAnsi="宋体" w:eastAsia="宋体"/>
          <w:bCs/>
          <w:color w:val="000000"/>
          <w:sz w:val="24"/>
        </w:rPr>
        <w:t>，其余指标≥65%以上。</w:t>
      </w:r>
    </w:p>
    <w:p w14:paraId="0D31D03B">
      <w:pPr>
        <w:spacing w:line="360" w:lineRule="auto"/>
        <w:ind w:left="420" w:leftChars="200"/>
        <w:rPr>
          <w:rFonts w:hint="eastAsia" w:ascii="宋体" w:hAnsi="宋体" w:eastAsia="宋体"/>
          <w:bCs/>
          <w:sz w:val="24"/>
        </w:rPr>
      </w:pPr>
      <w:r>
        <w:rPr>
          <w:rFonts w:hint="eastAsia" w:ascii="宋体" w:hAnsi="宋体" w:eastAsia="宋体"/>
          <w:bCs/>
          <w:sz w:val="24"/>
        </w:rPr>
        <w:t>b) 起皱：A类外观件不允许起皱，其余允许3处及以下。</w:t>
      </w:r>
    </w:p>
    <w:p w14:paraId="4B0E2E81">
      <w:pPr>
        <w:spacing w:line="360" w:lineRule="auto"/>
        <w:ind w:left="420" w:leftChars="200"/>
        <w:rPr>
          <w:rFonts w:hint="eastAsia" w:ascii="宋体" w:hAnsi="宋体" w:eastAsia="宋体"/>
          <w:bCs/>
          <w:sz w:val="24"/>
        </w:rPr>
      </w:pPr>
      <w:r>
        <w:rPr>
          <w:rFonts w:hint="eastAsia" w:ascii="宋体" w:hAnsi="宋体" w:eastAsia="宋体"/>
          <w:bCs/>
          <w:sz w:val="24"/>
        </w:rPr>
        <w:t>c) 开裂、缩颈：不允许开裂。外板件不允许缩颈；结构件允许2处轻微缩颈，但必须补焊打磨后交付。</w:t>
      </w:r>
    </w:p>
    <w:p w14:paraId="7A1ADC7F">
      <w:pPr>
        <w:spacing w:line="360" w:lineRule="auto"/>
        <w:ind w:left="420" w:leftChars="200"/>
        <w:rPr>
          <w:rFonts w:hint="eastAsia" w:ascii="宋体" w:hAnsi="宋体" w:eastAsia="宋体"/>
          <w:bCs/>
          <w:sz w:val="24"/>
        </w:rPr>
      </w:pPr>
      <w:r>
        <w:rPr>
          <w:rFonts w:hint="eastAsia" w:ascii="宋体" w:hAnsi="宋体" w:eastAsia="宋体"/>
          <w:bCs/>
          <w:sz w:val="24"/>
        </w:rPr>
        <w:t>d) 隐形伤：外板件允许3处C类缺陷，其余无要求，但须修补打磨后交付。</w:t>
      </w:r>
    </w:p>
    <w:p w14:paraId="7389DD2F">
      <w:pPr>
        <w:spacing w:line="360" w:lineRule="auto"/>
        <w:ind w:left="420" w:leftChars="200"/>
        <w:rPr>
          <w:rFonts w:hint="eastAsia" w:ascii="宋体" w:hAnsi="宋体" w:eastAsia="宋体"/>
          <w:bCs/>
          <w:sz w:val="24"/>
        </w:rPr>
      </w:pPr>
      <w:r>
        <w:rPr>
          <w:rFonts w:hint="eastAsia" w:ascii="宋体" w:hAnsi="宋体" w:eastAsia="宋体"/>
          <w:bCs/>
          <w:sz w:val="24"/>
        </w:rPr>
        <w:t>e) 滑移线、双线：外板件不允许，其他件无要求，但须打磨后交付。</w:t>
      </w:r>
    </w:p>
    <w:p w14:paraId="0AF74764">
      <w:pPr>
        <w:spacing w:line="360" w:lineRule="auto"/>
        <w:ind w:left="420" w:leftChars="200"/>
        <w:rPr>
          <w:rFonts w:hint="eastAsia" w:ascii="宋体" w:hAnsi="宋体" w:eastAsia="宋体"/>
          <w:bCs/>
          <w:sz w:val="24"/>
        </w:rPr>
      </w:pPr>
      <w:r>
        <w:rPr>
          <w:rFonts w:hint="eastAsia" w:ascii="宋体" w:hAnsi="宋体" w:eastAsia="宋体"/>
          <w:bCs/>
          <w:sz w:val="24"/>
        </w:rPr>
        <w:t>f) 卷边：无要求，但须修整后交付。</w:t>
      </w:r>
    </w:p>
    <w:p w14:paraId="4B7A8FC9">
      <w:pPr>
        <w:spacing w:line="360" w:lineRule="auto"/>
        <w:ind w:left="420" w:leftChars="200"/>
        <w:rPr>
          <w:rFonts w:hint="eastAsia" w:ascii="宋体" w:hAnsi="宋体" w:eastAsia="宋体"/>
          <w:bCs/>
          <w:sz w:val="24"/>
        </w:rPr>
      </w:pPr>
      <w:r>
        <w:rPr>
          <w:rFonts w:hint="eastAsia" w:ascii="宋体" w:hAnsi="宋体" w:eastAsia="宋体"/>
          <w:bCs/>
          <w:sz w:val="24"/>
        </w:rPr>
        <w:t>g) 外观R不顺：外板件不允许，其他件无要求，但须修补打磨后交付。</w:t>
      </w:r>
    </w:p>
    <w:p w14:paraId="37EADE4C">
      <w:pPr>
        <w:spacing w:line="360" w:lineRule="auto"/>
        <w:ind w:left="420" w:leftChars="200"/>
        <w:rPr>
          <w:rFonts w:hint="eastAsia" w:ascii="宋体" w:hAnsi="宋体" w:eastAsia="宋体"/>
          <w:bCs/>
          <w:sz w:val="24"/>
        </w:rPr>
      </w:pPr>
      <w:r>
        <w:rPr>
          <w:rFonts w:hint="eastAsia" w:ascii="宋体" w:hAnsi="宋体" w:eastAsia="宋体"/>
          <w:bCs/>
          <w:sz w:val="24"/>
        </w:rPr>
        <w:t>h) 毛刺：无要求，但须修补打磨后交付。</w:t>
      </w:r>
    </w:p>
    <w:p w14:paraId="485EE000">
      <w:pPr>
        <w:spacing w:line="360" w:lineRule="auto"/>
        <w:ind w:left="420" w:leftChars="200"/>
        <w:rPr>
          <w:rFonts w:hint="eastAsia" w:ascii="宋体" w:hAnsi="宋体" w:eastAsia="宋体"/>
          <w:bCs/>
          <w:sz w:val="24"/>
        </w:rPr>
      </w:pPr>
      <w:r>
        <w:rPr>
          <w:rFonts w:hint="eastAsia" w:ascii="宋体" w:hAnsi="宋体" w:eastAsia="宋体"/>
          <w:bCs/>
          <w:sz w:val="24"/>
        </w:rPr>
        <w:t>i) 材料存度减薄率≤30%。</w:t>
      </w:r>
    </w:p>
    <w:p w14:paraId="7AC44A65">
      <w:pPr>
        <w:spacing w:line="360" w:lineRule="auto"/>
        <w:ind w:firstLine="482" w:firstLineChars="200"/>
        <w:rPr>
          <w:rFonts w:hint="eastAsia" w:ascii="宋体" w:hAnsi="宋体" w:eastAsia="宋体"/>
          <w:b/>
          <w:bCs/>
          <w:sz w:val="24"/>
        </w:rPr>
      </w:pPr>
      <w:r>
        <w:rPr>
          <w:rFonts w:hint="eastAsia" w:ascii="宋体" w:hAnsi="宋体" w:eastAsia="宋体"/>
          <w:b/>
          <w:bCs/>
          <w:sz w:val="24"/>
        </w:rPr>
        <w:t>2.2  全工装</w:t>
      </w:r>
      <w:r>
        <w:rPr>
          <w:rFonts w:ascii="宋体" w:hAnsi="宋体" w:eastAsia="宋体"/>
          <w:b/>
          <w:bCs/>
          <w:sz w:val="24"/>
        </w:rPr>
        <w:t>合格品判定</w:t>
      </w:r>
    </w:p>
    <w:p w14:paraId="57670232">
      <w:pPr>
        <w:spacing w:line="360" w:lineRule="auto"/>
        <w:ind w:left="420" w:leftChars="200"/>
        <w:rPr>
          <w:rFonts w:hint="eastAsia" w:ascii="宋体" w:hAnsi="宋体" w:eastAsia="宋体"/>
          <w:bCs/>
          <w:color w:val="000000"/>
          <w:sz w:val="24"/>
        </w:rPr>
      </w:pPr>
      <w:r>
        <w:rPr>
          <w:rFonts w:hint="eastAsia" w:ascii="宋体" w:hAnsi="宋体" w:eastAsia="宋体"/>
          <w:bCs/>
          <w:sz w:val="24"/>
        </w:rPr>
        <w:t xml:space="preserve">a) </w:t>
      </w:r>
      <w:r>
        <w:rPr>
          <w:rFonts w:hint="eastAsia" w:ascii="宋体" w:hAnsi="宋体" w:eastAsia="宋体"/>
          <w:bCs/>
          <w:color w:val="000000"/>
          <w:sz w:val="24"/>
        </w:rPr>
        <w:t>合格率：零件总体合格率：≥80%。基准孔、基准面</w:t>
      </w:r>
      <w:r>
        <w:rPr>
          <w:rFonts w:ascii="宋体" w:hAnsi="宋体" w:eastAsia="宋体"/>
          <w:bCs/>
          <w:color w:val="000000"/>
          <w:sz w:val="24"/>
        </w:rPr>
        <w:t>合格率</w:t>
      </w:r>
      <w:r>
        <w:rPr>
          <w:rFonts w:hint="eastAsia" w:ascii="宋体" w:hAnsi="宋体" w:eastAsia="宋体"/>
          <w:bCs/>
          <w:color w:val="000000"/>
          <w:sz w:val="24"/>
        </w:rPr>
        <w:t>≥90</w:t>
      </w:r>
      <w:r>
        <w:rPr>
          <w:rFonts w:ascii="宋体" w:hAnsi="宋体" w:eastAsia="宋体"/>
          <w:bCs/>
          <w:color w:val="000000"/>
          <w:sz w:val="24"/>
        </w:rPr>
        <w:t>%，</w:t>
      </w:r>
      <w:r>
        <w:rPr>
          <w:rFonts w:hint="eastAsia" w:ascii="宋体" w:hAnsi="宋体" w:eastAsia="宋体"/>
          <w:bCs/>
          <w:color w:val="000000"/>
          <w:sz w:val="24"/>
        </w:rPr>
        <w:t>搭接面</w:t>
      </w:r>
      <w:r>
        <w:rPr>
          <w:rFonts w:ascii="宋体" w:hAnsi="宋体" w:eastAsia="宋体"/>
          <w:bCs/>
          <w:color w:val="000000"/>
          <w:sz w:val="24"/>
        </w:rPr>
        <w:t>合格率</w:t>
      </w:r>
      <w:r>
        <w:rPr>
          <w:rFonts w:hint="eastAsia" w:ascii="宋体" w:hAnsi="宋体" w:eastAsia="宋体"/>
          <w:bCs/>
          <w:color w:val="000000"/>
          <w:sz w:val="24"/>
        </w:rPr>
        <w:t>≥90</w:t>
      </w:r>
      <w:r>
        <w:rPr>
          <w:rFonts w:ascii="宋体" w:hAnsi="宋体" w:eastAsia="宋体"/>
          <w:bCs/>
          <w:color w:val="000000"/>
          <w:sz w:val="24"/>
        </w:rPr>
        <w:t>%，</w:t>
      </w:r>
      <w:r>
        <w:rPr>
          <w:rFonts w:hint="eastAsia" w:ascii="宋体" w:hAnsi="宋体" w:eastAsia="宋体"/>
          <w:bCs/>
          <w:color w:val="000000"/>
          <w:sz w:val="24"/>
        </w:rPr>
        <w:t>安装孔</w:t>
      </w:r>
      <w:r>
        <w:rPr>
          <w:rFonts w:ascii="宋体" w:hAnsi="宋体" w:eastAsia="宋体"/>
          <w:bCs/>
          <w:color w:val="000000"/>
          <w:sz w:val="24"/>
        </w:rPr>
        <w:t>合格率</w:t>
      </w:r>
      <w:r>
        <w:rPr>
          <w:rFonts w:hint="eastAsia" w:ascii="宋体" w:hAnsi="宋体" w:eastAsia="宋体"/>
          <w:bCs/>
          <w:color w:val="000000"/>
          <w:sz w:val="24"/>
        </w:rPr>
        <w:t>≥85</w:t>
      </w:r>
      <w:r>
        <w:rPr>
          <w:rFonts w:ascii="宋体" w:hAnsi="宋体" w:eastAsia="宋体"/>
          <w:bCs/>
          <w:color w:val="000000"/>
          <w:sz w:val="24"/>
        </w:rPr>
        <w:t>%，</w:t>
      </w:r>
      <w:r>
        <w:rPr>
          <w:rFonts w:hint="eastAsia" w:ascii="宋体" w:hAnsi="宋体" w:eastAsia="宋体"/>
          <w:bCs/>
          <w:color w:val="000000"/>
          <w:sz w:val="24"/>
        </w:rPr>
        <w:t>其余指标≥75%，但不影响样车</w:t>
      </w:r>
      <w:r>
        <w:rPr>
          <w:rFonts w:hint="eastAsia" w:ascii="宋体" w:hAnsi="宋体" w:eastAsia="宋体"/>
          <w:bCs/>
          <w:sz w:val="24"/>
        </w:rPr>
        <w:t>装车匹配</w:t>
      </w:r>
      <w:r>
        <w:rPr>
          <w:rFonts w:hint="eastAsia" w:ascii="宋体" w:hAnsi="宋体" w:eastAsia="宋体"/>
          <w:bCs/>
          <w:color w:val="000000"/>
          <w:sz w:val="24"/>
        </w:rPr>
        <w:t>。</w:t>
      </w:r>
    </w:p>
    <w:p w14:paraId="25CC1B99">
      <w:pPr>
        <w:spacing w:line="360" w:lineRule="auto"/>
        <w:ind w:left="420" w:leftChars="200"/>
        <w:rPr>
          <w:rFonts w:hint="eastAsia" w:ascii="宋体" w:hAnsi="宋体" w:eastAsia="宋体"/>
          <w:bCs/>
          <w:sz w:val="24"/>
        </w:rPr>
      </w:pPr>
      <w:r>
        <w:rPr>
          <w:rFonts w:hint="eastAsia" w:ascii="宋体" w:hAnsi="宋体" w:eastAsia="宋体"/>
          <w:bCs/>
          <w:sz w:val="24"/>
        </w:rPr>
        <w:t>b) 起皱：不允许，特殊零件双方协商解决。</w:t>
      </w:r>
    </w:p>
    <w:p w14:paraId="224B717C">
      <w:pPr>
        <w:spacing w:line="360" w:lineRule="auto"/>
        <w:ind w:left="420" w:leftChars="200"/>
        <w:rPr>
          <w:rFonts w:hint="eastAsia" w:ascii="宋体" w:hAnsi="宋体" w:eastAsia="宋体"/>
          <w:bCs/>
          <w:sz w:val="24"/>
        </w:rPr>
      </w:pPr>
      <w:r>
        <w:rPr>
          <w:rFonts w:hint="eastAsia" w:ascii="宋体" w:hAnsi="宋体" w:eastAsia="宋体"/>
          <w:bCs/>
          <w:sz w:val="24"/>
        </w:rPr>
        <w:t>c) 开裂、缩颈：不允许。</w:t>
      </w:r>
    </w:p>
    <w:p w14:paraId="434D5EAA">
      <w:pPr>
        <w:spacing w:line="360" w:lineRule="auto"/>
        <w:ind w:left="420" w:leftChars="200"/>
        <w:rPr>
          <w:rFonts w:hint="eastAsia" w:ascii="宋体" w:hAnsi="宋体" w:eastAsia="宋体"/>
          <w:bCs/>
          <w:sz w:val="24"/>
        </w:rPr>
      </w:pPr>
      <w:r>
        <w:rPr>
          <w:rFonts w:hint="eastAsia" w:ascii="宋体" w:hAnsi="宋体" w:eastAsia="宋体"/>
          <w:bCs/>
          <w:sz w:val="24"/>
        </w:rPr>
        <w:t>d) 隐形伤：外板件不允许，其余件不允许有A类缺陷，B和C类缺陷无要求。</w:t>
      </w:r>
    </w:p>
    <w:p w14:paraId="0A357794">
      <w:pPr>
        <w:spacing w:line="360" w:lineRule="auto"/>
        <w:ind w:left="420" w:leftChars="200"/>
        <w:rPr>
          <w:rFonts w:hint="eastAsia" w:ascii="宋体" w:hAnsi="宋体" w:eastAsia="宋体"/>
          <w:bCs/>
          <w:sz w:val="24"/>
        </w:rPr>
      </w:pPr>
      <w:r>
        <w:rPr>
          <w:rFonts w:hint="eastAsia" w:ascii="宋体" w:hAnsi="宋体" w:eastAsia="宋体"/>
          <w:bCs/>
          <w:sz w:val="24"/>
        </w:rPr>
        <w:t>e) 滑移线、双线：外板件不允许。</w:t>
      </w:r>
    </w:p>
    <w:p w14:paraId="403917BF">
      <w:pPr>
        <w:spacing w:line="360" w:lineRule="auto"/>
        <w:ind w:left="420" w:leftChars="200"/>
        <w:rPr>
          <w:rFonts w:hint="eastAsia" w:ascii="宋体" w:hAnsi="宋体" w:eastAsia="宋体"/>
          <w:bCs/>
          <w:sz w:val="24"/>
        </w:rPr>
      </w:pPr>
      <w:r>
        <w:rPr>
          <w:rFonts w:hint="eastAsia" w:ascii="宋体" w:hAnsi="宋体" w:eastAsia="宋体"/>
          <w:bCs/>
          <w:sz w:val="24"/>
        </w:rPr>
        <w:t>f) 卷边：不允许。</w:t>
      </w:r>
    </w:p>
    <w:p w14:paraId="6950CFF4">
      <w:pPr>
        <w:spacing w:line="360" w:lineRule="auto"/>
        <w:ind w:left="420" w:leftChars="200"/>
        <w:rPr>
          <w:rFonts w:hint="eastAsia" w:ascii="宋体" w:hAnsi="宋体" w:eastAsia="宋体"/>
          <w:bCs/>
          <w:sz w:val="24"/>
        </w:rPr>
      </w:pPr>
      <w:r>
        <w:rPr>
          <w:rFonts w:hint="eastAsia" w:ascii="宋体" w:hAnsi="宋体" w:eastAsia="宋体"/>
          <w:bCs/>
          <w:sz w:val="24"/>
        </w:rPr>
        <w:t xml:space="preserve">g) 外观R不顺：不允许。 </w:t>
      </w:r>
    </w:p>
    <w:p w14:paraId="5C46AE1D">
      <w:pPr>
        <w:spacing w:line="360" w:lineRule="auto"/>
        <w:ind w:left="420" w:leftChars="200"/>
        <w:rPr>
          <w:rFonts w:hint="eastAsia" w:ascii="宋体" w:hAnsi="宋体" w:eastAsia="宋体"/>
          <w:bCs/>
          <w:sz w:val="24"/>
        </w:rPr>
      </w:pPr>
      <w:r>
        <w:rPr>
          <w:rFonts w:hint="eastAsia" w:ascii="宋体" w:hAnsi="宋体" w:eastAsia="宋体"/>
          <w:bCs/>
          <w:sz w:val="24"/>
        </w:rPr>
        <w:t>h) 毛刺：异常毛刺每件不超过2处，须打磨后交付。</w:t>
      </w:r>
    </w:p>
    <w:p w14:paraId="1E926CA6">
      <w:pPr>
        <w:spacing w:line="360" w:lineRule="auto"/>
        <w:ind w:left="420" w:leftChars="200"/>
        <w:rPr>
          <w:rFonts w:hint="eastAsia" w:ascii="宋体" w:hAnsi="宋体" w:eastAsia="宋体"/>
          <w:bCs/>
          <w:sz w:val="24"/>
        </w:rPr>
      </w:pPr>
      <w:r>
        <w:rPr>
          <w:rFonts w:hint="eastAsia" w:ascii="宋体" w:hAnsi="宋体" w:eastAsia="宋体"/>
          <w:bCs/>
          <w:sz w:val="24"/>
        </w:rPr>
        <w:t>i) 材料存度减薄率≤25%。</w:t>
      </w:r>
    </w:p>
    <w:p w14:paraId="725ED52C">
      <w:pPr>
        <w:spacing w:line="360" w:lineRule="auto"/>
        <w:ind w:firstLine="482" w:firstLineChars="200"/>
        <w:rPr>
          <w:rFonts w:hint="eastAsia" w:ascii="宋体" w:hAnsi="宋体" w:eastAsia="宋体"/>
          <w:b/>
          <w:bCs/>
          <w:sz w:val="24"/>
        </w:rPr>
      </w:pPr>
      <w:r>
        <w:rPr>
          <w:rFonts w:hint="eastAsia" w:ascii="宋体" w:hAnsi="宋体" w:eastAsia="宋体"/>
          <w:b/>
          <w:bCs/>
          <w:sz w:val="24"/>
        </w:rPr>
        <w:t>2.3  预验收合格品判定</w:t>
      </w:r>
    </w:p>
    <w:p w14:paraId="3B24F404">
      <w:pPr>
        <w:spacing w:line="360" w:lineRule="auto"/>
        <w:ind w:left="420" w:leftChars="200"/>
        <w:rPr>
          <w:rFonts w:hint="eastAsia" w:ascii="宋体" w:hAnsi="宋体" w:eastAsia="宋体"/>
          <w:bCs/>
          <w:sz w:val="24"/>
        </w:rPr>
      </w:pPr>
      <w:r>
        <w:rPr>
          <w:rFonts w:hint="eastAsia" w:ascii="宋体" w:hAnsi="宋体" w:eastAsia="宋体"/>
          <w:bCs/>
          <w:sz w:val="24"/>
        </w:rPr>
        <w:t>a) 合</w:t>
      </w:r>
      <w:r>
        <w:rPr>
          <w:rFonts w:hint="eastAsia" w:ascii="宋体" w:hAnsi="宋体" w:eastAsia="宋体"/>
          <w:bCs/>
          <w:color w:val="000000"/>
          <w:sz w:val="24"/>
        </w:rPr>
        <w:t>格率：零件总体合格率≥90%。</w:t>
      </w:r>
      <w:r>
        <w:rPr>
          <w:rFonts w:hint="eastAsia" w:ascii="宋体" w:hAnsi="宋体" w:eastAsia="宋体"/>
          <w:bCs/>
          <w:sz w:val="24"/>
        </w:rPr>
        <w:t>基准孔、基准面</w:t>
      </w:r>
      <w:r>
        <w:rPr>
          <w:rFonts w:ascii="宋体" w:hAnsi="宋体" w:eastAsia="宋体"/>
          <w:bCs/>
          <w:sz w:val="24"/>
        </w:rPr>
        <w:t>合格率</w:t>
      </w:r>
      <w:r>
        <w:rPr>
          <w:rFonts w:hint="eastAsia" w:ascii="宋体" w:hAnsi="宋体" w:eastAsia="宋体"/>
          <w:bCs/>
          <w:sz w:val="24"/>
        </w:rPr>
        <w:t>=100</w:t>
      </w:r>
      <w:r>
        <w:rPr>
          <w:rFonts w:ascii="宋体" w:hAnsi="宋体" w:eastAsia="宋体"/>
          <w:bCs/>
          <w:sz w:val="24"/>
        </w:rPr>
        <w:t>%，</w:t>
      </w:r>
      <w:r>
        <w:rPr>
          <w:rFonts w:hint="eastAsia" w:ascii="宋体" w:hAnsi="宋体" w:eastAsia="宋体"/>
          <w:bCs/>
          <w:sz w:val="24"/>
        </w:rPr>
        <w:t>搭接面</w:t>
      </w:r>
      <w:r>
        <w:rPr>
          <w:rFonts w:ascii="宋体" w:hAnsi="宋体" w:eastAsia="宋体"/>
          <w:bCs/>
          <w:sz w:val="24"/>
        </w:rPr>
        <w:t>合格率</w:t>
      </w:r>
      <w:r>
        <w:rPr>
          <w:rFonts w:hint="eastAsia" w:ascii="宋体" w:hAnsi="宋体" w:eastAsia="宋体"/>
          <w:bCs/>
          <w:sz w:val="24"/>
        </w:rPr>
        <w:t>=100</w:t>
      </w:r>
      <w:r>
        <w:rPr>
          <w:rFonts w:ascii="宋体" w:hAnsi="宋体" w:eastAsia="宋体"/>
          <w:bCs/>
          <w:sz w:val="24"/>
        </w:rPr>
        <w:t>%，</w:t>
      </w:r>
      <w:r>
        <w:rPr>
          <w:rFonts w:hint="eastAsia" w:ascii="宋体" w:hAnsi="宋体" w:eastAsia="宋体"/>
          <w:bCs/>
          <w:sz w:val="24"/>
        </w:rPr>
        <w:t>安装孔</w:t>
      </w:r>
      <w:r>
        <w:rPr>
          <w:rFonts w:ascii="宋体" w:hAnsi="宋体" w:eastAsia="宋体"/>
          <w:bCs/>
          <w:sz w:val="24"/>
        </w:rPr>
        <w:t>合格率</w:t>
      </w:r>
      <w:r>
        <w:rPr>
          <w:rFonts w:hint="eastAsia" w:ascii="宋体" w:hAnsi="宋体" w:eastAsia="宋体"/>
          <w:bCs/>
          <w:sz w:val="24"/>
        </w:rPr>
        <w:t>=100</w:t>
      </w:r>
      <w:r>
        <w:rPr>
          <w:rFonts w:ascii="宋体" w:hAnsi="宋体" w:eastAsia="宋体"/>
          <w:bCs/>
          <w:sz w:val="24"/>
        </w:rPr>
        <w:t>%</w:t>
      </w:r>
      <w:r>
        <w:rPr>
          <w:rFonts w:hint="eastAsia" w:ascii="宋体" w:hAnsi="宋体" w:eastAsia="宋体"/>
          <w:bCs/>
          <w:sz w:val="24"/>
        </w:rPr>
        <w:t>，</w:t>
      </w:r>
      <w:r>
        <w:rPr>
          <w:rFonts w:hint="eastAsia" w:ascii="宋体" w:hAnsi="宋体" w:eastAsia="宋体"/>
          <w:bCs/>
          <w:color w:val="000000"/>
          <w:sz w:val="24"/>
        </w:rPr>
        <w:t>其余指标≥85%，但不影响样车</w:t>
      </w:r>
      <w:r>
        <w:rPr>
          <w:rFonts w:hint="eastAsia" w:ascii="宋体" w:hAnsi="宋体" w:eastAsia="宋体"/>
          <w:bCs/>
          <w:sz w:val="24"/>
        </w:rPr>
        <w:t>装车匹配。</w:t>
      </w:r>
    </w:p>
    <w:p w14:paraId="13B22130">
      <w:pPr>
        <w:spacing w:line="360" w:lineRule="auto"/>
        <w:ind w:left="420" w:leftChars="200"/>
        <w:rPr>
          <w:rFonts w:hint="eastAsia" w:ascii="宋体" w:hAnsi="宋体" w:eastAsia="宋体"/>
          <w:bCs/>
          <w:sz w:val="24"/>
        </w:rPr>
      </w:pPr>
      <w:r>
        <w:rPr>
          <w:rFonts w:hint="eastAsia" w:ascii="宋体" w:hAnsi="宋体" w:eastAsia="宋体"/>
          <w:bCs/>
          <w:sz w:val="24"/>
        </w:rPr>
        <w:t>b) 起皱：不允许。</w:t>
      </w:r>
    </w:p>
    <w:p w14:paraId="33AFD8D9">
      <w:pPr>
        <w:spacing w:line="360" w:lineRule="auto"/>
        <w:ind w:left="420" w:leftChars="200"/>
        <w:rPr>
          <w:rFonts w:hint="eastAsia" w:ascii="宋体" w:hAnsi="宋体" w:eastAsia="宋体"/>
          <w:bCs/>
          <w:sz w:val="24"/>
        </w:rPr>
      </w:pPr>
      <w:r>
        <w:rPr>
          <w:rFonts w:hint="eastAsia" w:ascii="宋体" w:hAnsi="宋体" w:eastAsia="宋体"/>
          <w:bCs/>
          <w:sz w:val="24"/>
        </w:rPr>
        <w:t>c) 开裂、缩颈：不允许。</w:t>
      </w:r>
    </w:p>
    <w:p w14:paraId="7C1ECF53">
      <w:pPr>
        <w:spacing w:line="360" w:lineRule="auto"/>
        <w:ind w:left="420" w:leftChars="200"/>
        <w:rPr>
          <w:rFonts w:hint="eastAsia" w:ascii="宋体" w:hAnsi="宋体" w:eastAsia="宋体"/>
          <w:bCs/>
          <w:sz w:val="24"/>
        </w:rPr>
      </w:pPr>
      <w:r>
        <w:rPr>
          <w:rFonts w:hint="eastAsia" w:ascii="宋体" w:hAnsi="宋体" w:eastAsia="宋体"/>
          <w:bCs/>
          <w:sz w:val="24"/>
        </w:rPr>
        <w:t>d) 隐形伤：外板件不允许，其余件不允许有A类缺陷，B和C类缺陷无要求。</w:t>
      </w:r>
    </w:p>
    <w:p w14:paraId="4504A2D5">
      <w:pPr>
        <w:spacing w:line="360" w:lineRule="auto"/>
        <w:ind w:left="420" w:leftChars="200"/>
        <w:rPr>
          <w:rFonts w:hint="eastAsia" w:ascii="宋体" w:hAnsi="宋体" w:eastAsia="宋体"/>
          <w:bCs/>
          <w:sz w:val="24"/>
        </w:rPr>
      </w:pPr>
      <w:r>
        <w:rPr>
          <w:rFonts w:hint="eastAsia" w:ascii="宋体" w:hAnsi="宋体" w:eastAsia="宋体"/>
          <w:bCs/>
          <w:sz w:val="24"/>
        </w:rPr>
        <w:t>e)滑移线、双线：外板件不允许，其余件无要求。</w:t>
      </w:r>
    </w:p>
    <w:p w14:paraId="5DE78CA2">
      <w:pPr>
        <w:spacing w:line="360" w:lineRule="auto"/>
        <w:ind w:left="420" w:leftChars="200"/>
        <w:rPr>
          <w:rFonts w:hint="eastAsia" w:ascii="宋体" w:hAnsi="宋体" w:eastAsia="宋体"/>
          <w:bCs/>
          <w:sz w:val="24"/>
        </w:rPr>
      </w:pPr>
      <w:r>
        <w:rPr>
          <w:rFonts w:hint="eastAsia" w:ascii="宋体" w:hAnsi="宋体" w:eastAsia="宋体"/>
          <w:bCs/>
          <w:sz w:val="24"/>
        </w:rPr>
        <w:t>f)卷边：不允许。</w:t>
      </w:r>
    </w:p>
    <w:p w14:paraId="170B1917">
      <w:pPr>
        <w:spacing w:line="360" w:lineRule="auto"/>
        <w:ind w:left="420" w:leftChars="200"/>
        <w:rPr>
          <w:rFonts w:hint="eastAsia" w:ascii="宋体" w:hAnsi="宋体" w:eastAsia="宋体"/>
          <w:bCs/>
          <w:sz w:val="24"/>
        </w:rPr>
      </w:pPr>
      <w:r>
        <w:rPr>
          <w:rFonts w:hint="eastAsia" w:ascii="宋体" w:hAnsi="宋体" w:eastAsia="宋体"/>
          <w:bCs/>
          <w:sz w:val="24"/>
        </w:rPr>
        <w:t xml:space="preserve">g)外观R不顺：不允许。 </w:t>
      </w:r>
    </w:p>
    <w:p w14:paraId="1FCE52F6">
      <w:pPr>
        <w:spacing w:line="360" w:lineRule="auto"/>
        <w:ind w:left="420" w:leftChars="200"/>
        <w:rPr>
          <w:rFonts w:hint="eastAsia" w:ascii="宋体" w:hAnsi="宋体" w:eastAsia="宋体"/>
          <w:bCs/>
          <w:sz w:val="24"/>
        </w:rPr>
      </w:pPr>
      <w:r>
        <w:rPr>
          <w:rFonts w:hint="eastAsia" w:ascii="宋体" w:hAnsi="宋体" w:eastAsia="宋体"/>
          <w:bCs/>
          <w:sz w:val="24"/>
        </w:rPr>
        <w:t>h)毛刺：不允许异常毛刺，毛刺高度≤料厚*10%mm。</w:t>
      </w:r>
    </w:p>
    <w:p w14:paraId="49516568">
      <w:pPr>
        <w:spacing w:line="360" w:lineRule="auto"/>
        <w:ind w:left="420" w:leftChars="200"/>
        <w:rPr>
          <w:rFonts w:hint="eastAsia" w:ascii="宋体" w:hAnsi="宋体" w:eastAsia="宋体"/>
          <w:bCs/>
          <w:sz w:val="24"/>
        </w:rPr>
      </w:pPr>
      <w:r>
        <w:rPr>
          <w:rFonts w:hint="eastAsia" w:ascii="宋体" w:hAnsi="宋体" w:eastAsia="宋体"/>
          <w:bCs/>
          <w:sz w:val="24"/>
        </w:rPr>
        <w:t>i) 材料存度减薄率≤20%。</w:t>
      </w:r>
    </w:p>
    <w:p w14:paraId="52AC2FE8">
      <w:pPr>
        <w:spacing w:line="360" w:lineRule="auto"/>
        <w:ind w:firstLine="482" w:firstLineChars="200"/>
        <w:rPr>
          <w:rFonts w:hint="eastAsia" w:ascii="宋体" w:hAnsi="宋体" w:eastAsia="宋体"/>
          <w:b/>
          <w:bCs/>
          <w:sz w:val="24"/>
        </w:rPr>
      </w:pPr>
      <w:r>
        <w:rPr>
          <w:rFonts w:hint="eastAsia" w:ascii="宋体" w:hAnsi="宋体" w:eastAsia="宋体"/>
          <w:b/>
          <w:bCs/>
          <w:sz w:val="24"/>
        </w:rPr>
        <w:t>2.4  终验收</w:t>
      </w:r>
      <w:r>
        <w:rPr>
          <w:rFonts w:ascii="宋体" w:hAnsi="宋体" w:eastAsia="宋体"/>
          <w:b/>
          <w:bCs/>
          <w:sz w:val="24"/>
        </w:rPr>
        <w:t>合格品判定</w:t>
      </w:r>
    </w:p>
    <w:p w14:paraId="32B6AB0D">
      <w:pPr>
        <w:spacing w:line="360" w:lineRule="auto"/>
        <w:ind w:left="420" w:leftChars="200"/>
        <w:rPr>
          <w:rFonts w:hint="eastAsia" w:ascii="宋体" w:hAnsi="宋体" w:eastAsia="宋体"/>
          <w:bCs/>
          <w:sz w:val="24"/>
        </w:rPr>
      </w:pPr>
      <w:r>
        <w:rPr>
          <w:rFonts w:hint="eastAsia" w:ascii="宋体" w:hAnsi="宋体" w:eastAsia="宋体"/>
          <w:bCs/>
          <w:sz w:val="24"/>
        </w:rPr>
        <w:t>a) 合格率：</w:t>
      </w:r>
      <w:r>
        <w:rPr>
          <w:rFonts w:hint="eastAsia" w:ascii="宋体" w:hAnsi="宋体" w:eastAsia="宋体"/>
          <w:bCs/>
          <w:color w:val="000000"/>
          <w:sz w:val="24"/>
        </w:rPr>
        <w:t>零件总体合格率：≥95%。</w:t>
      </w:r>
      <w:r>
        <w:rPr>
          <w:rFonts w:hint="eastAsia" w:ascii="宋体" w:hAnsi="宋体" w:eastAsia="宋体"/>
          <w:bCs/>
          <w:sz w:val="24"/>
        </w:rPr>
        <w:t>基准孔、基准面</w:t>
      </w:r>
      <w:r>
        <w:rPr>
          <w:rFonts w:ascii="宋体" w:hAnsi="宋体" w:eastAsia="宋体"/>
          <w:bCs/>
          <w:sz w:val="24"/>
        </w:rPr>
        <w:t>合格率</w:t>
      </w:r>
      <w:r>
        <w:rPr>
          <w:rFonts w:hint="eastAsia" w:ascii="宋体" w:hAnsi="宋体" w:eastAsia="宋体"/>
          <w:bCs/>
          <w:sz w:val="24"/>
        </w:rPr>
        <w:t>=100</w:t>
      </w:r>
      <w:r>
        <w:rPr>
          <w:rFonts w:ascii="宋体" w:hAnsi="宋体" w:eastAsia="宋体"/>
          <w:bCs/>
          <w:sz w:val="24"/>
        </w:rPr>
        <w:t>%，</w:t>
      </w:r>
      <w:r>
        <w:rPr>
          <w:rFonts w:hint="eastAsia" w:ascii="宋体" w:hAnsi="宋体" w:eastAsia="宋体"/>
          <w:bCs/>
          <w:sz w:val="24"/>
        </w:rPr>
        <w:t>搭接面</w:t>
      </w:r>
      <w:r>
        <w:rPr>
          <w:rFonts w:ascii="宋体" w:hAnsi="宋体" w:eastAsia="宋体"/>
          <w:bCs/>
          <w:sz w:val="24"/>
        </w:rPr>
        <w:t>合格率</w:t>
      </w:r>
      <w:r>
        <w:rPr>
          <w:rFonts w:hint="eastAsia" w:ascii="宋体" w:hAnsi="宋体" w:eastAsia="宋体"/>
          <w:bCs/>
          <w:sz w:val="24"/>
        </w:rPr>
        <w:t>=100</w:t>
      </w:r>
      <w:r>
        <w:rPr>
          <w:rFonts w:ascii="宋体" w:hAnsi="宋体" w:eastAsia="宋体"/>
          <w:bCs/>
          <w:sz w:val="24"/>
        </w:rPr>
        <w:t>%，</w:t>
      </w:r>
      <w:r>
        <w:rPr>
          <w:rFonts w:hint="eastAsia" w:ascii="宋体" w:hAnsi="宋体" w:eastAsia="宋体"/>
          <w:bCs/>
          <w:sz w:val="24"/>
        </w:rPr>
        <w:t>安装孔</w:t>
      </w:r>
      <w:r>
        <w:rPr>
          <w:rFonts w:ascii="宋体" w:hAnsi="宋体" w:eastAsia="宋体"/>
          <w:bCs/>
          <w:sz w:val="24"/>
        </w:rPr>
        <w:t>合格率</w:t>
      </w:r>
      <w:r>
        <w:rPr>
          <w:rFonts w:hint="eastAsia" w:ascii="宋体" w:hAnsi="宋体" w:eastAsia="宋体"/>
          <w:bCs/>
          <w:sz w:val="24"/>
        </w:rPr>
        <w:t>=100</w:t>
      </w:r>
      <w:r>
        <w:rPr>
          <w:rFonts w:ascii="宋体" w:hAnsi="宋体" w:eastAsia="宋体"/>
          <w:bCs/>
          <w:sz w:val="24"/>
        </w:rPr>
        <w:t>%</w:t>
      </w:r>
      <w:r>
        <w:rPr>
          <w:rFonts w:hint="eastAsia" w:ascii="宋体" w:hAnsi="宋体" w:eastAsia="宋体"/>
          <w:bCs/>
          <w:sz w:val="24"/>
        </w:rPr>
        <w:t>，</w:t>
      </w:r>
      <w:r>
        <w:rPr>
          <w:rFonts w:hint="eastAsia" w:ascii="宋体" w:hAnsi="宋体" w:eastAsia="宋体"/>
          <w:bCs/>
          <w:color w:val="000000"/>
          <w:sz w:val="24"/>
        </w:rPr>
        <w:t>其余</w:t>
      </w:r>
      <w:r>
        <w:rPr>
          <w:rFonts w:hint="eastAsia" w:ascii="宋体" w:hAnsi="宋体" w:eastAsia="宋体"/>
          <w:bCs/>
          <w:sz w:val="24"/>
        </w:rPr>
        <w:t>指标≥88%，并能够装出合格汽车车身为准。</w:t>
      </w:r>
    </w:p>
    <w:p w14:paraId="24CCEE69">
      <w:pPr>
        <w:spacing w:line="360" w:lineRule="auto"/>
        <w:ind w:left="420" w:leftChars="200"/>
        <w:rPr>
          <w:rFonts w:hint="eastAsia" w:ascii="宋体" w:hAnsi="宋体" w:eastAsia="宋体"/>
          <w:bCs/>
          <w:sz w:val="24"/>
        </w:rPr>
      </w:pPr>
      <w:r>
        <w:rPr>
          <w:rFonts w:hint="eastAsia" w:ascii="宋体" w:hAnsi="宋体" w:eastAsia="宋体"/>
          <w:bCs/>
          <w:sz w:val="24"/>
        </w:rPr>
        <w:t>b) 起皱：不允许。</w:t>
      </w:r>
    </w:p>
    <w:p w14:paraId="64E30011">
      <w:pPr>
        <w:spacing w:line="360" w:lineRule="auto"/>
        <w:ind w:left="420" w:leftChars="200"/>
        <w:rPr>
          <w:rFonts w:hint="eastAsia" w:ascii="宋体" w:hAnsi="宋体" w:eastAsia="宋体"/>
          <w:bCs/>
          <w:sz w:val="24"/>
        </w:rPr>
      </w:pPr>
      <w:r>
        <w:rPr>
          <w:rFonts w:hint="eastAsia" w:ascii="宋体" w:hAnsi="宋体" w:eastAsia="宋体"/>
          <w:bCs/>
          <w:sz w:val="24"/>
        </w:rPr>
        <w:t>c) 开裂、缩颈：不允许。</w:t>
      </w:r>
    </w:p>
    <w:p w14:paraId="738688C7">
      <w:pPr>
        <w:spacing w:line="360" w:lineRule="auto"/>
        <w:ind w:left="420" w:leftChars="200"/>
        <w:rPr>
          <w:rFonts w:hint="eastAsia" w:ascii="宋体" w:hAnsi="宋体" w:eastAsia="宋体"/>
          <w:bCs/>
          <w:sz w:val="24"/>
        </w:rPr>
      </w:pPr>
      <w:r>
        <w:rPr>
          <w:rFonts w:hint="eastAsia" w:ascii="宋体" w:hAnsi="宋体" w:eastAsia="宋体"/>
          <w:bCs/>
          <w:sz w:val="24"/>
        </w:rPr>
        <w:t>d) 隐形伤：外板件不允许，其余件不允许有A类缺陷，B类缺陷不超过3处，C类缺陷无要求。</w:t>
      </w:r>
    </w:p>
    <w:p w14:paraId="0B3A3D1F">
      <w:pPr>
        <w:spacing w:line="360" w:lineRule="auto"/>
        <w:ind w:left="420" w:leftChars="200"/>
        <w:rPr>
          <w:rFonts w:hint="eastAsia" w:ascii="宋体" w:hAnsi="宋体" w:eastAsia="宋体"/>
          <w:bCs/>
          <w:sz w:val="24"/>
        </w:rPr>
      </w:pPr>
      <w:r>
        <w:rPr>
          <w:rFonts w:hint="eastAsia" w:ascii="宋体" w:hAnsi="宋体" w:eastAsia="宋体"/>
          <w:bCs/>
          <w:sz w:val="24"/>
        </w:rPr>
        <w:t>e)滑移线、双线：不允许。</w:t>
      </w:r>
    </w:p>
    <w:p w14:paraId="5447876E">
      <w:pPr>
        <w:spacing w:line="360" w:lineRule="auto"/>
        <w:ind w:left="420" w:leftChars="200"/>
        <w:rPr>
          <w:rFonts w:hint="eastAsia" w:ascii="宋体" w:hAnsi="宋体" w:eastAsia="宋体"/>
          <w:bCs/>
          <w:sz w:val="24"/>
        </w:rPr>
      </w:pPr>
      <w:r>
        <w:rPr>
          <w:rFonts w:hint="eastAsia" w:ascii="宋体" w:hAnsi="宋体" w:eastAsia="宋体"/>
          <w:bCs/>
          <w:sz w:val="24"/>
        </w:rPr>
        <w:t>f)卷边：不允许。</w:t>
      </w:r>
    </w:p>
    <w:p w14:paraId="57237781">
      <w:pPr>
        <w:spacing w:line="360" w:lineRule="auto"/>
        <w:ind w:left="420" w:leftChars="200"/>
        <w:rPr>
          <w:rFonts w:hint="eastAsia" w:ascii="宋体" w:hAnsi="宋体" w:eastAsia="宋体"/>
          <w:bCs/>
          <w:sz w:val="24"/>
        </w:rPr>
      </w:pPr>
      <w:r>
        <w:rPr>
          <w:rFonts w:hint="eastAsia" w:ascii="宋体" w:hAnsi="宋体" w:eastAsia="宋体"/>
          <w:bCs/>
          <w:sz w:val="24"/>
        </w:rPr>
        <w:t xml:space="preserve">g)外观R不顺：不允许。 </w:t>
      </w:r>
    </w:p>
    <w:p w14:paraId="06AC62F6">
      <w:pPr>
        <w:spacing w:line="360" w:lineRule="auto"/>
        <w:ind w:left="420" w:leftChars="200"/>
        <w:rPr>
          <w:rFonts w:hint="eastAsia" w:ascii="宋体" w:hAnsi="宋体" w:eastAsia="宋体"/>
          <w:bCs/>
          <w:sz w:val="24"/>
        </w:rPr>
      </w:pPr>
      <w:r>
        <w:rPr>
          <w:rFonts w:hint="eastAsia" w:ascii="宋体" w:hAnsi="宋体" w:eastAsia="宋体"/>
          <w:bCs/>
          <w:sz w:val="24"/>
        </w:rPr>
        <w:t>h)毛刺：不允许异常毛刺，毛刺高度≤料厚*10%mm。</w:t>
      </w:r>
    </w:p>
    <w:p w14:paraId="1E5D3BB4">
      <w:pPr>
        <w:numPr>
          <w:ilvl w:val="0"/>
          <w:numId w:val="14"/>
        </w:numPr>
        <w:spacing w:line="360" w:lineRule="auto"/>
        <w:ind w:left="420" w:leftChars="200"/>
        <w:rPr>
          <w:rFonts w:hint="eastAsia" w:ascii="宋体" w:hAnsi="宋体" w:eastAsia="宋体"/>
          <w:bCs/>
          <w:sz w:val="24"/>
        </w:rPr>
      </w:pPr>
      <w:r>
        <w:rPr>
          <w:rFonts w:hint="eastAsia" w:ascii="宋体" w:hAnsi="宋体" w:eastAsia="宋体"/>
          <w:bCs/>
          <w:sz w:val="24"/>
        </w:rPr>
        <w:t>材料存度减薄率≤20%。</w:t>
      </w:r>
    </w:p>
    <w:p w14:paraId="3BC2F498">
      <w:pPr>
        <w:keepNext w:val="0"/>
        <w:keepLines w:val="0"/>
        <w:pageBreakBefore w:val="0"/>
        <w:kinsoku/>
        <w:wordWrap/>
        <w:overflowPunct/>
        <w:topLinePunct w:val="0"/>
        <w:autoSpaceDE/>
        <w:autoSpaceDN/>
        <w:bidi w:val="0"/>
        <w:adjustRightInd/>
        <w:snapToGrid/>
        <w:spacing w:line="360" w:lineRule="auto"/>
        <w:jc w:val="left"/>
        <w:textAlignment w:val="auto"/>
        <w:outlineLvl w:val="0"/>
        <w:rPr>
          <w:rFonts w:hint="eastAsia" w:ascii="宋体" w:hAnsi="宋体" w:eastAsia="宋体" w:cs="Times New Roman"/>
          <w:b/>
          <w:bCs/>
          <w:spacing w:val="-3"/>
          <w:sz w:val="24"/>
          <w:szCs w:val="24"/>
        </w:rPr>
      </w:pPr>
      <w:r>
        <w:rPr>
          <w:rFonts w:hint="eastAsia" w:ascii="宋体" w:hAnsi="宋体"/>
          <w:b/>
          <w:bCs/>
          <w:spacing w:val="4"/>
          <w:sz w:val="24"/>
          <w:lang w:val="en-US" w:eastAsia="zh-CN"/>
        </w:rPr>
        <w:t>7</w:t>
      </w:r>
      <w:r>
        <w:rPr>
          <w:rFonts w:hint="eastAsia" w:ascii="宋体" w:hAnsi="宋体"/>
          <w:b/>
          <w:bCs/>
          <w:spacing w:val="4"/>
          <w:sz w:val="24"/>
        </w:rPr>
        <w:t>.</w:t>
      </w:r>
      <w:r>
        <w:rPr>
          <w:rFonts w:hint="eastAsia" w:ascii="宋体" w:hAnsi="宋体" w:eastAsia="宋体" w:cs="Times New Roman"/>
          <w:b/>
          <w:bCs/>
          <w:sz w:val="24"/>
          <w:szCs w:val="24"/>
          <w:lang w:val="en-US" w:eastAsia="zh-CN"/>
        </w:rPr>
        <w:t>夹</w:t>
      </w:r>
      <w:r>
        <w:rPr>
          <w:rFonts w:hint="eastAsia" w:ascii="宋体" w:hAnsi="宋体" w:eastAsia="宋体" w:cs="Times New Roman"/>
          <w:b/>
          <w:bCs/>
          <w:sz w:val="24"/>
          <w:szCs w:val="24"/>
        </w:rPr>
        <w:t>具</w:t>
      </w:r>
      <w:r>
        <w:rPr>
          <w:rFonts w:hint="eastAsia" w:ascii="宋体" w:hAnsi="宋体" w:eastAsia="宋体" w:cs="Times New Roman"/>
          <w:b/>
          <w:bCs/>
          <w:sz w:val="24"/>
          <w:szCs w:val="24"/>
          <w:lang w:val="en-US" w:eastAsia="zh-CN"/>
        </w:rPr>
        <w:t>改造相关要求</w:t>
      </w:r>
    </w:p>
    <w:p w14:paraId="4F63C8AC">
      <w:pPr>
        <w:pStyle w:val="43"/>
        <w:tabs>
          <w:tab w:val="left" w:pos="1164"/>
          <w:tab w:val="left" w:pos="1165"/>
        </w:tabs>
        <w:spacing w:line="360" w:lineRule="auto"/>
        <w:ind w:left="0" w:leftChars="0" w:firstLine="0" w:firstLineChars="0"/>
        <w:jc w:val="left"/>
        <w:rPr>
          <w:rFonts w:hint="eastAsia" w:ascii="宋体" w:hAnsi="宋体" w:eastAsia="宋体" w:cs="宋体"/>
          <w:b/>
          <w:bCs/>
          <w:spacing w:val="-3"/>
          <w:sz w:val="24"/>
          <w:szCs w:val="24"/>
        </w:rPr>
      </w:pPr>
      <w:r>
        <w:rPr>
          <w:rFonts w:hint="eastAsia" w:ascii="宋体" w:hAnsi="宋体" w:cs="宋体"/>
          <w:b/>
          <w:bCs/>
          <w:spacing w:val="-3"/>
          <w:sz w:val="24"/>
          <w:szCs w:val="24"/>
          <w:lang w:val="en-US" w:eastAsia="zh-CN"/>
        </w:rPr>
        <w:t>7.</w:t>
      </w:r>
      <w:r>
        <w:rPr>
          <w:rFonts w:hint="eastAsia" w:ascii="宋体" w:hAnsi="宋体" w:eastAsia="宋体" w:cs="宋体"/>
          <w:b/>
          <w:bCs/>
          <w:spacing w:val="-3"/>
          <w:sz w:val="24"/>
          <w:szCs w:val="24"/>
          <w:lang w:val="en-US" w:eastAsia="zh-CN"/>
        </w:rPr>
        <w:t>1夹具</w:t>
      </w:r>
      <w:r>
        <w:rPr>
          <w:rFonts w:hint="eastAsia" w:ascii="宋体" w:hAnsi="宋体" w:eastAsia="宋体" w:cs="宋体"/>
          <w:b/>
          <w:bCs/>
          <w:spacing w:val="-3"/>
          <w:sz w:val="24"/>
          <w:szCs w:val="24"/>
        </w:rPr>
        <w:t>设计技术要求</w:t>
      </w:r>
    </w:p>
    <w:p w14:paraId="42163DF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（1）焊装夹具应满足产品结构、工艺和生产纲领的要求，夹具应有合理的定位夹紧机构和支撑装置，保证组件定位可靠，焊接质量稳定。</w:t>
      </w:r>
    </w:p>
    <w:p w14:paraId="6A54BBAB">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（2）夹具操作高度：符合人机工程学的要求。</w:t>
      </w:r>
    </w:p>
    <w:p w14:paraId="4FB0882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（3）夹具设计采用3D设计，夹具坐标系统与车身坐标系统一，焊装夹具的定位应与产品数模一致。  </w:t>
      </w:r>
    </w:p>
    <w:p w14:paraId="4263413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（4）夹具设计时应参照招标方现有型号焊钳，根据结构要求也可采用特殊焊钳，但必须由招标方认可，特殊焊钳图纸由投标方提供，由投标方购买，总数量不超过招标要求。</w:t>
      </w:r>
    </w:p>
    <w:p w14:paraId="74CAA68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（5）夹具夹紧压头在3个以下时采用手动夹紧（在满足节拍前提下），3个以上时采用气动夹紧。夹具的气动操作系统具有连锁、互锁保护功能和必要的安全防护设施。夹具的运动部分应灵活，无卡滞现象。</w:t>
      </w:r>
    </w:p>
    <w:p w14:paraId="1D63CCC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（6）夹具具有足够的刚性和强度，定位夹紧可靠，维修方便，焊接通路开畅，操作方便，使用安全。</w:t>
      </w:r>
    </w:p>
    <w:p w14:paraId="18B2F30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（7）夹具的定位面、支撑面、档块和定位销应功能方向可调。</w:t>
      </w:r>
    </w:p>
    <w:p w14:paraId="242281D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（8）三联件、换向阀、按钮阀、管和管接头等气动系统选用SMC/AirTAC无给油防飞溅产品。三联体加保护罩，电磁阀布置采用竖直安装方式，还需有保护机构。</w:t>
      </w:r>
    </w:p>
    <w:p w14:paraId="484DF6D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default" w:ascii="宋体" w:hAnsi="宋体" w:eastAsia="宋体" w:cs="宋体"/>
          <w:spacing w:val="-3"/>
          <w:sz w:val="24"/>
          <w:szCs w:val="24"/>
        </w:rPr>
        <w:t>（9）制图必须遵照中国的通用制图标准，夹具设计以产品三维数模为设计依据。夹具图纸包括下列内容：夹具总装配图、夹具分装配图、零件图、明细表、气路图、基础图和操作使用说明书。</w:t>
      </w:r>
    </w:p>
    <w:p w14:paraId="4C4A9B74">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（10）夹持机构在开启状态，保证其最前端距工件30mm以上，方便工件的装卸。夹持力大于30Kgf；对于车身的关键承重部位，由于零部件比较厚重，夹持力要求在50～80Kgf。定位块、压紧块要调质和发黑处理。</w:t>
      </w:r>
    </w:p>
    <w:p w14:paraId="1071C629">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（11）定位销优先采用螺母锁紧方式，菱销需采用防旋转机构。定位销有效定位部分伸出工件5～8mm，双方会签确定。硬度≥HRC45。</w:t>
      </w:r>
    </w:p>
    <w:p w14:paraId="2F7E7EF7">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（12）大型和较难卸料的工位设置气动顶升机构，以方便卸料。气动顶升结构必须平稳、可靠。</w:t>
      </w:r>
    </w:p>
    <w:p w14:paraId="3CC52B9A">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（13）对焊接困难的焊点应设置焊钳固定导向装置。</w:t>
      </w:r>
    </w:p>
    <w:p w14:paraId="2F00B137">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（14）车身总成焊接夹具中，操作阀应设置在易于操作的位置。</w:t>
      </w:r>
    </w:p>
    <w:p w14:paraId="102040C8">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（15）需要多位置进行焊接的，应设有旋转机构。</w:t>
      </w:r>
    </w:p>
    <w:p w14:paraId="6989D9C2">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（16）移动、旋转销部应采用优质轴套。</w:t>
      </w:r>
    </w:p>
    <w:p w14:paraId="277EF894">
      <w:pPr>
        <w:pStyle w:val="43"/>
        <w:tabs>
          <w:tab w:val="left" w:pos="1164"/>
          <w:tab w:val="left" w:pos="1165"/>
        </w:tabs>
        <w:spacing w:line="360" w:lineRule="auto"/>
        <w:ind w:firstLine="468"/>
        <w:jc w:val="left"/>
        <w:rPr>
          <w:rFonts w:hint="default" w:ascii="宋体" w:hAnsi="宋体" w:eastAsia="宋体" w:cs="宋体"/>
          <w:spacing w:val="-3"/>
          <w:sz w:val="24"/>
          <w:szCs w:val="24"/>
        </w:rPr>
      </w:pPr>
      <w:r>
        <w:rPr>
          <w:rFonts w:hint="default" w:ascii="宋体" w:hAnsi="宋体" w:eastAsia="宋体" w:cs="宋体"/>
          <w:spacing w:val="-3"/>
          <w:sz w:val="24"/>
          <w:szCs w:val="24"/>
        </w:rPr>
        <w:t>（17）材料</w:t>
      </w:r>
    </w:p>
    <w:p w14:paraId="0FCE9548">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底座：Q235-A</w:t>
      </w:r>
    </w:p>
    <w:p w14:paraId="0341AE8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框架结构：Q235-A方管</w:t>
      </w:r>
    </w:p>
    <w:p w14:paraId="09D0E31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小型轴杆：45#，表面热处理HRC42</w:t>
      </w:r>
    </w:p>
    <w:p w14:paraId="2DA564E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大型导向杆：GCr15，表面热处理HRC55</w:t>
      </w:r>
    </w:p>
    <w:p w14:paraId="3D1C66B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齿轮、齿条：40 Cr，表面热处理HRC42（较长或较大的齿条为45#，热处理为：调质HB235）</w:t>
      </w:r>
    </w:p>
    <w:p w14:paraId="059E758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弹簧：65Mn</w:t>
      </w:r>
    </w:p>
    <w:p w14:paraId="2B0EBC5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定位面：45#</w:t>
      </w:r>
    </w:p>
    <w:p w14:paraId="6F5D283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夹紧面：Q235-A</w:t>
      </w:r>
    </w:p>
    <w:p w14:paraId="63DC4CB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车门包边胎膜：球墨铸铁，表面淬火处理HRC54</w:t>
      </w:r>
    </w:p>
    <w:p w14:paraId="15783C8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与车外板接触的形面材质：MC尼龙或双方约定材质</w:t>
      </w:r>
    </w:p>
    <w:p w14:paraId="40B719C1">
      <w:pPr>
        <w:pStyle w:val="43"/>
        <w:tabs>
          <w:tab w:val="left" w:pos="1164"/>
          <w:tab w:val="left" w:pos="1165"/>
        </w:tabs>
        <w:spacing w:line="360" w:lineRule="auto"/>
        <w:ind w:left="0" w:leftChars="0" w:firstLine="0" w:firstLineChars="0"/>
        <w:jc w:val="left"/>
        <w:rPr>
          <w:rFonts w:hint="eastAsia" w:ascii="宋体" w:hAnsi="宋体" w:eastAsia="宋体" w:cs="宋体"/>
          <w:b/>
          <w:bCs/>
          <w:spacing w:val="-3"/>
          <w:sz w:val="24"/>
          <w:szCs w:val="24"/>
        </w:rPr>
      </w:pPr>
      <w:r>
        <w:rPr>
          <w:rFonts w:hint="eastAsia" w:ascii="宋体" w:hAnsi="宋体" w:cs="宋体"/>
          <w:b/>
          <w:bCs/>
          <w:spacing w:val="-3"/>
          <w:sz w:val="24"/>
          <w:szCs w:val="24"/>
          <w:lang w:val="en-US" w:eastAsia="zh-CN"/>
        </w:rPr>
        <w:t>7.</w:t>
      </w:r>
      <w:r>
        <w:rPr>
          <w:rFonts w:hint="eastAsia" w:ascii="宋体" w:hAnsi="宋体" w:eastAsia="宋体" w:cs="宋体"/>
          <w:b/>
          <w:bCs/>
          <w:spacing w:val="-3"/>
          <w:sz w:val="24"/>
          <w:szCs w:val="24"/>
          <w:lang w:val="en-US" w:eastAsia="zh-CN"/>
        </w:rPr>
        <w:t>2夹具</w:t>
      </w:r>
      <w:r>
        <w:rPr>
          <w:rFonts w:hint="eastAsia" w:ascii="宋体" w:hAnsi="宋体" w:eastAsia="宋体" w:cs="宋体"/>
          <w:b/>
          <w:bCs/>
          <w:spacing w:val="-3"/>
          <w:sz w:val="24"/>
          <w:szCs w:val="24"/>
        </w:rPr>
        <w:t>制造技术要求</w:t>
      </w:r>
    </w:p>
    <w:p w14:paraId="4B63CD9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夹具基板外轮廓应与工件外轮廓相符，不要有突出角，尽量往内收，方便人工接近作业位置。基板应焊接槽钢增加强度，槽钢间距不应大于700mm。小型基板可直接采用30毫米以上的板。夹具基板需设置网格线，网格线与车身坐标线对应，其坐标值为车身坐标值100mm整数倍数刻度。网格线的深度、宽度均为0.3mm，其间距为200mm。夹具基板需设置基准孔，大小为Φ10H7，大型基板数量不少于8个，小型基板数量不少于4个，基准孔的设置应方便招标方的便携式三坐标测量，招标方向投标方提供便携式三坐标的资料，基板上需设置起吊机构。</w:t>
      </w:r>
    </w:p>
    <w:p w14:paraId="4ED3EB5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（2）夹具底板应涂防飞溅漆，应有完善的装配定位基准，便于夹具制造、装配、调试和维修。</w:t>
      </w:r>
    </w:p>
    <w:p w14:paraId="32F7F9E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（3）所有焊接件必须无虚焊、脱焊，重要部位采用连续焊缝，热处理消除应力后方可进行机加工。</w:t>
      </w:r>
    </w:p>
    <w:p w14:paraId="6E3B5E4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（4）所有管路、线路应排列整齐、美观，不得有漏气现象。所有气动夹具的气动换向阀均采用按钮式操作。</w:t>
      </w:r>
    </w:p>
    <w:p w14:paraId="769C7C3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（5）装焊夹具上应配置铝质标牌，标牌内容及大小尺寸由招标方设计会签时提供，在标牌上应有总成名称和编号、装焊夹具名称和编号、制造厂名和制造日期、质量和轮廓尺寸。</w:t>
      </w:r>
    </w:p>
    <w:p w14:paraId="6C56539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（6）夹具颜色按招标方提供的色卡和标准执行。</w:t>
      </w:r>
    </w:p>
    <w:p w14:paraId="46D2EE8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7）定位面采用45#钢，定位销采用40Cr，压块采用Q235-A钢，易磨损部位（如定位销、频繁摩擦面等）应做表面硬化处理。定位面及定位销要求发黑处理，夹具基准面要求防锈处理，可能影响产品外观质量的定位支撑面应采用耐磨软支撑材料。</w:t>
      </w:r>
    </w:p>
    <w:p w14:paraId="25157CF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（8）软管采用双层阻燃软管，生产线上所有夹具气路接头要求采用快换接头方式（采用SMC气管接头），气管应有较好的保护。</w:t>
      </w:r>
    </w:p>
    <w:p w14:paraId="446729D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（9）夹具公差范围。</w:t>
      </w:r>
    </w:p>
    <w:p w14:paraId="44BC82A8">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 夹具底板的精度：</w:t>
      </w:r>
    </w:p>
    <w:p w14:paraId="0EED3C4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平面度: 加工完成后 0.1mmXL/1000mm（L是底板的对角线长度） </w:t>
      </w:r>
    </w:p>
    <w:p w14:paraId="3E2F249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坐标线刻度公差：±0.05mm；</w:t>
      </w:r>
    </w:p>
    <w:p w14:paraId="319AE3A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表面粗糙度：Ra3.2。</w:t>
      </w:r>
    </w:p>
    <w:p w14:paraId="1E1B9B9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2）定位面和定位销的精度：</w:t>
      </w:r>
    </w:p>
    <w:p w14:paraId="242CAC4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主定位面形状公差：±0.10mm，定位面粗糙度Ra 3.2；</w:t>
      </w:r>
    </w:p>
    <w:p w14:paraId="60D8D62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定位销的外径公差：直径（公称直径-0.2mm）±0.05mm，粗糙度为Ra 1.6；</w:t>
      </w:r>
    </w:p>
    <w:p w14:paraId="799CC49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定位销位置公差：±0.1mm；</w:t>
      </w:r>
    </w:p>
    <w:p w14:paraId="0E2F1C6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定位销与定位面的位置公差：±0.2mm；</w:t>
      </w:r>
    </w:p>
    <w:p w14:paraId="4060F71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定位面的位置公差为±0.3mm，表面硬度大于HRC45。</w:t>
      </w:r>
    </w:p>
    <w:p w14:paraId="62F3906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3）调整垫片的规格为0.2mm、0.3mm、0.5mm和1.0mm等几种，夹具装配完成后按产品样件调试，调试完毕后进行三坐标检测并作好数据记录。</w:t>
      </w:r>
    </w:p>
    <w:p w14:paraId="34F8C7D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（10）设备应具有必要的防护装置，无漏电、漏气、漏水现象。凡是可能发生人或机器损伤的地方均按中国国家标准设置防护栏、围栏、安全网等设施。</w:t>
      </w:r>
    </w:p>
    <w:p w14:paraId="4716806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（11）定位板厚：16mm；底座厚度：≥25mm；夹具应具有调平螺栓及垫铁。</w:t>
      </w:r>
    </w:p>
    <w:p w14:paraId="4549DE31">
      <w:pPr>
        <w:pStyle w:val="43"/>
        <w:tabs>
          <w:tab w:val="left" w:pos="1164"/>
          <w:tab w:val="left" w:pos="1165"/>
        </w:tabs>
        <w:spacing w:line="360" w:lineRule="auto"/>
        <w:ind w:left="0" w:leftChars="0" w:firstLine="0" w:firstLineChars="0"/>
        <w:jc w:val="left"/>
        <w:rPr>
          <w:rFonts w:hint="eastAsia" w:ascii="宋体" w:hAnsi="宋体" w:eastAsia="宋体" w:cs="宋体"/>
          <w:b/>
          <w:bCs/>
          <w:spacing w:val="-3"/>
          <w:sz w:val="24"/>
          <w:szCs w:val="24"/>
        </w:rPr>
      </w:pPr>
      <w:r>
        <w:rPr>
          <w:rFonts w:hint="eastAsia" w:ascii="宋体" w:hAnsi="宋体" w:cs="宋体"/>
          <w:b/>
          <w:bCs/>
          <w:spacing w:val="-3"/>
          <w:sz w:val="24"/>
          <w:szCs w:val="24"/>
          <w:lang w:val="en-US" w:eastAsia="zh-CN"/>
        </w:rPr>
        <w:t>7.</w:t>
      </w:r>
      <w:r>
        <w:rPr>
          <w:rFonts w:hint="eastAsia" w:ascii="宋体" w:hAnsi="宋体" w:eastAsia="宋体" w:cs="宋体"/>
          <w:b/>
          <w:bCs/>
          <w:spacing w:val="-3"/>
          <w:sz w:val="24"/>
          <w:szCs w:val="24"/>
          <w:lang w:val="en-US" w:eastAsia="zh-CN"/>
        </w:rPr>
        <w:t>3</w:t>
      </w:r>
      <w:r>
        <w:rPr>
          <w:rFonts w:hint="eastAsia" w:ascii="宋体" w:hAnsi="宋体" w:eastAsia="宋体" w:cs="宋体"/>
          <w:b/>
          <w:bCs/>
          <w:spacing w:val="-3"/>
          <w:sz w:val="24"/>
          <w:szCs w:val="24"/>
        </w:rPr>
        <w:t>艺及技术会签</w:t>
      </w:r>
    </w:p>
    <w:p w14:paraId="3DDDDCA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方案设计会签均在投标方完成，投标方应对招标方提供的工艺方案进行完善。</w:t>
      </w:r>
    </w:p>
    <w:p w14:paraId="0367179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在设计审批阶段，双方对相关技术问题作进一步深入沟通和确认；方案图、设备图纸、安装图及其它图纸须经招标方签字认可后才能进一步设计和制造；投标方应对设备设计的正确性全面负责。</w:t>
      </w:r>
    </w:p>
    <w:p w14:paraId="2500A75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（1）工艺会签</w:t>
      </w:r>
    </w:p>
    <w:p w14:paraId="251F8F6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地点：投标方工作单位</w:t>
      </w:r>
    </w:p>
    <w:p w14:paraId="46CCB55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参加人员：双方人员</w:t>
      </w:r>
    </w:p>
    <w:p w14:paraId="36548A9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 会签内容：招标方确认焊装夹具数量、工艺流程、生产节拍、质量与相关技术资料、定位 基准、标准设备及其他设施的设计图纸等，满足要求后会签，方可生效。</w:t>
      </w:r>
    </w:p>
    <w:p w14:paraId="6454A19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（2）设计会签</w:t>
      </w:r>
    </w:p>
    <w:p w14:paraId="1DC8BBB6">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地点：投标方工作单位</w:t>
      </w:r>
    </w:p>
    <w:p w14:paraId="38D5E70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参加人员：双方人员</w:t>
      </w:r>
    </w:p>
    <w:p w14:paraId="010C839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会签内容：设计方案、总装配图、零件图、施工图，确认设计方案，外购件是否满足技术协议和合同的要求。</w:t>
      </w:r>
    </w:p>
    <w:p w14:paraId="4771E8C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bookmarkStart w:id="67" w:name="_Toc53110723"/>
      <w:r>
        <w:rPr>
          <w:rFonts w:hint="eastAsia" w:hAnsi="宋体" w:cs="宋体"/>
          <w:b/>
          <w:bCs w:val="0"/>
          <w:sz w:val="24"/>
          <w:szCs w:val="24"/>
          <w:lang w:val="en-US" w:eastAsia="zh-CN"/>
        </w:rPr>
        <w:t>7.</w:t>
      </w:r>
      <w:r>
        <w:rPr>
          <w:rFonts w:hint="eastAsia" w:hAnsi="宋体" w:eastAsia="宋体" w:cs="宋体"/>
          <w:b/>
          <w:bCs w:val="0"/>
          <w:sz w:val="24"/>
          <w:szCs w:val="24"/>
          <w:lang w:val="en-US" w:eastAsia="zh-CN"/>
        </w:rPr>
        <w:t>4</w:t>
      </w:r>
      <w:r>
        <w:rPr>
          <w:rFonts w:hint="eastAsia" w:hAnsi="宋体" w:eastAsia="宋体" w:cs="宋体"/>
          <w:b/>
          <w:bCs w:val="0"/>
          <w:sz w:val="24"/>
          <w:szCs w:val="24"/>
        </w:rPr>
        <w:t>技术资料</w:t>
      </w:r>
    </w:p>
    <w:p w14:paraId="77FB959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1、投标方须负责在预验收前，提供设备（或材料）各部分的功能描述文件、图纸；</w:t>
      </w:r>
    </w:p>
    <w:p w14:paraId="09A5F13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2、投标方须负责在终验收前，提供包括设备（或材料）的操作维护手册，保养维修手册、操作和安全事项的使用说明书、设备（或材料）的设计总图、安装基础图、维修图等有关的资料；</w:t>
      </w:r>
    </w:p>
    <w:p w14:paraId="3E24538D">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3、本“技术资料范围”所列的技术资料、图等，卖方应各提供纸质资料、电子资料（U盘）各3套，每份技术文件应装有目录清单；</w:t>
      </w:r>
    </w:p>
    <w:p w14:paraId="12A6306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4、投标方须提供完整的所有设备和部件的中文技术资料，技术资料应包含 以下内容：</w:t>
      </w:r>
    </w:p>
    <w:p w14:paraId="0C9A98C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4.1设备描述；</w:t>
      </w:r>
    </w:p>
    <w:p w14:paraId="21E41C8E">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4.2使用说明书（含机械、电气部分）；</w:t>
      </w:r>
    </w:p>
    <w:p w14:paraId="47283CA4">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4.3产品合格证书；</w:t>
      </w:r>
    </w:p>
    <w:p w14:paraId="6DAB3D3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4.4各种校准纪录和精度检验报告；</w:t>
      </w:r>
    </w:p>
    <w:p w14:paraId="5D5928F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4.5装箱单；</w:t>
      </w:r>
    </w:p>
    <w:p w14:paraId="4084B96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4.6零部件和备件清单；</w:t>
      </w:r>
    </w:p>
    <w:p w14:paraId="3EC8CCE7">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4.7消耗材料和易损件清单；</w:t>
      </w:r>
    </w:p>
    <w:p w14:paraId="38698DC3">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4.8机械图纸、电气电路图、接线图等；</w:t>
      </w:r>
    </w:p>
    <w:p w14:paraId="4470557F">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4.9维修和保养手册；</w:t>
      </w:r>
    </w:p>
    <w:p w14:paraId="248CB2F1">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4.10安装图纸（包括地基图和施工指南）；</w:t>
      </w:r>
    </w:p>
    <w:p w14:paraId="44B99E2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5、提供软件安装包备份文件。</w:t>
      </w:r>
    </w:p>
    <w:p w14:paraId="1FF5B09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cs="宋体"/>
          <w:b/>
          <w:bCs w:val="0"/>
          <w:sz w:val="24"/>
          <w:szCs w:val="24"/>
          <w:lang w:val="en-US" w:eastAsia="zh-CN"/>
        </w:rPr>
        <w:t>7.</w:t>
      </w:r>
      <w:r>
        <w:rPr>
          <w:rFonts w:hint="eastAsia" w:hAnsi="宋体" w:eastAsia="宋体" w:cs="宋体"/>
          <w:b/>
          <w:bCs w:val="0"/>
          <w:sz w:val="24"/>
          <w:szCs w:val="24"/>
          <w:lang w:val="en-US" w:eastAsia="zh-CN"/>
        </w:rPr>
        <w:t>5</w:t>
      </w:r>
      <w:r>
        <w:rPr>
          <w:rFonts w:hint="eastAsia" w:hAnsi="宋体" w:eastAsia="宋体" w:cs="宋体"/>
          <w:b/>
          <w:bCs w:val="0"/>
          <w:sz w:val="24"/>
          <w:szCs w:val="24"/>
        </w:rPr>
        <w:t>包装运输</w:t>
      </w:r>
    </w:p>
    <w:p w14:paraId="2F834F18">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1、设备在包装箱内妥善紧固，确保运输途中及装卸车时不致损坏；</w:t>
      </w:r>
    </w:p>
    <w:p w14:paraId="5B7E09D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2、包装箱应标明尺寸、重量、重心及起吊位置等；</w:t>
      </w:r>
    </w:p>
    <w:p w14:paraId="0D4C207A">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3、投标方负责将设备运抵招标方安装现场，费用计入投标总价。</w:t>
      </w:r>
    </w:p>
    <w:p w14:paraId="3C86919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cs="宋体"/>
          <w:b/>
          <w:bCs w:val="0"/>
          <w:sz w:val="24"/>
          <w:szCs w:val="24"/>
          <w:lang w:val="en-US" w:eastAsia="zh-CN"/>
        </w:rPr>
        <w:t>7.</w:t>
      </w:r>
      <w:r>
        <w:rPr>
          <w:rFonts w:hint="eastAsia" w:hAnsi="宋体" w:eastAsia="宋体" w:cs="宋体"/>
          <w:b/>
          <w:bCs w:val="0"/>
          <w:sz w:val="24"/>
          <w:szCs w:val="24"/>
          <w:lang w:val="en-US" w:eastAsia="zh-CN"/>
        </w:rPr>
        <w:t>6</w:t>
      </w:r>
      <w:r>
        <w:rPr>
          <w:rFonts w:hint="eastAsia" w:hAnsi="宋体" w:eastAsia="宋体" w:cs="宋体"/>
          <w:b/>
          <w:bCs w:val="0"/>
          <w:sz w:val="24"/>
          <w:szCs w:val="24"/>
        </w:rPr>
        <w:t>验收服务</w:t>
      </w:r>
    </w:p>
    <w:p w14:paraId="118CC45F">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1、投标方在招标方现场进行的、指导或负责的、设备（或材料）的预验收和终验收，应当是免费的；</w:t>
      </w:r>
    </w:p>
    <w:p w14:paraId="60563AEA">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设备（或材料）验收时，若投标方提供设备（或材料）的技术质量等，与投标方外购的设备（或材料）技术质量等有较大或直接关联时，投标方应能得到其外购设备（或材料）制造厂商（或供应商）的技术支持，并免费提供其必要的现场指导与协调；</w:t>
      </w:r>
    </w:p>
    <w:p w14:paraId="671F0B0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3、在投标方所提供设备需要得到招标方建设项目所在地政府或行业主管部门的查验、试验、验收时，投标方应当免费协助招标方完成所需要的工作、材料和服务等。</w:t>
      </w:r>
    </w:p>
    <w:p w14:paraId="53686F0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4、终验收</w:t>
      </w:r>
      <w:r>
        <w:rPr>
          <w:rFonts w:hint="eastAsia" w:hAnsi="宋体" w:eastAsia="宋体" w:cs="宋体"/>
          <w:sz w:val="24"/>
          <w:szCs w:val="24"/>
          <w:lang w:val="en-US" w:eastAsia="zh-CN"/>
        </w:rPr>
        <w:t>前</w:t>
      </w:r>
      <w:r>
        <w:rPr>
          <w:rFonts w:hint="eastAsia" w:hAnsi="宋体" w:eastAsia="宋体" w:cs="宋体"/>
          <w:sz w:val="24"/>
          <w:szCs w:val="24"/>
        </w:rPr>
        <w:t>陪产期间中标方安排1名工程师在生产现场进行不少于1个月的陪产。</w:t>
      </w:r>
    </w:p>
    <w:p w14:paraId="687777B1">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5、陪产时间按需方生产时间进行安排，必须保证现场有陪产人员；陪产期内设备发生故障，相关人员必须在60分钟内到达现场；如遇节假日应服从招标方工作安排。</w:t>
      </w:r>
    </w:p>
    <w:p w14:paraId="4A37A49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6、中标方现场陪产人员不配合需方工作时，招标方有权要求中标方更换陪产人员，在需方发出通知后到替换人员到达现场期间时间，不列入陪产期内。</w:t>
      </w:r>
    </w:p>
    <w:p w14:paraId="7AB8759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cs="宋体"/>
          <w:b/>
          <w:bCs w:val="0"/>
          <w:sz w:val="24"/>
          <w:szCs w:val="24"/>
          <w:lang w:val="en-US" w:eastAsia="zh-CN"/>
        </w:rPr>
        <w:t>7.</w:t>
      </w:r>
      <w:r>
        <w:rPr>
          <w:rFonts w:hint="eastAsia" w:hAnsi="宋体" w:eastAsia="宋体" w:cs="宋体"/>
          <w:b/>
          <w:bCs w:val="0"/>
          <w:sz w:val="24"/>
          <w:szCs w:val="24"/>
          <w:lang w:val="en-US" w:eastAsia="zh-CN"/>
        </w:rPr>
        <w:t>7</w:t>
      </w:r>
      <w:r>
        <w:rPr>
          <w:rFonts w:hint="eastAsia" w:hAnsi="宋体" w:eastAsia="宋体" w:cs="宋体"/>
          <w:b/>
          <w:bCs w:val="0"/>
          <w:sz w:val="24"/>
          <w:szCs w:val="24"/>
        </w:rPr>
        <w:t>预验收和终验收要求</w:t>
      </w:r>
    </w:p>
    <w:bookmarkEnd w:id="67"/>
    <w:p w14:paraId="1183EA2A">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1、投标方工作：  </w:t>
      </w:r>
    </w:p>
    <w:p w14:paraId="0CBB0BAD">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（1）分总成夹具和设备运至招标方工厂，进行安装、调试，装运及包装均由投标方负责；设备到场后，投标方负责卸货、开箱、掏箱、转运；   </w:t>
      </w:r>
    </w:p>
    <w:p w14:paraId="7EBBAB1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（2）按生产线平面设计图的要求，负责将设备安装到工位； </w:t>
      </w:r>
    </w:p>
    <w:p w14:paraId="009F508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（3） 负责组装部件成整机，安装调试设备的精度； </w:t>
      </w:r>
    </w:p>
    <w:p w14:paraId="7AE0DCF3">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（4） 接通二次动力电线路和气源管路； </w:t>
      </w:r>
    </w:p>
    <w:p w14:paraId="1F893FEE">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（5） 整个生产线的联线调试等工作；  </w:t>
      </w:r>
    </w:p>
    <w:p w14:paraId="6F6650D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（6） 在安装、调试过程中向招标方技术人员讲解整套系统的使用、调试、维修、保养、故障预防、分析与排除等方面技术知识和操作示范等。 </w:t>
      </w:r>
    </w:p>
    <w:p w14:paraId="43376D71">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2、招标方工作：  </w:t>
      </w:r>
    </w:p>
    <w:p w14:paraId="406E6A48">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（1） 根据投标方要求将构架、水、电、气等一次管线安装好，并布置于规定的接口处； </w:t>
      </w:r>
    </w:p>
    <w:p w14:paraId="66F02B03">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（2） 负责将自行购买的工艺设备按生产线平面布置图的要求安装到位； </w:t>
      </w:r>
    </w:p>
    <w:p w14:paraId="26AF10A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（3）为投标方提供安装设备所需的电源、气源；   </w:t>
      </w:r>
    </w:p>
    <w:p w14:paraId="251E5BC4">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（4） 生产线小批量试制工作。 </w:t>
      </w:r>
    </w:p>
    <w:p w14:paraId="18B32F2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（5） 生产线终验收工作。  </w:t>
      </w:r>
    </w:p>
    <w:p w14:paraId="2D254A9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（6）负责协调生产与改造的时间安排，及试制工件的准备。 </w:t>
      </w:r>
    </w:p>
    <w:p w14:paraId="0AABE8D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 xml:space="preserve">3、验收  </w:t>
      </w:r>
    </w:p>
    <w:p w14:paraId="000F388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投标方在货物出厂前，自行按照协议规定的双方认定的标准进行验收检查，并向招标方提供检验报告书。验收分预验收、终验收两次进行：</w:t>
      </w:r>
    </w:p>
    <w:p w14:paraId="62F73E2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注：以下所提到的合格率为检测生产的驾驶室关键点的三坐标尺寸和关键装配尺寸（整车重复精度在±1.5mm范围内）以及产品精度和质量的合格率，以本驾驶室的相关图纸要求及检测数据为依据。</w:t>
      </w:r>
    </w:p>
    <w:p w14:paraId="4218F64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（1）预验收</w:t>
      </w:r>
    </w:p>
    <w:p w14:paraId="52ABDBAD">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地点：投标方工厂</w:t>
      </w:r>
    </w:p>
    <w:p w14:paraId="2617614D">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参加人员：双方人员</w:t>
      </w:r>
    </w:p>
    <w:p w14:paraId="69FC9E9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预验收内容：零部件及组装部件与图纸的符合程度，设备装配及试运行情况，产品的合理性。生产线各设备外观，工装精度检查，工装功能及可靠性检测。</w:t>
      </w:r>
    </w:p>
    <w:p w14:paraId="1B5BE11E">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预验收时，投标方配合招标方完成如下工作：</w:t>
      </w:r>
    </w:p>
    <w:p w14:paraId="2ED7F778">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1）检查核对投标方提供的技术资料是否齐全。</w:t>
      </w:r>
    </w:p>
    <w:p w14:paraId="2E3D799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2）进行设备静态检查，填写静态检查记录表；进行设备动态检查，填写动态检查记录表（投标方应该提供检查项目内容与相关标准）。</w:t>
      </w:r>
    </w:p>
    <w:p w14:paraId="076E0B7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3）提供生产节拍的模拟数据。</w:t>
      </w:r>
    </w:p>
    <w:p w14:paraId="23B9BE6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4）填写设备预验收检验合格证，形成预验收工作纪要。</w:t>
      </w:r>
    </w:p>
    <w:p w14:paraId="27C937ED">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预验收合格后，双方签订预验收报告，但预验收合格的报告不能替代终验收报告。</w:t>
      </w:r>
    </w:p>
    <w:p w14:paraId="6D734AC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（2）终验收</w:t>
      </w:r>
    </w:p>
    <w:p w14:paraId="7B08794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地点：招标方现场</w:t>
      </w:r>
    </w:p>
    <w:p w14:paraId="0F22640E">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参加人员：双方人员</w:t>
      </w:r>
    </w:p>
    <w:p w14:paraId="356521E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终验收程序： 一切设施安装、调试完成后，验收双方在招标方工厂进行最终验收。验收内容：</w:t>
      </w:r>
    </w:p>
    <w:p w14:paraId="03D2C3A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1）是否达到生产纲领、节拍要求。</w:t>
      </w:r>
    </w:p>
    <w:p w14:paraId="47A8DFF8">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2）机器设备生产过程及系统的验收（车身在工位夹具上的定位精度，操作台的合理性）。</w:t>
      </w:r>
    </w:p>
    <w:p w14:paraId="34A5021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3）各分总成的验收（各工位的工作量与设计的设备及人员能否满足要求的生产节拍）。</w:t>
      </w:r>
    </w:p>
    <w:p w14:paraId="394CF8E7">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4）夹具的验收（包括设计的合理性、质量以及精度要求，动作的可靠性、合理性、安全性、平稳性）。</w:t>
      </w:r>
    </w:p>
    <w:p w14:paraId="58F58EA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5）其他设备及系统的验收。</w:t>
      </w:r>
    </w:p>
    <w:p w14:paraId="5F6DB91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6）产品质量和生产效率的验收。</w:t>
      </w:r>
    </w:p>
    <w:p w14:paraId="0F6271D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7）双方参加分总成的焊接。白车身连续生产100辆份，随机抽样检验合格率不低于95%。</w:t>
      </w:r>
    </w:p>
    <w:p w14:paraId="4EB5E75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3）最终验收期间若发现合同供货内容有质量问题或发现破损、缺陷和缺少零件，投标方应根据招标方要求免费更换零部件并解决问题，如果问题严重，耽误了生产，投标方应给予相应的补偿。并且记录在终验收的报告中。</w:t>
      </w:r>
    </w:p>
    <w:p w14:paraId="33791B8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（4）按合同要求验收，若投标方提供的技术资料与技术协议中规定的内容有不符或缺少时，招标方有权要求更换及补偿。</w:t>
      </w:r>
    </w:p>
    <w:p w14:paraId="4822980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（5）检验焊装线及夹具的精度，如发现与合同要求不符，招标方有权推迟或拒绝在验收报告上签字。</w:t>
      </w:r>
    </w:p>
    <w:p w14:paraId="722E6FDF">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outlineLvl w:val="9"/>
        <w:rPr>
          <w:rFonts w:hint="eastAsia" w:hAnsi="宋体" w:eastAsia="宋体" w:cs="宋体"/>
          <w:sz w:val="24"/>
          <w:szCs w:val="24"/>
        </w:rPr>
      </w:pPr>
      <w:r>
        <w:rPr>
          <w:rFonts w:hint="eastAsia" w:hAnsi="宋体" w:eastAsia="宋体" w:cs="宋体"/>
          <w:sz w:val="24"/>
          <w:szCs w:val="24"/>
        </w:rPr>
        <w:t>（6）机器设备及各总成夹具在招标方的运转情况良好，</w:t>
      </w:r>
      <w:r>
        <w:rPr>
          <w:rFonts w:hint="eastAsia" w:hAnsi="宋体" w:eastAsia="宋体" w:cs="宋体"/>
          <w:b/>
          <w:bCs w:val="0"/>
          <w:sz w:val="24"/>
          <w:szCs w:val="24"/>
        </w:rPr>
        <w:t>连续生产2个月或累计生产2000辆白车身</w:t>
      </w:r>
      <w:r>
        <w:rPr>
          <w:rFonts w:hint="eastAsia" w:hAnsi="宋体" w:eastAsia="宋体" w:cs="宋体"/>
          <w:sz w:val="24"/>
          <w:szCs w:val="24"/>
        </w:rPr>
        <w:t>，设备和产品没有出现质量问题视为终验收通过。终验收合格后，双方签署终验收合格报告。</w:t>
      </w:r>
    </w:p>
    <w:p w14:paraId="7A86B478">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outlineLvl w:val="9"/>
        <w:rPr>
          <w:rFonts w:hint="eastAsia" w:hAnsi="宋体" w:eastAsia="宋体" w:cs="宋体"/>
          <w:b/>
          <w:bCs w:val="0"/>
          <w:sz w:val="24"/>
          <w:szCs w:val="24"/>
        </w:rPr>
      </w:pPr>
      <w:r>
        <w:rPr>
          <w:rFonts w:hint="eastAsia" w:hAnsi="宋体" w:eastAsia="宋体" w:cs="宋体"/>
          <w:b/>
          <w:bCs w:val="0"/>
          <w:sz w:val="24"/>
          <w:szCs w:val="24"/>
        </w:rPr>
        <w:t>八、产品制造及检验标准</w:t>
      </w:r>
    </w:p>
    <w:p w14:paraId="1CC6668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1、充分考虑产品及安装费用，选择最佳建设、改造设计方案；</w:t>
      </w:r>
    </w:p>
    <w:p w14:paraId="02589B3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2、充分考虑甲方的技术要求；</w:t>
      </w:r>
    </w:p>
    <w:p w14:paraId="1C477A14">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3、满足国家相关规定及强制性条文；</w:t>
      </w:r>
    </w:p>
    <w:p w14:paraId="7D2316B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eastAsia="宋体" w:cs="宋体"/>
          <w:b/>
          <w:bCs w:val="0"/>
          <w:sz w:val="24"/>
          <w:szCs w:val="24"/>
        </w:rPr>
        <w:t>九、培训</w:t>
      </w:r>
    </w:p>
    <w:p w14:paraId="462BB6A9">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1、技术培训</w:t>
      </w:r>
    </w:p>
    <w:p w14:paraId="160B4A30">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1.1投标方承担设备安装（大件起重除外）、调试、培训及验收等工作；</w:t>
      </w:r>
    </w:p>
    <w:p w14:paraId="4A29D047">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1.2具体分为入门培训、应用培训两部分（两名为基准）；</w:t>
      </w:r>
    </w:p>
    <w:p w14:paraId="41282084">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1.3入门培训：培训内容包括操作规程、基本原理、设备管理,设备的基本结构、工作原理等；</w:t>
      </w:r>
    </w:p>
    <w:p w14:paraId="3B7430EF">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1.4培训时间地点：客户现场，为期</w:t>
      </w:r>
      <w:r>
        <w:rPr>
          <w:rFonts w:hint="eastAsia" w:hAnsi="宋体" w:eastAsia="宋体" w:cs="宋体"/>
          <w:sz w:val="24"/>
          <w:szCs w:val="24"/>
          <w:lang w:val="en-US" w:eastAsia="zh-CN"/>
        </w:rPr>
        <w:t>3</w:t>
      </w:r>
      <w:r>
        <w:rPr>
          <w:rFonts w:hint="eastAsia" w:hAnsi="宋体" w:eastAsia="宋体" w:cs="宋体"/>
          <w:sz w:val="24"/>
          <w:szCs w:val="24"/>
        </w:rPr>
        <w:t>天。</w:t>
      </w:r>
    </w:p>
    <w:p w14:paraId="73861783">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2、应用培训</w:t>
      </w:r>
    </w:p>
    <w:p w14:paraId="7A4102D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2.1培训内容：设备实际操作、维护等专业岗位操作技能等；</w:t>
      </w:r>
    </w:p>
    <w:p w14:paraId="2B179EF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2.2培训时间和地点：客户现场，时间为5天。</w:t>
      </w:r>
    </w:p>
    <w:p w14:paraId="4439687B">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eastAsia="宋体" w:cs="宋体"/>
          <w:b/>
          <w:bCs w:val="0"/>
          <w:sz w:val="24"/>
          <w:szCs w:val="24"/>
        </w:rPr>
        <w:t>十、售后服务</w:t>
      </w:r>
    </w:p>
    <w:p w14:paraId="696A03D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1、在质保期之内，如发现投标方所提供的设备（或材料）存在问题，需要投标方配合解决时，投标方须在接到通知后市内 2 小时 、省内  8  小时、省外  24  小时内派有关人员到达现场，解决问题；</w:t>
      </w:r>
    </w:p>
    <w:p w14:paraId="2322EC3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2、在质保期之后，如发现投标方所提供的设备（或材料）存在问题，需要投标方配合解决时，投标方须在接到通知后市内 2 小时 、省内  8 小时 、省外  24  小时内派有关人员到达现场，协助招标方解决问题；</w:t>
      </w:r>
    </w:p>
    <w:p w14:paraId="0DCC8C91">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3、所有的售后服务均由投标方受理。如果发生问题并且收到报告，应当在2小时内予以答复；</w:t>
      </w:r>
    </w:p>
    <w:p w14:paraId="7B394BF2">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4、投标方应为招标方提供最佳的服务。</w:t>
      </w:r>
    </w:p>
    <w:p w14:paraId="602388B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eastAsia="宋体" w:cs="宋体"/>
          <w:b/>
          <w:bCs w:val="0"/>
          <w:sz w:val="24"/>
          <w:szCs w:val="24"/>
        </w:rPr>
        <w:t>十一、质保期</w:t>
      </w:r>
    </w:p>
    <w:p w14:paraId="4E417E05">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1、投标方所提供设备（或材料）涉及的全部供货范围内的设备、材料、资料、技术等，除合同特别约定外， 均自设备（或材料）终验收签字生效之日起，不低于</w:t>
      </w:r>
      <w:r>
        <w:rPr>
          <w:rFonts w:hint="eastAsia" w:hAnsi="宋体" w:eastAsia="宋体" w:cs="宋体"/>
          <w:b/>
          <w:bCs w:val="0"/>
          <w:sz w:val="24"/>
          <w:szCs w:val="24"/>
          <w:u w:val="single"/>
        </w:rPr>
        <w:t>12</w:t>
      </w:r>
      <w:r>
        <w:rPr>
          <w:rFonts w:hint="eastAsia" w:hAnsi="宋体" w:eastAsia="宋体" w:cs="宋体"/>
          <w:b/>
          <w:bCs w:val="0"/>
          <w:sz w:val="24"/>
          <w:szCs w:val="24"/>
        </w:rPr>
        <w:t>个月</w:t>
      </w:r>
      <w:r>
        <w:rPr>
          <w:rFonts w:hint="eastAsia" w:hAnsi="宋体" w:eastAsia="宋体" w:cs="宋体"/>
          <w:sz w:val="24"/>
          <w:szCs w:val="24"/>
        </w:rPr>
        <w:t>；</w:t>
      </w:r>
    </w:p>
    <w:p w14:paraId="418C6AF8">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2、在质保期内，凡属非招标方原因出现的故障所更换的元件，自更换之日起重新按前述时间进行质保；</w:t>
      </w:r>
    </w:p>
    <w:p w14:paraId="42F08E2D">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3、在质保期内，投标方应提供免费的技术支持；</w:t>
      </w:r>
    </w:p>
    <w:p w14:paraId="218B2546">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eastAsia="宋体"/>
        </w:rPr>
      </w:pPr>
      <w:r>
        <w:rPr>
          <w:rFonts w:hint="eastAsia" w:hAnsi="宋体" w:eastAsia="宋体" w:cs="宋体"/>
          <w:sz w:val="24"/>
          <w:szCs w:val="24"/>
        </w:rPr>
        <w:t>4、保修期结束后，投标方必须向中国重汽集团济宁商用车有限公司提供设备终身有偿服务。保修期从设备终验收之日开始算起。</w:t>
      </w:r>
    </w:p>
    <w:p w14:paraId="7221A87F">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0" w:firstLineChars="0"/>
        <w:textAlignment w:val="auto"/>
        <w:rPr>
          <w:rFonts w:hint="eastAsia" w:hAnsi="宋体" w:eastAsia="宋体" w:cs="宋体"/>
          <w:b/>
          <w:bCs w:val="0"/>
          <w:sz w:val="24"/>
          <w:szCs w:val="24"/>
        </w:rPr>
      </w:pPr>
      <w:r>
        <w:rPr>
          <w:rFonts w:hint="eastAsia" w:hAnsi="宋体" w:eastAsia="宋体" w:cs="宋体"/>
          <w:b/>
          <w:bCs w:val="0"/>
          <w:sz w:val="24"/>
          <w:szCs w:val="24"/>
        </w:rPr>
        <w:t>十二、备件及耗材</w:t>
      </w:r>
    </w:p>
    <w:p w14:paraId="104A079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1.招标人招标文件所指备品备件、易损件和专用耗材，是招标人为保证设备质保期之后正常运行一年所自备自用的备品备件、易损件和专用耗材；</w:t>
      </w:r>
    </w:p>
    <w:p w14:paraId="03115A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质保期之内正常需要的备品备件、易损件和专用耗材全部包括在供货范围之内而不属于本条款界定的范围（应有明细）。</w:t>
      </w:r>
    </w:p>
    <w:p w14:paraId="4BCBF6B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2.供货范围包括易损件和专用耗材的制造图纸及其技术要求等资料，如涉及专有技术或无法提供，应在投标文件中予以澄清或说明。</w:t>
      </w:r>
    </w:p>
    <w:p w14:paraId="6AC4B15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3投标方需提供必须的备品备件清单（备品备件明确名称、型号、规格、厂家、产地、价格，单独报价）；</w:t>
      </w:r>
    </w:p>
    <w:p w14:paraId="16D4EFF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4易损件和专用耗材，其费用应分类单列，并计入投标总报价之内；</w:t>
      </w:r>
    </w:p>
    <w:p w14:paraId="02068C9C">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hAnsi="宋体" w:eastAsia="宋体" w:cs="宋体"/>
          <w:sz w:val="24"/>
          <w:szCs w:val="24"/>
        </w:rPr>
      </w:pPr>
      <w:r>
        <w:rPr>
          <w:rFonts w:hint="eastAsia" w:hAnsi="宋体" w:eastAsia="宋体" w:cs="宋体"/>
          <w:sz w:val="24"/>
          <w:szCs w:val="24"/>
        </w:rPr>
        <w:t>5投标方应提供设备维修所必需的专用工具，并附详细清单（包括名称、型号、规格、单位、数量、生产厂家、单价、总价等条目，单独报价）。</w:t>
      </w:r>
    </w:p>
    <w:p w14:paraId="4458FC54">
      <w:pPr>
        <w:widowControl/>
        <w:jc w:val="left"/>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keepNext w:val="0"/>
        <w:keepLines w:val="0"/>
        <w:pageBreakBefore w:val="0"/>
        <w:widowControl w:val="0"/>
        <w:kinsoku/>
        <w:wordWrap/>
        <w:overflowPunct/>
        <w:topLinePunct w:val="0"/>
        <w:autoSpaceDE/>
        <w:autoSpaceDN/>
        <w:bidi w:val="0"/>
        <w:ind w:firstLine="723" w:firstLineChars="200"/>
        <w:jc w:val="left"/>
        <w:textAlignment w:val="auto"/>
        <w:rPr>
          <w:rStyle w:val="46"/>
        </w:rPr>
      </w:pPr>
      <w:r>
        <w:rPr>
          <w:rStyle w:val="46"/>
          <w:rFonts w:hint="eastAsia"/>
        </w:rPr>
        <w:br w:type="page"/>
      </w:r>
    </w:p>
    <w:p w14:paraId="3F9ADAB1">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2"/>
        <w:tblW w:w="0" w:type="auto"/>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
        <w:gridCol w:w="1755"/>
        <w:gridCol w:w="1515"/>
        <w:gridCol w:w="1905"/>
        <w:gridCol w:w="1260"/>
        <w:gridCol w:w="1118"/>
      </w:tblGrid>
      <w:tr w14:paraId="017D0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5" w:type="dxa"/>
            <w:vAlign w:val="center"/>
          </w:tcPr>
          <w:p w14:paraId="4F8CAD0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6D487CA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67B8719E">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905" w:type="dxa"/>
            <w:vAlign w:val="center"/>
          </w:tcPr>
          <w:p w14:paraId="3DF2BF0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60" w:type="dxa"/>
            <w:vAlign w:val="center"/>
          </w:tcPr>
          <w:p w14:paraId="3250C29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118" w:type="dxa"/>
            <w:vAlign w:val="center"/>
          </w:tcPr>
          <w:p w14:paraId="0DBEF39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1D062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75" w:type="dxa"/>
            <w:vAlign w:val="center"/>
          </w:tcPr>
          <w:p w14:paraId="5B5D55C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00A97F63">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左、右车门门槛模具</w:t>
            </w:r>
            <w:r>
              <w:rPr>
                <w:rFonts w:hint="eastAsia" w:hAnsi="宋体" w:cs="宋体"/>
                <w:kern w:val="2"/>
                <w:sz w:val="24"/>
                <w:szCs w:val="28"/>
                <w:lang w:val="en-US" w:eastAsia="zh-CN" w:bidi="ar-SA"/>
              </w:rPr>
              <w:t>改造</w:t>
            </w:r>
          </w:p>
        </w:tc>
        <w:tc>
          <w:tcPr>
            <w:tcW w:w="1515" w:type="dxa"/>
            <w:vAlign w:val="center"/>
          </w:tcPr>
          <w:p w14:paraId="4B2E5F23">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905" w:type="dxa"/>
            <w:vMerge w:val="restart"/>
            <w:vAlign w:val="center"/>
          </w:tcPr>
          <w:p w14:paraId="198B957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60" w:type="dxa"/>
            <w:vMerge w:val="restart"/>
            <w:vAlign w:val="center"/>
          </w:tcPr>
          <w:p w14:paraId="3070B78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118" w:type="dxa"/>
            <w:vMerge w:val="restart"/>
            <w:vAlign w:val="center"/>
          </w:tcPr>
          <w:p w14:paraId="007C71C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r w14:paraId="3F9BA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5" w:type="dxa"/>
            <w:vAlign w:val="center"/>
          </w:tcPr>
          <w:p w14:paraId="3582F5D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6AC837C6">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左、右车门门槛夹具</w:t>
            </w:r>
            <w:r>
              <w:rPr>
                <w:rFonts w:hint="eastAsia" w:hAnsi="宋体" w:cs="宋体"/>
                <w:kern w:val="2"/>
                <w:sz w:val="24"/>
                <w:szCs w:val="28"/>
                <w:lang w:val="en-US" w:eastAsia="zh-CN" w:bidi="ar-SA"/>
              </w:rPr>
              <w:t>改造</w:t>
            </w:r>
          </w:p>
        </w:tc>
        <w:tc>
          <w:tcPr>
            <w:tcW w:w="1515" w:type="dxa"/>
            <w:vAlign w:val="center"/>
          </w:tcPr>
          <w:p w14:paraId="762CF61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905" w:type="dxa"/>
            <w:vMerge w:val="continue"/>
            <w:vAlign w:val="center"/>
          </w:tcPr>
          <w:p w14:paraId="7A47C641">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p>
        </w:tc>
        <w:tc>
          <w:tcPr>
            <w:tcW w:w="1260" w:type="dxa"/>
            <w:vMerge w:val="continue"/>
            <w:vAlign w:val="center"/>
          </w:tcPr>
          <w:p w14:paraId="1B147BA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c>
          <w:tcPr>
            <w:tcW w:w="1118" w:type="dxa"/>
            <w:vMerge w:val="continue"/>
            <w:vAlign w:val="center"/>
          </w:tcPr>
          <w:p w14:paraId="3880291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70"/>
      <w:bookmarkStart w:id="72" w:name="_Toc328489324"/>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72"/>
      <w:bookmarkStart w:id="74" w:name="_Toc328489326"/>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328489328"/>
      <w:bookmarkStart w:id="78" w:name="_Toc328489374"/>
      <w:bookmarkStart w:id="79" w:name="_Toc266518524"/>
      <w:bookmarkStart w:id="80" w:name="_Toc298248794"/>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75"/>
      <w:bookmarkStart w:id="82" w:name="_Toc328489329"/>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30"/>
      <w:bookmarkStart w:id="84" w:name="_Toc328489376"/>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Style w:val="46"/>
          <w:b/>
          <w:bCs/>
        </w:rPr>
      </w:pPr>
      <w:bookmarkStart w:id="85" w:name="_Toc518655787"/>
      <w:bookmarkStart w:id="86" w:name="_Toc21617"/>
      <w:bookmarkStart w:id="87" w:name="_Toc37059827"/>
      <w:bookmarkStart w:id="88" w:name="_Toc301469810"/>
      <w:bookmarkStart w:id="89" w:name="_Toc119413766"/>
      <w:r>
        <w:rPr>
          <w:rStyle w:val="46"/>
          <w:rFonts w:hint="eastAsia"/>
          <w:b/>
          <w:bCs/>
        </w:rPr>
        <w:t>第六章  设备采购合同</w:t>
      </w:r>
      <w:bookmarkEnd w:id="85"/>
    </w:p>
    <w:p w14:paraId="0C7C1B25">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02A389F7">
      <w:pPr>
        <w:rPr>
          <w:rFonts w:ascii="宋体" w:hAnsi="宋体"/>
          <w:b/>
          <w:sz w:val="28"/>
          <w:szCs w:val="28"/>
        </w:rPr>
      </w:pPr>
      <w:r>
        <w:rPr>
          <w:rFonts w:ascii="宋体" w:hAnsi="宋体"/>
          <w:b/>
          <w:sz w:val="28"/>
          <w:szCs w:val="28"/>
        </w:rPr>
        <w:br w:type="page"/>
      </w:r>
    </w:p>
    <w:p w14:paraId="2E51C0DA">
      <w:pPr>
        <w:spacing w:line="360" w:lineRule="auto"/>
        <w:jc w:val="center"/>
        <w:rPr>
          <w:rFonts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73C613B4">
      <w:pPr>
        <w:spacing w:line="360" w:lineRule="auto"/>
        <w:jc w:val="center"/>
        <w:rPr>
          <w:rFonts w:ascii="方正小标宋简体" w:hAnsi="方正小标宋简体" w:eastAsia="方正小标宋简体" w:cs="方正小标宋简体"/>
          <w:w w:val="90"/>
          <w:sz w:val="56"/>
          <w:szCs w:val="56"/>
        </w:rPr>
      </w:pPr>
    </w:p>
    <w:p w14:paraId="54FB4EDF">
      <w:pPr>
        <w:spacing w:line="360" w:lineRule="auto"/>
        <w:jc w:val="center"/>
        <w:rPr>
          <w:rFonts w:ascii="仿宋_GB2312" w:hAnsi="仿宋_GB2312" w:eastAsia="仿宋_GB2312" w:cs="仿宋_GB2312"/>
          <w:bCs/>
          <w:sz w:val="24"/>
          <w:szCs w:val="24"/>
        </w:rPr>
      </w:pPr>
    </w:p>
    <w:p w14:paraId="64055244">
      <w:pPr>
        <w:spacing w:line="360" w:lineRule="auto"/>
        <w:jc w:val="center"/>
        <w:rPr>
          <w:rFonts w:ascii="仿宋_GB2312" w:hAnsi="仿宋_GB2312" w:eastAsia="仿宋_GB2312" w:cs="仿宋_GB2312"/>
          <w:bCs/>
          <w:sz w:val="24"/>
          <w:szCs w:val="24"/>
        </w:rPr>
      </w:pPr>
    </w:p>
    <w:p w14:paraId="4540E0C4">
      <w:pPr>
        <w:spacing w:line="360" w:lineRule="auto"/>
        <w:ind w:firstLine="2160" w:firstLineChars="900"/>
        <w:jc w:val="left"/>
        <w:rPr>
          <w:rFonts w:ascii="仿宋_GB2312" w:hAnsi="仿宋_GB2312" w:eastAsia="仿宋_GB2312" w:cs="仿宋_GB2312"/>
          <w:bCs/>
          <w:sz w:val="24"/>
          <w:szCs w:val="24"/>
        </w:rPr>
      </w:pPr>
      <w:r>
        <w:rPr>
          <w:rFonts w:hint="eastAsia" w:ascii="仿宋_GB2312" w:hAnsi="仿宋_GB2312" w:eastAsia="仿宋_GB2312" w:cs="仿宋_GB2312"/>
          <w:bCs/>
          <w:sz w:val="24"/>
          <w:szCs w:val="24"/>
        </w:rPr>
        <w:t xml:space="preserve">合同项目名称： </w:t>
      </w:r>
      <w:permStart w:id="0" w:edGrp="everyone"/>
      <w:r>
        <w:rPr>
          <w:rFonts w:hint="eastAsia" w:ascii="仿宋_GB2312" w:hAnsi="仿宋_GB2312" w:eastAsia="仿宋_GB2312" w:cs="仿宋_GB2312"/>
          <w:b/>
          <w:sz w:val="24"/>
          <w:szCs w:val="24"/>
          <w:u w:val="single"/>
        </w:rPr>
        <w:t>合同项目名称</w:t>
      </w:r>
      <w:permEnd w:id="0"/>
    </w:p>
    <w:p w14:paraId="105547D8">
      <w:pPr>
        <w:spacing w:line="360" w:lineRule="auto"/>
        <w:ind w:firstLine="2160" w:firstLineChars="900"/>
        <w:jc w:val="left"/>
        <w:rPr>
          <w:rFonts w:ascii="仿宋_GB2312" w:hAnsi="仿宋_GB2312" w:eastAsia="仿宋_GB2312" w:cs="仿宋_GB2312"/>
          <w:bCs/>
          <w:sz w:val="24"/>
          <w:szCs w:val="24"/>
        </w:rPr>
      </w:pPr>
    </w:p>
    <w:p w14:paraId="2D07ED82">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permStart w:id="1" w:edGrp="everyone"/>
      <w:r>
        <w:rPr>
          <w:rFonts w:hint="eastAsia" w:ascii="仿宋_GB2312" w:hAnsi="仿宋_GB2312" w:eastAsia="仿宋_GB2312" w:cs="仿宋_GB2312"/>
          <w:b/>
          <w:sz w:val="24"/>
          <w:szCs w:val="24"/>
          <w:u w:val="single"/>
        </w:rPr>
        <w:t>甲方单位全称</w:t>
      </w:r>
      <w:permEnd w:id="1"/>
    </w:p>
    <w:p w14:paraId="61757483">
      <w:pPr>
        <w:spacing w:line="360" w:lineRule="auto"/>
        <w:ind w:firstLine="2168" w:firstLineChars="900"/>
        <w:jc w:val="left"/>
        <w:rPr>
          <w:rFonts w:ascii="仿宋_GB2312" w:hAnsi="仿宋_GB2312" w:eastAsia="仿宋_GB2312" w:cs="仿宋_GB2312"/>
          <w:b/>
          <w:sz w:val="24"/>
          <w:szCs w:val="24"/>
          <w:u w:val="single"/>
        </w:rPr>
      </w:pPr>
    </w:p>
    <w:p w14:paraId="7E937864">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permStart w:id="2" w:edGrp="everyone"/>
      <w:r>
        <w:rPr>
          <w:rFonts w:hint="eastAsia" w:ascii="仿宋_GB2312" w:hAnsi="仿宋_GB2312" w:eastAsia="仿宋_GB2312" w:cs="仿宋_GB2312"/>
          <w:b/>
          <w:sz w:val="24"/>
          <w:szCs w:val="24"/>
          <w:u w:val="single"/>
        </w:rPr>
        <w:t>乙方单位全称</w:t>
      </w:r>
      <w:permEnd w:id="2"/>
    </w:p>
    <w:p w14:paraId="0B879477">
      <w:pPr>
        <w:spacing w:line="360" w:lineRule="auto"/>
        <w:ind w:firstLine="2168" w:firstLineChars="900"/>
        <w:jc w:val="center"/>
        <w:rPr>
          <w:rFonts w:ascii="仿宋_GB2312" w:hAnsi="仿宋_GB2312" w:eastAsia="仿宋_GB2312" w:cs="仿宋_GB2312"/>
          <w:b/>
          <w:sz w:val="24"/>
          <w:szCs w:val="24"/>
          <w:u w:val="single"/>
        </w:rPr>
      </w:pPr>
    </w:p>
    <w:p w14:paraId="21A7E5B5">
      <w:pPr>
        <w:spacing w:line="360" w:lineRule="auto"/>
        <w:ind w:firstLine="2168" w:firstLineChars="900"/>
        <w:jc w:val="center"/>
        <w:rPr>
          <w:rFonts w:ascii="仿宋_GB2312" w:hAnsi="仿宋_GB2312" w:eastAsia="仿宋_GB2312" w:cs="仿宋_GB2312"/>
          <w:b/>
          <w:sz w:val="24"/>
          <w:szCs w:val="24"/>
          <w:u w:val="single"/>
        </w:rPr>
      </w:pPr>
    </w:p>
    <w:p w14:paraId="5C472D0A">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合同签订地点：</w:t>
      </w:r>
      <w:permStart w:id="3" w:edGrp="everyone"/>
      <w:r>
        <w:rPr>
          <w:rFonts w:hint="eastAsia" w:ascii="仿宋_GB2312" w:hAnsi="仿宋_GB2312" w:eastAsia="仿宋_GB2312" w:cs="仿宋_GB2312"/>
          <w:b/>
          <w:sz w:val="24"/>
          <w:szCs w:val="24"/>
          <w:u w:val="single"/>
        </w:rPr>
        <w:t>填写甲方所在县级行政区划，如“山东省济南市高新区/章丘区”等</w:t>
      </w:r>
      <w:permEnd w:id="3"/>
    </w:p>
    <w:p w14:paraId="373C71FD">
      <w:pPr>
        <w:spacing w:line="360" w:lineRule="auto"/>
        <w:ind w:firstLine="2160" w:firstLineChars="900"/>
        <w:jc w:val="left"/>
        <w:rPr>
          <w:rFonts w:ascii="仿宋_GB2312" w:hAnsi="仿宋_GB2312" w:eastAsia="仿宋_GB2312" w:cs="仿宋_GB2312"/>
          <w:bCs/>
          <w:sz w:val="24"/>
          <w:szCs w:val="24"/>
        </w:rPr>
      </w:pPr>
    </w:p>
    <w:p w14:paraId="15AA8D4E">
      <w:pPr>
        <w:spacing w:line="360" w:lineRule="auto"/>
        <w:ind w:firstLine="2160" w:firstLineChars="900"/>
        <w:jc w:val="left"/>
        <w:rPr>
          <w:rFonts w:ascii="仿宋_GB2312" w:hAnsi="仿宋_GB2312" w:eastAsia="仿宋_GB2312" w:cs="仿宋_GB2312"/>
          <w:b/>
          <w:sz w:val="24"/>
          <w:szCs w:val="24"/>
          <w:u w:val="single"/>
        </w:rPr>
        <w:sectPr>
          <w:footerReference r:id="rId7" w:type="default"/>
          <w:pgSz w:w="11907" w:h="16840"/>
          <w:pgMar w:top="1304" w:right="1418" w:bottom="1304" w:left="1418" w:header="724" w:footer="851" w:gutter="0"/>
          <w:pgNumType w:start="1"/>
          <w:cols w:space="720" w:num="1"/>
          <w:docGrid w:linePitch="290" w:charSpace="-3931"/>
        </w:sectPr>
      </w:pPr>
      <w:r>
        <w:rPr>
          <w:rFonts w:hint="eastAsia" w:ascii="仿宋_GB2312" w:hAnsi="仿宋_GB2312" w:eastAsia="仿宋_GB2312" w:cs="仿宋_GB2312"/>
          <w:bCs/>
          <w:sz w:val="24"/>
          <w:szCs w:val="24"/>
        </w:rPr>
        <w:t>合同签订时间：</w:t>
      </w:r>
      <w:permStart w:id="4" w:edGrp="everyone"/>
      <w:r>
        <w:rPr>
          <w:rFonts w:hint="eastAsia" w:ascii="仿宋_GB2312" w:hAnsi="仿宋_GB2312" w:eastAsia="仿宋_GB2312" w:cs="仿宋_GB2312"/>
          <w:b/>
          <w:sz w:val="24"/>
          <w:szCs w:val="24"/>
          <w:u w:val="single"/>
        </w:rPr>
        <w:t>按****年**月**日形式据实填写</w:t>
      </w:r>
      <w:permEnd w:id="4"/>
    </w:p>
    <w:p w14:paraId="44DFE2C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447E407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3D0E67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permStart w:id="5" w:edGrp="everyone"/>
      <w:r>
        <w:rPr>
          <w:rFonts w:hint="eastAsia" w:ascii="仿宋_GB2312" w:hAnsi="仿宋_GB2312" w:eastAsia="仿宋_GB2312" w:cs="仿宋_GB2312"/>
          <w:b/>
          <w:bCs/>
          <w:sz w:val="24"/>
          <w:szCs w:val="24"/>
          <w:u w:val="single"/>
        </w:rPr>
        <w:t>设备名称概括</w:t>
      </w:r>
      <w:permEnd w:id="5"/>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468C80F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1.合同设备标的</w:t>
      </w:r>
    </w:p>
    <w:p w14:paraId="2083730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1.1合同总价：为共同完成</w:t>
      </w:r>
      <w:permStart w:id="6" w:edGrp="everyone"/>
      <w:r>
        <w:rPr>
          <w:rFonts w:hint="eastAsia" w:ascii="仿宋_GB2312" w:hAnsi="仿宋_GB2312" w:eastAsia="仿宋_GB2312" w:cs="仿宋_GB2312"/>
          <w:b/>
          <w:bCs/>
          <w:sz w:val="24"/>
          <w:szCs w:val="24"/>
          <w:u w:val="single"/>
        </w:rPr>
        <w:t>合同项目名称</w:t>
      </w:r>
      <w:permEnd w:id="6"/>
      <w:r>
        <w:rPr>
          <w:rFonts w:hint="eastAsia" w:ascii="仿宋_GB2312" w:hAnsi="仿宋_GB2312" w:eastAsia="仿宋_GB2312" w:cs="仿宋_GB2312"/>
          <w:sz w:val="24"/>
          <w:szCs w:val="24"/>
        </w:rPr>
        <w:t>，买方向卖方购买设备一宗，详见附件《设备清单明细表》，本合同不含税总价为</w:t>
      </w:r>
      <w:permStart w:id="7" w:edGrp="everyone"/>
      <w:r>
        <w:rPr>
          <w:rFonts w:hint="eastAsia" w:ascii="仿宋_GB2312" w:hAnsi="仿宋_GB2312" w:eastAsia="仿宋_GB2312" w:cs="仿宋_GB2312"/>
          <w:b/>
          <w:bCs/>
          <w:sz w:val="24"/>
          <w:szCs w:val="24"/>
          <w:u w:val="single"/>
        </w:rPr>
        <w:t>不含税总价小写，数值，小数点后保留两位</w:t>
      </w:r>
      <w:permEnd w:id="7"/>
      <w:r>
        <w:rPr>
          <w:rFonts w:hint="eastAsia" w:ascii="仿宋_GB2312" w:hAnsi="仿宋_GB2312" w:eastAsia="仿宋_GB2312" w:cs="仿宋_GB2312"/>
          <w:sz w:val="24"/>
          <w:szCs w:val="24"/>
        </w:rPr>
        <w:t>元，税额</w:t>
      </w:r>
      <w:permStart w:id="8" w:edGrp="everyone"/>
      <w:r>
        <w:rPr>
          <w:rFonts w:hint="eastAsia" w:ascii="仿宋_GB2312" w:hAnsi="仿宋_GB2312" w:eastAsia="仿宋_GB2312" w:cs="仿宋_GB2312"/>
          <w:b/>
          <w:bCs/>
          <w:sz w:val="24"/>
          <w:szCs w:val="24"/>
          <w:u w:val="single"/>
        </w:rPr>
        <w:t>合计税额小写，数值，小数点后保留两位</w:t>
      </w:r>
      <w:permEnd w:id="8"/>
      <w:r>
        <w:rPr>
          <w:rFonts w:hint="eastAsia" w:ascii="仿宋_GB2312" w:hAnsi="仿宋_GB2312" w:eastAsia="仿宋_GB2312" w:cs="仿宋_GB2312"/>
          <w:sz w:val="24"/>
          <w:szCs w:val="24"/>
        </w:rPr>
        <w:t>元，含税总价</w:t>
      </w:r>
      <w:permStart w:id="9" w:edGrp="everyone"/>
      <w:r>
        <w:rPr>
          <w:rFonts w:hint="eastAsia" w:ascii="仿宋_GB2312" w:hAnsi="仿宋_GB2312" w:eastAsia="仿宋_GB2312" w:cs="仿宋_GB2312"/>
          <w:b/>
          <w:bCs/>
          <w:sz w:val="24"/>
          <w:szCs w:val="24"/>
          <w:u w:val="single"/>
        </w:rPr>
        <w:t>含税总价小写，数值，小数点后保留两位</w:t>
      </w:r>
      <w:permEnd w:id="9"/>
      <w:r>
        <w:rPr>
          <w:rFonts w:hint="eastAsia" w:ascii="仿宋_GB2312" w:hAnsi="仿宋_GB2312" w:eastAsia="仿宋_GB2312" w:cs="仿宋_GB2312"/>
          <w:sz w:val="24"/>
          <w:szCs w:val="24"/>
        </w:rPr>
        <w:t>元（大写：</w:t>
      </w:r>
      <w:permStart w:id="10" w:edGrp="everyone"/>
      <w:r>
        <w:rPr>
          <w:rFonts w:hint="eastAsia" w:ascii="仿宋_GB2312" w:hAnsi="仿宋_GB2312" w:eastAsia="仿宋_GB2312" w:cs="仿宋_GB2312"/>
          <w:b/>
          <w:bCs/>
          <w:sz w:val="24"/>
          <w:szCs w:val="24"/>
          <w:u w:val="single"/>
        </w:rPr>
        <w:t>含税总价大写</w:t>
      </w:r>
      <w:permEnd w:id="10"/>
      <w:r>
        <w:rPr>
          <w:rFonts w:hint="eastAsia" w:ascii="仿宋_GB2312" w:hAnsi="仿宋_GB2312" w:eastAsia="仿宋_GB2312" w:cs="仿宋_GB2312"/>
          <w:sz w:val="24"/>
          <w:szCs w:val="24"/>
        </w:rPr>
        <w:t>）。</w:t>
      </w:r>
    </w:p>
    <w:p w14:paraId="327B6753">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1.2交货方式</w:t>
      </w:r>
      <w:r>
        <w:rPr>
          <w:rFonts w:hint="eastAsia" w:ascii="仿宋_GB2312" w:eastAsia="仿宋_GB2312" w:hAnsiTheme="minorEastAsia" w:cstheme="minorEastAsia"/>
          <w:bCs/>
          <w:sz w:val="24"/>
          <w:szCs w:val="24"/>
        </w:rPr>
        <w:t>：</w:t>
      </w:r>
      <w:permStart w:id="11" w:edGrp="everyone"/>
      <w:r>
        <w:rPr>
          <w:rFonts w:hint="eastAsia" w:ascii="仿宋_GB2312" w:hAnsi="宋体" w:eastAsia="仿宋_GB2312"/>
          <w:b/>
          <w:bCs/>
          <w:sz w:val="24"/>
          <w:szCs w:val="24"/>
          <w:u w:val="single"/>
        </w:rPr>
        <w:t>据实选择，可填写“交钥匙方式”“指定地点交货”“自提”任一方式，其他情况请据实填写</w:t>
      </w:r>
      <w:permEnd w:id="11"/>
      <w:r>
        <w:rPr>
          <w:rFonts w:hint="eastAsia" w:ascii="仿宋_GB2312" w:hAnsi="宋体" w:eastAsia="仿宋_GB2312"/>
          <w:b/>
          <w:bCs/>
          <w:sz w:val="24"/>
          <w:szCs w:val="24"/>
          <w:u w:val="single"/>
        </w:rPr>
        <w:t>。</w:t>
      </w:r>
    </w:p>
    <w:p w14:paraId="124EEBD2">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1.3交货地点：</w:t>
      </w:r>
      <w:permStart w:id="12" w:edGrp="everyone"/>
      <w:r>
        <w:rPr>
          <w:rFonts w:hint="eastAsia" w:ascii="仿宋_GB2312" w:eastAsia="仿宋_GB2312" w:hAnsiTheme="minorEastAsia" w:cstheme="minorEastAsia"/>
          <w:b/>
          <w:bCs/>
          <w:sz w:val="24"/>
          <w:szCs w:val="24"/>
          <w:u w:val="single"/>
        </w:rPr>
        <w:t>交货详细地址信息，除列明省市县/区外，应填写至不致产生歧义的具体位置指向</w:t>
      </w:r>
      <w:permEnd w:id="12"/>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sz w:val="24"/>
          <w:szCs w:val="24"/>
        </w:rPr>
        <w:t xml:space="preserve">    </w:t>
      </w:r>
    </w:p>
    <w:p w14:paraId="4BB0D821">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1.4到货时间：</w:t>
      </w:r>
      <w:permStart w:id="13" w:edGrp="everyone"/>
      <w:r>
        <w:rPr>
          <w:rFonts w:hint="eastAsia" w:ascii="仿宋_GB2312" w:eastAsia="仿宋_GB2312" w:hAnsiTheme="minorEastAsia" w:cstheme="minorEastAsia"/>
          <w:b/>
          <w:bCs/>
          <w:sz w:val="24"/>
          <w:szCs w:val="24"/>
          <w:u w:val="single"/>
        </w:rPr>
        <w:t>填写具体年月日。存在分批次到货情形的，填写“详见特殊条款约定”，须于专用条款第4条特殊约定条款特别约定</w:t>
      </w:r>
      <w:permEnd w:id="13"/>
      <w:r>
        <w:rPr>
          <w:rFonts w:hint="eastAsia" w:ascii="仿宋_GB2312" w:eastAsia="仿宋_GB2312" w:hAnsiTheme="minorEastAsia" w:cstheme="minorEastAsia"/>
          <w:b/>
          <w:bCs/>
          <w:sz w:val="24"/>
          <w:szCs w:val="24"/>
          <w:u w:val="single"/>
        </w:rPr>
        <w:t>。</w:t>
      </w:r>
    </w:p>
    <w:p w14:paraId="62BEE335">
      <w:pPr>
        <w:pStyle w:val="11"/>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rPr>
        <w:t>安装调试时长：</w:t>
      </w:r>
      <w:r>
        <w:rPr>
          <w:rFonts w:ascii="仿宋_GB2312" w:eastAsia="仿宋_GB2312" w:hAnsiTheme="minorEastAsia" w:cstheme="minorEastAsia"/>
          <w:kern w:val="2"/>
          <w:sz w:val="24"/>
          <w:szCs w:val="24"/>
        </w:rPr>
        <w:t>卖方须在到货后</w:t>
      </w:r>
      <w:permStart w:id="14" w:edGrp="everyone"/>
      <w:r>
        <w:rPr>
          <w:rFonts w:hint="eastAsia" w:ascii="仿宋_GB2312" w:eastAsia="仿宋_GB2312" w:hAnsiTheme="minorEastAsia" w:cstheme="minorEastAsia"/>
          <w:b/>
          <w:bCs/>
          <w:sz w:val="24"/>
          <w:szCs w:val="24"/>
          <w:u w:val="single"/>
        </w:rPr>
        <w:t>填写时长，单位“日历日”。存在分批次安装调试情形的，填写“详见特殊条款约定”，须于专用条款第4条特殊约定条款特别约定</w:t>
      </w:r>
      <w:permEnd w:id="14"/>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内完成设备安装，安装完成后</w:t>
      </w:r>
      <w:permStart w:id="15" w:edGrp="everyone"/>
      <w:r>
        <w:rPr>
          <w:rFonts w:hint="eastAsia" w:ascii="仿宋_GB2312" w:eastAsia="仿宋_GB2312" w:hAnsiTheme="minorEastAsia" w:cstheme="minorEastAsia"/>
          <w:b/>
          <w:bCs/>
          <w:sz w:val="24"/>
          <w:szCs w:val="24"/>
          <w:u w:val="single"/>
        </w:rPr>
        <w:t>填写时长，单位“日历日”。存在分批次调试情形的，填写“详见特殊条款约定”，须于专用条款第4条特殊约定条款特别约定</w:t>
      </w:r>
      <w:permEnd w:id="15"/>
      <w:r>
        <w:rPr>
          <w:rFonts w:hint="eastAsia" w:ascii="仿宋_GB2312" w:eastAsia="仿宋_GB2312" w:hAnsiTheme="minorEastAsia" w:cstheme="minorEastAsia"/>
          <w:kern w:val="2"/>
          <w:sz w:val="24"/>
          <w:szCs w:val="24"/>
        </w:rPr>
        <w:t>日历日内完成设备调试。</w:t>
      </w:r>
    </w:p>
    <w:p w14:paraId="67CF9EB1">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1.6调试消耗产品数量：</w:t>
      </w:r>
      <w:r>
        <w:rPr>
          <w:rFonts w:ascii="仿宋_GB2312" w:eastAsia="仿宋_GB2312" w:hAnsiTheme="minorEastAsia" w:cstheme="minorEastAsia"/>
          <w:sz w:val="24"/>
          <w:szCs w:val="24"/>
        </w:rPr>
        <w:t>若设备安装、调试过程中需使用买方产品的，买方提供调试所用产品数量</w:t>
      </w:r>
      <w:permStart w:id="16" w:edGrp="everyone"/>
      <w:r>
        <w:rPr>
          <w:rFonts w:hint="eastAsia" w:ascii="仿宋_GB2312" w:eastAsia="仿宋_GB2312" w:hAnsiTheme="minorEastAsia" w:cstheme="minorEastAsia"/>
          <w:b/>
          <w:bCs/>
          <w:sz w:val="24"/>
          <w:szCs w:val="24"/>
          <w:u w:val="single"/>
        </w:rPr>
        <w:t>甲方提供调试产品的件数，不需要的，此处填写“0”</w:t>
      </w:r>
      <w:permEnd w:id="16"/>
      <w:r>
        <w:rPr>
          <w:rFonts w:ascii="仿宋_GB2312" w:eastAsia="仿宋_GB2312" w:hAnsiTheme="minorEastAsia" w:cstheme="minorEastAsia"/>
          <w:sz w:val="24"/>
          <w:szCs w:val="24"/>
        </w:rPr>
        <w:t>件，超出此数量部分由卖方提供，由此产生的相关费用由卖方承担。</w:t>
      </w:r>
    </w:p>
    <w:p w14:paraId="0262A10D">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1.7设备质量保证期：自最终验收报告签署之日（存在分批次到货安装调试情形的，以验收报告签署日期最晚者为准）起</w:t>
      </w:r>
      <w:permStart w:id="17" w:edGrp="everyone"/>
      <w:r>
        <w:rPr>
          <w:rFonts w:hint="eastAsia" w:ascii="仿宋_GB2312" w:eastAsia="仿宋_GB2312" w:hAnsiTheme="minorEastAsia" w:cstheme="minorEastAsia"/>
          <w:b/>
          <w:bCs/>
          <w:sz w:val="24"/>
          <w:szCs w:val="24"/>
          <w:u w:val="single"/>
        </w:rPr>
        <w:t>卖方承诺的质保期月数。存在分批次设备质保期约定分批次到期情形的，填写“详见特殊条款约定”，须于专用条款第4条特殊约定条款特别约定</w:t>
      </w:r>
      <w:permEnd w:id="17"/>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4852246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2.结算付款约定</w:t>
      </w:r>
    </w:p>
    <w:p w14:paraId="1B4A6637">
      <w:pPr>
        <w:spacing w:line="360" w:lineRule="auto"/>
        <w:ind w:firstLine="480" w:firstLineChars="200"/>
        <w:rPr>
          <w:rFonts w:ascii="仿宋_GB2312" w:hAnsi="黑体" w:eastAsia="仿宋_GB2312" w:cstheme="minorEastAsia"/>
          <w:b/>
          <w:bCs/>
          <w:sz w:val="24"/>
          <w:szCs w:val="24"/>
          <w:u w:val="single"/>
        </w:rPr>
      </w:pPr>
      <w:r>
        <w:rPr>
          <w:rFonts w:hint="eastAsia" w:ascii="仿宋_GB2312" w:hAnsi="黑体" w:eastAsia="仿宋_GB2312" w:cstheme="minorEastAsia"/>
          <w:sz w:val="24"/>
          <w:szCs w:val="24"/>
        </w:rPr>
        <w:t>2.1结算方式：</w:t>
      </w:r>
      <w:permStart w:id="18" w:edGrp="everyone"/>
      <w:r>
        <w:rPr>
          <w:rFonts w:hint="eastAsia" w:ascii="仿宋_GB2312" w:hAnsi="黑体" w:eastAsia="仿宋_GB2312" w:cstheme="minorEastAsia"/>
          <w:b/>
          <w:bCs/>
          <w:sz w:val="24"/>
          <w:szCs w:val="24"/>
          <w:u w:val="single"/>
        </w:rPr>
        <w:t>填写“</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rPr>
        <w:t>”</w:t>
      </w:r>
      <w:r>
        <w:rPr>
          <w:rFonts w:hint="eastAsia" w:ascii="仿宋_GB2312" w:hAnsi="宋体" w:eastAsia="仿宋_GB2312"/>
          <w:b/>
          <w:bCs/>
          <w:sz w:val="24"/>
          <w:szCs w:val="24"/>
          <w:u w:val="single"/>
        </w:rPr>
        <w:t>“转账”“财司内转”三种方式</w:t>
      </w:r>
      <w:r>
        <w:rPr>
          <w:rFonts w:hint="eastAsia" w:ascii="仿宋_GB2312" w:hAnsi="黑体" w:eastAsia="仿宋_GB2312" w:cstheme="minorEastAsia"/>
          <w:b/>
          <w:bCs/>
          <w:sz w:val="24"/>
          <w:szCs w:val="24"/>
          <w:u w:val="single"/>
        </w:rPr>
        <w:t>任一种</w:t>
      </w:r>
      <w:permEnd w:id="18"/>
      <w:r>
        <w:rPr>
          <w:rFonts w:hint="eastAsia" w:ascii="仿宋_GB2312" w:hAnsi="黑体" w:eastAsia="仿宋_GB2312" w:cstheme="minorEastAsia"/>
          <w:b/>
          <w:bCs/>
          <w:sz w:val="24"/>
          <w:szCs w:val="24"/>
          <w:u w:val="single"/>
        </w:rPr>
        <w:t>。</w:t>
      </w:r>
    </w:p>
    <w:p w14:paraId="3F54BE6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2.2结算币种：本合同使用</w:t>
      </w:r>
      <w:permStart w:id="19" w:edGrp="everyone"/>
      <w:r>
        <w:rPr>
          <w:rFonts w:hint="eastAsia" w:ascii="仿宋_GB2312" w:hAnsi="仿宋_GB2312" w:eastAsia="仿宋_GB2312" w:cs="仿宋_GB2312"/>
          <w:b/>
          <w:bCs/>
          <w:sz w:val="24"/>
          <w:szCs w:val="24"/>
          <w:u w:val="single"/>
        </w:rPr>
        <w:t>币种</w:t>
      </w:r>
      <w:permEnd w:id="19"/>
      <w:r>
        <w:rPr>
          <w:rFonts w:hint="eastAsia" w:ascii="仿宋_GB2312" w:hAnsi="仿宋_GB2312" w:eastAsia="仿宋_GB2312" w:cs="仿宋_GB2312"/>
          <w:sz w:val="24"/>
          <w:szCs w:val="24"/>
        </w:rPr>
        <w:t>进行结算。</w:t>
      </w:r>
    </w:p>
    <w:p w14:paraId="4EF47A71">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2.3合同价款支付：</w:t>
      </w:r>
    </w:p>
    <w:p w14:paraId="05A9B29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2.3.1</w:t>
      </w:r>
      <w:permStart w:id="20" w:edGrp="everyone"/>
      <w:r>
        <w:rPr>
          <w:rFonts w:hint="eastAsia" w:ascii="仿宋_GB2312" w:hAnsi="黑体" w:eastAsia="仿宋_GB2312" w:cstheme="minorEastAsia"/>
          <w:b/>
          <w:bCs/>
          <w:sz w:val="24"/>
          <w:szCs w:val="24"/>
          <w:u w:val="single"/>
        </w:rPr>
        <w:t>填写第一笔付款的满足要件，如“设备全部到齐无质量问题”。若存在价款支付的发票及财务审核条件与本条格式条款存有变动调整的，须在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0"/>
      <w:r>
        <w:rPr>
          <w:rFonts w:hint="eastAsia" w:ascii="仿宋_GB2312" w:hAnsi="黑体" w:eastAsia="仿宋_GB2312" w:cstheme="minorEastAsia"/>
          <w:sz w:val="24"/>
          <w:szCs w:val="24"/>
        </w:rPr>
        <w:t>, 买方收到相应金额的增值税专用发票及完整报账材料后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1" w:edGrp="everyone"/>
      <w:r>
        <w:rPr>
          <w:rFonts w:hint="eastAsia" w:ascii="仿宋_GB2312" w:hAnsi="黑体" w:eastAsia="仿宋_GB2312" w:cstheme="minorEastAsia"/>
          <w:b/>
          <w:bCs/>
          <w:sz w:val="24"/>
          <w:szCs w:val="24"/>
          <w:u w:val="single"/>
        </w:rPr>
        <w:t>第一笔付款的比例，数值</w:t>
      </w:r>
      <w:permEnd w:id="21"/>
      <w:r>
        <w:rPr>
          <w:rFonts w:hint="eastAsia" w:ascii="仿宋_GB2312" w:hAnsi="黑体" w:eastAsia="仿宋_GB2312" w:cstheme="minorEastAsia"/>
          <w:sz w:val="24"/>
          <w:szCs w:val="24"/>
        </w:rPr>
        <w:t>%即</w:t>
      </w:r>
      <w:permStart w:id="22" w:edGrp="everyone"/>
      <w:r>
        <w:rPr>
          <w:rFonts w:hint="eastAsia" w:ascii="仿宋_GB2312" w:hAnsi="黑体" w:eastAsia="仿宋_GB2312" w:cstheme="minorEastAsia"/>
          <w:b/>
          <w:bCs/>
          <w:sz w:val="24"/>
          <w:szCs w:val="24"/>
          <w:u w:val="single"/>
        </w:rPr>
        <w:t>第一笔付款金额</w:t>
      </w:r>
      <w:permEnd w:id="22"/>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4A7CCC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2.3.3</w:t>
      </w:r>
      <w:permStart w:id="23" w:edGrp="everyone"/>
      <w:r>
        <w:rPr>
          <w:rFonts w:hint="eastAsia" w:ascii="仿宋_GB2312" w:hAnsi="黑体" w:eastAsia="仿宋_GB2312" w:cstheme="minorEastAsia"/>
          <w:b/>
          <w:bCs/>
          <w:sz w:val="24"/>
          <w:szCs w:val="24"/>
          <w:u w:val="single"/>
        </w:rPr>
        <w:t>填写第二笔付款的满足要件，如“设备全部到齐无质量问题，经安装、调试最终验收合格后”。若存在价款支付的发票及财务审核条件与本条格式条款存有变动调整的，须在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3"/>
      <w:r>
        <w:rPr>
          <w:rFonts w:hint="eastAsia" w:ascii="仿宋_GB2312" w:hAnsi="黑体" w:eastAsia="仿宋_GB2312" w:cstheme="minorEastAsia"/>
          <w:sz w:val="24"/>
          <w:szCs w:val="24"/>
        </w:rPr>
        <w:t>，买方收到合同全额增值税专用发票及完整报账材料后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4" w:edGrp="everyone"/>
      <w:r>
        <w:rPr>
          <w:rFonts w:hint="eastAsia" w:ascii="仿宋_GB2312" w:hAnsi="黑体" w:eastAsia="仿宋_GB2312" w:cstheme="minorEastAsia"/>
          <w:b/>
          <w:bCs/>
          <w:sz w:val="24"/>
          <w:szCs w:val="24"/>
          <w:u w:val="single"/>
        </w:rPr>
        <w:t>第二笔付款的比例，数值</w:t>
      </w:r>
      <w:permEnd w:id="24"/>
      <w:r>
        <w:rPr>
          <w:rFonts w:hint="eastAsia" w:ascii="仿宋_GB2312" w:hAnsi="黑体" w:eastAsia="仿宋_GB2312" w:cstheme="minorEastAsia"/>
          <w:sz w:val="24"/>
          <w:szCs w:val="24"/>
        </w:rPr>
        <w:t>%即</w:t>
      </w:r>
      <w:permStart w:id="25" w:edGrp="everyone"/>
      <w:r>
        <w:rPr>
          <w:rFonts w:hint="eastAsia" w:ascii="仿宋_GB2312" w:hAnsi="黑体" w:eastAsia="仿宋_GB2312" w:cstheme="minorEastAsia"/>
          <w:b/>
          <w:bCs/>
          <w:sz w:val="24"/>
          <w:szCs w:val="24"/>
          <w:u w:val="single"/>
        </w:rPr>
        <w:t>第二笔付款金额</w:t>
      </w:r>
      <w:permEnd w:id="25"/>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30A86DA">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2.3.4合同含税总价款的</w:t>
      </w:r>
      <w:permStart w:id="26" w:edGrp="everyone"/>
      <w:r>
        <w:rPr>
          <w:rFonts w:hint="eastAsia" w:ascii="仿宋_GB2312" w:hAnsi="黑体" w:eastAsia="仿宋_GB2312" w:cstheme="minorEastAsia"/>
          <w:b/>
          <w:bCs/>
          <w:sz w:val="24"/>
          <w:szCs w:val="24"/>
          <w:u w:val="single"/>
        </w:rPr>
        <w:t>第三笔付款的比例，数值</w:t>
      </w:r>
      <w:permEnd w:id="26"/>
      <w:r>
        <w:rPr>
          <w:rFonts w:hint="eastAsia" w:ascii="仿宋_GB2312" w:hAnsi="黑体" w:eastAsia="仿宋_GB2312" w:cstheme="minorEastAsia"/>
          <w:sz w:val="24"/>
          <w:szCs w:val="24"/>
        </w:rPr>
        <w:t>%即</w:t>
      </w:r>
      <w:permStart w:id="27" w:edGrp="everyone"/>
      <w:r>
        <w:rPr>
          <w:rFonts w:hint="eastAsia" w:ascii="仿宋_GB2312" w:hAnsi="黑体" w:eastAsia="仿宋_GB2312" w:cstheme="minorEastAsia"/>
          <w:b/>
          <w:bCs/>
          <w:sz w:val="24"/>
          <w:szCs w:val="24"/>
          <w:u w:val="single"/>
        </w:rPr>
        <w:t>第三笔付款金额</w:t>
      </w:r>
      <w:permEnd w:id="27"/>
      <w:r>
        <w:rPr>
          <w:rFonts w:hint="eastAsia" w:ascii="仿宋_GB2312" w:hAnsi="黑体" w:eastAsia="仿宋_GB2312" w:cstheme="minorEastAsia"/>
          <w:sz w:val="24"/>
          <w:szCs w:val="24"/>
        </w:rPr>
        <w:t>元作为本合同约定设备的质量保证金，质量保证金在质量保证期内不计利息。待合同设备终验收合格后【</w:t>
      </w:r>
      <w:r>
        <w:rPr>
          <w:rFonts w:hint="eastAsia" w:ascii="仿宋_GB2312" w:hAnsi="黑体" w:eastAsia="仿宋_GB2312" w:cstheme="minorEastAsia"/>
          <w:b/>
          <w:bCs/>
          <w:sz w:val="24"/>
          <w:szCs w:val="24"/>
          <w:u w:val="single"/>
        </w:rPr>
        <w:t>按月数填写支付质量保证金的时长</w:t>
      </w:r>
      <w:r>
        <w:rPr>
          <w:rFonts w:hint="eastAsia" w:ascii="仿宋_GB2312" w:hAnsi="黑体" w:eastAsia="仿宋_GB2312" w:cstheme="minorEastAsia"/>
          <w:sz w:val="24"/>
          <w:szCs w:val="24"/>
        </w:rPr>
        <w:t>】个月，卖方向买方提交质量保证金的收款凭证及设备使用单位的使用情况说明，经买方财务审核无误后支付，</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。如有质量问题，质量保证金予以相应扣除。</w:t>
      </w:r>
    </w:p>
    <w:p w14:paraId="1176981A">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2.4甲乙双方基本信息</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4FEBFA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信息名目</w:t>
            </w:r>
          </w:p>
        </w:tc>
        <w:tc>
          <w:tcPr>
            <w:tcW w:w="3690" w:type="dxa"/>
            <w:vAlign w:val="bottom"/>
          </w:tcPr>
          <w:p w14:paraId="0BEE5D0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甲方基本信息</w:t>
            </w:r>
          </w:p>
        </w:tc>
        <w:tc>
          <w:tcPr>
            <w:tcW w:w="3690" w:type="dxa"/>
            <w:vAlign w:val="bottom"/>
          </w:tcPr>
          <w:p w14:paraId="7EFC6C0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企业名称</w:t>
            </w:r>
          </w:p>
        </w:tc>
        <w:tc>
          <w:tcPr>
            <w:tcW w:w="3690" w:type="dxa"/>
            <w:vAlign w:val="bottom"/>
          </w:tcPr>
          <w:p w14:paraId="1D3F85BE">
            <w:pPr>
              <w:spacing w:after="200" w:line="360" w:lineRule="auto"/>
              <w:jc w:val="center"/>
              <w:rPr>
                <w:rFonts w:ascii="仿宋_GB2312" w:hAnsi="仿宋_GB2312" w:eastAsia="仿宋_GB2312" w:cs="仿宋_GB2312"/>
                <w:w w:val="90"/>
                <w:sz w:val="24"/>
                <w:szCs w:val="24"/>
              </w:rPr>
            </w:pPr>
            <w:permStart w:id="28" w:edGrp="everyone"/>
            <w:r>
              <w:rPr>
                <w:rFonts w:hint="eastAsia" w:ascii="仿宋_GB2312" w:hAnsi="仿宋_GB2312" w:eastAsia="仿宋_GB2312" w:cs="仿宋_GB2312"/>
                <w:b/>
                <w:bCs/>
                <w:w w:val="90"/>
                <w:sz w:val="24"/>
                <w:szCs w:val="24"/>
                <w:u w:val="single"/>
              </w:rPr>
              <w:t>甲方单位全称</w:t>
            </w:r>
            <w:permEnd w:id="28"/>
          </w:p>
        </w:tc>
        <w:tc>
          <w:tcPr>
            <w:tcW w:w="3690" w:type="dxa"/>
            <w:vAlign w:val="bottom"/>
          </w:tcPr>
          <w:p w14:paraId="5507C778">
            <w:pPr>
              <w:spacing w:after="200" w:line="360" w:lineRule="auto"/>
              <w:jc w:val="center"/>
              <w:rPr>
                <w:rFonts w:ascii="仿宋_GB2312" w:hAnsi="仿宋_GB2312" w:eastAsia="仿宋_GB2312" w:cs="仿宋_GB2312"/>
                <w:w w:val="90"/>
                <w:sz w:val="24"/>
                <w:szCs w:val="24"/>
              </w:rPr>
            </w:pPr>
            <w:permStart w:id="29" w:edGrp="everyone"/>
            <w:r>
              <w:rPr>
                <w:rFonts w:hint="eastAsia" w:ascii="仿宋_GB2312" w:hAnsi="仿宋_GB2312" w:eastAsia="仿宋_GB2312" w:cs="仿宋_GB2312"/>
                <w:b/>
                <w:bCs/>
                <w:w w:val="90"/>
                <w:sz w:val="24"/>
                <w:szCs w:val="24"/>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注册地址</w:t>
            </w:r>
          </w:p>
        </w:tc>
        <w:tc>
          <w:tcPr>
            <w:tcW w:w="3690" w:type="dxa"/>
            <w:vAlign w:val="bottom"/>
          </w:tcPr>
          <w:p w14:paraId="6517FA37">
            <w:pPr>
              <w:spacing w:after="200" w:line="360" w:lineRule="auto"/>
              <w:jc w:val="center"/>
              <w:rPr>
                <w:rFonts w:ascii="仿宋_GB2312" w:hAnsi="仿宋_GB2312" w:eastAsia="仿宋_GB2312" w:cs="仿宋_GB2312"/>
                <w:w w:val="90"/>
                <w:sz w:val="24"/>
                <w:szCs w:val="24"/>
              </w:rPr>
            </w:pPr>
            <w:permStart w:id="30" w:edGrp="everyone"/>
            <w:r>
              <w:rPr>
                <w:rFonts w:hint="eastAsia" w:ascii="仿宋_GB2312" w:hAnsi="仿宋_GB2312" w:eastAsia="仿宋_GB2312" w:cs="仿宋_GB2312"/>
                <w:b/>
                <w:bCs/>
                <w:w w:val="90"/>
                <w:sz w:val="24"/>
                <w:szCs w:val="24"/>
                <w:u w:val="single"/>
              </w:rPr>
              <w:t>甲方注册地址，营业执照住所地</w:t>
            </w:r>
            <w:permEnd w:id="30"/>
          </w:p>
        </w:tc>
        <w:tc>
          <w:tcPr>
            <w:tcW w:w="3690" w:type="dxa"/>
            <w:vAlign w:val="bottom"/>
          </w:tcPr>
          <w:p w14:paraId="7A7407A9">
            <w:pPr>
              <w:spacing w:after="200" w:line="360" w:lineRule="auto"/>
              <w:jc w:val="center"/>
              <w:rPr>
                <w:rFonts w:ascii="仿宋_GB2312" w:hAnsi="仿宋_GB2312" w:eastAsia="仿宋_GB2312" w:cs="仿宋_GB2312"/>
                <w:w w:val="90"/>
                <w:sz w:val="24"/>
                <w:szCs w:val="24"/>
              </w:rPr>
            </w:pPr>
            <w:permStart w:id="31" w:edGrp="everyone"/>
            <w:r>
              <w:rPr>
                <w:rFonts w:hint="eastAsia" w:ascii="仿宋_GB2312" w:hAnsi="仿宋_GB2312" w:eastAsia="仿宋_GB2312" w:cs="仿宋_GB2312"/>
                <w:b/>
                <w:bCs/>
                <w:w w:val="90"/>
                <w:sz w:val="24"/>
                <w:szCs w:val="24"/>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通讯地址</w:t>
            </w:r>
          </w:p>
        </w:tc>
        <w:tc>
          <w:tcPr>
            <w:tcW w:w="3690" w:type="dxa"/>
            <w:vAlign w:val="bottom"/>
          </w:tcPr>
          <w:p w14:paraId="2E9402DE">
            <w:pPr>
              <w:spacing w:after="200" w:line="360" w:lineRule="auto"/>
              <w:jc w:val="center"/>
              <w:rPr>
                <w:rFonts w:ascii="仿宋_GB2312" w:hAnsi="仿宋_GB2312" w:eastAsia="仿宋_GB2312" w:cs="仿宋_GB2312"/>
                <w:w w:val="90"/>
                <w:sz w:val="24"/>
                <w:szCs w:val="24"/>
              </w:rPr>
            </w:pPr>
            <w:permStart w:id="32" w:edGrp="everyone"/>
            <w:r>
              <w:rPr>
                <w:rFonts w:hint="eastAsia" w:ascii="仿宋_GB2312" w:hAnsi="仿宋_GB2312" w:eastAsia="仿宋_GB2312" w:cs="仿宋_GB2312"/>
                <w:b/>
                <w:bCs/>
                <w:w w:val="90"/>
                <w:sz w:val="24"/>
                <w:szCs w:val="24"/>
                <w:u w:val="single"/>
              </w:rPr>
              <w:t>甲方通讯地址，实际联系地址</w:t>
            </w:r>
            <w:permEnd w:id="32"/>
          </w:p>
        </w:tc>
        <w:tc>
          <w:tcPr>
            <w:tcW w:w="3690" w:type="dxa"/>
            <w:vAlign w:val="bottom"/>
          </w:tcPr>
          <w:p w14:paraId="4254E81F">
            <w:pPr>
              <w:spacing w:after="200" w:line="360" w:lineRule="auto"/>
              <w:jc w:val="center"/>
              <w:rPr>
                <w:rFonts w:ascii="仿宋_GB2312" w:hAnsi="仿宋_GB2312" w:eastAsia="仿宋_GB2312" w:cs="仿宋_GB2312"/>
                <w:w w:val="90"/>
                <w:sz w:val="24"/>
                <w:szCs w:val="24"/>
              </w:rPr>
            </w:pPr>
            <w:permStart w:id="33" w:edGrp="everyone"/>
            <w:r>
              <w:rPr>
                <w:rFonts w:hint="eastAsia" w:ascii="仿宋_GB2312" w:hAnsi="仿宋_GB2312" w:eastAsia="仿宋_GB2312" w:cs="仿宋_GB2312"/>
                <w:b/>
                <w:bCs/>
                <w:w w:val="90"/>
                <w:sz w:val="24"/>
                <w:szCs w:val="24"/>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法定代表人</w:t>
            </w:r>
          </w:p>
        </w:tc>
        <w:tc>
          <w:tcPr>
            <w:tcW w:w="3690" w:type="dxa"/>
            <w:vAlign w:val="bottom"/>
          </w:tcPr>
          <w:p w14:paraId="03B732DB">
            <w:pPr>
              <w:spacing w:after="200" w:line="360" w:lineRule="auto"/>
              <w:jc w:val="center"/>
              <w:rPr>
                <w:rFonts w:ascii="仿宋_GB2312" w:hAnsi="仿宋_GB2312" w:eastAsia="仿宋_GB2312" w:cs="仿宋_GB2312"/>
                <w:w w:val="90"/>
                <w:sz w:val="24"/>
                <w:szCs w:val="24"/>
              </w:rPr>
            </w:pPr>
            <w:permStart w:id="34" w:edGrp="everyone"/>
            <w:r>
              <w:rPr>
                <w:rFonts w:hint="eastAsia" w:ascii="仿宋_GB2312" w:hAnsi="仿宋_GB2312" w:eastAsia="仿宋_GB2312" w:cs="仿宋_GB2312"/>
                <w:b/>
                <w:bCs/>
                <w:w w:val="90"/>
                <w:sz w:val="24"/>
                <w:szCs w:val="24"/>
                <w:u w:val="single"/>
              </w:rPr>
              <w:t>甲方法定代表人姓名</w:t>
            </w:r>
            <w:permEnd w:id="34"/>
          </w:p>
        </w:tc>
        <w:tc>
          <w:tcPr>
            <w:tcW w:w="3690" w:type="dxa"/>
            <w:vAlign w:val="bottom"/>
          </w:tcPr>
          <w:p w14:paraId="733AC005">
            <w:pPr>
              <w:spacing w:after="200" w:line="360" w:lineRule="auto"/>
              <w:jc w:val="center"/>
              <w:rPr>
                <w:rFonts w:ascii="仿宋_GB2312" w:hAnsi="仿宋_GB2312" w:eastAsia="仿宋_GB2312" w:cs="仿宋_GB2312"/>
                <w:w w:val="90"/>
                <w:sz w:val="24"/>
                <w:szCs w:val="24"/>
              </w:rPr>
            </w:pPr>
            <w:permStart w:id="35" w:edGrp="everyone"/>
            <w:r>
              <w:rPr>
                <w:rFonts w:hint="eastAsia" w:ascii="仿宋_GB2312" w:hAnsi="仿宋_GB2312" w:eastAsia="仿宋_GB2312" w:cs="仿宋_GB2312"/>
                <w:b/>
                <w:bCs/>
                <w:w w:val="90"/>
                <w:sz w:val="24"/>
                <w:szCs w:val="24"/>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授权代表</w:t>
            </w:r>
          </w:p>
        </w:tc>
        <w:tc>
          <w:tcPr>
            <w:tcW w:w="3690" w:type="dxa"/>
            <w:vAlign w:val="bottom"/>
          </w:tcPr>
          <w:p w14:paraId="712937C3">
            <w:pPr>
              <w:spacing w:after="200" w:line="360" w:lineRule="auto"/>
              <w:jc w:val="center"/>
              <w:rPr>
                <w:rFonts w:ascii="仿宋_GB2312" w:hAnsi="仿宋_GB2312" w:eastAsia="仿宋_GB2312" w:cs="仿宋_GB2312"/>
                <w:w w:val="90"/>
                <w:sz w:val="24"/>
                <w:szCs w:val="24"/>
              </w:rPr>
            </w:pPr>
            <w:permStart w:id="36" w:edGrp="everyone"/>
            <w:r>
              <w:rPr>
                <w:rFonts w:hint="eastAsia" w:ascii="仿宋_GB2312" w:hAnsi="仿宋_GB2312" w:eastAsia="仿宋_GB2312" w:cs="仿宋_GB2312"/>
                <w:b/>
                <w:bCs/>
                <w:w w:val="90"/>
                <w:sz w:val="24"/>
                <w:szCs w:val="24"/>
                <w:u w:val="single"/>
              </w:rPr>
              <w:t>甲方授权代表姓名</w:t>
            </w:r>
            <w:permEnd w:id="36"/>
          </w:p>
        </w:tc>
        <w:tc>
          <w:tcPr>
            <w:tcW w:w="3690" w:type="dxa"/>
            <w:vAlign w:val="bottom"/>
          </w:tcPr>
          <w:p w14:paraId="1414EC29">
            <w:pPr>
              <w:spacing w:after="200" w:line="360" w:lineRule="auto"/>
              <w:jc w:val="center"/>
              <w:rPr>
                <w:rFonts w:ascii="仿宋_GB2312" w:hAnsi="仿宋_GB2312" w:eastAsia="仿宋_GB2312" w:cs="仿宋_GB2312"/>
                <w:w w:val="90"/>
                <w:sz w:val="24"/>
                <w:szCs w:val="24"/>
              </w:rPr>
            </w:pPr>
            <w:permStart w:id="37" w:edGrp="everyone"/>
            <w:r>
              <w:rPr>
                <w:rFonts w:hint="eastAsia" w:ascii="仿宋_GB2312" w:hAnsi="仿宋_GB2312" w:eastAsia="仿宋_GB2312" w:cs="仿宋_GB2312"/>
                <w:b/>
                <w:bCs/>
                <w:w w:val="90"/>
                <w:sz w:val="24"/>
                <w:szCs w:val="24"/>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联系电话</w:t>
            </w:r>
          </w:p>
        </w:tc>
        <w:tc>
          <w:tcPr>
            <w:tcW w:w="3690" w:type="dxa"/>
            <w:vAlign w:val="bottom"/>
          </w:tcPr>
          <w:p w14:paraId="34838C17">
            <w:pPr>
              <w:spacing w:after="200" w:line="360" w:lineRule="auto"/>
              <w:jc w:val="center"/>
              <w:rPr>
                <w:rFonts w:ascii="仿宋_GB2312" w:hAnsi="仿宋_GB2312" w:eastAsia="仿宋_GB2312" w:cs="仿宋_GB2312"/>
                <w:w w:val="90"/>
                <w:sz w:val="24"/>
                <w:szCs w:val="24"/>
              </w:rPr>
            </w:pPr>
            <w:permStart w:id="38" w:edGrp="everyone"/>
            <w:r>
              <w:rPr>
                <w:rFonts w:hint="eastAsia" w:ascii="仿宋_GB2312" w:hAnsi="仿宋_GB2312" w:eastAsia="仿宋_GB2312" w:cs="仿宋_GB2312"/>
                <w:b/>
                <w:bCs/>
                <w:w w:val="90"/>
                <w:sz w:val="24"/>
                <w:szCs w:val="24"/>
                <w:u w:val="single"/>
              </w:rPr>
              <w:t>甲方授权代表手机号码</w:t>
            </w:r>
            <w:permEnd w:id="38"/>
          </w:p>
        </w:tc>
        <w:tc>
          <w:tcPr>
            <w:tcW w:w="3690" w:type="dxa"/>
            <w:vAlign w:val="bottom"/>
          </w:tcPr>
          <w:p w14:paraId="20F5679E">
            <w:pPr>
              <w:spacing w:after="200" w:line="360" w:lineRule="auto"/>
              <w:jc w:val="center"/>
              <w:rPr>
                <w:rFonts w:ascii="仿宋_GB2312" w:hAnsi="仿宋_GB2312" w:eastAsia="仿宋_GB2312" w:cs="仿宋_GB2312"/>
                <w:w w:val="90"/>
                <w:sz w:val="24"/>
                <w:szCs w:val="24"/>
              </w:rPr>
            </w:pPr>
            <w:permStart w:id="39" w:edGrp="everyone"/>
            <w:r>
              <w:rPr>
                <w:rFonts w:hint="eastAsia" w:ascii="仿宋_GB2312" w:hAnsi="仿宋_GB2312" w:eastAsia="仿宋_GB2312" w:cs="仿宋_GB2312"/>
                <w:b/>
                <w:bCs/>
                <w:w w:val="90"/>
                <w:sz w:val="24"/>
                <w:szCs w:val="24"/>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联系邮箱</w:t>
            </w:r>
          </w:p>
        </w:tc>
        <w:tc>
          <w:tcPr>
            <w:tcW w:w="3690" w:type="dxa"/>
            <w:vAlign w:val="bottom"/>
          </w:tcPr>
          <w:p w14:paraId="1C0F31AF">
            <w:pPr>
              <w:spacing w:after="200" w:line="360" w:lineRule="auto"/>
              <w:jc w:val="center"/>
              <w:rPr>
                <w:rFonts w:ascii="仿宋_GB2312" w:hAnsi="仿宋_GB2312" w:eastAsia="仿宋_GB2312" w:cs="仿宋_GB2312"/>
                <w:w w:val="90"/>
                <w:sz w:val="24"/>
                <w:szCs w:val="24"/>
              </w:rPr>
            </w:pPr>
            <w:permStart w:id="40" w:edGrp="everyone"/>
            <w:r>
              <w:rPr>
                <w:rFonts w:hint="eastAsia" w:ascii="仿宋_GB2312" w:hAnsi="仿宋_GB2312" w:eastAsia="仿宋_GB2312" w:cs="仿宋_GB2312"/>
                <w:b/>
                <w:bCs/>
                <w:w w:val="90"/>
                <w:sz w:val="24"/>
                <w:szCs w:val="24"/>
                <w:u w:val="single"/>
              </w:rPr>
              <w:t>甲方授权代表联系邮箱（非必填）</w:t>
            </w:r>
            <w:permEnd w:id="40"/>
          </w:p>
        </w:tc>
        <w:tc>
          <w:tcPr>
            <w:tcW w:w="3690" w:type="dxa"/>
            <w:vAlign w:val="bottom"/>
          </w:tcPr>
          <w:p w14:paraId="35327CA5">
            <w:pPr>
              <w:spacing w:after="200" w:line="360" w:lineRule="auto"/>
              <w:jc w:val="center"/>
              <w:rPr>
                <w:rFonts w:ascii="仿宋_GB2312" w:hAnsi="仿宋_GB2312" w:eastAsia="仿宋_GB2312" w:cs="仿宋_GB2312"/>
                <w:w w:val="90"/>
                <w:sz w:val="24"/>
                <w:szCs w:val="24"/>
              </w:rPr>
            </w:pPr>
            <w:permStart w:id="41" w:edGrp="everyone"/>
            <w:r>
              <w:rPr>
                <w:rFonts w:hint="eastAsia" w:ascii="仿宋_GB2312" w:hAnsi="仿宋_GB2312" w:eastAsia="仿宋_GB2312" w:cs="仿宋_GB2312"/>
                <w:b/>
                <w:bCs/>
                <w:w w:val="90"/>
                <w:sz w:val="24"/>
                <w:szCs w:val="24"/>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开户银行</w:t>
            </w:r>
          </w:p>
        </w:tc>
        <w:tc>
          <w:tcPr>
            <w:tcW w:w="3690" w:type="dxa"/>
            <w:vAlign w:val="bottom"/>
          </w:tcPr>
          <w:p w14:paraId="73CCCE83">
            <w:pPr>
              <w:spacing w:after="200" w:line="360" w:lineRule="auto"/>
              <w:jc w:val="center"/>
              <w:rPr>
                <w:rFonts w:ascii="仿宋_GB2312" w:hAnsi="仿宋_GB2312" w:eastAsia="仿宋_GB2312" w:cs="仿宋_GB2312"/>
                <w:w w:val="90"/>
                <w:sz w:val="24"/>
                <w:szCs w:val="24"/>
              </w:rPr>
            </w:pPr>
            <w:permStart w:id="42" w:edGrp="everyone"/>
            <w:r>
              <w:rPr>
                <w:rFonts w:hint="eastAsia" w:ascii="仿宋_GB2312" w:hAnsi="仿宋_GB2312" w:eastAsia="仿宋_GB2312" w:cs="仿宋_GB2312"/>
                <w:b/>
                <w:bCs/>
                <w:w w:val="90"/>
                <w:sz w:val="24"/>
                <w:szCs w:val="24"/>
                <w:u w:val="single"/>
              </w:rPr>
              <w:t>甲方开户银行规范全称（非必填）</w:t>
            </w:r>
            <w:permEnd w:id="42"/>
          </w:p>
        </w:tc>
        <w:tc>
          <w:tcPr>
            <w:tcW w:w="3690" w:type="dxa"/>
            <w:vAlign w:val="bottom"/>
          </w:tcPr>
          <w:p w14:paraId="1158C9D1">
            <w:pPr>
              <w:spacing w:after="200" w:line="360" w:lineRule="auto"/>
              <w:jc w:val="center"/>
              <w:rPr>
                <w:rFonts w:ascii="仿宋_GB2312" w:hAnsi="仿宋_GB2312" w:eastAsia="仿宋_GB2312" w:cs="仿宋_GB2312"/>
                <w:w w:val="90"/>
                <w:sz w:val="24"/>
                <w:szCs w:val="24"/>
              </w:rPr>
            </w:pPr>
            <w:permStart w:id="43" w:edGrp="everyone"/>
            <w:r>
              <w:rPr>
                <w:rFonts w:hint="eastAsia" w:ascii="仿宋_GB2312" w:hAnsi="仿宋_GB2312" w:eastAsia="仿宋_GB2312" w:cs="仿宋_GB2312"/>
                <w:b/>
                <w:bCs/>
                <w:w w:val="90"/>
                <w:sz w:val="24"/>
                <w:szCs w:val="24"/>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开户行联行号</w:t>
            </w:r>
          </w:p>
        </w:tc>
        <w:tc>
          <w:tcPr>
            <w:tcW w:w="3690" w:type="dxa"/>
            <w:vAlign w:val="bottom"/>
          </w:tcPr>
          <w:p w14:paraId="4FD3B637">
            <w:pPr>
              <w:spacing w:after="200" w:line="360" w:lineRule="auto"/>
              <w:jc w:val="center"/>
              <w:rPr>
                <w:rFonts w:ascii="仿宋_GB2312" w:hAnsi="仿宋_GB2312" w:eastAsia="仿宋_GB2312" w:cs="仿宋_GB2312"/>
                <w:w w:val="90"/>
                <w:sz w:val="24"/>
                <w:szCs w:val="24"/>
              </w:rPr>
            </w:pPr>
            <w:permStart w:id="44" w:edGrp="everyone"/>
            <w:r>
              <w:rPr>
                <w:rFonts w:hint="eastAsia" w:ascii="仿宋_GB2312" w:hAnsi="仿宋_GB2312" w:eastAsia="仿宋_GB2312" w:cs="仿宋_GB2312"/>
                <w:b/>
                <w:bCs/>
                <w:w w:val="90"/>
                <w:sz w:val="24"/>
                <w:szCs w:val="24"/>
                <w:u w:val="single"/>
              </w:rPr>
              <w:t>甲方开户银行联行号（非必填）</w:t>
            </w:r>
            <w:permEnd w:id="44"/>
          </w:p>
        </w:tc>
        <w:tc>
          <w:tcPr>
            <w:tcW w:w="3690" w:type="dxa"/>
            <w:vAlign w:val="bottom"/>
          </w:tcPr>
          <w:p w14:paraId="4C91F375">
            <w:pPr>
              <w:spacing w:after="200" w:line="360" w:lineRule="auto"/>
              <w:jc w:val="center"/>
              <w:rPr>
                <w:rFonts w:ascii="仿宋_GB2312" w:hAnsi="仿宋_GB2312" w:eastAsia="仿宋_GB2312" w:cs="仿宋_GB2312"/>
                <w:w w:val="90"/>
                <w:sz w:val="24"/>
                <w:szCs w:val="24"/>
              </w:rPr>
            </w:pPr>
            <w:permStart w:id="45" w:edGrp="everyone"/>
            <w:r>
              <w:rPr>
                <w:rFonts w:hint="eastAsia" w:ascii="仿宋_GB2312" w:hAnsi="仿宋_GB2312" w:eastAsia="仿宋_GB2312" w:cs="仿宋_GB2312"/>
                <w:b/>
                <w:bCs/>
                <w:w w:val="90"/>
                <w:sz w:val="24"/>
                <w:szCs w:val="24"/>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开户账号</w:t>
            </w:r>
          </w:p>
        </w:tc>
        <w:tc>
          <w:tcPr>
            <w:tcW w:w="3690" w:type="dxa"/>
            <w:vAlign w:val="bottom"/>
          </w:tcPr>
          <w:p w14:paraId="45D7C5B0">
            <w:pPr>
              <w:spacing w:after="200" w:line="360" w:lineRule="auto"/>
              <w:jc w:val="center"/>
              <w:rPr>
                <w:rFonts w:ascii="仿宋_GB2312" w:hAnsi="仿宋_GB2312" w:eastAsia="仿宋_GB2312" w:cs="仿宋_GB2312"/>
                <w:w w:val="90"/>
                <w:sz w:val="24"/>
                <w:szCs w:val="24"/>
              </w:rPr>
            </w:pPr>
            <w:permStart w:id="46" w:edGrp="everyone"/>
            <w:r>
              <w:rPr>
                <w:rFonts w:hint="eastAsia" w:ascii="仿宋_GB2312" w:hAnsi="仿宋_GB2312" w:eastAsia="仿宋_GB2312" w:cs="仿宋_GB2312"/>
                <w:b/>
                <w:bCs/>
                <w:w w:val="90"/>
                <w:sz w:val="24"/>
                <w:szCs w:val="24"/>
                <w:u w:val="single"/>
              </w:rPr>
              <w:t>甲方银行账号（非必填）</w:t>
            </w:r>
            <w:permEnd w:id="46"/>
          </w:p>
        </w:tc>
        <w:tc>
          <w:tcPr>
            <w:tcW w:w="3690" w:type="dxa"/>
            <w:vAlign w:val="bottom"/>
          </w:tcPr>
          <w:p w14:paraId="53D27E87">
            <w:pPr>
              <w:spacing w:after="200" w:line="360" w:lineRule="auto"/>
              <w:jc w:val="center"/>
              <w:rPr>
                <w:rFonts w:ascii="仿宋_GB2312" w:hAnsi="仿宋_GB2312" w:eastAsia="仿宋_GB2312" w:cs="仿宋_GB2312"/>
                <w:w w:val="90"/>
                <w:sz w:val="24"/>
                <w:szCs w:val="24"/>
              </w:rPr>
            </w:pPr>
            <w:permStart w:id="47" w:edGrp="everyone"/>
            <w:r>
              <w:rPr>
                <w:rFonts w:hint="eastAsia" w:ascii="仿宋_GB2312" w:hAnsi="仿宋_GB2312" w:eastAsia="仿宋_GB2312" w:cs="仿宋_GB2312"/>
                <w:b/>
                <w:bCs/>
                <w:w w:val="90"/>
                <w:sz w:val="24"/>
                <w:szCs w:val="24"/>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其他信息</w:t>
            </w:r>
          </w:p>
        </w:tc>
        <w:tc>
          <w:tcPr>
            <w:tcW w:w="3690" w:type="dxa"/>
            <w:vAlign w:val="bottom"/>
          </w:tcPr>
          <w:p w14:paraId="61124C7F">
            <w:pPr>
              <w:spacing w:after="200" w:line="360" w:lineRule="auto"/>
              <w:jc w:val="center"/>
              <w:rPr>
                <w:rFonts w:ascii="仿宋_GB2312" w:hAnsi="仿宋_GB2312" w:eastAsia="仿宋_GB2312" w:cs="仿宋_GB2312"/>
                <w:w w:val="90"/>
                <w:sz w:val="24"/>
                <w:szCs w:val="24"/>
              </w:rPr>
            </w:pPr>
            <w:permStart w:id="48" w:edGrp="everyone"/>
            <w:r>
              <w:rPr>
                <w:rFonts w:hint="eastAsia" w:ascii="仿宋_GB2312" w:hAnsi="仿宋_GB2312" w:eastAsia="仿宋_GB2312" w:cs="仿宋_GB2312"/>
                <w:b/>
                <w:bCs/>
                <w:w w:val="90"/>
                <w:sz w:val="24"/>
                <w:szCs w:val="24"/>
                <w:u w:val="single"/>
              </w:rPr>
              <w:t>甲方其他需列明企业信息（非必填）</w:t>
            </w:r>
            <w:permEnd w:id="48"/>
          </w:p>
        </w:tc>
        <w:tc>
          <w:tcPr>
            <w:tcW w:w="3690" w:type="dxa"/>
            <w:vAlign w:val="bottom"/>
          </w:tcPr>
          <w:p w14:paraId="26A84B91">
            <w:pPr>
              <w:spacing w:after="200" w:line="360" w:lineRule="auto"/>
              <w:jc w:val="center"/>
              <w:rPr>
                <w:rFonts w:ascii="仿宋_GB2312" w:hAnsi="仿宋_GB2312" w:eastAsia="仿宋_GB2312" w:cs="仿宋_GB2312"/>
                <w:w w:val="90"/>
                <w:sz w:val="24"/>
                <w:szCs w:val="24"/>
              </w:rPr>
            </w:pPr>
            <w:permStart w:id="49" w:edGrp="everyone"/>
            <w:r>
              <w:rPr>
                <w:rFonts w:hint="eastAsia" w:ascii="仿宋_GB2312" w:hAnsi="仿宋_GB2312" w:eastAsia="仿宋_GB2312" w:cs="仿宋_GB2312"/>
                <w:b/>
                <w:bCs/>
                <w:w w:val="90"/>
                <w:sz w:val="24"/>
                <w:szCs w:val="24"/>
                <w:u w:val="single"/>
              </w:rPr>
              <w:t>乙方其他需列明企业信息（非必填）</w:t>
            </w:r>
            <w:permEnd w:id="49"/>
          </w:p>
        </w:tc>
      </w:tr>
    </w:tbl>
    <w:p w14:paraId="61688E4C">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合同履行过程中，如甲乙双方基本信息发生变更，应及时以书面形式告知对方并就付款账户信息变更签署相关补充协议。</w:t>
      </w:r>
    </w:p>
    <w:p w14:paraId="01FD157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3.生效条款</w:t>
      </w:r>
    </w:p>
    <w:p w14:paraId="46DFC34E">
      <w:pPr>
        <w:spacing w:line="360" w:lineRule="auto"/>
        <w:ind w:firstLine="480" w:firstLineChars="200"/>
        <w:rPr>
          <w:rFonts w:ascii="仿宋_GB2312" w:hAnsi="黑体" w:eastAsia="仿宋_GB2312" w:cstheme="minorEastAsia"/>
          <w:sz w:val="24"/>
          <w:szCs w:val="24"/>
          <w:u w:val="single"/>
        </w:rPr>
      </w:pPr>
      <w:r>
        <w:rPr>
          <w:rFonts w:hint="eastAsia" w:ascii="仿宋_GB2312" w:hAnsi="黑体" w:eastAsia="仿宋_GB2312" w:cstheme="minorEastAsia"/>
          <w:sz w:val="24"/>
          <w:szCs w:val="24"/>
        </w:rPr>
        <w:t>3.1本合同经双方签署后生效。</w:t>
      </w:r>
    </w:p>
    <w:p w14:paraId="131C7C46">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3.2本合同一式四份，甲乙双方各执两份，具有同等法律效力。</w:t>
      </w:r>
    </w:p>
    <w:p w14:paraId="49581060">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4.特殊约定</w:t>
      </w:r>
    </w:p>
    <w:p w14:paraId="2672DB43">
      <w:pPr>
        <w:spacing w:line="360" w:lineRule="auto"/>
        <w:ind w:firstLine="434" w:firstLineChars="200"/>
        <w:rPr>
          <w:rFonts w:ascii="仿宋_GB2312" w:hAnsi="黑体" w:eastAsia="仿宋_GB2312" w:cstheme="minorEastAsia"/>
          <w:sz w:val="24"/>
          <w:szCs w:val="24"/>
        </w:rPr>
      </w:pPr>
      <w:permStart w:id="50" w:edGrp="everyone"/>
      <w:r>
        <w:rPr>
          <w:rFonts w:hint="eastAsia" w:ascii="仿宋_GB2312" w:hAnsi="仿宋_GB2312" w:eastAsia="仿宋_GB2312" w:cs="仿宋_GB2312"/>
          <w:b/>
          <w:bCs/>
          <w:w w:val="90"/>
          <w:sz w:val="24"/>
          <w:szCs w:val="24"/>
          <w:u w:val="single"/>
        </w:rPr>
        <w:t>特殊约定事项，据实填写：4.1                ;4.2               ;……。若无，</w:t>
      </w:r>
      <w:r>
        <w:rPr>
          <w:rFonts w:hint="eastAsia" w:ascii="仿宋_GB2312" w:eastAsia="仿宋_GB2312" w:hAnsiTheme="minorEastAsia" w:cstheme="minorEastAsia"/>
          <w:b/>
          <w:bCs/>
          <w:sz w:val="24"/>
          <w:szCs w:val="24"/>
          <w:u w:val="single"/>
        </w:rPr>
        <w:t>填写“无”。专用条款、通用条款中需进行修改的部分应在此处予以体现。</w:t>
      </w:r>
      <w:permEnd w:id="50"/>
    </w:p>
    <w:p w14:paraId="5070630D">
      <w:pPr>
        <w:spacing w:line="360" w:lineRule="auto"/>
        <w:rPr>
          <w:rFonts w:ascii="宋体" w:hAnsi="宋体"/>
          <w:snapToGrid w:val="0"/>
          <w:kern w:val="0"/>
          <w:sz w:val="20"/>
          <w:szCs w:val="20"/>
          <w:lang w:eastAsia="zh-Hans"/>
        </w:rPr>
      </w:pPr>
    </w:p>
    <w:p w14:paraId="557BE05C">
      <w:pPr>
        <w:spacing w:line="360" w:lineRule="auto"/>
        <w:rPr>
          <w:rFonts w:ascii="宋体" w:hAnsi="宋体"/>
          <w:snapToGrid w:val="0"/>
          <w:kern w:val="0"/>
          <w:sz w:val="20"/>
          <w:szCs w:val="20"/>
          <w:lang w:eastAsia="zh-Hans"/>
        </w:rPr>
      </w:pPr>
    </w:p>
    <w:p w14:paraId="59648CA3">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1" w:edGrp="everyone"/>
      <w:r>
        <w:rPr>
          <w:rFonts w:hint="eastAsia" w:ascii="仿宋_GB2312" w:hAnsi="宋体" w:eastAsia="仿宋_GB2312"/>
          <w:b/>
          <w:bCs/>
          <w:snapToGrid w:val="0"/>
          <w:kern w:val="0"/>
          <w:sz w:val="24"/>
          <w:szCs w:val="24"/>
          <w:u w:val="single"/>
        </w:rPr>
        <w:t>甲方单位全称</w:t>
      </w:r>
      <w:permEnd w:id="51"/>
    </w:p>
    <w:p w14:paraId="54CC33BE">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469640F9">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4BD57883">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948866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p>
    <w:p w14:paraId="1E9E1941">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7C7C1DC1">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2" w:edGrp="everyone"/>
      <w:r>
        <w:rPr>
          <w:rFonts w:hint="eastAsia" w:ascii="仿宋_GB2312" w:hAnsi="仿宋_GB2312" w:eastAsia="仿宋_GB2312" w:cs="仿宋_GB2312"/>
          <w:b/>
          <w:bCs/>
          <w:sz w:val="24"/>
          <w:szCs w:val="24"/>
          <w:u w:val="single"/>
        </w:rPr>
        <w:t>乙方单位全称</w:t>
      </w:r>
      <w:permEnd w:id="52"/>
    </w:p>
    <w:p w14:paraId="6FCF16FB">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4301F201">
      <w:pPr>
        <w:ind w:firstLine="480" w:firstLineChars="200"/>
        <w:rPr>
          <w:rFonts w:ascii="仿宋_GB2312" w:hAnsi="宋体" w:eastAsia="仿宋_GB2312"/>
          <w:snapToGrid w:val="0"/>
          <w:color w:val="000000"/>
          <w:kern w:val="0"/>
          <w:sz w:val="24"/>
          <w:szCs w:val="24"/>
          <w:lang w:eastAsia="zh-Hans"/>
        </w:rPr>
        <w:sectPr>
          <w:footerReference r:id="rId8" w:type="default"/>
          <w:pgSz w:w="11907" w:h="16840"/>
          <w:pgMar w:top="1304" w:right="1418" w:bottom="1304" w:left="1418" w:header="724" w:footer="851" w:gutter="0"/>
          <w:cols w:space="720" w:num="1"/>
          <w:docGrid w:linePitch="290" w:charSpace="-3931"/>
        </w:sect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301410D3">
      <w:pPr>
        <w:ind w:firstLine="480" w:firstLineChars="200"/>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54841A7">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585AD6B7">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07E57D8C">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2" w:name="_Toc16330018"/>
      <w:bookmarkStart w:id="93" w:name="_Toc11930"/>
      <w:bookmarkStart w:id="94" w:name="_Toc17619"/>
      <w:bookmarkStart w:id="95" w:name="_Toc11823"/>
      <w:r>
        <w:rPr>
          <w:rFonts w:hint="eastAsia" w:ascii="黑体" w:hAnsi="黑体" w:eastAsia="黑体" w:cs="黑体"/>
          <w:b w:val="0"/>
          <w:sz w:val="24"/>
          <w:szCs w:val="24"/>
        </w:rPr>
        <w:t>1 合同设备</w:t>
      </w:r>
      <w:bookmarkEnd w:id="92"/>
      <w:bookmarkEnd w:id="93"/>
      <w:bookmarkEnd w:id="94"/>
      <w:bookmarkEnd w:id="95"/>
    </w:p>
    <w:p w14:paraId="220CD6C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96" w:name="_Toc32510"/>
      <w:bookmarkStart w:id="97" w:name="_Toc29026"/>
      <w:bookmarkStart w:id="98" w:name="_Toc22800"/>
      <w:r>
        <w:rPr>
          <w:rFonts w:hint="eastAsia" w:ascii="仿宋_GB2312" w:hAnsi="仿宋_GB2312" w:eastAsia="仿宋_GB2312" w:cs="仿宋_GB2312"/>
          <w:sz w:val="24"/>
          <w:szCs w:val="24"/>
        </w:rPr>
        <w:t>本合同约定设备的技术规格详见附件《技术协议书》。</w:t>
      </w:r>
    </w:p>
    <w:p w14:paraId="6FAC33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2FE4BEA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9" w:name="_Toc16330019"/>
      <w:r>
        <w:rPr>
          <w:rFonts w:hint="eastAsia" w:ascii="黑体" w:hAnsi="黑体" w:eastAsia="黑体" w:cs="黑体"/>
          <w:b w:val="0"/>
          <w:sz w:val="24"/>
          <w:szCs w:val="24"/>
        </w:rPr>
        <w:t>2 包装</w:t>
      </w:r>
      <w:bookmarkEnd w:id="96"/>
      <w:bookmarkEnd w:id="97"/>
      <w:bookmarkEnd w:id="98"/>
      <w:bookmarkEnd w:id="99"/>
    </w:p>
    <w:p w14:paraId="5A6030E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09D342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0" w:name="_Toc27453"/>
      <w:bookmarkStart w:id="101" w:name="_Toc27144"/>
      <w:bookmarkStart w:id="102" w:name="_Toc16330020"/>
      <w:bookmarkStart w:id="103" w:name="_Toc2833"/>
      <w:r>
        <w:rPr>
          <w:rFonts w:hint="eastAsia" w:ascii="黑体" w:hAnsi="黑体" w:eastAsia="黑体" w:cs="黑体"/>
          <w:b w:val="0"/>
          <w:sz w:val="24"/>
          <w:szCs w:val="24"/>
        </w:rPr>
        <w:t>3 运输标记</w:t>
      </w:r>
      <w:bookmarkEnd w:id="100"/>
      <w:bookmarkEnd w:id="101"/>
      <w:bookmarkEnd w:id="102"/>
      <w:bookmarkEnd w:id="103"/>
    </w:p>
    <w:p w14:paraId="5873C0E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2F1B3A9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1F054C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11D68E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52162E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0033E9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2F6DD2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35CBD3D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4" w:name="_Toc16133"/>
      <w:bookmarkStart w:id="105" w:name="_Toc10630"/>
      <w:bookmarkStart w:id="106" w:name="_Toc16330021"/>
      <w:bookmarkStart w:id="107" w:name="_Toc7431"/>
      <w:r>
        <w:rPr>
          <w:rFonts w:hint="eastAsia" w:ascii="黑体" w:hAnsi="黑体" w:eastAsia="黑体" w:cs="黑体"/>
          <w:b w:val="0"/>
          <w:sz w:val="24"/>
          <w:szCs w:val="24"/>
        </w:rPr>
        <w:t>4 检验</w:t>
      </w:r>
      <w:bookmarkEnd w:id="104"/>
      <w:bookmarkEnd w:id="105"/>
      <w:bookmarkEnd w:id="106"/>
      <w:bookmarkEnd w:id="107"/>
    </w:p>
    <w:p w14:paraId="1D1E83A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78B43F8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8" w:name="_Toc24467"/>
      <w:bookmarkStart w:id="109" w:name="_Toc19850"/>
      <w:bookmarkStart w:id="110" w:name="_Toc16330022"/>
      <w:bookmarkStart w:id="111" w:name="_Toc11217"/>
      <w:r>
        <w:rPr>
          <w:rFonts w:hint="eastAsia" w:ascii="黑体" w:hAnsi="黑体" w:eastAsia="黑体" w:cs="黑体"/>
          <w:b w:val="0"/>
          <w:sz w:val="24"/>
          <w:szCs w:val="24"/>
        </w:rPr>
        <w:t>5 权利担保</w:t>
      </w:r>
      <w:bookmarkEnd w:id="108"/>
      <w:bookmarkEnd w:id="109"/>
      <w:bookmarkEnd w:id="110"/>
      <w:bookmarkEnd w:id="111"/>
    </w:p>
    <w:p w14:paraId="476A92B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0089333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5A80E8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004094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2" w:name="_Toc11759"/>
      <w:bookmarkStart w:id="113" w:name="_Toc16330023"/>
      <w:bookmarkStart w:id="114" w:name="_Toc14809"/>
      <w:bookmarkStart w:id="115" w:name="_Toc27500"/>
      <w:r>
        <w:rPr>
          <w:rFonts w:hint="eastAsia" w:ascii="黑体" w:hAnsi="黑体" w:eastAsia="黑体" w:cs="黑体"/>
          <w:b w:val="0"/>
          <w:sz w:val="24"/>
          <w:szCs w:val="24"/>
        </w:rPr>
        <w:t>6 交货</w:t>
      </w:r>
      <w:bookmarkEnd w:id="112"/>
      <w:bookmarkEnd w:id="113"/>
      <w:bookmarkEnd w:id="114"/>
      <w:bookmarkEnd w:id="115"/>
    </w:p>
    <w:p w14:paraId="75D4D39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6B1247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5890F92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0E1C90F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6" w:name="_Toc25510"/>
      <w:bookmarkStart w:id="117" w:name="_Toc2984"/>
      <w:bookmarkStart w:id="118" w:name="_Toc16330024"/>
      <w:bookmarkStart w:id="119" w:name="_Toc8024"/>
      <w:r>
        <w:rPr>
          <w:rFonts w:hint="eastAsia" w:ascii="黑体" w:hAnsi="黑体" w:eastAsia="黑体" w:cs="黑体"/>
          <w:b w:val="0"/>
          <w:sz w:val="24"/>
          <w:szCs w:val="24"/>
        </w:rPr>
        <w:t>7 安装、调试</w:t>
      </w:r>
      <w:bookmarkEnd w:id="116"/>
      <w:bookmarkEnd w:id="117"/>
      <w:bookmarkEnd w:id="118"/>
      <w:bookmarkEnd w:id="119"/>
    </w:p>
    <w:p w14:paraId="786FCD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4FE9B26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0" w:name="_Toc14260"/>
      <w:bookmarkStart w:id="121" w:name="_Toc16330025"/>
      <w:bookmarkStart w:id="122" w:name="_Toc6350"/>
      <w:bookmarkStart w:id="123" w:name="_Toc14098"/>
      <w:r>
        <w:rPr>
          <w:rFonts w:hint="eastAsia" w:ascii="黑体" w:hAnsi="黑体" w:eastAsia="黑体" w:cs="黑体"/>
          <w:b w:val="0"/>
          <w:sz w:val="24"/>
          <w:szCs w:val="24"/>
        </w:rPr>
        <w:t>8 价款与支付</w:t>
      </w:r>
      <w:bookmarkEnd w:id="120"/>
      <w:bookmarkEnd w:id="121"/>
      <w:bookmarkEnd w:id="122"/>
      <w:bookmarkEnd w:id="123"/>
    </w:p>
    <w:p w14:paraId="05C494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4" w:name="_Toc16330026"/>
      <w:bookmarkStart w:id="125" w:name="_Toc24085"/>
      <w:bookmarkStart w:id="126" w:name="_Toc25708"/>
      <w:bookmarkStart w:id="127" w:name="_Toc6726"/>
      <w:r>
        <w:rPr>
          <w:rFonts w:hint="eastAsia" w:ascii="黑体" w:hAnsi="黑体" w:eastAsia="黑体" w:cs="黑体"/>
          <w:b w:val="0"/>
          <w:sz w:val="24"/>
          <w:szCs w:val="24"/>
        </w:rPr>
        <w:t>9 质量保证及售后服务</w:t>
      </w:r>
      <w:bookmarkEnd w:id="124"/>
      <w:bookmarkEnd w:id="125"/>
      <w:bookmarkEnd w:id="126"/>
      <w:bookmarkEnd w:id="127"/>
    </w:p>
    <w:p w14:paraId="6149868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4C6B89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508A74B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8" w:name="_Toc16330027"/>
      <w:bookmarkStart w:id="129" w:name="_Toc15570"/>
      <w:bookmarkStart w:id="130" w:name="_Toc10359"/>
      <w:bookmarkStart w:id="131" w:name="_Toc12927"/>
      <w:r>
        <w:rPr>
          <w:rFonts w:hint="eastAsia" w:ascii="黑体" w:hAnsi="黑体" w:eastAsia="黑体" w:cs="黑体"/>
          <w:b w:val="0"/>
          <w:sz w:val="24"/>
          <w:szCs w:val="24"/>
        </w:rPr>
        <w:t>10法定责任</w:t>
      </w:r>
      <w:bookmarkEnd w:id="128"/>
      <w:bookmarkEnd w:id="129"/>
      <w:bookmarkEnd w:id="130"/>
      <w:bookmarkEnd w:id="131"/>
      <w:r>
        <w:rPr>
          <w:rFonts w:hint="eastAsia" w:ascii="黑体" w:hAnsi="黑体" w:eastAsia="黑体" w:cs="黑体"/>
          <w:b w:val="0"/>
          <w:sz w:val="24"/>
          <w:szCs w:val="24"/>
        </w:rPr>
        <w:t>及合规责任</w:t>
      </w:r>
    </w:p>
    <w:p w14:paraId="754117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754ADAB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1）卖方</w:t>
      </w:r>
      <w:r>
        <w:rPr>
          <w:rFonts w:ascii="仿宋_GB2312" w:hAnsi="仿宋_GB2312" w:eastAsia="仿宋_GB2312" w:cs="仿宋_GB2312"/>
          <w:sz w:val="24"/>
          <w:szCs w:val="24"/>
        </w:rPr>
        <w:t>仅能将</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提供的保密信息用于本协议所约定的项目并承担保密义务。</w:t>
      </w:r>
    </w:p>
    <w:p w14:paraId="441CEB7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2）卖方</w:t>
      </w:r>
      <w:r>
        <w:rPr>
          <w:rFonts w:ascii="仿宋_GB2312" w:hAnsi="仿宋_GB2312" w:eastAsia="仿宋_GB2312" w:cs="仿宋_GB2312"/>
          <w:sz w:val="24"/>
          <w:szCs w:val="24"/>
        </w:rPr>
        <w:t>将采取有效措施使用</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提供的保密信息，只将该等保密信息提供给本方负责决策或实施合作事项的具体参与人员，</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及其相关人员不得以任何方式或形式散布、披露或传播给该范围以外的人（包括</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关联机构），也不得允许任何保密信息被泄漏、被披露、被交流。</w:t>
      </w:r>
    </w:p>
    <w:p w14:paraId="79DD28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为项目需要，而不得不向该第三方披露保密信息，则</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应事先从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得到书面同意。</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应与该第三方承担连带责任。</w:t>
      </w:r>
    </w:p>
    <w:p w14:paraId="533552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w:t>
      </w:r>
      <w:r>
        <w:rPr>
          <w:rFonts w:ascii="仿宋_GB2312" w:hAnsi="仿宋_GB2312" w:eastAsia="仿宋_GB2312" w:cs="仿宋_GB2312"/>
          <w:sz w:val="24"/>
          <w:szCs w:val="24"/>
        </w:rPr>
        <w:t>如</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得悉</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的任何保密信息遭侵犯或疑似侵权，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应立即通知</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决定就侵权行为进行起诉，或以其他方式停止或阻止该实际或可能发生的侵权行为，</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 xml:space="preserve">尽最大限度予以协助。 </w:t>
      </w:r>
    </w:p>
    <w:p w14:paraId="3DC77A0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5）卖方</w:t>
      </w:r>
      <w:r>
        <w:rPr>
          <w:rFonts w:ascii="仿宋_GB2312" w:hAnsi="仿宋_GB2312" w:eastAsia="仿宋_GB2312" w:cs="仿宋_GB2312"/>
          <w:sz w:val="24"/>
          <w:szCs w:val="24"/>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6）卖方</w:t>
      </w:r>
      <w:r>
        <w:rPr>
          <w:rFonts w:ascii="仿宋_GB2312" w:hAnsi="仿宋_GB2312" w:eastAsia="仿宋_GB2312" w:cs="仿宋_GB2312"/>
          <w:sz w:val="24"/>
          <w:szCs w:val="24"/>
        </w:rPr>
        <w:t>应遵从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不时发出的有关使用、处理和保管保密信息的任何指令或政策，并按照</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的要求将本协议项下保密信息的使用情况向</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 xml:space="preserve">汇报。 </w:t>
      </w:r>
    </w:p>
    <w:p w14:paraId="625BD1A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7）卖方</w:t>
      </w:r>
      <w:r>
        <w:rPr>
          <w:rFonts w:ascii="仿宋_GB2312" w:hAnsi="仿宋_GB2312" w:eastAsia="仿宋_GB2312" w:cs="仿宋_GB2312"/>
          <w:sz w:val="24"/>
          <w:szCs w:val="24"/>
        </w:rPr>
        <w:t>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w:t>
      </w:r>
      <w:r>
        <w:rPr>
          <w:rFonts w:ascii="仿宋_GB2312" w:hAnsi="仿宋_GB2312" w:eastAsia="仿宋_GB2312" w:cs="仿宋_GB2312"/>
          <w:sz w:val="24"/>
          <w:szCs w:val="24"/>
        </w:rPr>
        <w:t>双方合作期间形成的与本协议有关的任何信息和数据受本协议约束。</w:t>
      </w:r>
    </w:p>
    <w:p w14:paraId="505C425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数据收集必须基于合法授权，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需向数据主体明确告知数据用途，并获得明确同意</w:t>
      </w:r>
      <w:r>
        <w:rPr>
          <w:rFonts w:hint="eastAsia" w:ascii="仿宋_GB2312" w:hAnsi="仿宋_GB2312" w:eastAsia="仿宋_GB2312" w:cs="仿宋_GB2312"/>
          <w:sz w:val="24"/>
          <w:szCs w:val="24"/>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在存储数据时需采取严格的安全措施，</w:t>
      </w:r>
      <w:r>
        <w:rPr>
          <w:rFonts w:hint="eastAsia" w:ascii="仿宋_GB2312" w:hAnsi="仿宋_GB2312" w:eastAsia="仿宋_GB2312" w:cs="仿宋_GB2312"/>
          <w:sz w:val="24"/>
          <w:szCs w:val="24"/>
        </w:rPr>
        <w:t>通过</w:t>
      </w:r>
      <w:r>
        <w:rPr>
          <w:rFonts w:ascii="仿宋_GB2312" w:hAnsi="仿宋_GB2312" w:eastAsia="仿宋_GB2312" w:cs="仿宋_GB2312"/>
          <w:sz w:val="24"/>
          <w:szCs w:val="24"/>
        </w:rPr>
        <w:t>加密、访问控制等措施确保数据的完整性和机密性</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在使用和传输数据时，</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需确保数据使用符合收集时的声明，不得超出必要范围</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跨境数据传输时，需符合法律规定的合规要求。</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w:t>
      </w:r>
    </w:p>
    <w:p w14:paraId="730210B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如需要</w:t>
      </w:r>
      <w:r>
        <w:rPr>
          <w:rFonts w:ascii="仿宋_GB2312" w:hAnsi="仿宋_GB2312" w:eastAsia="仿宋_GB2312" w:cs="仿宋_GB2312"/>
          <w:sz w:val="24"/>
          <w:szCs w:val="24"/>
        </w:rPr>
        <w:t>数据共享</w:t>
      </w:r>
      <w:r>
        <w:rPr>
          <w:rFonts w:hint="eastAsia" w:ascii="仿宋_GB2312" w:hAnsi="仿宋_GB2312" w:eastAsia="仿宋_GB2312" w:cs="仿宋_GB2312"/>
          <w:sz w:val="24"/>
          <w:szCs w:val="24"/>
        </w:rPr>
        <w:t>时</w:t>
      </w:r>
      <w:r>
        <w:rPr>
          <w:rFonts w:ascii="仿宋_GB2312" w:hAnsi="仿宋_GB2312" w:eastAsia="仿宋_GB2312" w:cs="仿宋_GB2312"/>
          <w:sz w:val="24"/>
          <w:szCs w:val="24"/>
        </w:rPr>
        <w:t>需</w:t>
      </w:r>
      <w:r>
        <w:rPr>
          <w:rFonts w:hint="eastAsia" w:ascii="仿宋_GB2312" w:hAnsi="仿宋_GB2312" w:eastAsia="仿宋_GB2312" w:cs="仿宋_GB2312"/>
          <w:sz w:val="24"/>
          <w:szCs w:val="24"/>
        </w:rPr>
        <w:t>取得买方的书面同意并</w:t>
      </w:r>
      <w:r>
        <w:rPr>
          <w:rFonts w:ascii="仿宋_GB2312" w:hAnsi="仿宋_GB2312" w:eastAsia="仿宋_GB2312" w:cs="仿宋_GB2312"/>
          <w:sz w:val="24"/>
          <w:szCs w:val="24"/>
        </w:rPr>
        <w:t>确保各方在使用数据时符合合规要求</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当数据不再需要时，</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采取适当的措施彻底销毁数据，防止其被恢复和滥用。</w:t>
      </w:r>
    </w:p>
    <w:p w14:paraId="6FD1CF9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2" w:name="_Toc16330028"/>
      <w:bookmarkStart w:id="133" w:name="_Toc9708"/>
      <w:bookmarkStart w:id="134" w:name="_Toc27314"/>
      <w:bookmarkStart w:id="135" w:name="_Toc30381"/>
      <w:r>
        <w:rPr>
          <w:rFonts w:hint="eastAsia" w:ascii="黑体" w:hAnsi="黑体" w:eastAsia="黑体" w:cs="黑体"/>
          <w:b w:val="0"/>
          <w:sz w:val="24"/>
          <w:szCs w:val="24"/>
        </w:rPr>
        <w:t>11 违约责任</w:t>
      </w:r>
      <w:bookmarkEnd w:id="132"/>
      <w:bookmarkEnd w:id="133"/>
      <w:bookmarkEnd w:id="134"/>
      <w:bookmarkEnd w:id="135"/>
    </w:p>
    <w:p w14:paraId="113C37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6FD149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0D45179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6" w:name="_Toc9172"/>
      <w:bookmarkStart w:id="137" w:name="_Toc31554"/>
      <w:bookmarkStart w:id="138" w:name="_Toc16330029"/>
      <w:bookmarkStart w:id="139" w:name="_Toc1827"/>
      <w:r>
        <w:rPr>
          <w:rFonts w:hint="eastAsia" w:ascii="黑体" w:hAnsi="黑体" w:eastAsia="黑体" w:cs="黑体"/>
          <w:b w:val="0"/>
          <w:sz w:val="24"/>
          <w:szCs w:val="24"/>
        </w:rPr>
        <w:t>12 合同的终止与解除</w:t>
      </w:r>
      <w:bookmarkEnd w:id="136"/>
      <w:bookmarkEnd w:id="137"/>
      <w:bookmarkEnd w:id="138"/>
      <w:bookmarkEnd w:id="139"/>
    </w:p>
    <w:p w14:paraId="5118876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546D964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2A9051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12.3.1卖方明确表示或者以自己的行为表明不履行交货、安装、调试、培训等主要义务的，或足以影响买方使用设备的行为的；</w:t>
      </w:r>
    </w:p>
    <w:p w14:paraId="460D6C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12.3.2卖方所交付的设备不符合本合同约定的质量要求或屡次验收不合格或达不到验收标准的；</w:t>
      </w:r>
    </w:p>
    <w:p w14:paraId="4480BB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70D9ED1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17453BD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34AE0553">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0" w:name="_Toc13671"/>
      <w:bookmarkStart w:id="141" w:name="_Toc8620"/>
      <w:bookmarkStart w:id="142" w:name="_Toc16330030"/>
      <w:bookmarkStart w:id="143" w:name="_Toc31945"/>
      <w:r>
        <w:rPr>
          <w:rFonts w:hint="eastAsia" w:ascii="黑体" w:hAnsi="黑体" w:eastAsia="黑体" w:cs="黑体"/>
          <w:b w:val="0"/>
          <w:sz w:val="24"/>
          <w:szCs w:val="24"/>
        </w:rPr>
        <w:t>13 不可抗力</w:t>
      </w:r>
      <w:bookmarkEnd w:id="140"/>
      <w:bookmarkEnd w:id="141"/>
      <w:bookmarkEnd w:id="142"/>
      <w:bookmarkEnd w:id="143"/>
    </w:p>
    <w:p w14:paraId="65DFD4D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37E270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4" w:name="_Toc16330031"/>
      <w:bookmarkStart w:id="145" w:name="_Toc31243"/>
      <w:bookmarkStart w:id="146" w:name="_Toc637"/>
      <w:bookmarkStart w:id="147" w:name="_Toc30389"/>
      <w:r>
        <w:rPr>
          <w:rFonts w:hint="eastAsia" w:ascii="黑体" w:hAnsi="黑体" w:eastAsia="黑体" w:cs="黑体"/>
          <w:b w:val="0"/>
          <w:sz w:val="24"/>
          <w:szCs w:val="24"/>
        </w:rPr>
        <w:t>14 通讯</w:t>
      </w:r>
      <w:bookmarkEnd w:id="144"/>
      <w:bookmarkEnd w:id="145"/>
      <w:bookmarkEnd w:id="146"/>
      <w:bookmarkEnd w:id="147"/>
    </w:p>
    <w:p w14:paraId="3CAEDE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6DAB451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046EA8D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2D0C72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33086B8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07E62C9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0ADEA8E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56F2F8A5">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8" w:name="_Toc9915"/>
      <w:bookmarkStart w:id="149" w:name="_Toc12984"/>
      <w:bookmarkStart w:id="150" w:name="_Toc11290"/>
      <w:bookmarkStart w:id="151" w:name="_Toc16330032"/>
      <w:r>
        <w:rPr>
          <w:rFonts w:hint="eastAsia" w:ascii="黑体" w:hAnsi="黑体" w:eastAsia="黑体" w:cs="黑体"/>
          <w:b w:val="0"/>
          <w:sz w:val="24"/>
          <w:szCs w:val="24"/>
        </w:rPr>
        <w:t>15 适用法律及争议解决</w:t>
      </w:r>
      <w:bookmarkEnd w:id="148"/>
      <w:bookmarkEnd w:id="149"/>
      <w:bookmarkEnd w:id="150"/>
      <w:bookmarkEnd w:id="151"/>
    </w:p>
    <w:p w14:paraId="6E195E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696868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2" w:name="_Toc23765"/>
      <w:bookmarkStart w:id="153" w:name="_Toc18207"/>
      <w:bookmarkStart w:id="154" w:name="_Toc23906"/>
      <w:bookmarkStart w:id="155" w:name="_Toc16330033"/>
      <w:r>
        <w:rPr>
          <w:rFonts w:hint="eastAsia" w:ascii="黑体" w:hAnsi="黑体" w:eastAsia="黑体" w:cs="黑体"/>
          <w:b w:val="0"/>
          <w:sz w:val="24"/>
          <w:szCs w:val="24"/>
        </w:rPr>
        <w:t>16 附件</w:t>
      </w:r>
      <w:bookmarkEnd w:id="152"/>
      <w:bookmarkEnd w:id="153"/>
      <w:bookmarkEnd w:id="154"/>
      <w:bookmarkEnd w:id="155"/>
    </w:p>
    <w:p w14:paraId="0F6DC3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51A649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4DEEA7F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3650A1B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773874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7288488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55BADE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本合同及上述附件内容与固定资产设备项目偏差索赔细则有冲突的，以固定资产设备项目偏差索赔细则约定为准。</w:t>
      </w:r>
    </w:p>
    <w:p w14:paraId="5511A34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6" w:name="_Toc27202"/>
      <w:bookmarkStart w:id="157" w:name="_Toc16330034"/>
      <w:bookmarkStart w:id="158" w:name="_Toc17656"/>
      <w:bookmarkStart w:id="159" w:name="_Toc31331"/>
      <w:r>
        <w:rPr>
          <w:rFonts w:hint="eastAsia" w:ascii="黑体" w:hAnsi="黑体" w:eastAsia="黑体" w:cs="黑体"/>
          <w:b w:val="0"/>
          <w:sz w:val="24"/>
          <w:szCs w:val="24"/>
        </w:rPr>
        <w:t>17 其他规定</w:t>
      </w:r>
      <w:bookmarkEnd w:id="156"/>
      <w:bookmarkEnd w:id="157"/>
      <w:bookmarkEnd w:id="158"/>
      <w:bookmarkEnd w:id="159"/>
    </w:p>
    <w:p w14:paraId="572D27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BE06FC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ascii="仿宋_GB2312" w:hAnsi="仿宋_GB2312" w:eastAsia="仿宋_GB2312" w:cs="仿宋_GB2312"/>
          <w:sz w:val="24"/>
          <w:szCs w:val="24"/>
        </w:rPr>
      </w:pPr>
      <w:bookmarkStart w:id="160" w:name="_Toc19077"/>
      <w:bookmarkStart w:id="161" w:name="_Toc16330035"/>
      <w:bookmarkStart w:id="162" w:name="_Toc17952"/>
      <w:bookmarkStart w:id="163" w:name="_Toc29136"/>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18 签署事项</w:t>
      </w:r>
      <w:bookmarkEnd w:id="160"/>
      <w:bookmarkEnd w:id="161"/>
      <w:bookmarkEnd w:id="162"/>
      <w:bookmarkEnd w:id="163"/>
    </w:p>
    <w:p w14:paraId="09315A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032A6C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60F3A29C">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7BAD8D8">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B7607D9">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3" w:edGrp="everyone"/>
      <w:r>
        <w:rPr>
          <w:rFonts w:hint="eastAsia" w:ascii="仿宋_GB2312" w:hAnsi="宋体" w:eastAsia="仿宋_GB2312"/>
          <w:b/>
          <w:bCs/>
          <w:snapToGrid w:val="0"/>
          <w:kern w:val="0"/>
          <w:sz w:val="24"/>
          <w:szCs w:val="24"/>
          <w:u w:val="single"/>
        </w:rPr>
        <w:t>甲方单位全称</w:t>
      </w:r>
      <w:permEnd w:id="53"/>
    </w:p>
    <w:p w14:paraId="215C58B4">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300CC765">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7427310E">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263C7CB0">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p>
    <w:p w14:paraId="6CDBC39B">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6102F375">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4" w:edGrp="everyone"/>
      <w:r>
        <w:rPr>
          <w:rFonts w:hint="eastAsia" w:ascii="仿宋_GB2312" w:hAnsi="仿宋_GB2312" w:eastAsia="仿宋_GB2312" w:cs="仿宋_GB2312"/>
          <w:b/>
          <w:bCs/>
          <w:sz w:val="24"/>
          <w:szCs w:val="24"/>
          <w:u w:val="single"/>
        </w:rPr>
        <w:t>乙方单位全称</w:t>
      </w:r>
      <w:permEnd w:id="54"/>
    </w:p>
    <w:p w14:paraId="1257B5A2">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6BC65FFC">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01A1C991">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7FDC9FD2">
      <w:pPr>
        <w:rPr>
          <w:rFonts w:ascii="黑体" w:hAnsi="黑体" w:eastAsia="黑体" w:cstheme="minorEastAsia"/>
          <w:sz w:val="28"/>
          <w:szCs w:val="28"/>
        </w:rPr>
        <w:sectPr>
          <w:pgSz w:w="11907" w:h="16840"/>
          <w:pgMar w:top="1304" w:right="1418" w:bottom="1304" w:left="1418" w:header="724" w:footer="851" w:gutter="0"/>
          <w:cols w:space="720" w:num="1"/>
          <w:docGrid w:linePitch="290" w:charSpace="-3931"/>
        </w:sectPr>
      </w:pPr>
    </w:p>
    <w:p w14:paraId="39334BA8">
      <w:pPr>
        <w:rPr>
          <w:highlight w:val="yellow"/>
        </w:rPr>
      </w:pPr>
      <w:r>
        <w:rPr>
          <w:rFonts w:hint="eastAsia" w:ascii="黑体" w:hAnsi="黑体" w:eastAsia="黑体" w:cstheme="minorEastAsia"/>
          <w:sz w:val="28"/>
          <w:szCs w:val="28"/>
        </w:rPr>
        <w:t>附件一：设备清单明细表【作为附件另附】</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694"/>
        <w:gridCol w:w="725"/>
        <w:gridCol w:w="643"/>
        <w:gridCol w:w="978"/>
        <w:gridCol w:w="960"/>
        <w:gridCol w:w="896"/>
        <w:gridCol w:w="808"/>
        <w:gridCol w:w="915"/>
        <w:gridCol w:w="621"/>
        <w:gridCol w:w="621"/>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57599EFA">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759759C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2648098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30F8CDF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799F63B">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7963F0E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1C0DD399">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646F7D3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2748E3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26FE775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558610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1233192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77456F19">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3E61C248">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59934641">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A15BF25">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510AF153">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1AF732BB">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13BDA0C0">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0B14F7A4">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4141C0CA">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74375B2">
            <w:pPr>
              <w:pStyle w:val="24"/>
              <w:spacing w:line="360" w:lineRule="auto"/>
              <w:ind w:left="0" w:firstLine="0" w:firstLineChars="0"/>
              <w:jc w:val="center"/>
              <w:rPr>
                <w:rFonts w:ascii="仿宋_GB2312" w:eastAsia="仿宋_GB2312" w:hAnsiTheme="minorEastAsia" w:cstheme="minorEastAsia"/>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688489AF">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01558E6">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33FCC3F3">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0A792B61">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31000F26">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4B433302">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649A34F1">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10C75CA5">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2EF79D1">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7408AF6">
            <w:pPr>
              <w:pStyle w:val="24"/>
              <w:spacing w:line="360" w:lineRule="auto"/>
              <w:ind w:left="0" w:firstLine="0" w:firstLineChars="0"/>
              <w:jc w:val="center"/>
              <w:rPr>
                <w:rFonts w:ascii="仿宋_GB2312" w:eastAsia="仿宋_GB2312" w:hAnsiTheme="minorEastAsia" w:cstheme="minorEastAsia"/>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5D1DD40A">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0AB72B70">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0828F78E">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5668AAC8">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4F0A226E">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29544344">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09526CC9">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4BCE155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76CA59C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B3AF36A">
            <w:pPr>
              <w:pStyle w:val="24"/>
              <w:spacing w:line="360" w:lineRule="auto"/>
              <w:ind w:left="0" w:firstLine="0" w:firstLineChars="0"/>
              <w:jc w:val="center"/>
              <w:rPr>
                <w:rFonts w:ascii="仿宋_GB2312" w:eastAsia="仿宋_GB2312" w:hAnsiTheme="minorEastAsia" w:cstheme="minorEastAsia"/>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303554C">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4284974">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70499AB5">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94B8E43">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26586690">
            <w:pPr>
              <w:spacing w:line="360" w:lineRule="auto"/>
              <w:jc w:val="center"/>
              <w:rPr>
                <w:rFonts w:ascii="仿宋_GB2312" w:eastAsia="仿宋_GB2312" w:hAnsiTheme="minorEastAsia" w:cstheme="minorEastAsia"/>
              </w:rPr>
            </w:pPr>
          </w:p>
        </w:tc>
        <w:tc>
          <w:tcPr>
            <w:tcW w:w="977" w:type="dxa"/>
            <w:vAlign w:val="center"/>
          </w:tcPr>
          <w:p w14:paraId="68DF70CC">
            <w:pPr>
              <w:spacing w:line="360" w:lineRule="auto"/>
              <w:jc w:val="center"/>
              <w:rPr>
                <w:rFonts w:ascii="仿宋_GB2312" w:eastAsia="仿宋_GB2312" w:hAnsiTheme="minorEastAsia" w:cstheme="minorEastAsia"/>
              </w:rPr>
            </w:pPr>
          </w:p>
        </w:tc>
        <w:tc>
          <w:tcPr>
            <w:tcW w:w="881" w:type="dxa"/>
            <w:vAlign w:val="center"/>
          </w:tcPr>
          <w:p w14:paraId="01AAF5AF">
            <w:pPr>
              <w:spacing w:line="360" w:lineRule="auto"/>
              <w:jc w:val="center"/>
              <w:rPr>
                <w:rFonts w:ascii="仿宋_GB2312" w:eastAsia="仿宋_GB2312" w:hAnsiTheme="minorEastAsia" w:cstheme="minorEastAsia"/>
              </w:rPr>
            </w:pPr>
          </w:p>
        </w:tc>
        <w:tc>
          <w:tcPr>
            <w:tcW w:w="997" w:type="dxa"/>
            <w:vAlign w:val="center"/>
          </w:tcPr>
          <w:p w14:paraId="203A787B">
            <w:pPr>
              <w:spacing w:line="360" w:lineRule="auto"/>
              <w:jc w:val="center"/>
              <w:rPr>
                <w:rFonts w:ascii="仿宋_GB2312" w:eastAsia="仿宋_GB2312" w:hAnsiTheme="minorEastAsia" w:cstheme="minorEastAsia"/>
              </w:rPr>
            </w:pPr>
          </w:p>
        </w:tc>
        <w:tc>
          <w:tcPr>
            <w:tcW w:w="677" w:type="dxa"/>
            <w:vAlign w:val="center"/>
          </w:tcPr>
          <w:p w14:paraId="5BD1B3F5">
            <w:pPr>
              <w:spacing w:line="360" w:lineRule="auto"/>
              <w:jc w:val="center"/>
              <w:rPr>
                <w:rFonts w:ascii="仿宋_GB2312" w:eastAsia="仿宋_GB2312" w:hAnsiTheme="minorEastAsia" w:cstheme="minorEastAsia"/>
              </w:rPr>
            </w:pPr>
          </w:p>
        </w:tc>
        <w:tc>
          <w:tcPr>
            <w:tcW w:w="677" w:type="dxa"/>
            <w:vAlign w:val="center"/>
          </w:tcPr>
          <w:p w14:paraId="2EA2DC8C">
            <w:pPr>
              <w:spacing w:line="360" w:lineRule="auto"/>
              <w:jc w:val="center"/>
              <w:rPr>
                <w:rFonts w:ascii="仿宋_GB2312" w:eastAsia="仿宋_GB2312" w:hAnsiTheme="minorEastAsia" w:cstheme="minorEastAsia"/>
              </w:rPr>
            </w:pPr>
          </w:p>
        </w:tc>
      </w:tr>
    </w:tbl>
    <w:p w14:paraId="197E7A65">
      <w:pPr>
        <w:pStyle w:val="2"/>
        <w:keepNext w:val="0"/>
        <w:keepLines w:val="0"/>
        <w:pageBreakBefore w:val="0"/>
        <w:widowControl w:val="0"/>
        <w:tabs>
          <w:tab w:val="right" w:leader="dot" w:pos="9061"/>
        </w:tabs>
        <w:kinsoku/>
        <w:wordWrap/>
        <w:overflowPunct/>
        <w:topLinePunct w:val="0"/>
        <w:autoSpaceDE/>
        <w:autoSpaceDN/>
        <w:bidi w:val="0"/>
        <w:ind w:left="0" w:firstLine="402" w:firstLineChars="200"/>
        <w:jc w:val="left"/>
        <w:textAlignment w:val="auto"/>
        <w:rPr>
          <w:rFonts w:asciiTheme="minorEastAsia" w:hAnsiTheme="minorEastAsia" w:eastAsiaTheme="minorEastAsia" w:cstheme="minorEastAsia"/>
          <w:sz w:val="20"/>
        </w:rPr>
      </w:pPr>
    </w:p>
    <w:p w14:paraId="61580EA6">
      <w:pPr>
        <w:rPr>
          <w:rFonts w:asciiTheme="minorEastAsia" w:hAnsiTheme="minorEastAsia" w:eastAsiaTheme="minorEastAsia" w:cstheme="minorEastAsia"/>
          <w:sz w:val="20"/>
        </w:rPr>
      </w:pPr>
    </w:p>
    <w:p w14:paraId="72F527C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3CEC3A63">
      <w:pPr>
        <w:widowControl/>
        <w:adjustRightInd w:val="0"/>
        <w:snapToGrid w:val="0"/>
        <w:spacing w:line="360" w:lineRule="auto"/>
        <w:ind w:firstLine="480" w:firstLineChars="200"/>
        <w:jc w:val="left"/>
        <w:rPr>
          <w:rFonts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rPr>
        <w:t>甲方单位全称</w:t>
      </w:r>
    </w:p>
    <w:p w14:paraId="0A69A0D8">
      <w:pPr>
        <w:widowControl/>
        <w:adjustRightInd w:val="0"/>
        <w:snapToGrid w:val="0"/>
        <w:spacing w:line="360" w:lineRule="auto"/>
        <w:ind w:firstLine="482" w:firstLineChars="200"/>
        <w:jc w:val="left"/>
        <w:rPr>
          <w:rFonts w:ascii="仿宋_GB2312" w:hAnsi="仿宋_GB2312" w:eastAsia="仿宋_GB2312" w:cs="仿宋_GB2312"/>
          <w:b/>
          <w:bCs/>
          <w:snapToGrid w:val="0"/>
          <w:kern w:val="0"/>
          <w:sz w:val="24"/>
          <w:szCs w:val="24"/>
          <w:u w:val="single"/>
        </w:rPr>
      </w:pPr>
    </w:p>
    <w:p w14:paraId="5E50A901">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rPr>
        <w:t>甲方代表</w:t>
      </w:r>
      <w:r>
        <w:rPr>
          <w:rFonts w:hint="eastAsia" w:ascii="仿宋_GB2312" w:hAnsi="仿宋_GB2312" w:eastAsia="仿宋_GB2312" w:cs="仿宋_GB2312"/>
          <w:snapToGrid w:val="0"/>
          <w:color w:val="000000"/>
          <w:kern w:val="0"/>
          <w:sz w:val="24"/>
          <w:szCs w:val="24"/>
          <w:lang w:eastAsia="zh-Hans"/>
        </w:rPr>
        <w:t xml:space="preserve">（签字）： </w:t>
      </w:r>
    </w:p>
    <w:p w14:paraId="63A33DE2">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24A04DE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0A29E231">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5AB35969">
      <w:pPr>
        <w:widowControl/>
        <w:adjustRightInd w:val="0"/>
        <w:snapToGrid w:val="0"/>
        <w:spacing w:line="360" w:lineRule="auto"/>
        <w:ind w:firstLine="480" w:firstLineChars="200"/>
        <w:jc w:val="left"/>
        <w:rPr>
          <w:rFonts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rPr>
        <w:t>乙方单位全称</w:t>
      </w:r>
    </w:p>
    <w:p w14:paraId="461CFAE4">
      <w:pPr>
        <w:widowControl/>
        <w:adjustRightInd w:val="0"/>
        <w:snapToGrid w:val="0"/>
        <w:spacing w:line="360" w:lineRule="auto"/>
        <w:ind w:firstLine="482" w:firstLineChars="200"/>
        <w:jc w:val="left"/>
        <w:rPr>
          <w:rFonts w:ascii="仿宋_GB2312" w:hAnsi="仿宋_GB2312" w:eastAsia="仿宋_GB2312" w:cs="仿宋_GB2312"/>
          <w:b/>
          <w:sz w:val="24"/>
          <w:szCs w:val="24"/>
          <w:u w:val="single"/>
        </w:rPr>
      </w:pPr>
    </w:p>
    <w:p w14:paraId="65810D83">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仿宋_GB2312" w:eastAsia="仿宋_GB2312" w:cs="仿宋_GB2312"/>
          <w:snapToGrid w:val="0"/>
          <w:color w:val="000000"/>
          <w:kern w:val="0"/>
          <w:sz w:val="24"/>
          <w:szCs w:val="24"/>
        </w:rPr>
        <w:t>乙方代表</w:t>
      </w:r>
      <w:r>
        <w:rPr>
          <w:rFonts w:hint="eastAsia" w:ascii="仿宋_GB2312" w:hAnsi="仿宋_GB2312" w:eastAsia="仿宋_GB2312" w:cs="仿宋_GB2312"/>
          <w:snapToGrid w:val="0"/>
          <w:color w:val="000000"/>
          <w:kern w:val="0"/>
          <w:sz w:val="24"/>
          <w:szCs w:val="24"/>
          <w:lang w:eastAsia="zh-Hans"/>
        </w:rPr>
        <w:t xml:space="preserve">（签字）： </w:t>
      </w:r>
    </w:p>
    <w:p w14:paraId="755A2FD5">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4AFDF4DB">
      <w:pPr>
        <w:widowControl/>
        <w:adjustRightInd w:val="0"/>
        <w:snapToGrid w:val="0"/>
        <w:spacing w:line="360" w:lineRule="auto"/>
        <w:jc w:val="left"/>
        <w:rPr>
          <w:rFonts w:ascii="仿宋_GB2312" w:hAnsi="仿宋_GB2312" w:eastAsia="仿宋_GB2312" w:cs="仿宋_GB2312"/>
          <w:snapToGrid w:val="0"/>
          <w:color w:val="000000"/>
          <w:kern w:val="0"/>
          <w:sz w:val="24"/>
          <w:szCs w:val="24"/>
          <w:lang w:eastAsia="zh-Hans"/>
        </w:rPr>
      </w:pPr>
    </w:p>
    <w:p w14:paraId="74626A93">
      <w:pPr>
        <w:widowControl/>
        <w:jc w:val="left"/>
        <w:rPr>
          <w:rFonts w:ascii="黑体" w:hAnsi="黑体" w:eastAsia="黑体" w:cstheme="minorEastAsia"/>
          <w:sz w:val="28"/>
          <w:szCs w:val="28"/>
        </w:rPr>
      </w:pPr>
    </w:p>
    <w:p w14:paraId="2EDB6DA6">
      <w:pPr>
        <w:widowControl/>
        <w:jc w:val="left"/>
        <w:rPr>
          <w:rFonts w:ascii="黑体" w:hAnsi="黑体" w:eastAsia="黑体" w:cstheme="minorEastAsia"/>
          <w:sz w:val="28"/>
          <w:szCs w:val="28"/>
        </w:rPr>
      </w:pPr>
    </w:p>
    <w:p w14:paraId="38F5A88E">
      <w:pPr>
        <w:widowControl/>
        <w:jc w:val="left"/>
        <w:rPr>
          <w:rFonts w:ascii="黑体" w:hAnsi="黑体" w:eastAsia="黑体" w:cstheme="minorEastAsia"/>
          <w:sz w:val="28"/>
          <w:szCs w:val="28"/>
        </w:rPr>
      </w:pPr>
    </w:p>
    <w:p w14:paraId="4B5483F2">
      <w:pPr>
        <w:widowControl/>
        <w:spacing w:line="300" w:lineRule="auto"/>
        <w:ind w:firstLine="643" w:firstLineChars="200"/>
        <w:jc w:val="center"/>
        <w:outlineLvl w:val="2"/>
        <w:rPr>
          <w:rFonts w:ascii="方正小标宋简体" w:hAnsi="方正小标宋简体" w:eastAsia="方正小标宋简体" w:cs="方正小标宋简体"/>
          <w:b/>
          <w:bCs/>
          <w:kern w:val="0"/>
          <w:sz w:val="32"/>
          <w:szCs w:val="32"/>
        </w:rPr>
      </w:pPr>
      <w:r>
        <w:rPr>
          <w:rFonts w:hint="eastAsia" w:ascii="方正小标宋简体" w:hAnsi="方正小标宋简体" w:eastAsia="方正小标宋简体" w:cs="方正小标宋简体"/>
          <w:b/>
          <w:bCs/>
          <w:kern w:val="0"/>
          <w:sz w:val="32"/>
          <w:szCs w:val="32"/>
        </w:rPr>
        <w:t xml:space="preserve">附件二 </w:t>
      </w:r>
      <w:r>
        <w:rPr>
          <w:rFonts w:ascii="方正小标宋简体" w:hAnsi="方正小标宋简体" w:eastAsia="方正小标宋简体" w:cs="方正小标宋简体"/>
          <w:b/>
          <w:bCs/>
          <w:kern w:val="0"/>
          <w:sz w:val="32"/>
          <w:szCs w:val="32"/>
        </w:rPr>
        <w:t xml:space="preserve"> 固定资产</w:t>
      </w:r>
      <w:r>
        <w:rPr>
          <w:rFonts w:hint="eastAsia" w:ascii="方正小标宋简体" w:hAnsi="方正小标宋简体" w:eastAsia="方正小标宋简体" w:cs="方正小标宋简体"/>
          <w:b/>
          <w:bCs/>
          <w:kern w:val="0"/>
          <w:sz w:val="32"/>
          <w:szCs w:val="32"/>
        </w:rPr>
        <w:t>设备</w:t>
      </w:r>
      <w:r>
        <w:rPr>
          <w:rFonts w:ascii="方正小标宋简体" w:hAnsi="方正小标宋简体" w:eastAsia="方正小标宋简体" w:cs="方正小标宋简体"/>
          <w:b/>
          <w:bCs/>
          <w:kern w:val="0"/>
          <w:sz w:val="32"/>
          <w:szCs w:val="32"/>
        </w:rPr>
        <w:t>项目偏差索赔细则</w:t>
      </w:r>
    </w:p>
    <w:p w14:paraId="0E4BAECD">
      <w:pPr>
        <w:spacing w:line="300" w:lineRule="auto"/>
        <w:ind w:firstLine="480" w:firstLineChars="200"/>
        <w:rPr>
          <w:rFonts w:ascii="仿宋_GB2312" w:eastAsia="仿宋_GB2312"/>
          <w:sz w:val="24"/>
          <w:szCs w:val="24"/>
        </w:rPr>
      </w:pPr>
      <w:r>
        <w:rPr>
          <w:rFonts w:hint="eastAsia" w:ascii="仿宋_GB2312" w:hAnsi="仿宋_GB2312" w:eastAsia="仿宋_GB2312" w:cs="仿宋_GB2312"/>
          <w:kern w:val="0"/>
          <w:sz w:val="24"/>
          <w:szCs w:val="24"/>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一、固定资产投资项目偏差及索赔细则</w:t>
      </w:r>
    </w:p>
    <w:p w14:paraId="2D950998">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（一）非标设备、产线等生产类固定资产投资项目</w:t>
      </w:r>
    </w:p>
    <w:p w14:paraId="041D02AA">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1、产能节拍偏差</w:t>
      </w:r>
    </w:p>
    <w:p w14:paraId="4DF17681">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1.1基准值</w:t>
      </w:r>
      <w:r>
        <w:rPr>
          <w:rFonts w:hint="eastAsia" w:ascii="仿宋_GB2312" w:hAnsi="仿宋_GB2312" w:eastAsia="仿宋_GB2312" w:cs="仿宋_GB2312"/>
          <w:sz w:val="24"/>
          <w:szCs w:val="24"/>
        </w:rPr>
        <w:t>：</w:t>
      </w:r>
    </w:p>
    <w:p w14:paraId="31ADAE6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1.2节拍偏差率核算公式</w:t>
      </w:r>
      <w:r>
        <w:rPr>
          <w:rFonts w:hint="eastAsia" w:ascii="仿宋_GB2312" w:hAnsi="仿宋_GB2312" w:eastAsia="仿宋_GB2312" w:cs="仿宋_GB2312"/>
          <w:sz w:val="24"/>
          <w:szCs w:val="24"/>
        </w:rPr>
        <w:t>：</w:t>
      </w:r>
    </w:p>
    <w:p w14:paraId="6A072C4A">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节拍偏差率=（实际节拍-约定节拍）÷约定节拍×100%</w:t>
      </w:r>
    </w:p>
    <w:p w14:paraId="0C680373">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1.3扣款规则</w:t>
      </w:r>
      <w:r>
        <w:rPr>
          <w:rFonts w:hint="eastAsia" w:ascii="仿宋_GB2312" w:hAnsi="仿宋_GB2312" w:eastAsia="仿宋_GB2312" w:cs="仿宋_GB2312"/>
          <w:sz w:val="24"/>
          <w:szCs w:val="24"/>
        </w:rPr>
        <w:t>：</w:t>
      </w:r>
    </w:p>
    <w:p w14:paraId="4391BBE0">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节拍偏差率≤3%：视为允许偏差，不扣款；</w:t>
      </w:r>
    </w:p>
    <w:p w14:paraId="6033BEE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节拍偏差率3%＜偏差率≤10%：偏差每超出1%，扣减设备合同价款的1%；</w:t>
      </w:r>
    </w:p>
    <w:p w14:paraId="422B6294">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节拍偏差率＞30%：属根本违约，买方有权不予验收、不予付款，并有权单方解除合同。</w:t>
      </w:r>
    </w:p>
    <w:p w14:paraId="7AE3959D">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2、自动化率偏差</w:t>
      </w:r>
    </w:p>
    <w:p w14:paraId="4422ADF9">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2.1基准值</w:t>
      </w:r>
      <w:r>
        <w:rPr>
          <w:rFonts w:hint="eastAsia" w:ascii="仿宋_GB2312" w:hAnsi="仿宋_GB2312" w:eastAsia="仿宋_GB2312" w:cs="仿宋_GB2312"/>
          <w:sz w:val="24"/>
          <w:szCs w:val="24"/>
        </w:rPr>
        <w:t>：</w:t>
      </w:r>
    </w:p>
    <w:p w14:paraId="26E51A5D">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自动化率是指设备在完成其预定功能时不需要人工干预的程度，以合同</w:t>
      </w:r>
      <w:r>
        <w:rPr>
          <w:rFonts w:hint="eastAsia" w:ascii="仿宋_GB2312" w:hAnsi="仿宋_GB2312" w:eastAsia="仿宋_GB2312" w:cs="仿宋_GB2312"/>
          <w:kern w:val="0"/>
          <w:sz w:val="24"/>
          <w:szCs w:val="24"/>
          <w:lang w:bidi="ar"/>
        </w:rPr>
        <w:t>/技术协议</w:t>
      </w:r>
      <w:r>
        <w:rPr>
          <w:rFonts w:hint="eastAsia" w:ascii="仿宋_GB2312" w:hAnsi="仿宋_GB2312" w:eastAsia="仿宋_GB2312" w:cs="仿宋_GB2312"/>
          <w:sz w:val="24"/>
          <w:szCs w:val="24"/>
        </w:rPr>
        <w:t>约定的</w:t>
      </w:r>
      <w:r>
        <w:rPr>
          <w:rFonts w:hint="eastAsia" w:ascii="仿宋_GB2312" w:hAnsi="仿宋_GB2312" w:eastAsia="仿宋_GB2312" w:cs="仿宋_GB2312"/>
          <w:b/>
          <w:sz w:val="24"/>
          <w:szCs w:val="24"/>
        </w:rPr>
        <w:t>自动化率</w:t>
      </w:r>
      <w:r>
        <w:rPr>
          <w:rFonts w:hint="eastAsia" w:ascii="仿宋_GB2312" w:hAnsi="仿宋_GB2312" w:eastAsia="仿宋_GB2312" w:cs="仿宋_GB2312"/>
          <w:sz w:val="24"/>
          <w:szCs w:val="24"/>
        </w:rPr>
        <w:t>为准，按Q/ZZ 30096《产线自动化率核算规范》内规定的计算方法进行核算。</w:t>
      </w:r>
    </w:p>
    <w:p w14:paraId="0DAE9442">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2.2自动化率偏差核算公式</w:t>
      </w:r>
      <w:r>
        <w:rPr>
          <w:rFonts w:hint="eastAsia" w:ascii="仿宋_GB2312" w:hAnsi="仿宋_GB2312" w:eastAsia="仿宋_GB2312" w:cs="仿宋_GB2312"/>
          <w:sz w:val="24"/>
          <w:szCs w:val="24"/>
        </w:rPr>
        <w:t>：</w:t>
      </w:r>
    </w:p>
    <w:p w14:paraId="24415651">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自动化率偏差=约定自动化率-实际达成自动化率</w:t>
      </w:r>
    </w:p>
    <w:p w14:paraId="35C7ADA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2.3扣款规则</w:t>
      </w:r>
      <w:r>
        <w:rPr>
          <w:rFonts w:hint="eastAsia" w:ascii="仿宋_GB2312" w:hAnsi="仿宋_GB2312" w:eastAsia="仿宋_GB2312" w:cs="仿宋_GB2312"/>
          <w:sz w:val="24"/>
          <w:szCs w:val="24"/>
        </w:rPr>
        <w:t>：</w:t>
      </w:r>
    </w:p>
    <w:p w14:paraId="579C07A9">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自动化率偏差率＜【5】%：视为允许偏差，不扣款；</w:t>
      </w:r>
    </w:p>
    <w:p w14:paraId="0556488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【5】%≤自动化率偏差率＜【15】%：偏差每高1%，扣减对应合同价款的0.5%；</w:t>
      </w:r>
    </w:p>
    <w:p w14:paraId="3342A165">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3、功能及性能偏差</w:t>
      </w:r>
    </w:p>
    <w:p w14:paraId="642D08A1">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3.1核心功能/主要参数不达标（根本违约）</w:t>
      </w:r>
    </w:p>
    <w:p w14:paraId="3628430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3.2辅助指标/配置不符（非根本违约）</w:t>
      </w:r>
    </w:p>
    <w:p w14:paraId="36845D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4、交付期偏差</w:t>
      </w:r>
    </w:p>
    <w:p w14:paraId="15342AB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4.1交付期偏差：</w:t>
      </w:r>
      <w:r>
        <w:rPr>
          <w:rFonts w:hint="eastAsia" w:ascii="仿宋_GB2312" w:hAnsi="仿宋_GB2312" w:eastAsia="仿宋_GB2312" w:cs="仿宋_GB2312"/>
          <w:sz w:val="24"/>
          <w:szCs w:val="24"/>
        </w:rPr>
        <w:t>指设备到货、安装调试等过程周期超出合同约定的时间。</w:t>
      </w:r>
    </w:p>
    <w:p w14:paraId="47F3BC5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4.2扣款规则：</w:t>
      </w:r>
      <w:r>
        <w:rPr>
          <w:rFonts w:hint="eastAsia" w:ascii="仿宋_GB2312" w:hAnsi="仿宋_GB2312" w:eastAsia="仿宋_GB2312" w:cs="仿宋_GB2312"/>
          <w:sz w:val="24"/>
          <w:szCs w:val="24"/>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（二）研发、检测类固定资产投资项目</w:t>
      </w:r>
    </w:p>
    <w:p w14:paraId="617B7B2E">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1、功能及性能偏差</w:t>
      </w:r>
    </w:p>
    <w:p w14:paraId="2BDB7166">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1.1核心功能/主要参数不达标（根本违约）</w:t>
      </w:r>
    </w:p>
    <w:p w14:paraId="3814AA47">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1.2辅助指标/配置不符（非根本违约）</w:t>
      </w:r>
    </w:p>
    <w:p w14:paraId="75BEDF34">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2、交付期偏差</w:t>
      </w:r>
    </w:p>
    <w:p w14:paraId="28C2B26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2.1交付期偏差：</w:t>
      </w:r>
      <w:r>
        <w:rPr>
          <w:rFonts w:hint="eastAsia" w:ascii="仿宋_GB2312" w:hAnsi="仿宋_GB2312" w:eastAsia="仿宋_GB2312" w:cs="仿宋_GB2312"/>
          <w:sz w:val="24"/>
          <w:szCs w:val="24"/>
        </w:rPr>
        <w:t>指设备到货、安装调试等过程，因卖方自身原因造成周期超出合同约定的时间。</w:t>
      </w:r>
    </w:p>
    <w:p w14:paraId="327990B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2.2扣款规则：</w:t>
      </w:r>
      <w:r>
        <w:rPr>
          <w:rFonts w:hint="eastAsia" w:ascii="仿宋_GB2312" w:hAnsi="仿宋_GB2312" w:eastAsia="仿宋_GB2312" w:cs="仿宋_GB2312"/>
          <w:sz w:val="24"/>
          <w:szCs w:val="24"/>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w:t>
      </w:r>
      <w:r>
        <w:rPr>
          <w:rFonts w:hint="eastAsia" w:ascii="仿宋_GB2312" w:hAnsi="仿宋_GB2312" w:eastAsia="仿宋_GB2312" w:cs="仿宋_GB2312"/>
          <w:sz w:val="24"/>
          <w:szCs w:val="24"/>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二、考核与执行流程</w:t>
      </w:r>
    </w:p>
    <w:p w14:paraId="0A7801B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1、卖方同意，在买方就索赔扣款及违约金通知卖方后，买方有权直接从</w:t>
      </w:r>
      <w:r>
        <w:rPr>
          <w:rFonts w:hint="eastAsia" w:ascii="仿宋_GB2312" w:hAnsi="仿宋_GB2312" w:eastAsia="仿宋_GB2312" w:cs="仿宋_GB2312"/>
          <w:b/>
          <w:sz w:val="24"/>
          <w:szCs w:val="24"/>
        </w:rPr>
        <w:t>项目尾款、履约保证金或质保金</w:t>
      </w:r>
      <w:r>
        <w:rPr>
          <w:rFonts w:hint="eastAsia" w:ascii="仿宋_GB2312" w:hAnsi="仿宋_GB2312" w:eastAsia="仿宋_GB2312" w:cs="仿宋_GB2312"/>
          <w:sz w:val="24"/>
          <w:szCs w:val="24"/>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三、附则</w:t>
      </w:r>
    </w:p>
    <w:p w14:paraId="226B635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本细则作为主合同</w:t>
      </w:r>
      <w:r>
        <w:rPr>
          <w:rFonts w:hint="eastAsia" w:ascii="仿宋_GB2312" w:hAnsi="仿宋_GB2312" w:eastAsia="仿宋_GB2312" w:cs="仿宋_GB2312"/>
          <w:b/>
          <w:sz w:val="24"/>
          <w:szCs w:val="24"/>
        </w:rPr>
        <w:t>有效组成部分</w:t>
      </w:r>
      <w:r>
        <w:rPr>
          <w:rFonts w:hint="eastAsia" w:ascii="仿宋_GB2312" w:hAnsi="仿宋_GB2312" w:eastAsia="仿宋_GB2312" w:cs="仿宋_GB2312"/>
          <w:sz w:val="24"/>
          <w:szCs w:val="24"/>
        </w:rPr>
        <w:t>，与合同、技术协议具有同等法律效力；如本细则内容与合同、技术协议约定有冲突的，以本细则为准。</w:t>
      </w:r>
    </w:p>
    <w:p w14:paraId="04023613">
      <w:pPr>
        <w:rPr>
          <w:rFonts w:hint="eastAsia" w:ascii="宋体" w:hAnsi="宋体"/>
          <w:b/>
          <w:sz w:val="28"/>
          <w:szCs w:val="28"/>
        </w:rPr>
      </w:pPr>
    </w:p>
    <w:bookmarkEnd w:id="91"/>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164" w:name="_Toc17510"/>
      <w:bookmarkStart w:id="165" w:name="_Toc6299"/>
      <w:r>
        <w:rPr>
          <w:rFonts w:hint="eastAsia"/>
        </w:rPr>
        <w:t>第七章 投标文件格式</w:t>
      </w:r>
      <w:bookmarkEnd w:id="164"/>
      <w:bookmarkEnd w:id="165"/>
    </w:p>
    <w:p w14:paraId="64BCE412">
      <w:pPr>
        <w:pStyle w:val="4"/>
        <w:spacing w:before="156"/>
      </w:pPr>
      <w:bookmarkStart w:id="166" w:name="_Toc4150"/>
      <w:bookmarkStart w:id="167" w:name="_Toc9331"/>
      <w:bookmarkStart w:id="168" w:name="_Toc146698136"/>
      <w:r>
        <w:rPr>
          <w:rFonts w:hint="eastAsia"/>
        </w:rPr>
        <w:t>一、投标函</w:t>
      </w:r>
      <w:bookmarkEnd w:id="166"/>
      <w:bookmarkEnd w:id="167"/>
      <w:bookmarkEnd w:id="168"/>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5"/>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5"/>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5"/>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5"/>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5"/>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5"/>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4"/>
        <w:spacing w:before="156"/>
      </w:pPr>
      <w:bookmarkStart w:id="169" w:name="_Toc216"/>
      <w:bookmarkStart w:id="170" w:name="_Toc29501"/>
      <w:bookmarkStart w:id="171" w:name="_Toc146698137"/>
      <w:r>
        <w:rPr>
          <w:rFonts w:hint="eastAsia"/>
        </w:rPr>
        <w:t>二、法定代表人授权书</w:t>
      </w:r>
      <w:bookmarkEnd w:id="169"/>
      <w:bookmarkEnd w:id="170"/>
      <w:bookmarkEnd w:id="171"/>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4"/>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72" w:name="_Toc119413768"/>
      <w:bookmarkStart w:id="173" w:name="_Toc301469812"/>
    </w:p>
    <w:bookmarkEnd w:id="172"/>
    <w:bookmarkEnd w:id="173"/>
    <w:p w14:paraId="33C77D45">
      <w:pPr>
        <w:pStyle w:val="4"/>
        <w:spacing w:before="156"/>
      </w:pPr>
      <w:bookmarkStart w:id="174" w:name="_Hlt119329906"/>
      <w:bookmarkEnd w:id="174"/>
      <w:bookmarkStart w:id="175" w:name="_Toc146698138"/>
      <w:bookmarkStart w:id="176" w:name="_Toc11854"/>
      <w:bookmarkStart w:id="177" w:name="_Toc11449"/>
      <w:r>
        <w:rPr>
          <w:rFonts w:hint="eastAsia"/>
          <w:sz w:val="24"/>
          <w:szCs w:val="24"/>
        </w:rPr>
        <w:t>三、</w:t>
      </w:r>
      <w:r>
        <w:rPr>
          <w:rFonts w:hint="eastAsia"/>
        </w:rPr>
        <w:t>唱标单</w:t>
      </w:r>
      <w:bookmarkEnd w:id="175"/>
      <w:bookmarkEnd w:id="176"/>
      <w:bookmarkEnd w:id="177"/>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2"/>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2"/>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2"/>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3"/>
              <w:ind w:left="0" w:leftChars="0"/>
              <w:rPr>
                <w:rFonts w:asciiTheme="minorHAnsi" w:hAnsiTheme="minorHAnsi" w:eastAsiaTheme="minorEastAsia" w:cstheme="minorHAnsi"/>
                <w:bCs/>
                <w:sz w:val="24"/>
              </w:rPr>
            </w:pPr>
          </w:p>
          <w:p w14:paraId="7273C913">
            <w:pPr>
              <w:pStyle w:val="12"/>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78" w:name="_Toc119413770"/>
      <w:bookmarkStart w:id="179" w:name="_Toc301469814"/>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4"/>
        <w:spacing w:before="156"/>
      </w:pPr>
      <w:bookmarkStart w:id="180" w:name="_Toc146698139"/>
      <w:bookmarkStart w:id="181" w:name="_Toc30398"/>
      <w:bookmarkStart w:id="182" w:name="_Toc22187"/>
      <w:r>
        <w:rPr>
          <w:rFonts w:hint="eastAsia"/>
        </w:rPr>
        <w:t>四、企业基本情况</w:t>
      </w:r>
      <w:bookmarkEnd w:id="178"/>
      <w:bookmarkEnd w:id="179"/>
      <w:r>
        <w:rPr>
          <w:rFonts w:hint="eastAsia"/>
        </w:rPr>
        <w:t>介绍</w:t>
      </w:r>
      <w:bookmarkEnd w:id="180"/>
      <w:bookmarkEnd w:id="181"/>
      <w:bookmarkEnd w:id="182"/>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183" w:name="_Toc301469815"/>
            <w:bookmarkStart w:id="184"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4"/>
        <w:spacing w:before="156"/>
      </w:pPr>
      <w:bookmarkStart w:id="185" w:name="_Toc16064006"/>
      <w:bookmarkStart w:id="186" w:name="_Toc6833"/>
      <w:bookmarkStart w:id="187" w:name="_Toc146698140"/>
      <w:bookmarkStart w:id="188" w:name="_Toc8525"/>
      <w:r>
        <w:rPr>
          <w:rFonts w:hint="eastAsia"/>
        </w:rPr>
        <w:t>五、202</w:t>
      </w:r>
      <w:r>
        <w:rPr>
          <w:rFonts w:hint="eastAsia"/>
          <w:lang w:val="en-US" w:eastAsia="zh-CN"/>
        </w:rPr>
        <w:t>3</w:t>
      </w:r>
      <w:r>
        <w:rPr>
          <w:rFonts w:hint="eastAsia"/>
        </w:rPr>
        <w:t>、202</w:t>
      </w:r>
      <w:r>
        <w:rPr>
          <w:rFonts w:hint="eastAsia"/>
          <w:lang w:val="en-US" w:eastAsia="zh-CN"/>
        </w:rPr>
        <w:t>4</w:t>
      </w:r>
      <w:r>
        <w:rPr>
          <w:rFonts w:hint="eastAsia"/>
        </w:rPr>
        <w:t>、</w:t>
      </w:r>
      <w:r>
        <w:t>202</w:t>
      </w:r>
      <w:r>
        <w:rPr>
          <w:rFonts w:hint="eastAsia"/>
          <w:lang w:val="en-US" w:eastAsia="zh-CN"/>
        </w:rPr>
        <w:t>5</w:t>
      </w:r>
      <w:r>
        <w:rPr>
          <w:rFonts w:hint="eastAsia"/>
        </w:rPr>
        <w:t>年财务状况</w:t>
      </w:r>
      <w:bookmarkEnd w:id="185"/>
      <w:bookmarkEnd w:id="186"/>
      <w:bookmarkEnd w:id="187"/>
      <w:bookmarkEnd w:id="188"/>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4"/>
        <w:spacing w:before="156"/>
        <w:rPr>
          <w:sz w:val="30"/>
          <w:szCs w:val="30"/>
        </w:rPr>
      </w:pPr>
      <w:r>
        <w:rPr>
          <w:rFonts w:hint="eastAsia" w:cs="宋体"/>
          <w:kern w:val="0"/>
        </w:rPr>
        <w:br w:type="page"/>
      </w:r>
      <w:bookmarkStart w:id="189" w:name="_Toc6247"/>
      <w:bookmarkStart w:id="190" w:name="_Toc17701"/>
      <w:bookmarkStart w:id="191" w:name="_Toc16064001"/>
      <w:bookmarkStart w:id="192" w:name="_Toc17817351"/>
      <w:bookmarkStart w:id="193" w:name="_Toc20930"/>
      <w:bookmarkStart w:id="194" w:name="_Toc12385"/>
      <w:bookmarkStart w:id="195" w:name="_Toc146698141"/>
      <w:bookmarkStart w:id="196" w:name="_Toc13417"/>
      <w:bookmarkStart w:id="197" w:name="_Toc14471"/>
      <w:r>
        <w:rPr>
          <w:rFonts w:hint="eastAsia"/>
        </w:rPr>
        <w:t>六、投标保证金</w:t>
      </w:r>
      <w:bookmarkEnd w:id="189"/>
      <w:bookmarkEnd w:id="190"/>
      <w:bookmarkEnd w:id="191"/>
      <w:bookmarkEnd w:id="192"/>
      <w:bookmarkEnd w:id="193"/>
      <w:bookmarkEnd w:id="194"/>
      <w:bookmarkEnd w:id="195"/>
      <w:bookmarkEnd w:id="196"/>
      <w:bookmarkEnd w:id="197"/>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4"/>
        <w:spacing w:before="156"/>
        <w:rPr>
          <w:rFonts w:cs="宋体"/>
          <w:kern w:val="0"/>
        </w:rPr>
      </w:pPr>
      <w:bookmarkStart w:id="198" w:name="_Toc21223"/>
      <w:bookmarkStart w:id="199" w:name="_Toc10110"/>
      <w:bookmarkStart w:id="200" w:name="_Toc146698142"/>
      <w:r>
        <w:rPr>
          <w:rFonts w:hint="eastAsia"/>
        </w:rPr>
        <w:t>七、项目负责人简历表</w:t>
      </w:r>
      <w:bookmarkEnd w:id="198"/>
      <w:bookmarkEnd w:id="199"/>
      <w:bookmarkEnd w:id="200"/>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01"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4"/>
        <w:spacing w:before="156"/>
        <w:rPr>
          <w:rFonts w:ascii="宋体"/>
          <w:b/>
          <w:bCs/>
          <w:sz w:val="28"/>
          <w:szCs w:val="28"/>
        </w:rPr>
      </w:pPr>
      <w:bookmarkStart w:id="202" w:name="_Toc447552577"/>
      <w:bookmarkStart w:id="203" w:name="_Toc30903"/>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01"/>
      <w:bookmarkEnd w:id="202"/>
      <w:bookmarkEnd w:id="203"/>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183"/>
    <w:bookmarkEnd w:id="184"/>
    <w:p w14:paraId="0F28EE13">
      <w:pPr>
        <w:pStyle w:val="4"/>
        <w:spacing w:before="156"/>
      </w:pPr>
      <w:bookmarkStart w:id="204" w:name="_Toc146698143"/>
      <w:bookmarkStart w:id="205" w:name="_Toc13973"/>
      <w:bookmarkStart w:id="206" w:name="_Toc13648"/>
      <w:r>
        <w:rPr>
          <w:rFonts w:hint="eastAsia"/>
        </w:rPr>
        <w:t>九、方案、承诺及其他</w:t>
      </w:r>
      <w:bookmarkEnd w:id="204"/>
      <w:bookmarkEnd w:id="205"/>
      <w:bookmarkEnd w:id="206"/>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6"/>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6"/>
        </w:numPr>
        <w:spacing w:line="360" w:lineRule="auto"/>
        <w:rPr>
          <w:rFonts w:ascii="宋体" w:cs="宋体"/>
          <w:sz w:val="24"/>
        </w:rPr>
      </w:pPr>
      <w:r>
        <w:rPr>
          <w:rFonts w:hint="eastAsia" w:ascii="宋体" w:cs="宋体"/>
          <w:sz w:val="24"/>
        </w:rPr>
        <w:t>对投标项目的合理化建议；</w:t>
      </w:r>
    </w:p>
    <w:p w14:paraId="4F2C864D">
      <w:pPr>
        <w:numPr>
          <w:ilvl w:val="0"/>
          <w:numId w:val="16"/>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6"/>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6"/>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4"/>
        <w:spacing w:before="156"/>
      </w:pPr>
      <w:bookmarkStart w:id="207" w:name="_Toc146698144"/>
      <w:bookmarkStart w:id="208" w:name="_Toc5516"/>
      <w:bookmarkStart w:id="209" w:name="_Toc4580"/>
      <w:r>
        <w:rPr>
          <w:rFonts w:hint="eastAsia"/>
        </w:rPr>
        <w:t>十、相关法律法规清单</w:t>
      </w:r>
      <w:bookmarkEnd w:id="207"/>
      <w:bookmarkEnd w:id="208"/>
      <w:bookmarkEnd w:id="209"/>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4"/>
        <w:spacing w:before="156"/>
      </w:pPr>
      <w:bookmarkStart w:id="210" w:name="_Toc26480"/>
      <w:bookmarkStart w:id="211" w:name="_Toc38011323"/>
      <w:bookmarkStart w:id="212" w:name="_Toc146698145"/>
      <w:bookmarkStart w:id="213" w:name="_Toc26462"/>
      <w:r>
        <w:rPr>
          <w:rFonts w:hint="eastAsia"/>
        </w:rPr>
        <w:t>十一、商务、技术偏离表</w:t>
      </w:r>
      <w:bookmarkEnd w:id="210"/>
      <w:bookmarkEnd w:id="211"/>
      <w:bookmarkEnd w:id="212"/>
      <w:bookmarkEnd w:id="213"/>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4"/>
        <w:spacing w:before="156"/>
        <w:rPr>
          <w:sz w:val="36"/>
          <w:szCs w:val="36"/>
        </w:rPr>
      </w:pPr>
      <w:bookmarkStart w:id="214" w:name="_Toc146698146"/>
      <w:bookmarkStart w:id="215" w:name="_Toc15477"/>
      <w:bookmarkStart w:id="216" w:name="_Toc232"/>
      <w:bookmarkStart w:id="217" w:name="_Toc16064009"/>
      <w:r>
        <w:rPr>
          <w:rFonts w:hint="eastAsia"/>
        </w:rPr>
        <w:t>十二、其它资信材料</w:t>
      </w:r>
      <w:bookmarkEnd w:id="214"/>
      <w:bookmarkEnd w:id="215"/>
      <w:bookmarkEnd w:id="216"/>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17"/>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4"/>
        <w:spacing w:before="156"/>
        <w:jc w:val="both"/>
        <w:rPr>
          <w:rStyle w:val="42"/>
          <w:rFonts w:hAnsi="宋体"/>
        </w:rPr>
        <w:sectPr>
          <w:footerReference r:id="rId9" w:type="first"/>
          <w:pgSz w:w="11906" w:h="16838"/>
          <w:pgMar w:top="1588" w:right="1418" w:bottom="1134" w:left="1418" w:header="851" w:footer="992" w:gutter="0"/>
          <w:pgNumType w:fmt="decimal"/>
          <w:cols w:space="720" w:num="1"/>
          <w:titlePg/>
          <w:docGrid w:type="lines" w:linePitch="312" w:charSpace="0"/>
        </w:sectPr>
      </w:pPr>
      <w:bookmarkStart w:id="218"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18"/>
    </w:p>
    <w:p w14:paraId="41A48591">
      <w:pPr>
        <w:pStyle w:val="5"/>
        <w:numPr>
          <w:ilvl w:val="0"/>
          <w:numId w:val="17"/>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6"/>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5"/>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10" w:type="default"/>
          <w:footerReference r:id="rId11"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2" w:type="default"/>
          <w:pgSz w:w="16841" w:h="11907"/>
          <w:pgMar w:top="400" w:right="1699" w:bottom="1184" w:left="1481" w:header="0" w:footer="1022" w:gutter="0"/>
          <w:pgNumType w:fmt="decimal"/>
          <w:cols w:space="720" w:num="1"/>
        </w:sectPr>
      </w:pPr>
    </w:p>
    <w:p w14:paraId="4471A904">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3" w:type="default"/>
          <w:pgSz w:w="16841" w:h="11907"/>
          <w:pgMar w:top="400" w:right="1699" w:bottom="1184" w:left="1481" w:header="0" w:footer="1022" w:gutter="0"/>
          <w:pgNumType w:fmt="decimal"/>
          <w:cols w:space="720" w:num="1"/>
        </w:sectPr>
      </w:pPr>
    </w:p>
    <w:p w14:paraId="7BB0AE9B">
      <w:pPr>
        <w:pStyle w:val="6"/>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4" w:type="default"/>
          <w:pgSz w:w="16841" w:h="11907"/>
          <w:pgMar w:top="400" w:right="1500" w:bottom="1184" w:left="1480" w:header="0" w:footer="1022" w:gutter="0"/>
          <w:pgNumType w:fmt="decimal"/>
          <w:cols w:space="720" w:num="1"/>
        </w:sectPr>
      </w:pPr>
    </w:p>
    <w:p w14:paraId="636C54F5">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5"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4"/>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0"/>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1"/>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2"/>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3"/>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2"/>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3"/>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6"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4"/>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6"/>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7"/>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8"/>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9"/>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0"/>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19"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19"/>
    </w:p>
    <w:p w14:paraId="58CB8766">
      <w:pPr>
        <w:spacing w:line="360" w:lineRule="auto"/>
        <w:outlineLvl w:val="9"/>
        <w:rPr>
          <w:rFonts w:hint="eastAsia" w:ascii="宋体" w:hAnsi="宋体" w:cs="宋体"/>
          <w:sz w:val="24"/>
        </w:rPr>
      </w:pPr>
      <w:bookmarkStart w:id="220" w:name="_Toc29877"/>
      <w:r>
        <w:rPr>
          <w:rFonts w:ascii="宋体" w:hAnsi="宋体" w:cs="宋体"/>
          <w:color w:val="000000"/>
          <w:sz w:val="24"/>
        </w:rPr>
        <w:t>点击查看进入查看中标项目详情</w:t>
      </w:r>
      <w:bookmarkEnd w:id="220"/>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1"/>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2"/>
      </w:pPr>
    </w:p>
    <w:p w14:paraId="773E5D50">
      <w:pPr>
        <w:pStyle w:val="12"/>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A00002BF" w:usb1="184F6CFA" w:usb2="00000012"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KSOF6B657194">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19"/>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JU04uAgAAVwQAAA4AAABkcnMvZTJvRG9jLnhtbK1US27bMBDdF+gd&#10;CO5ryU4TGI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1iVNOLgIAAFcEAAAOAAAAAAAAAAEAIAAAAB8BAABkcnMvZTJvRG9jLnhtbFBLBQYAAAAA&#10;BgAGAFkBAAC/BQAAAAA=&#10;">
              <v:fill on="f" focussize="0,0"/>
              <v:stroke on="f" weight="0.5pt"/>
              <v:imagedata o:title=""/>
              <o:lock v:ext="edit" aspectratio="f"/>
              <v:textbox inset="0mm,0mm,0mm,0mm" style="mso-fit-shape-to-text:t;">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wvwWYCwCAABWBAAADgAAAAAAAAABACAAAAAfAQAAZHJzL2Uyb0RvYy54bWxQSwUGAAAAAAYA&#10;BgBZAQAAvQUAAAAA&#10;">
              <v:fill on="f" focussize="0,0"/>
              <v:stroke on="f" weight="0.5pt"/>
              <v:imagedata o:title=""/>
              <o:lock v:ext="edit" aspectratio="f"/>
              <v:textbox inset="0mm,0mm,0mm,0mm" style="mso-fit-shape-to-text:t;">
                <w:txbxContent>
                  <w:p w14:paraId="6C809CD3">
                    <w:pPr>
                      <w:pStyle w:val="19"/>
                    </w:pP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TR+gtAgAAVgQAAA4AAABkcnMvZTJvRG9jLnhtbK1US27bMBDdF+gd&#10;CO5ryQ6SGo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qTR+gtAgAAVgQAAA4AAAAAAAAAAQAgAAAAHwEAAGRycy9lMm9Eb2MueG1sUEsFBgAAAAAG&#10;AAYAWQEAAL4FAAAAAA==&#10;">
              <v:fill on="f" focussize="0,0"/>
              <v:stroke on="f" weight="0.5pt"/>
              <v:imagedata o:title=""/>
              <o:lock v:ext="edit" aspectratio="f"/>
              <v:textbox inset="0mm,0mm,0mm,0mm" style="mso-fit-shape-to-text:t;">
                <w:txbxContent>
                  <w:p w14:paraId="096BD84D">
                    <w:pPr>
                      <w:pStyle w:val="19"/>
                    </w:pP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6233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qX5bIzAgAAVQQAAA4AAAAAAAAAAQAgAAAAJQEAAGRycy9lMm9Eb2Mu&#10;eG1sUEsFBgAAAAAGAAYAWQEAAMoFAAAAAA==&#10;">
              <v:fill on="f" focussize="0,0"/>
              <v:stroke on="f" weight="0.5pt"/>
              <v:imagedata o:title=""/>
              <o:lock v:ext="edit" aspectratio="f"/>
              <v:textbox inset="0mm,0mm,0mm,0mm">
                <w:txbxContent>
                  <w:p w14:paraId="31AD6814">
                    <w:pPr>
                      <w:pStyle w:val="19"/>
                    </w:pPr>
                  </w:p>
                </w:txbxContent>
              </v:textbox>
            </v:shape>
          </w:pict>
        </mc:Fallback>
      </mc:AlternateContent>
    </w:r>
  </w:p>
  <w:p w14:paraId="6B74F7EB">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3698ssAgAAVg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Tfr3yywCAABWBAAADgAAAAAAAAABACAAAAAfAQAAZHJzL2Uyb0RvYy54bWxQSwUGAAAAAAYA&#10;BgBZAQAAvQUAAAAA&#10;">
              <v:fill on="f" focussize="0,0"/>
              <v:stroke on="f" weight="0.5pt"/>
              <v:imagedata o:title=""/>
              <o:lock v:ext="edit" aspectratio="f"/>
              <v:textbox inset="0mm,0mm,0mm,0mm" style="mso-fit-shape-to-text:t;">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xhAAtAgAAVg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TKI+rfUzhD1YBIburenQNcO5x2Gk3VVOxS8IEfih7vGirugC4fHSdDKd5nBx+IYN8LPH&#10;69b58E4YRaJRUIfyJVXZYeNDHzqExGzarBspUwmlJm1Br69e5+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xhAAtAgAAVgQAAA4AAAAAAAAAAQAgAAAAHwEAAGRycy9lMm9Eb2MueG1sUEsFBgAAAAAG&#10;AAYAWQEAAL4FAAAAAA==&#10;">
              <v:fill on="f" focussize="0,0"/>
              <v:stroke on="f" weight="0.5pt"/>
              <v:imagedata o:title=""/>
              <o:lock v:ext="edit" aspectratio="f"/>
              <v:textbox inset="0mm,0mm,0mm,0mm" style="mso-fit-shape-to-text:t;">
                <w:txbxContent>
                  <w:p w14:paraId="2F00C1C5">
                    <w:pPr>
                      <w:pStyle w:val="19"/>
                    </w:pP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1avTgs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Vq9OCwCAABWBAAADgAAAAAAAAABACAAAAAfAQAAZHJzL2Uyb0RvYy54bWxQSwUGAAAAAAYA&#10;BgBZAQAAvQUAAAAA&#10;">
              <v:fill on="f" focussize="0,0"/>
              <v:stroke on="f" weight="0.5pt"/>
              <v:imagedata o:title=""/>
              <o:lock v:ext="edit" aspectratio="f"/>
              <v:textbox inset="0mm,0mm,0mm,0mm" style="mso-fit-shape-to-text:t;">
                <w:txbxContent>
                  <w:p w14:paraId="3DBD809B">
                    <w:pPr>
                      <w:pStyle w:val="19"/>
                    </w:pP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540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19"/>
                    </w:pPr>
                  </w:p>
                </w:txbxContent>
              </v:textbox>
            </v:shape>
          </w:pict>
        </mc:Fallback>
      </mc:AlternateContent>
    </w:r>
  </w:p>
  <w:p w14:paraId="6F74A442">
    <w:pPr>
      <w:pStyle w:val="1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26A001F"/>
    <w:multiLevelType w:val="singleLevel"/>
    <w:tmpl w:val="226A001F"/>
    <w:lvl w:ilvl="0" w:tentative="0">
      <w:start w:val="5"/>
      <w:numFmt w:val="decimal"/>
      <w:lvlText w:val="%1."/>
      <w:lvlJc w:val="left"/>
      <w:pPr>
        <w:tabs>
          <w:tab w:val="left" w:pos="312"/>
        </w:tabs>
      </w:pPr>
    </w:lvl>
  </w:abstractNum>
  <w:abstractNum w:abstractNumId="8">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9">
    <w:nsid w:val="4AF0723E"/>
    <w:multiLevelType w:val="singleLevel"/>
    <w:tmpl w:val="4AF0723E"/>
    <w:lvl w:ilvl="0" w:tentative="0">
      <w:start w:val="2"/>
      <w:numFmt w:val="chineseCounting"/>
      <w:suff w:val="nothing"/>
      <w:lvlText w:val="%1、"/>
      <w:lvlJc w:val="left"/>
      <w:rPr>
        <w:rFonts w:hint="eastAsia"/>
      </w:rPr>
    </w:lvl>
  </w:abstractNum>
  <w:abstractNum w:abstractNumId="10">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1">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5D37E6A8"/>
    <w:multiLevelType w:val="singleLevel"/>
    <w:tmpl w:val="5D37E6A8"/>
    <w:lvl w:ilvl="0" w:tentative="0">
      <w:start w:val="1"/>
      <w:numFmt w:val="lowerRoman"/>
      <w:suff w:val="space"/>
      <w:lvlText w:val="%1)"/>
      <w:lvlJc w:val="left"/>
    </w:lvl>
  </w:abstractNum>
  <w:abstractNum w:abstractNumId="13">
    <w:nsid w:val="67CA585D"/>
    <w:multiLevelType w:val="singleLevel"/>
    <w:tmpl w:val="67CA585D"/>
    <w:lvl w:ilvl="0" w:tentative="0">
      <w:start w:val="1"/>
      <w:numFmt w:val="decimal"/>
      <w:suff w:val="nothing"/>
      <w:lvlText w:val="%1、"/>
      <w:lvlJc w:val="left"/>
    </w:lvl>
  </w:abstractNum>
  <w:abstractNum w:abstractNumId="14">
    <w:nsid w:val="6E07623C"/>
    <w:multiLevelType w:val="multilevel"/>
    <w:tmpl w:val="6E07623C"/>
    <w:lvl w:ilvl="0" w:tentative="0">
      <w:start w:val="1"/>
      <w:numFmt w:val="japaneseCounting"/>
      <w:lvlText w:val="%1、"/>
      <w:lvlJc w:val="left"/>
      <w:pPr>
        <w:tabs>
          <w:tab w:val="left" w:pos="1140"/>
        </w:tabs>
        <w:ind w:left="1140" w:hanging="720"/>
      </w:pPr>
      <w:rPr>
        <w:rFonts w:hint="eastAsia" w:cs="Times New Roman"/>
      </w:rPr>
    </w:lvl>
    <w:lvl w:ilvl="1" w:tentative="0">
      <w:start w:val="1"/>
      <w:numFmt w:val="decimal"/>
      <w:lvlText w:val="%2."/>
      <w:lvlJc w:val="left"/>
      <w:pPr>
        <w:tabs>
          <w:tab w:val="left" w:pos="1605"/>
        </w:tabs>
        <w:ind w:left="1605" w:hanging="765"/>
      </w:pPr>
      <w:rPr>
        <w:rFonts w:hint="eastAsia" w:cs="Times New Roman"/>
      </w:rPr>
    </w:lvl>
    <w:lvl w:ilvl="2" w:tentative="0">
      <w:start w:val="1"/>
      <w:numFmt w:val="decimal"/>
      <w:lvlText w:val="%3．"/>
      <w:lvlJc w:val="left"/>
      <w:pPr>
        <w:tabs>
          <w:tab w:val="left" w:pos="1980"/>
        </w:tabs>
        <w:ind w:left="1980" w:hanging="720"/>
      </w:pPr>
      <w:rPr>
        <w:rFonts w:hint="eastAsia" w:cs="Times New Roman"/>
      </w:rPr>
    </w:lvl>
    <w:lvl w:ilvl="3" w:tentative="0">
      <w:start w:val="1"/>
      <w:numFmt w:val="upperLetter"/>
      <w:lvlText w:val="%4、"/>
      <w:lvlJc w:val="left"/>
      <w:pPr>
        <w:tabs>
          <w:tab w:val="left" w:pos="2400"/>
        </w:tabs>
        <w:ind w:left="2400" w:hanging="720"/>
      </w:pPr>
      <w:rPr>
        <w:rFonts w:hint="eastAsia" w:cs="Times New Roman"/>
      </w:rPr>
    </w:lvl>
    <w:lvl w:ilvl="4" w:tentative="0">
      <w:start w:val="1"/>
      <w:numFmt w:val="lowerLetter"/>
      <w:lvlText w:val="%5)"/>
      <w:lvlJc w:val="left"/>
      <w:pPr>
        <w:tabs>
          <w:tab w:val="left" w:pos="2520"/>
        </w:tabs>
        <w:ind w:left="2520" w:hanging="420"/>
      </w:pPr>
      <w:rPr>
        <w:rFonts w:cs="Times New Roman"/>
      </w:rPr>
    </w:lvl>
    <w:lvl w:ilvl="5" w:tentative="0">
      <w:start w:val="1"/>
      <w:numFmt w:val="lowerRoman"/>
      <w:lvlText w:val="%6."/>
      <w:lvlJc w:val="right"/>
      <w:pPr>
        <w:tabs>
          <w:tab w:val="left" w:pos="2940"/>
        </w:tabs>
        <w:ind w:left="2940" w:hanging="420"/>
      </w:pPr>
      <w:rPr>
        <w:rFonts w:cs="Times New Roman"/>
      </w:rPr>
    </w:lvl>
    <w:lvl w:ilvl="6" w:tentative="0">
      <w:start w:val="1"/>
      <w:numFmt w:val="decimal"/>
      <w:lvlText w:val="%7."/>
      <w:lvlJc w:val="left"/>
      <w:pPr>
        <w:tabs>
          <w:tab w:val="left" w:pos="3360"/>
        </w:tabs>
        <w:ind w:left="3360" w:hanging="420"/>
      </w:pPr>
      <w:rPr>
        <w:rFonts w:cs="Times New Roman"/>
      </w:rPr>
    </w:lvl>
    <w:lvl w:ilvl="7" w:tentative="0">
      <w:start w:val="1"/>
      <w:numFmt w:val="lowerLetter"/>
      <w:lvlText w:val="%8)"/>
      <w:lvlJc w:val="left"/>
      <w:pPr>
        <w:tabs>
          <w:tab w:val="left" w:pos="3780"/>
        </w:tabs>
        <w:ind w:left="3780" w:hanging="420"/>
      </w:pPr>
      <w:rPr>
        <w:rFonts w:cs="Times New Roman"/>
      </w:rPr>
    </w:lvl>
    <w:lvl w:ilvl="8" w:tentative="0">
      <w:start w:val="1"/>
      <w:numFmt w:val="lowerRoman"/>
      <w:lvlText w:val="%9."/>
      <w:lvlJc w:val="right"/>
      <w:pPr>
        <w:tabs>
          <w:tab w:val="left" w:pos="4200"/>
        </w:tabs>
        <w:ind w:left="4200" w:hanging="420"/>
      </w:pPr>
      <w:rPr>
        <w:rFonts w:cs="Times New Roman"/>
      </w:rPr>
    </w:lvl>
  </w:abstractNum>
  <w:abstractNum w:abstractNumId="15">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5"/>
  </w:num>
  <w:num w:numId="2">
    <w:abstractNumId w:val="5"/>
  </w:num>
  <w:num w:numId="3">
    <w:abstractNumId w:val="6"/>
  </w:num>
  <w:num w:numId="4">
    <w:abstractNumId w:val="7"/>
  </w:num>
  <w:num w:numId="5">
    <w:abstractNumId w:val="13"/>
  </w:num>
  <w:num w:numId="6">
    <w:abstractNumId w:val="9"/>
  </w:num>
  <w:num w:numId="7">
    <w:abstractNumId w:val="11"/>
  </w:num>
  <w:num w:numId="8">
    <w:abstractNumId w:val="2"/>
  </w:num>
  <w:num w:numId="9">
    <w:abstractNumId w:val="8"/>
  </w:num>
  <w:num w:numId="10">
    <w:abstractNumId w:val="3"/>
  </w:num>
  <w:num w:numId="11">
    <w:abstractNumId w:val="16"/>
  </w:num>
  <w:num w:numId="12">
    <w:abstractNumId w:val="1"/>
  </w:num>
  <w:num w:numId="13">
    <w:abstractNumId w:val="14"/>
  </w:num>
  <w:num w:numId="14">
    <w:abstractNumId w:val="12"/>
  </w:num>
  <w:num w:numId="15">
    <w:abstractNumId w:val="10"/>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663F59"/>
    <w:rsid w:val="05791EDF"/>
    <w:rsid w:val="059F7305"/>
    <w:rsid w:val="05CD25D7"/>
    <w:rsid w:val="05EA3EAD"/>
    <w:rsid w:val="06521C32"/>
    <w:rsid w:val="06741515"/>
    <w:rsid w:val="067803E8"/>
    <w:rsid w:val="06C97BAD"/>
    <w:rsid w:val="06E06011"/>
    <w:rsid w:val="07512980"/>
    <w:rsid w:val="07B7674A"/>
    <w:rsid w:val="07FF5CCC"/>
    <w:rsid w:val="0820745B"/>
    <w:rsid w:val="08615656"/>
    <w:rsid w:val="086E682C"/>
    <w:rsid w:val="087A7083"/>
    <w:rsid w:val="087E697D"/>
    <w:rsid w:val="08C2594B"/>
    <w:rsid w:val="08E71341"/>
    <w:rsid w:val="09261188"/>
    <w:rsid w:val="094F2FDA"/>
    <w:rsid w:val="0950109D"/>
    <w:rsid w:val="09831699"/>
    <w:rsid w:val="09A61816"/>
    <w:rsid w:val="0A020E0E"/>
    <w:rsid w:val="0A3718CA"/>
    <w:rsid w:val="0A4A6522"/>
    <w:rsid w:val="0A5440F3"/>
    <w:rsid w:val="0A613847"/>
    <w:rsid w:val="0AA45322"/>
    <w:rsid w:val="0AAB39D9"/>
    <w:rsid w:val="0ABD3CEF"/>
    <w:rsid w:val="0AC57BE3"/>
    <w:rsid w:val="0AEA0C42"/>
    <w:rsid w:val="0AEB3965"/>
    <w:rsid w:val="0B1A381C"/>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E563F3"/>
    <w:rsid w:val="16F0324C"/>
    <w:rsid w:val="17173305"/>
    <w:rsid w:val="177056C4"/>
    <w:rsid w:val="17A70B2D"/>
    <w:rsid w:val="17D13AF8"/>
    <w:rsid w:val="17E256C1"/>
    <w:rsid w:val="17F71D22"/>
    <w:rsid w:val="18162E07"/>
    <w:rsid w:val="18297E3F"/>
    <w:rsid w:val="184B447B"/>
    <w:rsid w:val="187F767F"/>
    <w:rsid w:val="18F77513"/>
    <w:rsid w:val="192B3D79"/>
    <w:rsid w:val="1960209C"/>
    <w:rsid w:val="19830327"/>
    <w:rsid w:val="19E20B4E"/>
    <w:rsid w:val="19E94CA8"/>
    <w:rsid w:val="19F0751F"/>
    <w:rsid w:val="1A4E5290"/>
    <w:rsid w:val="1A943A2A"/>
    <w:rsid w:val="1AA2738A"/>
    <w:rsid w:val="1AAE5D2F"/>
    <w:rsid w:val="1ABF401D"/>
    <w:rsid w:val="1B1E1106"/>
    <w:rsid w:val="1B23671D"/>
    <w:rsid w:val="1B303273"/>
    <w:rsid w:val="1B3B6C75"/>
    <w:rsid w:val="1B5F5C88"/>
    <w:rsid w:val="1BB56FD7"/>
    <w:rsid w:val="1BC05D1A"/>
    <w:rsid w:val="1BD92F6B"/>
    <w:rsid w:val="1C2975EA"/>
    <w:rsid w:val="1C2C7853"/>
    <w:rsid w:val="1C6174EF"/>
    <w:rsid w:val="1CF0546A"/>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1E95497"/>
    <w:rsid w:val="225E003A"/>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094AA1"/>
    <w:rsid w:val="26707106"/>
    <w:rsid w:val="26D149F5"/>
    <w:rsid w:val="26EC20B9"/>
    <w:rsid w:val="27DA63B5"/>
    <w:rsid w:val="27DD6708"/>
    <w:rsid w:val="27E4296B"/>
    <w:rsid w:val="27F044F5"/>
    <w:rsid w:val="281E04EF"/>
    <w:rsid w:val="287B3E0D"/>
    <w:rsid w:val="288B7556"/>
    <w:rsid w:val="28C64B8B"/>
    <w:rsid w:val="293E1C33"/>
    <w:rsid w:val="2995527A"/>
    <w:rsid w:val="2A1C0F07"/>
    <w:rsid w:val="2A9D329F"/>
    <w:rsid w:val="2B045B24"/>
    <w:rsid w:val="2B395AE8"/>
    <w:rsid w:val="2B5C6CCB"/>
    <w:rsid w:val="2B7E1F97"/>
    <w:rsid w:val="2BCE6231"/>
    <w:rsid w:val="2BDE39C1"/>
    <w:rsid w:val="2BF16674"/>
    <w:rsid w:val="2C254BFC"/>
    <w:rsid w:val="2C8120E3"/>
    <w:rsid w:val="2C84151C"/>
    <w:rsid w:val="2CA40D8B"/>
    <w:rsid w:val="2CB4110C"/>
    <w:rsid w:val="2CD32336"/>
    <w:rsid w:val="2CD461FD"/>
    <w:rsid w:val="2D250928"/>
    <w:rsid w:val="2D3D23FF"/>
    <w:rsid w:val="2D5A6413"/>
    <w:rsid w:val="2D643AC8"/>
    <w:rsid w:val="2D711EA3"/>
    <w:rsid w:val="2DBA2F99"/>
    <w:rsid w:val="2DDE33CA"/>
    <w:rsid w:val="2DEB2456"/>
    <w:rsid w:val="2DEC0BF0"/>
    <w:rsid w:val="2E37532D"/>
    <w:rsid w:val="2ED646D8"/>
    <w:rsid w:val="2F5A662A"/>
    <w:rsid w:val="2F9F0337"/>
    <w:rsid w:val="2FA40D49"/>
    <w:rsid w:val="2FA5374C"/>
    <w:rsid w:val="300D35B1"/>
    <w:rsid w:val="30270E15"/>
    <w:rsid w:val="30B11567"/>
    <w:rsid w:val="310224D9"/>
    <w:rsid w:val="31124E12"/>
    <w:rsid w:val="3117429B"/>
    <w:rsid w:val="31451B20"/>
    <w:rsid w:val="31493966"/>
    <w:rsid w:val="31F406E5"/>
    <w:rsid w:val="32151B4F"/>
    <w:rsid w:val="3227669B"/>
    <w:rsid w:val="32662B2D"/>
    <w:rsid w:val="32676D99"/>
    <w:rsid w:val="32852B12"/>
    <w:rsid w:val="331D68E6"/>
    <w:rsid w:val="3342126C"/>
    <w:rsid w:val="335313EB"/>
    <w:rsid w:val="341A770D"/>
    <w:rsid w:val="341C0956"/>
    <w:rsid w:val="347C1484"/>
    <w:rsid w:val="35951B6D"/>
    <w:rsid w:val="35B35A26"/>
    <w:rsid w:val="35C32D10"/>
    <w:rsid w:val="35D52583"/>
    <w:rsid w:val="35E5163A"/>
    <w:rsid w:val="36363080"/>
    <w:rsid w:val="36BA1B48"/>
    <w:rsid w:val="36E542BE"/>
    <w:rsid w:val="36E72620"/>
    <w:rsid w:val="371D2FC5"/>
    <w:rsid w:val="37323669"/>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63048C"/>
    <w:rsid w:val="3AB745F8"/>
    <w:rsid w:val="3AFD21CD"/>
    <w:rsid w:val="3B282E85"/>
    <w:rsid w:val="3B7C4566"/>
    <w:rsid w:val="3B8239A2"/>
    <w:rsid w:val="3B8254FA"/>
    <w:rsid w:val="3BA36271"/>
    <w:rsid w:val="3BA8156F"/>
    <w:rsid w:val="3BEB0FF0"/>
    <w:rsid w:val="3C2C2EA9"/>
    <w:rsid w:val="3C3920CA"/>
    <w:rsid w:val="3C3945D7"/>
    <w:rsid w:val="3C42023F"/>
    <w:rsid w:val="3C7975EF"/>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1F67E38"/>
    <w:rsid w:val="420D690D"/>
    <w:rsid w:val="42B966C3"/>
    <w:rsid w:val="43304A12"/>
    <w:rsid w:val="43566252"/>
    <w:rsid w:val="43827BD5"/>
    <w:rsid w:val="43B70399"/>
    <w:rsid w:val="43CF6B77"/>
    <w:rsid w:val="43E63B53"/>
    <w:rsid w:val="445D199D"/>
    <w:rsid w:val="44A55090"/>
    <w:rsid w:val="44C45512"/>
    <w:rsid w:val="44DB0BE7"/>
    <w:rsid w:val="456D0411"/>
    <w:rsid w:val="458105CE"/>
    <w:rsid w:val="45A24005"/>
    <w:rsid w:val="45C57342"/>
    <w:rsid w:val="45D95C77"/>
    <w:rsid w:val="45EB02B3"/>
    <w:rsid w:val="45ED50AE"/>
    <w:rsid w:val="45FD5429"/>
    <w:rsid w:val="46252D4D"/>
    <w:rsid w:val="46277B90"/>
    <w:rsid w:val="465B0258"/>
    <w:rsid w:val="468452BE"/>
    <w:rsid w:val="46896DEC"/>
    <w:rsid w:val="46AE0CE1"/>
    <w:rsid w:val="46D714B6"/>
    <w:rsid w:val="47117783"/>
    <w:rsid w:val="473236C0"/>
    <w:rsid w:val="474929D1"/>
    <w:rsid w:val="4771627F"/>
    <w:rsid w:val="47D34713"/>
    <w:rsid w:val="481C57BF"/>
    <w:rsid w:val="483C3986"/>
    <w:rsid w:val="486C49B0"/>
    <w:rsid w:val="48C172C6"/>
    <w:rsid w:val="48F6016E"/>
    <w:rsid w:val="48F74BC1"/>
    <w:rsid w:val="49106FD2"/>
    <w:rsid w:val="49696DA5"/>
    <w:rsid w:val="497F0713"/>
    <w:rsid w:val="49A46255"/>
    <w:rsid w:val="49B36396"/>
    <w:rsid w:val="49BC3416"/>
    <w:rsid w:val="49DD2092"/>
    <w:rsid w:val="4A1A567E"/>
    <w:rsid w:val="4A48418E"/>
    <w:rsid w:val="4A6B2B90"/>
    <w:rsid w:val="4A6E2554"/>
    <w:rsid w:val="4AB21842"/>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125E4"/>
    <w:rsid w:val="4E204085"/>
    <w:rsid w:val="4EE50033"/>
    <w:rsid w:val="4EFE1D6A"/>
    <w:rsid w:val="4F366C62"/>
    <w:rsid w:val="4F4C51A7"/>
    <w:rsid w:val="4F6F0FB6"/>
    <w:rsid w:val="4F847B89"/>
    <w:rsid w:val="4F9662F5"/>
    <w:rsid w:val="4FA6442F"/>
    <w:rsid w:val="50384F67"/>
    <w:rsid w:val="50414462"/>
    <w:rsid w:val="505B2CB5"/>
    <w:rsid w:val="50751C6F"/>
    <w:rsid w:val="507F68C2"/>
    <w:rsid w:val="51473A96"/>
    <w:rsid w:val="515057DB"/>
    <w:rsid w:val="515C28DB"/>
    <w:rsid w:val="520C2431"/>
    <w:rsid w:val="52495D62"/>
    <w:rsid w:val="527C4008"/>
    <w:rsid w:val="527D2589"/>
    <w:rsid w:val="52F944DF"/>
    <w:rsid w:val="532134F5"/>
    <w:rsid w:val="53774E87"/>
    <w:rsid w:val="53B86E42"/>
    <w:rsid w:val="53BF62DB"/>
    <w:rsid w:val="53EE4E13"/>
    <w:rsid w:val="54020833"/>
    <w:rsid w:val="54CA318A"/>
    <w:rsid w:val="54F04B86"/>
    <w:rsid w:val="550D29FA"/>
    <w:rsid w:val="551207AA"/>
    <w:rsid w:val="55212BBF"/>
    <w:rsid w:val="5536081F"/>
    <w:rsid w:val="5563538C"/>
    <w:rsid w:val="55A1274B"/>
    <w:rsid w:val="55D76AFD"/>
    <w:rsid w:val="56116B96"/>
    <w:rsid w:val="56AC66F2"/>
    <w:rsid w:val="56CB2446"/>
    <w:rsid w:val="56E71615"/>
    <w:rsid w:val="56EA45CC"/>
    <w:rsid w:val="570E1939"/>
    <w:rsid w:val="57923F19"/>
    <w:rsid w:val="57A44166"/>
    <w:rsid w:val="57D74425"/>
    <w:rsid w:val="581B443E"/>
    <w:rsid w:val="58762279"/>
    <w:rsid w:val="589A2E73"/>
    <w:rsid w:val="58EC0AEC"/>
    <w:rsid w:val="58F35BBD"/>
    <w:rsid w:val="59914276"/>
    <w:rsid w:val="59930314"/>
    <w:rsid w:val="59E6011F"/>
    <w:rsid w:val="59EB0841"/>
    <w:rsid w:val="5A1B7FE4"/>
    <w:rsid w:val="5A2632E9"/>
    <w:rsid w:val="5A351563"/>
    <w:rsid w:val="5A4C03FF"/>
    <w:rsid w:val="5A4F04ED"/>
    <w:rsid w:val="5A4F4DEE"/>
    <w:rsid w:val="5A764561"/>
    <w:rsid w:val="5AB111D9"/>
    <w:rsid w:val="5AC650B1"/>
    <w:rsid w:val="5AC728CE"/>
    <w:rsid w:val="5AEE6697"/>
    <w:rsid w:val="5B031477"/>
    <w:rsid w:val="5B0A30BD"/>
    <w:rsid w:val="5B8B3C95"/>
    <w:rsid w:val="5B9708A5"/>
    <w:rsid w:val="5BA9321C"/>
    <w:rsid w:val="5BE10EF6"/>
    <w:rsid w:val="5C7C175E"/>
    <w:rsid w:val="5C892D32"/>
    <w:rsid w:val="5CBE6754"/>
    <w:rsid w:val="5CE24905"/>
    <w:rsid w:val="5CE24DE9"/>
    <w:rsid w:val="5CEA7A12"/>
    <w:rsid w:val="5D101FB3"/>
    <w:rsid w:val="5D2E41D4"/>
    <w:rsid w:val="5D3953A1"/>
    <w:rsid w:val="5E3E3A04"/>
    <w:rsid w:val="5E5203C1"/>
    <w:rsid w:val="5EE06817"/>
    <w:rsid w:val="5F1100B7"/>
    <w:rsid w:val="5F284DA7"/>
    <w:rsid w:val="5F3C0E6C"/>
    <w:rsid w:val="5F677827"/>
    <w:rsid w:val="5FBB029F"/>
    <w:rsid w:val="5FD71F38"/>
    <w:rsid w:val="5FDD5159"/>
    <w:rsid w:val="5FED7EEF"/>
    <w:rsid w:val="600951E3"/>
    <w:rsid w:val="6084664B"/>
    <w:rsid w:val="608E5F22"/>
    <w:rsid w:val="609847B1"/>
    <w:rsid w:val="60C72E91"/>
    <w:rsid w:val="60F15E8A"/>
    <w:rsid w:val="61E21473"/>
    <w:rsid w:val="62370D91"/>
    <w:rsid w:val="625050D5"/>
    <w:rsid w:val="62581669"/>
    <w:rsid w:val="62972BA4"/>
    <w:rsid w:val="62AA3D56"/>
    <w:rsid w:val="62BD2F9C"/>
    <w:rsid w:val="62E033D6"/>
    <w:rsid w:val="62EA49F7"/>
    <w:rsid w:val="635640D3"/>
    <w:rsid w:val="63FC70D8"/>
    <w:rsid w:val="64D52E93"/>
    <w:rsid w:val="64F777C3"/>
    <w:rsid w:val="658A426F"/>
    <w:rsid w:val="65941228"/>
    <w:rsid w:val="659C46CE"/>
    <w:rsid w:val="65F0429F"/>
    <w:rsid w:val="6609788A"/>
    <w:rsid w:val="66121CD3"/>
    <w:rsid w:val="663E4272"/>
    <w:rsid w:val="665B5EF5"/>
    <w:rsid w:val="665E28AE"/>
    <w:rsid w:val="6665218B"/>
    <w:rsid w:val="666A5731"/>
    <w:rsid w:val="66A87E90"/>
    <w:rsid w:val="66BE0ECB"/>
    <w:rsid w:val="67582877"/>
    <w:rsid w:val="679338AF"/>
    <w:rsid w:val="67F636E3"/>
    <w:rsid w:val="67F9196E"/>
    <w:rsid w:val="68E568A5"/>
    <w:rsid w:val="68EF720B"/>
    <w:rsid w:val="68FC5A86"/>
    <w:rsid w:val="696003C2"/>
    <w:rsid w:val="69766E90"/>
    <w:rsid w:val="69A3580E"/>
    <w:rsid w:val="6A263BDB"/>
    <w:rsid w:val="6A622576"/>
    <w:rsid w:val="6A6B466F"/>
    <w:rsid w:val="6AE37815"/>
    <w:rsid w:val="6AEA48B3"/>
    <w:rsid w:val="6AF724BA"/>
    <w:rsid w:val="6B0E2F02"/>
    <w:rsid w:val="6BD91AAD"/>
    <w:rsid w:val="6BDB366C"/>
    <w:rsid w:val="6C215F10"/>
    <w:rsid w:val="6C564F9A"/>
    <w:rsid w:val="6C5717E0"/>
    <w:rsid w:val="6C7D5C01"/>
    <w:rsid w:val="6C961BE6"/>
    <w:rsid w:val="6CA504C8"/>
    <w:rsid w:val="6CA519DB"/>
    <w:rsid w:val="6CA727BF"/>
    <w:rsid w:val="6CB849A7"/>
    <w:rsid w:val="6CC462B9"/>
    <w:rsid w:val="6D9C5573"/>
    <w:rsid w:val="6DEC122C"/>
    <w:rsid w:val="6EAF2DD8"/>
    <w:rsid w:val="6F294145"/>
    <w:rsid w:val="6F50310A"/>
    <w:rsid w:val="6FBF7BB3"/>
    <w:rsid w:val="6FEE2012"/>
    <w:rsid w:val="70074E3A"/>
    <w:rsid w:val="70622350"/>
    <w:rsid w:val="70D74D9E"/>
    <w:rsid w:val="714D0321"/>
    <w:rsid w:val="72012769"/>
    <w:rsid w:val="72153BAA"/>
    <w:rsid w:val="72302549"/>
    <w:rsid w:val="72374822"/>
    <w:rsid w:val="72575846"/>
    <w:rsid w:val="72691DDC"/>
    <w:rsid w:val="72772B96"/>
    <w:rsid w:val="72BB4362"/>
    <w:rsid w:val="72C038D5"/>
    <w:rsid w:val="72FE1DE6"/>
    <w:rsid w:val="730135C5"/>
    <w:rsid w:val="73307239"/>
    <w:rsid w:val="73404866"/>
    <w:rsid w:val="734B0D50"/>
    <w:rsid w:val="735E1767"/>
    <w:rsid w:val="737E5EEA"/>
    <w:rsid w:val="7395275D"/>
    <w:rsid w:val="73AB61EB"/>
    <w:rsid w:val="73B06FFE"/>
    <w:rsid w:val="741F797E"/>
    <w:rsid w:val="74D31C0E"/>
    <w:rsid w:val="74EE7C94"/>
    <w:rsid w:val="75107AB0"/>
    <w:rsid w:val="7537114E"/>
    <w:rsid w:val="753E66A3"/>
    <w:rsid w:val="758406F8"/>
    <w:rsid w:val="759B3DBA"/>
    <w:rsid w:val="75AA26A3"/>
    <w:rsid w:val="76007B26"/>
    <w:rsid w:val="767055A8"/>
    <w:rsid w:val="767A2659"/>
    <w:rsid w:val="76D85C39"/>
    <w:rsid w:val="76E11F70"/>
    <w:rsid w:val="77184757"/>
    <w:rsid w:val="77BC614F"/>
    <w:rsid w:val="781053F7"/>
    <w:rsid w:val="783B2B41"/>
    <w:rsid w:val="78646D0D"/>
    <w:rsid w:val="78E24696"/>
    <w:rsid w:val="790A0589"/>
    <w:rsid w:val="795804B5"/>
    <w:rsid w:val="79B60841"/>
    <w:rsid w:val="7A2860D9"/>
    <w:rsid w:val="7AB66A3C"/>
    <w:rsid w:val="7B036FEB"/>
    <w:rsid w:val="7B486307"/>
    <w:rsid w:val="7BA515C3"/>
    <w:rsid w:val="7BC335A0"/>
    <w:rsid w:val="7C1032C9"/>
    <w:rsid w:val="7C321AFF"/>
    <w:rsid w:val="7C784B07"/>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46"/>
    <w:qFormat/>
    <w:uiPriority w:val="0"/>
    <w:pPr>
      <w:adjustRightInd w:val="0"/>
      <w:snapToGrid w:val="0"/>
      <w:spacing w:line="360" w:lineRule="auto"/>
      <w:jc w:val="left"/>
      <w:outlineLvl w:val="0"/>
    </w:pPr>
    <w:rPr>
      <w:rFonts w:ascii="Times New Roman" w:hAnsi="Times New Roman" w:eastAsia="宋体"/>
      <w:b/>
      <w:bCs/>
      <w:kern w:val="44"/>
      <w:sz w:val="36"/>
      <w:szCs w:val="36"/>
    </w:rPr>
  </w:style>
  <w:style w:type="paragraph" w:styleId="4">
    <w:name w:val="heading 2"/>
    <w:basedOn w:val="5"/>
    <w:next w:val="1"/>
    <w:link w:val="40"/>
    <w:qFormat/>
    <w:uiPriority w:val="0"/>
    <w:pPr>
      <w:adjustRightInd w:val="0"/>
      <w:snapToGrid w:val="0"/>
      <w:spacing w:after="0" w:line="360" w:lineRule="auto"/>
      <w:jc w:val="center"/>
      <w:outlineLvl w:val="1"/>
    </w:pPr>
    <w:rPr>
      <w:rFonts w:ascii="宋体"/>
      <w:sz w:val="28"/>
      <w:szCs w:val="28"/>
    </w:rPr>
  </w:style>
  <w:style w:type="paragraph" w:styleId="5">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6">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00" w:leftChars="400"/>
    </w:pPr>
  </w:style>
  <w:style w:type="paragraph" w:styleId="8">
    <w:name w:val="Normal Indent"/>
    <w:basedOn w:val="1"/>
    <w:qFormat/>
    <w:uiPriority w:val="0"/>
    <w:pPr>
      <w:ind w:firstLine="420"/>
    </w:pPr>
    <w:rPr>
      <w:sz w:val="14"/>
    </w:rPr>
  </w:style>
  <w:style w:type="paragraph" w:styleId="9">
    <w:name w:val="caption"/>
    <w:basedOn w:val="1"/>
    <w:next w:val="1"/>
    <w:qFormat/>
    <w:uiPriority w:val="0"/>
    <w:pPr>
      <w:spacing w:before="152" w:after="160"/>
    </w:pPr>
    <w:rPr>
      <w:rFonts w:ascii="Arial" w:hAnsi="Arial" w:eastAsia="黑体" w:cs="Arial"/>
      <w:sz w:val="20"/>
      <w:szCs w:val="20"/>
    </w:rPr>
  </w:style>
  <w:style w:type="paragraph" w:styleId="10">
    <w:name w:val="Document Map"/>
    <w:basedOn w:val="1"/>
    <w:link w:val="52"/>
    <w:qFormat/>
    <w:uiPriority w:val="0"/>
    <w:rPr>
      <w:rFonts w:ascii="微软雅黑" w:hAnsi="微软雅黑"/>
      <w:sz w:val="18"/>
      <w:szCs w:val="18"/>
    </w:rPr>
  </w:style>
  <w:style w:type="paragraph" w:styleId="11">
    <w:name w:val="annotation text"/>
    <w:basedOn w:val="1"/>
    <w:link w:val="48"/>
    <w:qFormat/>
    <w:uiPriority w:val="0"/>
    <w:pPr>
      <w:spacing w:after="200" w:line="276" w:lineRule="auto"/>
      <w:jc w:val="left"/>
    </w:pPr>
    <w:rPr>
      <w:kern w:val="0"/>
      <w:szCs w:val="21"/>
    </w:rPr>
  </w:style>
  <w:style w:type="paragraph" w:styleId="12">
    <w:name w:val="Body Text"/>
    <w:basedOn w:val="1"/>
    <w:next w:val="13"/>
    <w:link w:val="47"/>
    <w:qFormat/>
    <w:uiPriority w:val="99"/>
    <w:pPr>
      <w:spacing w:after="120"/>
    </w:pPr>
    <w:rPr>
      <w:kern w:val="0"/>
      <w:szCs w:val="21"/>
    </w:rPr>
  </w:style>
  <w:style w:type="paragraph" w:styleId="13">
    <w:name w:val="Body Text Indent"/>
    <w:basedOn w:val="1"/>
    <w:link w:val="50"/>
    <w:unhideWhenUsed/>
    <w:qFormat/>
    <w:uiPriority w:val="0"/>
    <w:pPr>
      <w:spacing w:after="120"/>
      <w:ind w:left="420" w:leftChars="200"/>
    </w:pPr>
  </w:style>
  <w:style w:type="paragraph" w:styleId="14">
    <w:name w:val="index 4"/>
    <w:basedOn w:val="1"/>
    <w:next w:val="1"/>
    <w:unhideWhenUsed/>
    <w:qFormat/>
    <w:uiPriority w:val="0"/>
    <w:pPr>
      <w:ind w:left="600" w:leftChars="6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2"/>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1"/>
    <w:next w:val="11"/>
    <w:link w:val="59"/>
    <w:qFormat/>
    <w:uiPriority w:val="0"/>
    <w:pPr>
      <w:spacing w:after="0" w:line="240" w:lineRule="auto"/>
    </w:pPr>
    <w:rPr>
      <w:b/>
      <w:bCs/>
      <w:kern w:val="2"/>
      <w:szCs w:val="24"/>
    </w:rPr>
  </w:style>
  <w:style w:type="paragraph" w:styleId="30">
    <w:name w:val="Body Text First Indent 2"/>
    <w:basedOn w:val="13"/>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4"/>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2"/>
    <w:qFormat/>
    <w:uiPriority w:val="99"/>
    <w:rPr>
      <w:rFonts w:ascii="Times New Roman" w:hAnsi="Times New Roman" w:eastAsia="宋体" w:cs="Times New Roman"/>
      <w:kern w:val="0"/>
      <w:szCs w:val="21"/>
    </w:rPr>
  </w:style>
  <w:style w:type="character" w:customStyle="1" w:styleId="48">
    <w:name w:val="批注文字 字符"/>
    <w:basedOn w:val="33"/>
    <w:link w:val="11"/>
    <w:qFormat/>
    <w:uiPriority w:val="99"/>
    <w:rPr>
      <w:rFonts w:ascii="Times New Roman" w:hAnsi="Times New Roman" w:eastAsia="宋体" w:cs="Times New Roman"/>
      <w:kern w:val="0"/>
      <w:szCs w:val="21"/>
    </w:rPr>
  </w:style>
  <w:style w:type="character" w:customStyle="1" w:styleId="49">
    <w:name w:val="标题 3 字符"/>
    <w:basedOn w:val="33"/>
    <w:link w:val="5"/>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3"/>
    <w:semiHidden/>
    <w:qFormat/>
    <w:uiPriority w:val="99"/>
    <w:rPr>
      <w:rFonts w:ascii="Times New Roman" w:hAnsi="Times New Roman" w:eastAsia="宋体" w:cs="Times New Roman"/>
      <w:szCs w:val="24"/>
    </w:rPr>
  </w:style>
  <w:style w:type="character" w:customStyle="1" w:styleId="51">
    <w:name w:val="标题 4 字符"/>
    <w:basedOn w:val="33"/>
    <w:link w:val="6"/>
    <w:qFormat/>
    <w:uiPriority w:val="0"/>
    <w:rPr>
      <w:rFonts w:ascii="Arial" w:hAnsi="Arial" w:eastAsia="黑体" w:cs="Times New Roman"/>
      <w:b/>
      <w:bCs/>
      <w:sz w:val="28"/>
      <w:szCs w:val="28"/>
    </w:rPr>
  </w:style>
  <w:style w:type="character" w:customStyle="1" w:styleId="52">
    <w:name w:val="文档结构图 字符"/>
    <w:basedOn w:val="33"/>
    <w:link w:val="10"/>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3"/>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10"/>
    <w:qFormat/>
    <w:uiPriority w:val="0"/>
    <w:pPr>
      <w:shd w:val="clear" w:color="auto" w:fill="000080"/>
    </w:pPr>
    <w:rPr>
      <w:rFonts w:ascii="Tahoma" w:hAnsi="Tahoma" w:cs="Tahoma"/>
      <w:kern w:val="0"/>
    </w:rPr>
  </w:style>
  <w:style w:type="paragraph" w:customStyle="1" w:styleId="77">
    <w:name w:val="+标题2"/>
    <w:basedOn w:val="4"/>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4"/>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7"/>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5"/>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er" Target="foot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103</Pages>
  <Words>4508</Words>
  <Characters>4884</Characters>
  <Lines>244</Lines>
  <Paragraphs>68</Paragraphs>
  <TotalTime>29</TotalTime>
  <ScaleCrop>false</ScaleCrop>
  <LinksUpToDate>false</LinksUpToDate>
  <CharactersWithSpaces>5093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2026-06-02T00:48:24Z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