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84F66E">
      <w:pPr>
        <w:pStyle w:val="2"/>
        <w:bidi w:val="0"/>
        <w:jc w:val="center"/>
        <w:rPr>
          <w:rFonts w:hint="eastAsia"/>
          <w:lang w:val="en-US" w:eastAsia="zh-CN"/>
        </w:rPr>
      </w:pPr>
      <w:r>
        <w:rPr>
          <w:rFonts w:hint="eastAsia" w:ascii="Times New Roman" w:hAnsi="Times New Roman"/>
        </w:rPr>
        <w:t>第五代电子电气架构开发项目</w:t>
      </w:r>
      <w:r>
        <w:rPr>
          <w:rFonts w:hint="eastAsia"/>
          <w:lang w:val="en-US" w:eastAsia="zh-CN"/>
        </w:rPr>
        <w:t>公开招标公告</w:t>
      </w:r>
    </w:p>
    <w:tbl>
      <w:tblPr>
        <w:tblStyle w:val="7"/>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2026-06-01 </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default" w:ascii="微软雅黑" w:hAnsi="微软雅黑" w:eastAsia="微软雅黑" w:cs="微软雅黑"/>
                <w:color w:val="333333"/>
                <w:sz w:val="24"/>
                <w:szCs w:val="24"/>
                <w:highlight w:val="none"/>
                <w:lang w:val="en-US"/>
              </w:rPr>
            </w:pPr>
            <w:r>
              <w:rPr>
                <w:rFonts w:hint="eastAsia" w:ascii="微软雅黑" w:hAnsi="微软雅黑" w:eastAsia="微软雅黑" w:cs="微软雅黑"/>
                <w:color w:val="333333"/>
                <w:kern w:val="0"/>
                <w:sz w:val="24"/>
                <w:szCs w:val="24"/>
                <w:highlight w:val="none"/>
                <w:lang w:val="en-US" w:eastAsia="zh-CN" w:bidi="ar"/>
              </w:rPr>
              <w:t>2026-06-09</w:t>
            </w:r>
          </w:p>
        </w:tc>
      </w:tr>
    </w:tbl>
    <w:p w14:paraId="701B649F">
      <w:pPr>
        <w:pStyle w:val="10"/>
        <w:numPr>
          <w:ilvl w:val="0"/>
          <w:numId w:val="0"/>
        </w:numPr>
        <w:rPr>
          <w:rFonts w:ascii="Times New Roman" w:hAnsi="Times New Roman"/>
        </w:rPr>
      </w:pPr>
      <w:bookmarkStart w:id="0" w:name="_Toc47976596"/>
      <w:r>
        <w:rPr>
          <w:rFonts w:hint="eastAsia" w:hAnsi="黑体"/>
          <w:szCs w:val="28"/>
        </w:rPr>
        <w:t>一、</w:t>
      </w:r>
      <w:r>
        <w:rPr>
          <w:rFonts w:hint="eastAsia" w:ascii="Times New Roman" w:hAnsi="Times New Roman"/>
        </w:rPr>
        <w:t>项目介绍</w:t>
      </w:r>
      <w:bookmarkEnd w:id="0"/>
    </w:p>
    <w:p w14:paraId="65F02783">
      <w:pPr>
        <w:pStyle w:val="11"/>
        <w:numPr>
          <w:ilvl w:val="0"/>
          <w:numId w:val="2"/>
        </w:numPr>
        <w:spacing w:line="440" w:lineRule="exact"/>
        <w:rPr>
          <w:rFonts w:ascii="Times New Roman" w:hAnsi="Times New Roman"/>
        </w:rPr>
      </w:pPr>
      <w:r>
        <w:rPr>
          <w:rFonts w:hint="eastAsia" w:ascii="Times New Roman" w:hAnsi="Times New Roman"/>
        </w:rPr>
        <w:t>项目名称：第五代电子电气架构开发项目</w:t>
      </w:r>
    </w:p>
    <w:p w14:paraId="4928C141">
      <w:pPr>
        <w:pStyle w:val="11"/>
        <w:numPr>
          <w:ilvl w:val="0"/>
          <w:numId w:val="2"/>
        </w:numPr>
        <w:spacing w:line="440" w:lineRule="exact"/>
        <w:rPr>
          <w:rFonts w:ascii="Times New Roman" w:hAnsi="Times New Roman"/>
        </w:rPr>
      </w:pPr>
      <w:r>
        <w:rPr>
          <w:rFonts w:hint="eastAsia" w:ascii="Times New Roman" w:hAnsi="Times New Roman"/>
        </w:rPr>
        <w:t>项目编号：ZBGL2026050290</w:t>
      </w:r>
    </w:p>
    <w:p w14:paraId="3B8AAD56">
      <w:pPr>
        <w:pStyle w:val="11"/>
        <w:numPr>
          <w:ilvl w:val="0"/>
          <w:numId w:val="2"/>
        </w:numPr>
        <w:spacing w:line="440" w:lineRule="exact"/>
        <w:rPr>
          <w:rFonts w:ascii="Times New Roman" w:hAnsi="Times New Roman"/>
        </w:rPr>
      </w:pPr>
      <w:r>
        <w:rPr>
          <w:rFonts w:hint="eastAsia" w:ascii="Times New Roman" w:hAnsi="Times New Roman"/>
        </w:rPr>
        <w:t>招标形式：</w:t>
      </w:r>
      <w:bookmarkStart w:id="1" w:name="_Toc47112482"/>
      <w:r>
        <w:rPr>
          <w:rFonts w:hint="eastAsia" w:ascii="Times New Roman" w:hAnsi="Times New Roman"/>
          <w:lang w:val="en-US" w:eastAsia="zh-CN"/>
        </w:rPr>
        <w:t>公开</w:t>
      </w:r>
      <w:r>
        <w:rPr>
          <w:rFonts w:hint="eastAsia" w:ascii="Times New Roman" w:hAnsi="Times New Roman"/>
        </w:rPr>
        <w:t>招标</w:t>
      </w:r>
    </w:p>
    <w:p w14:paraId="52288419">
      <w:pPr>
        <w:pStyle w:val="11"/>
        <w:numPr>
          <w:ilvl w:val="0"/>
          <w:numId w:val="2"/>
        </w:numPr>
        <w:spacing w:line="440" w:lineRule="exact"/>
        <w:ind w:left="0" w:firstLine="0"/>
        <w:rPr>
          <w:rFonts w:ascii="Times New Roman" w:hAnsi="Times New Roman"/>
        </w:rPr>
      </w:pPr>
      <w:r>
        <w:rPr>
          <w:rFonts w:hint="eastAsia" w:ascii="Times New Roman" w:hAnsi="Times New Roman"/>
        </w:rPr>
        <w:t>项目概况：本项目为第五代电子电气架构开发项目，按照物理位置规划域融合控制器与区域控制器，开发跨域融合控制器（融合动力域、车身域、空调上层策略）及驾驶室右区域、底盘前/后区域控制器，采用以太网通信与电子保险丝（eFUSE）方案，掌握就近采集驱动、电子制动系统（EBS）策略、电源管理与配电优化、网络拓扑与通讯矩阵设计、远程在线升级（OTA）及面向服务的架构（SOA）部署等核心功能，需具备高扩展性、高兼容性、高可靠性与安全性，完成A样件软硬件设计及LabCar测试，助力企业建立并完善第五代电子电气架构自主开发体系。</w:t>
      </w:r>
    </w:p>
    <w:p w14:paraId="77609456">
      <w:pPr>
        <w:pStyle w:val="11"/>
        <w:numPr>
          <w:ilvl w:val="0"/>
          <w:numId w:val="2"/>
        </w:numPr>
        <w:spacing w:line="440" w:lineRule="exact"/>
        <w:rPr>
          <w:rFonts w:ascii="Times New Roman" w:hAnsi="Times New Roman"/>
        </w:rPr>
      </w:pPr>
      <w:r>
        <w:rPr>
          <w:rFonts w:hint="eastAsia" w:ascii="Times New Roman" w:hAnsi="Times New Roman"/>
        </w:rPr>
        <w:t>报价：</w:t>
      </w:r>
    </w:p>
    <w:p w14:paraId="4F279E9A">
      <w:pPr>
        <w:pStyle w:val="11"/>
        <w:numPr>
          <w:ilvl w:val="1"/>
          <w:numId w:val="3"/>
        </w:numPr>
        <w:spacing w:line="440" w:lineRule="exact"/>
        <w:ind w:left="0" w:firstLine="420" w:firstLineChars="200"/>
        <w:rPr>
          <w:rFonts w:ascii="Times New Roman" w:hAnsi="Times New Roman" w:cs="宋体"/>
          <w:b/>
          <w:bCs/>
          <w:szCs w:val="21"/>
        </w:rPr>
      </w:pPr>
      <w:r>
        <w:rPr>
          <w:rFonts w:hint="eastAsia" w:ascii="Times New Roman" w:hAnsi="Times New Roman" w:cs="宋体"/>
          <w:szCs w:val="21"/>
          <w:shd w:val="clear" w:color="auto" w:fill="FFFFFF"/>
        </w:rPr>
        <w:t>本项目的所有报价均以人民币填报。投标人应分别报出不含税金额、税率和</w:t>
      </w:r>
      <w:r>
        <w:rPr>
          <w:rFonts w:hint="eastAsia" w:ascii="Times New Roman" w:hAnsi="Times New Roman"/>
          <w:b/>
          <w:bCs/>
        </w:rPr>
        <w:t>价税合计金额</w:t>
      </w:r>
      <w:r>
        <w:rPr>
          <w:rFonts w:hint="eastAsia" w:ascii="Times New Roman" w:hAnsi="Times New Roman" w:cs="宋体"/>
          <w:szCs w:val="21"/>
          <w:shd w:val="clear" w:color="auto" w:fill="FFFFFF"/>
        </w:rPr>
        <w:t>。</w:t>
      </w:r>
    </w:p>
    <w:p w14:paraId="7EAADCE0">
      <w:pPr>
        <w:pStyle w:val="11"/>
        <w:numPr>
          <w:ilvl w:val="1"/>
          <w:numId w:val="3"/>
        </w:numPr>
        <w:spacing w:line="440" w:lineRule="exact"/>
        <w:ind w:left="0" w:firstLine="420" w:firstLineChars="200"/>
        <w:rPr>
          <w:rFonts w:ascii="Times New Roman" w:hAnsi="Times New Roman" w:cs="宋体"/>
          <w:b/>
          <w:bCs/>
          <w:szCs w:val="21"/>
        </w:rPr>
      </w:pPr>
      <w:r>
        <w:rPr>
          <w:rFonts w:hint="eastAsia" w:ascii="Times New Roman" w:hAnsi="Times New Roman" w:cs="宋体"/>
          <w:szCs w:val="21"/>
          <w:shd w:val="clear" w:color="auto" w:fill="FFFFFF"/>
        </w:rPr>
        <w:t>项目</w:t>
      </w:r>
      <w:r>
        <w:rPr>
          <w:rFonts w:hint="eastAsia" w:ascii="Times New Roman" w:hAnsi="Times New Roman" w:cs="宋体"/>
          <w:szCs w:val="21"/>
          <w:shd w:val="clear" w:color="auto" w:fill="FFFFFF"/>
          <w:lang w:val="en-US" w:eastAsia="zh-CN"/>
        </w:rPr>
        <w:t>预算：440万元。</w:t>
      </w:r>
      <w:bookmarkStart w:id="15" w:name="_GoBack"/>
      <w:bookmarkEnd w:id="15"/>
    </w:p>
    <w:p w14:paraId="3DFC616C">
      <w:pPr>
        <w:pStyle w:val="11"/>
        <w:spacing w:line="440" w:lineRule="exact"/>
        <w:ind w:firstLine="420" w:firstLineChars="200"/>
        <w:rPr>
          <w:rFonts w:ascii="Times New Roman" w:hAnsi="Times New Roman"/>
        </w:rPr>
      </w:pPr>
      <w:r>
        <w:rPr>
          <w:rFonts w:hint="eastAsia" w:ascii="Times New Roman" w:hAnsi="Times New Roman"/>
        </w:rPr>
        <w:t>注：</w:t>
      </w:r>
      <w:r>
        <w:rPr>
          <w:rFonts w:ascii="Times New Roman" w:hAnsi="Times New Roman"/>
        </w:rPr>
        <w:t>投标总报价应包括设备费、原厂服务费及相关配件、随机资料、保险、税费、运杂、安装调试、与其他专业配合及可预见的风险以及其它不可预见等全部费用。</w:t>
      </w:r>
    </w:p>
    <w:p w14:paraId="16324028">
      <w:pPr>
        <w:pStyle w:val="11"/>
        <w:numPr>
          <w:ilvl w:val="0"/>
          <w:numId w:val="2"/>
        </w:numPr>
        <w:spacing w:line="440" w:lineRule="exact"/>
        <w:rPr>
          <w:rFonts w:ascii="Times New Roman" w:hAnsi="Times New Roman"/>
        </w:rPr>
      </w:pPr>
      <w:r>
        <w:rPr>
          <w:rFonts w:ascii="Times New Roman" w:hAnsi="Times New Roman"/>
        </w:rPr>
        <w:t>资金来源：企业自筹，已落实。</w:t>
      </w:r>
    </w:p>
    <w:p w14:paraId="20D402CB">
      <w:pPr>
        <w:pStyle w:val="11"/>
        <w:numPr>
          <w:ilvl w:val="0"/>
          <w:numId w:val="2"/>
        </w:numPr>
        <w:spacing w:line="440" w:lineRule="exact"/>
        <w:rPr>
          <w:rFonts w:ascii="Times New Roman" w:hAnsi="Times New Roman"/>
        </w:rPr>
      </w:pPr>
      <w:r>
        <w:rPr>
          <w:rFonts w:hint="eastAsia" w:ascii="Times New Roman" w:hAnsi="Times New Roman"/>
        </w:rPr>
        <w:t>招标人信息：</w:t>
      </w:r>
    </w:p>
    <w:p w14:paraId="007BEB6F">
      <w:pPr>
        <w:spacing w:line="440" w:lineRule="exact"/>
        <w:ind w:firstLine="420" w:firstLineChars="200"/>
      </w:pPr>
      <w:r>
        <w:rPr>
          <w:rFonts w:hint="eastAsia"/>
        </w:rPr>
        <w:t xml:space="preserve">招标人名称：中国重汽集团济南动力有限公司 </w:t>
      </w:r>
    </w:p>
    <w:p w14:paraId="2D03B1F4">
      <w:pPr>
        <w:spacing w:line="440" w:lineRule="exact"/>
        <w:ind w:firstLine="420" w:firstLineChars="200"/>
      </w:pPr>
      <w:r>
        <w:rPr>
          <w:rFonts w:hint="eastAsia"/>
        </w:rPr>
        <w:t xml:space="preserve">招标人地址：济南市高新区华奥路777号 </w:t>
      </w:r>
    </w:p>
    <w:p w14:paraId="01CEB310">
      <w:pPr>
        <w:spacing w:line="400" w:lineRule="exact"/>
        <w:ind w:firstLine="422" w:firstLineChars="200"/>
        <w:rPr>
          <w:rFonts w:hint="eastAsia"/>
          <w:b/>
          <w:bCs/>
          <w:lang w:val="en-US" w:eastAsia="zh-CN"/>
        </w:rPr>
      </w:pPr>
      <w:r>
        <w:rPr>
          <w:rFonts w:hint="eastAsia"/>
          <w:b/>
          <w:bCs/>
        </w:rPr>
        <w:t>商务联系人：</w:t>
      </w:r>
      <w:r>
        <w:rPr>
          <w:rFonts w:hint="eastAsia"/>
          <w:b/>
          <w:bCs/>
          <w:lang w:val="en-US" w:eastAsia="zh-CN"/>
        </w:rPr>
        <w:t>王瑄</w:t>
      </w:r>
    </w:p>
    <w:p w14:paraId="09E307B9">
      <w:pPr>
        <w:pStyle w:val="4"/>
        <w:rPr>
          <w:rFonts w:hint="default"/>
          <w:lang w:val="en-US" w:eastAsia="zh-CN"/>
        </w:rPr>
      </w:pPr>
      <w:r>
        <w:rPr>
          <w:rFonts w:hint="eastAsia"/>
          <w:b/>
          <w:bCs/>
          <w:lang w:val="en-US" w:eastAsia="zh-CN"/>
        </w:rPr>
        <w:t xml:space="preserve">    </w:t>
      </w:r>
      <w:r>
        <w:rPr>
          <w:rFonts w:hint="eastAsia"/>
          <w:b w:val="0"/>
          <w:bCs w:val="0"/>
          <w:lang w:val="en-US" w:eastAsia="zh-CN"/>
        </w:rPr>
        <w:t>电话：17860605786</w:t>
      </w:r>
    </w:p>
    <w:p w14:paraId="71B82E7C">
      <w:pPr>
        <w:spacing w:line="400" w:lineRule="exact"/>
        <w:ind w:firstLine="420" w:firstLineChars="200"/>
      </w:pPr>
      <w:r>
        <w:rPr>
          <w:rFonts w:hint="eastAsia"/>
        </w:rPr>
        <w:t>邮箱：wangxuan1@sinotruk.com</w:t>
      </w:r>
    </w:p>
    <w:p w14:paraId="41DC400D">
      <w:pPr>
        <w:spacing w:line="440" w:lineRule="exact"/>
        <w:ind w:firstLine="422" w:firstLineChars="200"/>
      </w:pPr>
      <w:r>
        <w:rPr>
          <w:rFonts w:hint="eastAsia"/>
          <w:b/>
          <w:bCs/>
        </w:rPr>
        <w:t>技术联系人：于琪</w:t>
      </w:r>
    </w:p>
    <w:p w14:paraId="3992025F">
      <w:pPr>
        <w:spacing w:line="440" w:lineRule="exact"/>
        <w:ind w:firstLine="420" w:firstLineChars="200"/>
      </w:pPr>
      <w:r>
        <w:rPr>
          <w:rFonts w:hint="eastAsia"/>
        </w:rPr>
        <w:t>电话：15982150491</w:t>
      </w:r>
    </w:p>
    <w:p w14:paraId="3171D393">
      <w:pPr>
        <w:spacing w:line="440" w:lineRule="exact"/>
        <w:ind w:firstLine="420" w:firstLineChars="200"/>
      </w:pPr>
      <w:r>
        <w:rPr>
          <w:rFonts w:hint="eastAsia"/>
        </w:rPr>
        <w:t>邮箱：yuqi3</w:t>
      </w:r>
      <w:r>
        <w:t>@sinotruk.com</w:t>
      </w:r>
      <w:r>
        <w:rPr>
          <w:rFonts w:hint="eastAsia"/>
        </w:rPr>
        <w:t>；</w:t>
      </w:r>
    </w:p>
    <w:bookmarkEnd w:id="1"/>
    <w:p w14:paraId="76CE78CE">
      <w:pPr>
        <w:pStyle w:val="10"/>
        <w:numPr>
          <w:ilvl w:val="0"/>
          <w:numId w:val="0"/>
        </w:numPr>
        <w:rPr>
          <w:rFonts w:ascii="Times New Roman" w:hAnsi="Times New Roman"/>
        </w:rPr>
      </w:pPr>
      <w:bookmarkStart w:id="2" w:name="_Toc47976598"/>
      <w:r>
        <w:rPr>
          <w:rFonts w:hint="eastAsia" w:hAnsi="黑体"/>
          <w:szCs w:val="28"/>
        </w:rPr>
        <w:t>二、</w:t>
      </w:r>
      <w:r>
        <w:rPr>
          <w:rFonts w:hint="eastAsia" w:ascii="Times New Roman" w:hAnsi="Times New Roman"/>
        </w:rPr>
        <w:t>合格的投标人</w:t>
      </w:r>
      <w:bookmarkEnd w:id="2"/>
    </w:p>
    <w:p w14:paraId="69FD5ED6">
      <w:pPr>
        <w:pStyle w:val="11"/>
        <w:numPr>
          <w:ilvl w:val="3"/>
          <w:numId w:val="4"/>
        </w:numPr>
        <w:spacing w:line="440" w:lineRule="exact"/>
        <w:ind w:left="0" w:firstLine="567"/>
        <w:jc w:val="both"/>
        <w:rPr>
          <w:rFonts w:ascii="Times New Roman" w:hAnsi="Times New Roman" w:cs="宋体"/>
          <w:szCs w:val="21"/>
          <w:shd w:val="clear" w:color="auto" w:fill="FFFFFF"/>
        </w:rPr>
      </w:pPr>
      <w:r>
        <w:rPr>
          <w:rFonts w:ascii="Times New Roman" w:hAnsi="Times New Roman" w:cs="宋体"/>
          <w:szCs w:val="21"/>
          <w:shd w:val="clear" w:color="auto" w:fill="FFFFFF"/>
        </w:rPr>
        <w:t>拟投标人必须是在中华人民共和国境内注册的独立法人机构，具有独立承担民事责任能力；注册资金不少于</w:t>
      </w:r>
      <w:r>
        <w:rPr>
          <w:rFonts w:hint="eastAsia" w:ascii="Times New Roman" w:hAnsi="Times New Roman" w:cs="宋体"/>
          <w:szCs w:val="21"/>
          <w:shd w:val="clear" w:color="auto" w:fill="FFFFFF"/>
        </w:rPr>
        <w:t>5</w:t>
      </w:r>
      <w:r>
        <w:rPr>
          <w:rFonts w:ascii="Times New Roman" w:hAnsi="Times New Roman" w:cs="宋体"/>
          <w:szCs w:val="21"/>
          <w:shd w:val="clear" w:color="auto" w:fill="FFFFFF"/>
        </w:rPr>
        <w:t>00万人民币（或等值其他货币）；</w:t>
      </w:r>
      <w:r>
        <w:rPr>
          <w:rFonts w:hint="eastAsia" w:ascii="Times New Roman" w:hAnsi="Times New Roman" w:cs="宋体"/>
          <w:szCs w:val="21"/>
          <w:shd w:val="clear" w:color="auto" w:fill="FFFFFF"/>
        </w:rPr>
        <w:t>对于外资企业，注册资金不少于65万欧元；</w:t>
      </w:r>
      <w:r>
        <w:rPr>
          <w:rFonts w:ascii="Times New Roman" w:hAnsi="Times New Roman" w:cs="宋体"/>
          <w:szCs w:val="21"/>
          <w:shd w:val="clear" w:color="auto" w:fill="FFFFFF"/>
        </w:rPr>
        <w:t>公司成立三年以上（以营业执照成立日期到开标当日满三年为准），且经营范围满足招标人需求；并在人员、设备、资金等方面具有承担本项目的能力</w:t>
      </w:r>
      <w:r>
        <w:rPr>
          <w:rFonts w:hint="eastAsia" w:ascii="Times New Roman" w:hAnsi="Times New Roman" w:cs="宋体"/>
          <w:szCs w:val="21"/>
          <w:shd w:val="clear" w:color="auto" w:fill="FFFFFF"/>
        </w:rPr>
        <w:t>。</w:t>
      </w:r>
    </w:p>
    <w:p w14:paraId="382C1614">
      <w:pPr>
        <w:pStyle w:val="11"/>
        <w:numPr>
          <w:ilvl w:val="3"/>
          <w:numId w:val="4"/>
        </w:numPr>
        <w:spacing w:line="440" w:lineRule="exact"/>
        <w:ind w:left="0" w:firstLine="567"/>
        <w:jc w:val="both"/>
        <w:rPr>
          <w:rFonts w:ascii="Times New Roman" w:hAnsi="Times New Roman" w:cs="宋体"/>
          <w:szCs w:val="21"/>
          <w:shd w:val="clear" w:color="auto" w:fill="FFFFFF"/>
        </w:rPr>
      </w:pPr>
      <w:r>
        <w:rPr>
          <w:rFonts w:ascii="Times New Roman" w:hAnsi="Times New Roman" w:cs="宋体"/>
          <w:szCs w:val="21"/>
          <w:shd w:val="clear" w:color="auto" w:fill="FFFFFF"/>
        </w:rPr>
        <w:t>拟投标人应提供营业执照副本原件和扫描件（需盖章）；</w:t>
      </w:r>
    </w:p>
    <w:p w14:paraId="0E57CB0B">
      <w:pPr>
        <w:pStyle w:val="11"/>
        <w:numPr>
          <w:ilvl w:val="3"/>
          <w:numId w:val="4"/>
        </w:numPr>
        <w:spacing w:line="440" w:lineRule="exact"/>
        <w:ind w:left="0" w:firstLine="567"/>
        <w:jc w:val="both"/>
        <w:rPr>
          <w:rFonts w:ascii="Times New Roman" w:hAnsi="Times New Roman" w:cs="宋体"/>
          <w:szCs w:val="21"/>
          <w:shd w:val="clear" w:color="auto" w:fill="FFFFFF"/>
        </w:rPr>
      </w:pPr>
      <w:r>
        <w:rPr>
          <w:rFonts w:ascii="Times New Roman" w:hAnsi="Times New Roman" w:cs="宋体"/>
          <w:szCs w:val="21"/>
          <w:shd w:val="clear" w:color="auto" w:fill="FFFFFF"/>
        </w:rPr>
        <w:t>拟投标人应提供法定代表人资格证明文件；</w:t>
      </w:r>
    </w:p>
    <w:p w14:paraId="59152D4D">
      <w:pPr>
        <w:pStyle w:val="11"/>
        <w:numPr>
          <w:ilvl w:val="3"/>
          <w:numId w:val="4"/>
        </w:numPr>
        <w:spacing w:line="440" w:lineRule="exact"/>
        <w:ind w:left="0" w:firstLine="567"/>
        <w:jc w:val="both"/>
        <w:rPr>
          <w:rFonts w:ascii="Times New Roman" w:hAnsi="Times New Roman" w:cs="宋体"/>
          <w:szCs w:val="21"/>
          <w:shd w:val="clear" w:color="auto" w:fill="FFFFFF"/>
        </w:rPr>
      </w:pPr>
      <w:r>
        <w:rPr>
          <w:rFonts w:ascii="Times New Roman" w:hAnsi="Times New Roman" w:cs="宋体"/>
          <w:szCs w:val="21"/>
          <w:shd w:val="clear" w:color="auto" w:fill="FFFFFF"/>
        </w:rPr>
        <w:t>拟投标人在“国家企业信用信息公示系统”、“中国执行信息公开网”、“信用中国”、“天眼查”“裁判文书网”等信息平台中，无行政处罚及失信记录等信息；</w:t>
      </w:r>
    </w:p>
    <w:p w14:paraId="1C77C7AE">
      <w:pPr>
        <w:pStyle w:val="11"/>
        <w:numPr>
          <w:ilvl w:val="3"/>
          <w:numId w:val="4"/>
        </w:numPr>
        <w:spacing w:line="440" w:lineRule="exact"/>
        <w:ind w:left="0" w:firstLine="567"/>
        <w:jc w:val="both"/>
        <w:rPr>
          <w:rFonts w:ascii="Times New Roman" w:hAnsi="Times New Roman" w:cs="宋体"/>
          <w:szCs w:val="21"/>
          <w:shd w:val="clear" w:color="auto" w:fill="FFFFFF"/>
        </w:rPr>
      </w:pPr>
      <w:r>
        <w:rPr>
          <w:rFonts w:ascii="Times New Roman" w:hAnsi="Times New Roman" w:cs="宋体"/>
          <w:szCs w:val="21"/>
          <w:shd w:val="clear" w:color="auto" w:fill="FFFFFF"/>
        </w:rPr>
        <w:t>拟投标人不存在严重违规或被列入招标人“黑名单”的声明；</w:t>
      </w:r>
    </w:p>
    <w:p w14:paraId="3A34167C">
      <w:pPr>
        <w:pStyle w:val="11"/>
        <w:numPr>
          <w:ilvl w:val="3"/>
          <w:numId w:val="4"/>
        </w:numPr>
        <w:spacing w:line="440" w:lineRule="exact"/>
        <w:ind w:left="0" w:firstLine="567"/>
        <w:jc w:val="both"/>
        <w:rPr>
          <w:rFonts w:ascii="Times New Roman" w:hAnsi="Times New Roman" w:cs="宋体"/>
          <w:szCs w:val="21"/>
          <w:shd w:val="clear" w:color="auto" w:fill="FFFFFF"/>
        </w:rPr>
      </w:pPr>
      <w:r>
        <w:rPr>
          <w:rFonts w:hint="eastAsia" w:ascii="Times New Roman" w:hAnsi="Times New Roman" w:cs="宋体"/>
          <w:szCs w:val="21"/>
          <w:shd w:val="clear" w:color="auto" w:fill="FFFFFF"/>
        </w:rPr>
        <w:t>拟投标人2023年1月1日至今经第三方会计师事务所审计且出具无保留意见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特殊情况：如因非上市公司而无法提供，需出具书面文件进行说明。</w:t>
      </w:r>
    </w:p>
    <w:p w14:paraId="7B4F5654">
      <w:pPr>
        <w:pStyle w:val="11"/>
        <w:numPr>
          <w:ilvl w:val="3"/>
          <w:numId w:val="4"/>
        </w:numPr>
        <w:spacing w:line="440" w:lineRule="exact"/>
        <w:ind w:left="0" w:firstLine="567"/>
        <w:jc w:val="both"/>
        <w:rPr>
          <w:rFonts w:ascii="Times New Roman" w:hAnsi="Times New Roman" w:cs="宋体"/>
          <w:szCs w:val="21"/>
          <w:shd w:val="clear" w:color="auto" w:fill="FFFFFF"/>
        </w:rPr>
      </w:pPr>
      <w:r>
        <w:rPr>
          <w:rFonts w:ascii="Times New Roman" w:hAnsi="Times New Roman" w:cs="宋体"/>
          <w:szCs w:val="21"/>
          <w:shd w:val="clear" w:color="auto" w:fill="FFFFFF"/>
        </w:rPr>
        <w:t>拟投标人有与本次招标内容相同或类似项目业绩，且近3年内无因服务不当而造成重大事故；</w:t>
      </w:r>
    </w:p>
    <w:p w14:paraId="2DAFD911">
      <w:pPr>
        <w:pStyle w:val="11"/>
        <w:numPr>
          <w:ilvl w:val="3"/>
          <w:numId w:val="4"/>
        </w:numPr>
        <w:spacing w:line="440" w:lineRule="exact"/>
        <w:ind w:left="0" w:firstLine="567"/>
        <w:jc w:val="both"/>
        <w:rPr>
          <w:rFonts w:ascii="Times New Roman" w:hAnsi="Times New Roman" w:cs="宋体"/>
          <w:szCs w:val="21"/>
          <w:shd w:val="clear" w:color="auto" w:fill="FFFFFF"/>
        </w:rPr>
      </w:pPr>
      <w:r>
        <w:rPr>
          <w:rFonts w:ascii="Times New Roman" w:hAnsi="Times New Roman" w:cs="宋体"/>
          <w:szCs w:val="21"/>
          <w:shd w:val="clear" w:color="auto" w:fill="FFFFFF"/>
        </w:rPr>
        <w:t>拟投标人近三年内在经营活动中无与本项目有关的违法及重大违规情况；</w:t>
      </w:r>
    </w:p>
    <w:p w14:paraId="4E272117">
      <w:pPr>
        <w:pStyle w:val="11"/>
        <w:numPr>
          <w:ilvl w:val="3"/>
          <w:numId w:val="4"/>
        </w:numPr>
        <w:spacing w:line="440" w:lineRule="exact"/>
        <w:ind w:left="0" w:firstLine="567"/>
        <w:jc w:val="both"/>
        <w:rPr>
          <w:rFonts w:ascii="Times New Roman" w:hAnsi="Times New Roman" w:cs="宋体"/>
          <w:szCs w:val="21"/>
          <w:shd w:val="clear" w:color="auto" w:fill="FFFFFF"/>
        </w:rPr>
      </w:pPr>
      <w:r>
        <w:rPr>
          <w:rFonts w:ascii="Times New Roman" w:hAnsi="Times New Roman" w:cs="宋体"/>
          <w:szCs w:val="21"/>
          <w:shd w:val="clear" w:color="auto" w:fill="FFFFFF"/>
        </w:rPr>
        <w:t>拟投标人须认可招标人的工作指令，包括节假日能正常开展工作的要求；</w:t>
      </w:r>
    </w:p>
    <w:p w14:paraId="4E2D46DF">
      <w:pPr>
        <w:pStyle w:val="11"/>
        <w:numPr>
          <w:ilvl w:val="3"/>
          <w:numId w:val="4"/>
        </w:numPr>
        <w:spacing w:line="440" w:lineRule="exact"/>
        <w:ind w:left="0" w:firstLine="567"/>
        <w:jc w:val="both"/>
        <w:rPr>
          <w:rFonts w:ascii="Times New Roman" w:hAnsi="Times New Roman" w:cs="宋体"/>
          <w:szCs w:val="21"/>
          <w:shd w:val="clear" w:color="auto" w:fill="FFFFFF"/>
        </w:rPr>
      </w:pPr>
      <w:r>
        <w:rPr>
          <w:rFonts w:ascii="Times New Roman" w:hAnsi="Times New Roman" w:cs="宋体"/>
          <w:szCs w:val="21"/>
          <w:shd w:val="clear" w:color="auto" w:fill="FFFFFF"/>
        </w:rPr>
        <w:t>拟投标人最近半年纳税正常；</w:t>
      </w:r>
    </w:p>
    <w:p w14:paraId="3A04B8D8">
      <w:pPr>
        <w:pStyle w:val="11"/>
        <w:numPr>
          <w:ilvl w:val="3"/>
          <w:numId w:val="4"/>
        </w:numPr>
        <w:spacing w:line="440" w:lineRule="exact"/>
        <w:ind w:left="0" w:firstLine="567"/>
        <w:jc w:val="both"/>
        <w:rPr>
          <w:rFonts w:ascii="Times New Roman" w:hAnsi="Times New Roman" w:cs="宋体"/>
          <w:szCs w:val="21"/>
          <w:shd w:val="clear" w:color="auto" w:fill="FFFFFF"/>
        </w:rPr>
      </w:pPr>
      <w:r>
        <w:rPr>
          <w:rFonts w:ascii="Times New Roman" w:hAnsi="Times New Roman" w:cs="宋体"/>
          <w:szCs w:val="21"/>
          <w:shd w:val="clear" w:color="auto" w:fill="FFFFFF"/>
        </w:rPr>
        <w:t>拟投标人信用证明材料（征信中心出具的信用报告</w:t>
      </w:r>
      <w:r>
        <w:rPr>
          <w:rFonts w:hint="eastAsia" w:ascii="Times New Roman" w:hAnsi="Times New Roman" w:cs="宋体"/>
          <w:szCs w:val="21"/>
          <w:shd w:val="clear" w:color="auto" w:fill="FFFFFF"/>
        </w:rPr>
        <w:t>或地方政府提供的公共信用评价报告</w:t>
      </w:r>
      <w:r>
        <w:rPr>
          <w:rFonts w:ascii="Times New Roman" w:hAnsi="Times New Roman" w:cs="宋体"/>
          <w:szCs w:val="21"/>
          <w:shd w:val="clear" w:color="auto" w:fill="FFFFFF"/>
        </w:rPr>
        <w:t>）未显示异常；</w:t>
      </w:r>
    </w:p>
    <w:p w14:paraId="62341C85">
      <w:pPr>
        <w:pStyle w:val="11"/>
        <w:numPr>
          <w:ilvl w:val="3"/>
          <w:numId w:val="4"/>
        </w:numPr>
        <w:spacing w:line="440" w:lineRule="exact"/>
        <w:ind w:left="0" w:firstLine="567"/>
        <w:jc w:val="both"/>
        <w:rPr>
          <w:rFonts w:ascii="Times New Roman" w:hAnsi="Times New Roman" w:cs="宋体"/>
          <w:szCs w:val="21"/>
          <w:shd w:val="clear" w:color="auto" w:fill="FFFFFF"/>
        </w:rPr>
      </w:pPr>
      <w:r>
        <w:rPr>
          <w:rFonts w:ascii="Times New Roman" w:hAnsi="Times New Roman" w:cs="宋体"/>
          <w:szCs w:val="21"/>
          <w:shd w:val="clear" w:color="auto" w:fill="FFFFFF"/>
        </w:rPr>
        <w:t>拟投标人的直接或间接股东、法定代表人、董事、监事、高管非重汽员工及其亲属；</w:t>
      </w:r>
    </w:p>
    <w:p w14:paraId="0437034B">
      <w:pPr>
        <w:pStyle w:val="11"/>
        <w:numPr>
          <w:ilvl w:val="3"/>
          <w:numId w:val="4"/>
        </w:numPr>
        <w:spacing w:line="440" w:lineRule="exact"/>
        <w:ind w:left="0" w:firstLine="567"/>
        <w:jc w:val="both"/>
        <w:rPr>
          <w:rFonts w:ascii="Times New Roman" w:hAnsi="Times New Roman" w:cs="宋体"/>
          <w:szCs w:val="21"/>
          <w:shd w:val="clear" w:color="auto" w:fill="FFFFFF"/>
        </w:rPr>
      </w:pPr>
      <w:r>
        <w:rPr>
          <w:rFonts w:ascii="Times New Roman" w:hAnsi="Times New Roman" w:cs="宋体"/>
          <w:szCs w:val="21"/>
          <w:shd w:val="clear" w:color="auto" w:fill="FFFFFF"/>
        </w:rPr>
        <w:t>本项目</w:t>
      </w:r>
      <w:r>
        <w:rPr>
          <w:rFonts w:hint="eastAsia" w:ascii="Times New Roman" w:hAnsi="Times New Roman" w:cs="宋体"/>
          <w:szCs w:val="21"/>
          <w:shd w:val="clear" w:color="auto" w:fill="FFFFFF"/>
        </w:rPr>
        <w:t>不允许代理投标，</w:t>
      </w:r>
      <w:r>
        <w:rPr>
          <w:rFonts w:ascii="Times New Roman" w:hAnsi="Times New Roman" w:cs="宋体"/>
          <w:szCs w:val="21"/>
          <w:shd w:val="clear" w:color="auto" w:fill="FFFFFF"/>
        </w:rPr>
        <w:t>不接受联合体投标，拟投标人必须是最终投标单位和签订合同单位，不得以任何理由将已中标项目以任何形式分包或转包给其他单位。</w:t>
      </w:r>
    </w:p>
    <w:p w14:paraId="4D861A14">
      <w:pPr>
        <w:pStyle w:val="10"/>
        <w:numPr>
          <w:ilvl w:val="0"/>
          <w:numId w:val="0"/>
        </w:numPr>
        <w:rPr>
          <w:rFonts w:ascii="Times New Roman" w:hAnsi="Times New Roman"/>
        </w:rPr>
      </w:pPr>
      <w:r>
        <w:rPr>
          <w:rFonts w:hint="eastAsia" w:hAnsi="黑体"/>
          <w:szCs w:val="28"/>
        </w:rPr>
        <w:t>三、</w:t>
      </w:r>
      <w:r>
        <w:rPr>
          <w:rFonts w:hint="eastAsia" w:ascii="Times New Roman" w:hAnsi="Times New Roman"/>
        </w:rPr>
        <w:t>招标文件的领取、答疑、应标及投标报名</w:t>
      </w:r>
    </w:p>
    <w:p w14:paraId="2CA35632">
      <w:pPr>
        <w:pStyle w:val="11"/>
        <w:numPr>
          <w:ilvl w:val="0"/>
          <w:numId w:val="5"/>
        </w:numPr>
        <w:spacing w:line="440" w:lineRule="exact"/>
        <w:jc w:val="both"/>
        <w:outlineLvl w:val="2"/>
        <w:rPr>
          <w:rFonts w:ascii="Times New Roman" w:hAnsi="Times New Roman"/>
        </w:rPr>
      </w:pPr>
      <w:r>
        <w:rPr>
          <w:rFonts w:hint="eastAsia" w:ascii="Times New Roman" w:hAnsi="Times New Roman"/>
        </w:rPr>
        <w:t>发标时间：</w:t>
      </w:r>
      <w:r>
        <w:rPr>
          <w:rFonts w:hint="eastAsia" w:ascii="Times New Roman" w:hAnsi="Times New Roman"/>
          <w:u w:val="single"/>
        </w:rPr>
        <w:t>202</w:t>
      </w:r>
      <w:r>
        <w:rPr>
          <w:rFonts w:ascii="Times New Roman" w:hAnsi="Times New Roman"/>
          <w:u w:val="single"/>
        </w:rPr>
        <w:t>6</w:t>
      </w:r>
      <w:r>
        <w:rPr>
          <w:rFonts w:hint="eastAsia" w:ascii="Times New Roman" w:hAnsi="Times New Roman"/>
          <w:u w:val="single"/>
        </w:rPr>
        <w:t>年</w:t>
      </w:r>
      <w:r>
        <w:rPr>
          <w:rFonts w:hint="eastAsia" w:ascii="Times New Roman" w:hAnsi="Times New Roman"/>
          <w:u w:val="single"/>
          <w:lang w:val="en-US" w:eastAsia="zh-CN"/>
        </w:rPr>
        <w:t>6</w:t>
      </w:r>
      <w:r>
        <w:rPr>
          <w:rFonts w:hint="eastAsia" w:ascii="Times New Roman" w:hAnsi="Times New Roman"/>
          <w:u w:val="single"/>
        </w:rPr>
        <w:t>月</w:t>
      </w:r>
      <w:r>
        <w:rPr>
          <w:rFonts w:hint="eastAsia" w:ascii="Times New Roman" w:hAnsi="Times New Roman"/>
          <w:u w:val="single"/>
          <w:lang w:val="en-US" w:eastAsia="zh-CN"/>
        </w:rPr>
        <w:t>1</w:t>
      </w:r>
      <w:r>
        <w:rPr>
          <w:rFonts w:hint="eastAsia" w:ascii="Times New Roman" w:hAnsi="Times New Roman"/>
          <w:u w:val="single"/>
        </w:rPr>
        <w:t>日；</w:t>
      </w:r>
    </w:p>
    <w:p w14:paraId="112E8958">
      <w:pPr>
        <w:pStyle w:val="11"/>
        <w:numPr>
          <w:ilvl w:val="0"/>
          <w:numId w:val="5"/>
        </w:numPr>
        <w:spacing w:line="440" w:lineRule="exact"/>
        <w:jc w:val="both"/>
        <w:outlineLvl w:val="2"/>
        <w:rPr>
          <w:rFonts w:ascii="Times New Roman" w:hAnsi="Times New Roman"/>
        </w:rPr>
      </w:pPr>
      <w:r>
        <w:rPr>
          <w:rFonts w:hint="eastAsia" w:ascii="Times New Roman" w:hAnsi="Times New Roman"/>
        </w:rPr>
        <w:t>投标报名</w:t>
      </w:r>
    </w:p>
    <w:p w14:paraId="4157ABE4">
      <w:pPr>
        <w:pStyle w:val="11"/>
        <w:numPr>
          <w:ilvl w:val="1"/>
          <w:numId w:val="5"/>
        </w:numPr>
        <w:spacing w:line="440" w:lineRule="exact"/>
        <w:jc w:val="both"/>
        <w:rPr>
          <w:rFonts w:ascii="Times New Roman" w:hAnsi="Times New Roman"/>
        </w:rPr>
      </w:pPr>
      <w:r>
        <w:rPr>
          <w:rFonts w:hint="eastAsia" w:ascii="Times New Roman" w:hAnsi="Times New Roman"/>
        </w:rPr>
        <w:t>应标截止时间：</w:t>
      </w:r>
      <w:r>
        <w:rPr>
          <w:rFonts w:hint="eastAsia" w:ascii="Times New Roman" w:hAnsi="Times New Roman" w:cs="宋体"/>
          <w:u w:val="single"/>
        </w:rPr>
        <w:t>202</w:t>
      </w:r>
      <w:r>
        <w:rPr>
          <w:rFonts w:ascii="Times New Roman" w:hAnsi="Times New Roman" w:cs="宋体"/>
          <w:u w:val="single"/>
        </w:rPr>
        <w:t>6</w:t>
      </w:r>
      <w:r>
        <w:rPr>
          <w:rFonts w:hint="eastAsia" w:ascii="Times New Roman" w:hAnsi="Times New Roman" w:cs="宋体"/>
          <w:u w:val="single"/>
        </w:rPr>
        <w:t>年</w:t>
      </w:r>
      <w:r>
        <w:rPr>
          <w:rFonts w:hint="eastAsia" w:ascii="Times New Roman" w:hAnsi="Times New Roman" w:cs="宋体"/>
          <w:u w:val="single"/>
          <w:lang w:val="en-US" w:eastAsia="zh-CN"/>
        </w:rPr>
        <w:t>6</w:t>
      </w:r>
      <w:r>
        <w:rPr>
          <w:rFonts w:hint="eastAsia" w:ascii="Times New Roman" w:hAnsi="Times New Roman" w:cs="宋体"/>
          <w:u w:val="single"/>
        </w:rPr>
        <w:t>月</w:t>
      </w:r>
      <w:r>
        <w:rPr>
          <w:rFonts w:hint="eastAsia" w:ascii="Times New Roman" w:hAnsi="Times New Roman" w:cs="宋体"/>
          <w:u w:val="single"/>
          <w:lang w:val="en-US" w:eastAsia="zh-CN"/>
        </w:rPr>
        <w:t>9</w:t>
      </w:r>
      <w:r>
        <w:rPr>
          <w:rFonts w:hint="eastAsia" w:ascii="Times New Roman" w:hAnsi="Times New Roman" w:cs="宋体"/>
          <w:u w:val="single"/>
        </w:rPr>
        <w:t>日</w:t>
      </w:r>
      <w:r>
        <w:rPr>
          <w:rFonts w:hint="eastAsia" w:ascii="Times New Roman" w:hAnsi="Times New Roman" w:cs="宋体"/>
          <w:u w:val="single"/>
          <w:lang w:val="en-US" w:eastAsia="zh-CN"/>
        </w:rPr>
        <w:t>17</w:t>
      </w:r>
      <w:r>
        <w:rPr>
          <w:rFonts w:hint="eastAsia" w:ascii="Times New Roman" w:hAnsi="Times New Roman"/>
          <w:u w:val="single"/>
        </w:rPr>
        <w:t>:00:00</w:t>
      </w:r>
      <w:r>
        <w:rPr>
          <w:rFonts w:ascii="Times New Roman" w:hAnsi="Times New Roman"/>
          <w:u w:val="single"/>
        </w:rPr>
        <w:t>（北京时间）</w:t>
      </w:r>
      <w:r>
        <w:rPr>
          <w:rFonts w:hint="eastAsia" w:ascii="Times New Roman" w:hAnsi="Times New Roman"/>
          <w:u w:val="single"/>
        </w:rPr>
        <w:t>；</w:t>
      </w:r>
    </w:p>
    <w:p w14:paraId="5B6A2923">
      <w:pPr>
        <w:pStyle w:val="11"/>
        <w:numPr>
          <w:ilvl w:val="1"/>
          <w:numId w:val="5"/>
        </w:numPr>
        <w:spacing w:line="440" w:lineRule="exact"/>
        <w:jc w:val="both"/>
        <w:rPr>
          <w:rFonts w:ascii="Times New Roman" w:hAnsi="Times New Roman"/>
        </w:rPr>
      </w:pPr>
      <w:r>
        <w:rPr>
          <w:rFonts w:hint="eastAsia" w:ascii="Times New Roman" w:hAnsi="Times New Roman" w:cs="宋体"/>
          <w:szCs w:val="21"/>
        </w:rPr>
        <w:t>报名方式：拟</w:t>
      </w:r>
      <w:r>
        <w:rPr>
          <w:rFonts w:hint="eastAsia" w:ascii="Times New Roman" w:hAnsi="Times New Roman"/>
        </w:rPr>
        <w:t>投标</w:t>
      </w:r>
      <w:r>
        <w:rPr>
          <w:rFonts w:hint="eastAsia" w:ascii="Times New Roman" w:hAnsi="Times New Roman" w:cs="宋体"/>
          <w:szCs w:val="21"/>
        </w:rPr>
        <w:t>人根据招标人在中国重汽官网公开媒体上发布的招标信息，在</w:t>
      </w:r>
      <w:r>
        <w:rPr>
          <w:rFonts w:hint="eastAsia" w:ascii="Times New Roman" w:hAnsi="Times New Roman" w:cs="宋体"/>
          <w:b/>
          <w:bCs/>
          <w:szCs w:val="21"/>
        </w:rPr>
        <w:t>“中国重汽e采通”</w:t>
      </w:r>
      <w:r>
        <w:rPr>
          <w:rFonts w:hint="eastAsia" w:ascii="Times New Roman" w:hAnsi="Times New Roman" w:cs="宋体"/>
          <w:szCs w:val="21"/>
        </w:rPr>
        <w:t>平台报名。具体流程如下：</w:t>
      </w:r>
    </w:p>
    <w:p w14:paraId="12B8FF5B">
      <w:pPr>
        <w:pStyle w:val="11"/>
        <w:spacing w:before="78" w:beforeLines="25" w:line="440" w:lineRule="exact"/>
        <w:ind w:left="420" w:leftChars="200" w:firstLine="420" w:firstLineChars="200"/>
        <w:jc w:val="both"/>
        <w:rPr>
          <w:rFonts w:ascii="Times New Roman" w:hAnsi="Times New Roman"/>
        </w:rPr>
      </w:pPr>
      <w:r>
        <w:rPr>
          <w:rFonts w:hint="eastAsia" w:ascii="Times New Roman" w:hAnsi="Times New Roman" w:cs="宋体"/>
          <w:szCs w:val="21"/>
        </w:rPr>
        <w:t>①系统注册与信息维护</w:t>
      </w:r>
    </w:p>
    <w:p w14:paraId="5E28FF27">
      <w:pPr>
        <w:pStyle w:val="11"/>
        <w:numPr>
          <w:ilvl w:val="0"/>
          <w:numId w:val="6"/>
        </w:numPr>
        <w:spacing w:line="440" w:lineRule="exact"/>
        <w:ind w:leftChars="200" w:firstLine="422" w:firstLineChars="200"/>
        <w:jc w:val="both"/>
        <w:rPr>
          <w:rFonts w:ascii="Times New Roman" w:hAnsi="Times New Roman"/>
        </w:rPr>
      </w:pPr>
      <w:r>
        <w:rPr>
          <w:rFonts w:hint="eastAsia" w:ascii="Times New Roman" w:hAnsi="Times New Roman"/>
          <w:b/>
          <w:bCs/>
        </w:rPr>
        <w:t>首次注册供应商：</w:t>
      </w:r>
      <w:r>
        <w:rPr>
          <w:rFonts w:hint="eastAsia" w:ascii="Times New Roman" w:hAnsi="Times New Roman"/>
        </w:rPr>
        <w:t>请根据《SRM非生产供应商注册手册》（附件9）完成平台账号注册。</w:t>
      </w:r>
    </w:p>
    <w:p w14:paraId="65D164BD">
      <w:pPr>
        <w:pStyle w:val="11"/>
        <w:numPr>
          <w:ilvl w:val="0"/>
          <w:numId w:val="6"/>
        </w:numPr>
        <w:spacing w:line="440" w:lineRule="exact"/>
        <w:ind w:leftChars="200" w:firstLine="422" w:firstLineChars="200"/>
        <w:jc w:val="both"/>
        <w:rPr>
          <w:rFonts w:ascii="Times New Roman" w:hAnsi="Times New Roman"/>
        </w:rPr>
      </w:pPr>
      <w:r>
        <w:rPr>
          <w:rFonts w:hint="eastAsia" w:ascii="Times New Roman" w:hAnsi="Times New Roman"/>
          <w:b/>
          <w:bCs/>
        </w:rPr>
        <w:t>已注册供应商：</w:t>
      </w:r>
      <w:r>
        <w:rPr>
          <w:rFonts w:hint="eastAsia" w:ascii="Times New Roman" w:hAnsi="Times New Roman"/>
        </w:rPr>
        <w:t>请登录系统核对系统中</w:t>
      </w:r>
      <w:r>
        <w:rPr>
          <w:rFonts w:hint="eastAsia" w:ascii="Times New Roman" w:hAnsi="Times New Roman"/>
          <w:b/>
          <w:bCs/>
        </w:rPr>
        <w:t>2023-2025年度财务数据</w:t>
      </w:r>
      <w:r>
        <w:rPr>
          <w:rFonts w:hint="eastAsia" w:ascii="Times New Roman" w:hAnsi="Times New Roman"/>
        </w:rPr>
        <w:t>。</w:t>
      </w:r>
      <w:r>
        <w:rPr>
          <w:rFonts w:ascii="Times New Roman" w:hAnsi="Times New Roman"/>
        </w:rPr>
        <w:t>如尚未填写或信息不全，请参照《SRM非生产供应商注册手册》（附件</w:t>
      </w:r>
      <w:r>
        <w:rPr>
          <w:rFonts w:hint="eastAsia" w:ascii="Times New Roman" w:hAnsi="Times New Roman"/>
        </w:rPr>
        <w:t>9</w:t>
      </w:r>
      <w:r>
        <w:rPr>
          <w:rFonts w:ascii="Times New Roman" w:hAnsi="Times New Roman"/>
        </w:rPr>
        <w:t>）及时进行补充与更新，确保信息真实、完整。</w:t>
      </w:r>
    </w:p>
    <w:p w14:paraId="2D12A43E">
      <w:pPr>
        <w:pStyle w:val="11"/>
        <w:spacing w:before="78" w:beforeLines="25" w:line="440" w:lineRule="exact"/>
        <w:ind w:left="420" w:leftChars="200" w:firstLine="420" w:firstLineChars="200"/>
        <w:jc w:val="both"/>
        <w:rPr>
          <w:rFonts w:ascii="Times New Roman" w:hAnsi="Times New Roman"/>
        </w:rPr>
      </w:pPr>
      <w:r>
        <w:rPr>
          <w:rFonts w:hint="eastAsia" w:ascii="Times New Roman" w:hAnsi="Times New Roman"/>
        </w:rPr>
        <w:t>②应标流程</w:t>
      </w:r>
    </w:p>
    <w:p w14:paraId="3F33A27C">
      <w:pPr>
        <w:pStyle w:val="11"/>
        <w:spacing w:line="440" w:lineRule="exact"/>
        <w:ind w:left="420" w:leftChars="200" w:firstLine="420" w:firstLineChars="200"/>
        <w:jc w:val="both"/>
        <w:rPr>
          <w:rFonts w:ascii="Times New Roman" w:hAnsi="Times New Roman"/>
        </w:rPr>
      </w:pPr>
      <w:r>
        <w:rPr>
          <w:rFonts w:hint="eastAsia" w:ascii="Times New Roman" w:hAnsi="Times New Roman"/>
        </w:rPr>
        <w:t>注册及财务数据维护完成后，参照《SRM系统供应商用户手册》（附件10）登录平台，进入“供应商应标”模块，选择对应项目点击“应标”，并按照</w:t>
      </w:r>
      <w:r>
        <w:rPr>
          <w:rFonts w:hint="eastAsia" w:ascii="Times New Roman" w:hAnsi="Times New Roman"/>
          <w:b/>
          <w:bCs/>
        </w:rPr>
        <w:t>“应标文件的编制”</w:t>
      </w:r>
      <w:r>
        <w:rPr>
          <w:rFonts w:hint="eastAsia" w:ascii="Times New Roman" w:hAnsi="Times New Roman"/>
        </w:rPr>
        <w:t>要求准备资料并上传。资质审查通过后，视为报名成功。</w:t>
      </w:r>
      <w:r>
        <w:rPr>
          <w:rFonts w:hint="eastAsia" w:ascii="Times New Roman" w:hAnsi="Times New Roman"/>
          <w:b/>
          <w:bCs/>
        </w:rPr>
        <w:t>请投标人确认中国重汽e采通系统中供应商信息完整、准确，因供应商信息不全或错误导致的报名不成功，由投标人自行承担。数据依据为报名单位提供的近三年财务审计报告数据，各报名单位务必确保数据真实及填写格式准确，如有不实之处一经核实将取消报名资格，e采通注册时未填报财务数据的，将无法提交应标资料并无法参加投标，已注册的投标人</w:t>
      </w:r>
      <w:r>
        <w:rPr>
          <w:rFonts w:hint="eastAsia" w:ascii="Times New Roman" w:hAnsi="Times New Roman"/>
          <w:b/>
          <w:bCs/>
          <w:lang w:val="en-US" w:eastAsia="zh-CN"/>
        </w:rPr>
        <w:t>请登录</w:t>
      </w:r>
      <w:r>
        <w:rPr>
          <w:rFonts w:hint="eastAsia" w:ascii="Times New Roman" w:hAnsi="Times New Roman"/>
          <w:b/>
          <w:bCs/>
        </w:rPr>
        <w:t>重汽e采通平台</w:t>
      </w:r>
      <w:r>
        <w:rPr>
          <w:rFonts w:hint="eastAsia" w:ascii="Times New Roman" w:hAnsi="Times New Roman"/>
          <w:b/>
          <w:bCs/>
          <w:lang w:val="en-US" w:eastAsia="zh-CN"/>
        </w:rPr>
        <w:t>自行</w:t>
      </w:r>
      <w:r>
        <w:rPr>
          <w:rFonts w:hint="eastAsia" w:ascii="Times New Roman" w:hAnsi="Times New Roman"/>
          <w:b/>
          <w:bCs/>
        </w:rPr>
        <w:t>检查更新近三年的经营概况，财务信息更新到近三年，且不许有空余，若因此造成应标不成功，后果由投标人自行承担。（更新路径：重汽e采通-供应商中心-供应商变更-供应商财务数据变更管理-右上角：发起变更）</w:t>
      </w:r>
    </w:p>
    <w:p w14:paraId="3AED3F39">
      <w:pPr>
        <w:pStyle w:val="11"/>
        <w:spacing w:line="440" w:lineRule="exact"/>
        <w:ind w:left="420" w:leftChars="200" w:firstLine="420" w:firstLineChars="200"/>
        <w:jc w:val="both"/>
        <w:rPr>
          <w:rFonts w:ascii="Times New Roman" w:hAnsi="Times New Roman"/>
          <w:b/>
          <w:bCs/>
        </w:rPr>
      </w:pPr>
      <w:r>
        <w:rPr>
          <w:rFonts w:hint="eastAsia" w:ascii="Times New Roman" w:hAnsi="Times New Roman"/>
        </w:rPr>
        <w:t>如资质文件被退回，请按审核意见修改后重新上传。请注意：</w:t>
      </w:r>
      <w:r>
        <w:rPr>
          <w:rFonts w:hint="eastAsia" w:ascii="Times New Roman" w:hAnsi="Times New Roman"/>
          <w:b/>
          <w:bCs/>
        </w:rPr>
        <w:t>应标截止时间后将无法再次上传或修改应标文件。</w:t>
      </w:r>
    </w:p>
    <w:p w14:paraId="3A9F2ED2">
      <w:pPr>
        <w:pStyle w:val="11"/>
        <w:spacing w:before="156" w:beforeLines="50" w:line="440" w:lineRule="exact"/>
        <w:ind w:firstLine="422" w:firstLineChars="200"/>
        <w:jc w:val="both"/>
        <w:rPr>
          <w:rFonts w:ascii="Times New Roman" w:hAnsi="Times New Roman" w:cs="宋体"/>
          <w:b/>
          <w:bCs/>
        </w:rPr>
      </w:pPr>
      <w:r>
        <w:rPr>
          <w:rFonts w:hint="eastAsia" w:ascii="Times New Roman" w:hAnsi="Times New Roman" w:cs="宋体"/>
          <w:b/>
          <w:bCs/>
        </w:rPr>
        <w:t>注：请务必在应标截止时间前完成注册、财务数据变更及应标操作，注册审核需2-4日，财务数据变更审核需1-2日，应标截止时间精确到秒，逾期将无法应标。请自行掌握时间，避免无法应标。</w:t>
      </w:r>
    </w:p>
    <w:p w14:paraId="07D40236">
      <w:pPr>
        <w:pStyle w:val="11"/>
        <w:numPr>
          <w:ilvl w:val="1"/>
          <w:numId w:val="5"/>
        </w:numPr>
        <w:spacing w:line="440" w:lineRule="exact"/>
        <w:jc w:val="both"/>
        <w:rPr>
          <w:rFonts w:ascii="Times New Roman" w:hAnsi="Times New Roman" w:cs="宋体"/>
        </w:rPr>
      </w:pPr>
      <w:r>
        <w:rPr>
          <w:rFonts w:hint="eastAsia" w:ascii="Times New Roman" w:hAnsi="Times New Roman"/>
        </w:rPr>
        <w:t>应标文件的编制</w:t>
      </w:r>
    </w:p>
    <w:p w14:paraId="6B6595E0">
      <w:pPr>
        <w:pStyle w:val="11"/>
        <w:spacing w:line="440" w:lineRule="exact"/>
        <w:ind w:firstLine="420" w:firstLineChars="200"/>
        <w:jc w:val="both"/>
        <w:rPr>
          <w:rFonts w:ascii="Times New Roman" w:hAnsi="Times New Roman"/>
        </w:rPr>
      </w:pPr>
      <w:r>
        <w:rPr>
          <w:rFonts w:hint="eastAsia" w:ascii="Times New Roman" w:hAnsi="Times New Roman"/>
        </w:rPr>
        <w:t>拟投标人须准备以下材料的盖章电子扫描件，并在应标时作为三个独立的PDF格式文件上传至“中国重汽e采通”平台，文件均以“公司简称+文件名称”格式命名：</w:t>
      </w:r>
    </w:p>
    <w:p w14:paraId="33339E6C">
      <w:pPr>
        <w:pStyle w:val="11"/>
        <w:spacing w:line="440" w:lineRule="exact"/>
        <w:ind w:left="1050" w:leftChars="300" w:hanging="420" w:hangingChars="200"/>
        <w:jc w:val="both"/>
        <w:rPr>
          <w:rFonts w:ascii="Times New Roman" w:hAnsi="Times New Roman"/>
        </w:rPr>
      </w:pPr>
      <w:r>
        <w:rPr>
          <w:rFonts w:hint="eastAsia" w:ascii="Times New Roman" w:hAnsi="Times New Roman"/>
        </w:rPr>
        <w:t>① 供方资质：按照</w:t>
      </w:r>
      <w:r>
        <w:rPr>
          <w:rFonts w:hint="eastAsia" w:ascii="Times New Roman" w:hAnsi="Times New Roman"/>
          <w:b/>
          <w:bCs/>
        </w:rPr>
        <w:t>第一章“投标文件的编制”资质文件中的1.1.1</w:t>
      </w:r>
      <w:r>
        <w:rPr>
          <w:rFonts w:ascii="Times New Roman" w:hAnsi="Times New Roman"/>
          <w:b/>
          <w:bCs/>
        </w:rPr>
        <w:t>-</w:t>
      </w:r>
      <w:r>
        <w:rPr>
          <w:rFonts w:hint="eastAsia" w:ascii="Times New Roman" w:hAnsi="Times New Roman"/>
          <w:b/>
          <w:bCs/>
        </w:rPr>
        <w:t>1.1.9准备资料</w:t>
      </w:r>
      <w:r>
        <w:rPr>
          <w:rFonts w:hint="eastAsia" w:ascii="Times New Roman" w:hAnsi="Times New Roman"/>
        </w:rPr>
        <w:t>，须附目录，并在首页清晰列出公司名称、联系人、电话及邮箱</w:t>
      </w:r>
      <w:r>
        <w:rPr>
          <w:rFonts w:ascii="Times New Roman" w:hAnsi="Times New Roman"/>
        </w:rPr>
        <w:t>；</w:t>
      </w:r>
    </w:p>
    <w:p w14:paraId="5E516C60">
      <w:pPr>
        <w:pStyle w:val="11"/>
        <w:spacing w:line="440" w:lineRule="exact"/>
        <w:ind w:left="1050" w:leftChars="300" w:hanging="420" w:hangingChars="200"/>
        <w:jc w:val="both"/>
        <w:rPr>
          <w:rFonts w:ascii="Times New Roman" w:hAnsi="Times New Roman"/>
        </w:rPr>
      </w:pPr>
      <w:r>
        <w:rPr>
          <w:rFonts w:hint="eastAsia" w:ascii="Times New Roman" w:hAnsi="Times New Roman"/>
        </w:rPr>
        <w:t>② 企业简介；</w:t>
      </w:r>
    </w:p>
    <w:p w14:paraId="74B7823A">
      <w:pPr>
        <w:pStyle w:val="11"/>
        <w:spacing w:line="440" w:lineRule="exact"/>
        <w:ind w:left="1050" w:leftChars="300" w:hanging="420" w:hangingChars="200"/>
        <w:jc w:val="both"/>
        <w:rPr>
          <w:rFonts w:ascii="Times New Roman" w:hAnsi="Times New Roman" w:cs="宋体"/>
          <w:b/>
          <w:bCs/>
        </w:rPr>
      </w:pPr>
      <w:r>
        <w:rPr>
          <w:rFonts w:hint="eastAsia" w:ascii="Times New Roman" w:hAnsi="Times New Roman"/>
        </w:rPr>
        <w:t>③ 项目业绩：</w:t>
      </w:r>
      <w:r>
        <w:rPr>
          <w:rFonts w:hint="eastAsia" w:ascii="Times New Roman" w:hAnsi="Times New Roman"/>
          <w:b/>
          <w:bCs/>
        </w:rPr>
        <w:t>按照第一章“投标文件的编制”资质文件中的1.1.10、1.1.11准备资料</w:t>
      </w:r>
      <w:r>
        <w:rPr>
          <w:rFonts w:hint="eastAsia" w:ascii="Times New Roman" w:hAnsi="Times New Roman"/>
        </w:rPr>
        <w:t>。</w:t>
      </w:r>
    </w:p>
    <w:p w14:paraId="3F0BE5BA">
      <w:pPr>
        <w:pStyle w:val="11"/>
        <w:numPr>
          <w:ilvl w:val="0"/>
          <w:numId w:val="5"/>
        </w:numPr>
        <w:spacing w:line="440" w:lineRule="exact"/>
        <w:jc w:val="both"/>
        <w:outlineLvl w:val="2"/>
        <w:rPr>
          <w:rFonts w:ascii="Times New Roman" w:hAnsi="Times New Roman"/>
        </w:rPr>
      </w:pPr>
      <w:r>
        <w:rPr>
          <w:rFonts w:hint="eastAsia" w:ascii="Times New Roman" w:hAnsi="Times New Roman"/>
        </w:rPr>
        <w:t>招标文件获取</w:t>
      </w:r>
    </w:p>
    <w:p w14:paraId="4678F7BF">
      <w:pPr>
        <w:pStyle w:val="11"/>
        <w:numPr>
          <w:ilvl w:val="1"/>
          <w:numId w:val="7"/>
        </w:numPr>
        <w:spacing w:line="440" w:lineRule="exact"/>
        <w:rPr>
          <w:rFonts w:ascii="Times New Roman" w:hAnsi="Times New Roman"/>
        </w:rPr>
      </w:pPr>
      <w:r>
        <w:rPr>
          <w:rFonts w:hint="eastAsia" w:ascii="Times New Roman" w:hAnsi="Times New Roman"/>
        </w:rPr>
        <w:t>获取时间：报名成功后；</w:t>
      </w:r>
    </w:p>
    <w:p w14:paraId="29C538CC">
      <w:pPr>
        <w:pStyle w:val="11"/>
        <w:numPr>
          <w:ilvl w:val="1"/>
          <w:numId w:val="7"/>
        </w:numPr>
        <w:spacing w:line="440" w:lineRule="exact"/>
        <w:rPr>
          <w:rFonts w:ascii="Times New Roman" w:hAnsi="Times New Roman"/>
        </w:rPr>
      </w:pPr>
      <w:r>
        <w:rPr>
          <w:rFonts w:hint="eastAsia" w:ascii="Times New Roman" w:hAnsi="Times New Roman" w:cs="宋体"/>
          <w:szCs w:val="21"/>
        </w:rPr>
        <w:t>获取方式：</w:t>
      </w:r>
      <w:r>
        <w:rPr>
          <w:rFonts w:hint="eastAsia" w:ascii="Times New Roman" w:hAnsi="Times New Roman"/>
        </w:rPr>
        <w:t>报名成功后，可登录“中国重汽e采通”平台，在“供应商投标”模块下载招标文件。</w:t>
      </w:r>
    </w:p>
    <w:p w14:paraId="0E20BEDB">
      <w:pPr>
        <w:pStyle w:val="11"/>
        <w:numPr>
          <w:ilvl w:val="0"/>
          <w:numId w:val="5"/>
        </w:numPr>
        <w:spacing w:line="440" w:lineRule="exact"/>
        <w:jc w:val="both"/>
        <w:outlineLvl w:val="2"/>
        <w:rPr>
          <w:rFonts w:ascii="Times New Roman" w:hAnsi="Times New Roman"/>
        </w:rPr>
      </w:pPr>
      <w:r>
        <w:rPr>
          <w:rFonts w:hint="eastAsia" w:ascii="Times New Roman" w:hAnsi="Times New Roman"/>
        </w:rPr>
        <w:t>疑问提交</w:t>
      </w:r>
    </w:p>
    <w:p w14:paraId="19469BBF">
      <w:pPr>
        <w:pStyle w:val="11"/>
        <w:numPr>
          <w:ilvl w:val="1"/>
          <w:numId w:val="8"/>
        </w:numPr>
        <w:spacing w:line="440" w:lineRule="exact"/>
        <w:rPr>
          <w:rFonts w:ascii="Times New Roman" w:hAnsi="Times New Roman"/>
        </w:rPr>
      </w:pPr>
      <w:r>
        <w:rPr>
          <w:rFonts w:hint="eastAsia" w:ascii="Times New Roman" w:hAnsi="Times New Roman"/>
        </w:rPr>
        <w:t>提交截止时间：</w:t>
      </w:r>
      <w:r>
        <w:rPr>
          <w:rFonts w:hint="eastAsia" w:ascii="Times New Roman" w:hAnsi="Times New Roman"/>
          <w:u w:val="single"/>
        </w:rPr>
        <w:t>202</w:t>
      </w:r>
      <w:r>
        <w:rPr>
          <w:rFonts w:ascii="Times New Roman" w:hAnsi="Times New Roman"/>
          <w:u w:val="single"/>
        </w:rPr>
        <w:t>6</w:t>
      </w:r>
      <w:r>
        <w:rPr>
          <w:rFonts w:hint="eastAsia" w:ascii="Times New Roman" w:hAnsi="Times New Roman"/>
          <w:u w:val="single"/>
        </w:rPr>
        <w:t>年</w:t>
      </w:r>
      <w:r>
        <w:rPr>
          <w:rFonts w:hint="eastAsia" w:ascii="Times New Roman" w:hAnsi="Times New Roman"/>
          <w:u w:val="single"/>
          <w:lang w:val="en-US" w:eastAsia="zh-CN"/>
        </w:rPr>
        <w:t>6</w:t>
      </w:r>
      <w:r>
        <w:rPr>
          <w:rFonts w:hint="eastAsia" w:ascii="Times New Roman" w:hAnsi="Times New Roman"/>
          <w:u w:val="single"/>
        </w:rPr>
        <w:t>月</w:t>
      </w:r>
      <w:r>
        <w:rPr>
          <w:rFonts w:hint="eastAsia" w:ascii="Times New Roman" w:hAnsi="Times New Roman" w:cs="宋体"/>
          <w:u w:val="single"/>
          <w:lang w:val="en-US" w:eastAsia="zh-CN"/>
        </w:rPr>
        <w:t>10</w:t>
      </w:r>
      <w:r>
        <w:rPr>
          <w:rFonts w:hint="eastAsia" w:ascii="Times New Roman" w:hAnsi="Times New Roman" w:cs="宋体"/>
          <w:u w:val="single"/>
        </w:rPr>
        <w:t>日</w:t>
      </w:r>
      <w:r>
        <w:rPr>
          <w:rFonts w:hint="eastAsia" w:ascii="Times New Roman" w:hAnsi="Times New Roman" w:cs="宋体"/>
          <w:u w:val="single"/>
          <w:lang w:val="en-US" w:eastAsia="zh-CN"/>
        </w:rPr>
        <w:t>9</w:t>
      </w:r>
      <w:r>
        <w:rPr>
          <w:rFonts w:hint="eastAsia" w:ascii="Times New Roman" w:hAnsi="Times New Roman"/>
          <w:u w:val="single"/>
        </w:rPr>
        <w:t>:00:00</w:t>
      </w:r>
      <w:r>
        <w:rPr>
          <w:rFonts w:ascii="Times New Roman" w:hAnsi="Times New Roman"/>
          <w:u w:val="single"/>
        </w:rPr>
        <w:t>（北京时间）</w:t>
      </w:r>
      <w:r>
        <w:rPr>
          <w:rFonts w:hint="eastAsia" w:ascii="Times New Roman" w:hAnsi="Times New Roman"/>
          <w:u w:val="single"/>
        </w:rPr>
        <w:t>；</w:t>
      </w:r>
    </w:p>
    <w:p w14:paraId="44D1AD1A">
      <w:pPr>
        <w:pStyle w:val="11"/>
        <w:numPr>
          <w:ilvl w:val="1"/>
          <w:numId w:val="8"/>
        </w:numPr>
        <w:spacing w:line="440" w:lineRule="exact"/>
        <w:rPr>
          <w:rFonts w:ascii="Times New Roman" w:hAnsi="Times New Roman"/>
        </w:rPr>
      </w:pPr>
      <w:r>
        <w:rPr>
          <w:rFonts w:hint="eastAsia" w:ascii="Times New Roman" w:hAnsi="Times New Roman"/>
        </w:rPr>
        <w:t>提交方式：将答疑问题以word文件格式发送至联系人邮件内，并电话联系工作人员查收，</w:t>
      </w:r>
      <w:r>
        <w:rPr>
          <w:rFonts w:hint="eastAsia" w:ascii="Times New Roman" w:hAnsi="Times New Roman"/>
          <w:b/>
          <w:bCs/>
        </w:rPr>
        <w:t>邮件名格式为：XXX公司（五个字以内公司简称）XX项目答疑文件。同时必须在邮件中以文字方式提供投标人全称、投标授权人姓名、联系方式（固定电话、手机、电子邮箱），并提供附件1法定代表人授权委托书。</w:t>
      </w:r>
    </w:p>
    <w:p w14:paraId="3AEA998F">
      <w:pPr>
        <w:pStyle w:val="11"/>
        <w:numPr>
          <w:ilvl w:val="0"/>
          <w:numId w:val="5"/>
        </w:numPr>
        <w:spacing w:line="440" w:lineRule="exact"/>
        <w:jc w:val="both"/>
        <w:outlineLvl w:val="2"/>
        <w:rPr>
          <w:rFonts w:ascii="Times New Roman" w:hAnsi="Times New Roman"/>
        </w:rPr>
      </w:pPr>
      <w:r>
        <w:rPr>
          <w:rFonts w:hint="eastAsia" w:ascii="Times New Roman" w:hAnsi="Times New Roman"/>
        </w:rPr>
        <w:t>答疑、澄清和修改文件的获取</w:t>
      </w:r>
    </w:p>
    <w:p w14:paraId="5511D7FE">
      <w:pPr>
        <w:pStyle w:val="11"/>
        <w:numPr>
          <w:ilvl w:val="1"/>
          <w:numId w:val="9"/>
        </w:numPr>
        <w:spacing w:line="440" w:lineRule="exact"/>
        <w:rPr>
          <w:rFonts w:ascii="Times New Roman" w:hAnsi="Times New Roman"/>
        </w:rPr>
      </w:pPr>
      <w:r>
        <w:rPr>
          <w:rFonts w:hint="eastAsia" w:ascii="Times New Roman" w:hAnsi="Times New Roman"/>
        </w:rPr>
        <w:t>获取时间：</w:t>
      </w:r>
      <w:r>
        <w:rPr>
          <w:rFonts w:hint="eastAsia" w:ascii="Times New Roman" w:hAnsi="Times New Roman"/>
          <w:u w:val="single"/>
        </w:rPr>
        <w:t>202</w:t>
      </w:r>
      <w:r>
        <w:rPr>
          <w:rFonts w:ascii="Times New Roman" w:hAnsi="Times New Roman"/>
          <w:u w:val="single"/>
        </w:rPr>
        <w:t>6</w:t>
      </w:r>
      <w:r>
        <w:rPr>
          <w:rFonts w:hint="eastAsia" w:ascii="Times New Roman" w:hAnsi="Times New Roman"/>
          <w:u w:val="single"/>
        </w:rPr>
        <w:t>年</w:t>
      </w:r>
      <w:r>
        <w:rPr>
          <w:rFonts w:hint="eastAsia" w:ascii="Times New Roman" w:hAnsi="Times New Roman"/>
          <w:u w:val="single"/>
          <w:lang w:val="en-US" w:eastAsia="zh-CN"/>
        </w:rPr>
        <w:t>6</w:t>
      </w:r>
      <w:r>
        <w:rPr>
          <w:rFonts w:hint="eastAsia" w:ascii="Times New Roman" w:hAnsi="Times New Roman"/>
          <w:u w:val="single"/>
        </w:rPr>
        <w:t>月</w:t>
      </w:r>
      <w:r>
        <w:rPr>
          <w:rFonts w:hint="eastAsia" w:ascii="Times New Roman" w:hAnsi="Times New Roman" w:cs="宋体"/>
          <w:u w:val="single"/>
          <w:lang w:val="en-US" w:eastAsia="zh-CN"/>
        </w:rPr>
        <w:t>10</w:t>
      </w:r>
      <w:r>
        <w:rPr>
          <w:rFonts w:hint="eastAsia" w:ascii="Times New Roman" w:hAnsi="Times New Roman" w:cs="宋体"/>
          <w:u w:val="single"/>
        </w:rPr>
        <w:t>日</w:t>
      </w:r>
      <w:r>
        <w:rPr>
          <w:rFonts w:hint="eastAsia" w:ascii="Times New Roman" w:hAnsi="Times New Roman" w:cs="宋体"/>
          <w:u w:val="single"/>
          <w:lang w:val="en-US" w:eastAsia="zh-CN"/>
        </w:rPr>
        <w:t>17</w:t>
      </w:r>
      <w:r>
        <w:rPr>
          <w:rFonts w:hint="eastAsia" w:ascii="Times New Roman" w:hAnsi="Times New Roman"/>
          <w:u w:val="single"/>
        </w:rPr>
        <w:t>:00:00前；</w:t>
      </w:r>
    </w:p>
    <w:p w14:paraId="28980B55">
      <w:pPr>
        <w:pStyle w:val="11"/>
        <w:numPr>
          <w:ilvl w:val="1"/>
          <w:numId w:val="9"/>
        </w:numPr>
        <w:spacing w:line="440" w:lineRule="exact"/>
        <w:rPr>
          <w:rFonts w:ascii="Times New Roman" w:hAnsi="Times New Roman"/>
        </w:rPr>
      </w:pPr>
      <w:r>
        <w:rPr>
          <w:rFonts w:hint="eastAsia" w:ascii="Times New Roman" w:hAnsi="Times New Roman"/>
        </w:rPr>
        <w:t>获取方式：招标人将以电子邮件的方式将招标文件的答疑澄清文件发送至答疑文件提交时登记的电子邮箱。</w:t>
      </w:r>
    </w:p>
    <w:p w14:paraId="6BF79078">
      <w:pPr>
        <w:pStyle w:val="10"/>
        <w:numPr>
          <w:ilvl w:val="0"/>
          <w:numId w:val="0"/>
        </w:numPr>
        <w:rPr>
          <w:rFonts w:ascii="Times New Roman" w:hAnsi="Times New Roman"/>
        </w:rPr>
      </w:pPr>
      <w:r>
        <w:rPr>
          <w:rFonts w:hint="eastAsia" w:hAnsi="黑体"/>
          <w:szCs w:val="28"/>
        </w:rPr>
        <w:t>四、</w:t>
      </w:r>
      <w:r>
        <w:rPr>
          <w:rFonts w:hint="eastAsia" w:ascii="Times New Roman" w:hAnsi="Times New Roman"/>
        </w:rPr>
        <w:t>投标文件编制</w:t>
      </w:r>
    </w:p>
    <w:p w14:paraId="136E4E92">
      <w:pPr>
        <w:pStyle w:val="10"/>
        <w:numPr>
          <w:ilvl w:val="0"/>
          <w:numId w:val="10"/>
        </w:numPr>
        <w:spacing w:before="156" w:beforeLines="50" w:after="156" w:afterLines="50" w:line="440" w:lineRule="exact"/>
        <w:outlineLvl w:val="2"/>
        <w:rPr>
          <w:rFonts w:ascii="Times New Roman" w:hAnsi="Times New Roman" w:cs="黑体"/>
          <w:b w:val="0"/>
          <w:sz w:val="24"/>
          <w:szCs w:val="24"/>
        </w:rPr>
      </w:pPr>
      <w:r>
        <w:rPr>
          <w:rFonts w:hint="eastAsia" w:ascii="Times New Roman" w:hAnsi="Times New Roman" w:cs="黑体"/>
          <w:b w:val="0"/>
          <w:sz w:val="24"/>
          <w:szCs w:val="24"/>
        </w:rPr>
        <w:t>投标文件的组成</w:t>
      </w:r>
    </w:p>
    <w:p w14:paraId="09C8FE00">
      <w:pPr>
        <w:pStyle w:val="11"/>
        <w:spacing w:line="440" w:lineRule="exact"/>
        <w:ind w:firstLine="420" w:firstLineChars="200"/>
        <w:rPr>
          <w:rFonts w:ascii="Times New Roman" w:hAnsi="Times New Roman"/>
        </w:rPr>
      </w:pPr>
      <w:r>
        <w:rPr>
          <w:rFonts w:hint="eastAsia" w:ascii="Times New Roman" w:hAnsi="Times New Roman"/>
        </w:rPr>
        <w:t>本项目投标文件为盖章扫描电子版投标文件。投标人编写的投标文件由《投标文件（资质标）》、《投标文件（技术标）》和《投标文件（商务标）》文件组成，共计3个文件。所有文件应按“公司简称+文件名称”格式命名，并编制目录。</w:t>
      </w:r>
    </w:p>
    <w:p w14:paraId="7EC4F9FF">
      <w:pPr>
        <w:pStyle w:val="11"/>
        <w:numPr>
          <w:ilvl w:val="1"/>
          <w:numId w:val="11"/>
        </w:numPr>
        <w:spacing w:before="78" w:beforeLines="25" w:line="440" w:lineRule="exact"/>
        <w:outlineLvl w:val="3"/>
        <w:rPr>
          <w:rFonts w:ascii="Times New Roman" w:hAnsi="Times New Roman"/>
        </w:rPr>
      </w:pPr>
      <w:r>
        <w:rPr>
          <w:rFonts w:hint="eastAsia" w:ascii="Times New Roman" w:hAnsi="Times New Roman" w:eastAsia="黑体" w:cs="黑体"/>
          <w:bCs/>
          <w:szCs w:val="21"/>
        </w:rPr>
        <w:t xml:space="preserve">资质文件 </w:t>
      </w:r>
    </w:p>
    <w:p w14:paraId="65B7AE16">
      <w:pPr>
        <w:pStyle w:val="11"/>
        <w:numPr>
          <w:ilvl w:val="2"/>
          <w:numId w:val="11"/>
        </w:numPr>
        <w:spacing w:line="440" w:lineRule="exact"/>
        <w:ind w:firstLine="420" w:firstLineChars="200"/>
        <w:rPr>
          <w:rFonts w:ascii="Times New Roman" w:hAnsi="Times New Roman"/>
        </w:rPr>
      </w:pPr>
      <w:r>
        <w:rPr>
          <w:rFonts w:hint="eastAsia" w:ascii="Times New Roman" w:hAnsi="Times New Roman"/>
        </w:rPr>
        <w:t>营业执照副本原件或复印件</w:t>
      </w:r>
      <w:r>
        <w:rPr>
          <w:rFonts w:ascii="Times New Roman" w:hAnsi="Times New Roman"/>
        </w:rPr>
        <w:t>（需加盖公章）</w:t>
      </w:r>
      <w:r>
        <w:rPr>
          <w:rFonts w:hint="eastAsia" w:ascii="Times New Roman" w:hAnsi="Times New Roman"/>
        </w:rPr>
        <w:t>；</w:t>
      </w:r>
    </w:p>
    <w:p w14:paraId="529E64F9">
      <w:pPr>
        <w:pStyle w:val="11"/>
        <w:numPr>
          <w:ilvl w:val="2"/>
          <w:numId w:val="11"/>
        </w:numPr>
        <w:spacing w:line="440" w:lineRule="exact"/>
        <w:ind w:firstLine="420" w:firstLineChars="200"/>
        <w:rPr>
          <w:rFonts w:ascii="Times New Roman" w:hAnsi="Times New Roman"/>
        </w:rPr>
      </w:pPr>
      <w:r>
        <w:rPr>
          <w:rFonts w:ascii="Times New Roman" w:hAnsi="Times New Roman"/>
        </w:rPr>
        <w:t>法定代表人授权书（附件</w:t>
      </w:r>
      <w:r>
        <w:rPr>
          <w:rFonts w:hint="eastAsia" w:ascii="Times New Roman" w:hAnsi="Times New Roman"/>
        </w:rPr>
        <w:t>1</w:t>
      </w:r>
      <w:r>
        <w:rPr>
          <w:rFonts w:ascii="Times New Roman" w:hAnsi="Times New Roman"/>
        </w:rPr>
        <w:t>）；法定代表人参加投标的，提供法人身份证明文件即可；被授权人参加投标的，需提供法定代表人授权委托书（含法人身份证和被授权人身份证正反面复印件）和被授权人近6个月及以上在授权单位的社保缴纳证明</w:t>
      </w:r>
      <w:r>
        <w:rPr>
          <w:rFonts w:hint="eastAsia" w:ascii="Times New Roman" w:hAnsi="Times New Roman"/>
        </w:rPr>
        <w:t>（需加盖公章）；</w:t>
      </w:r>
    </w:p>
    <w:p w14:paraId="21947C46">
      <w:pPr>
        <w:pStyle w:val="11"/>
        <w:numPr>
          <w:ilvl w:val="2"/>
          <w:numId w:val="11"/>
        </w:numPr>
        <w:spacing w:line="440" w:lineRule="exact"/>
        <w:ind w:firstLine="420" w:firstLineChars="200"/>
        <w:rPr>
          <w:rFonts w:ascii="Times New Roman" w:hAnsi="Times New Roman"/>
        </w:rPr>
      </w:pPr>
      <w:r>
        <w:rPr>
          <w:rFonts w:hint="eastAsia" w:ascii="Times New Roman" w:hAnsi="Times New Roman" w:cs="宋体"/>
          <w:szCs w:val="21"/>
          <w:shd w:val="clear" w:color="auto" w:fill="FFFFFF"/>
        </w:rPr>
        <w:t>拟投标人2023年1月1日至今经第三方会计师事务所审计且出具无保留意见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 特殊情况：如因非上市公司而无法提供，需出具书面文件进行说明。</w:t>
      </w:r>
    </w:p>
    <w:p w14:paraId="58705EC6">
      <w:pPr>
        <w:pStyle w:val="11"/>
        <w:numPr>
          <w:ilvl w:val="2"/>
          <w:numId w:val="11"/>
        </w:numPr>
        <w:spacing w:line="440" w:lineRule="exact"/>
        <w:ind w:firstLine="420" w:firstLineChars="200"/>
        <w:rPr>
          <w:rFonts w:ascii="Times New Roman" w:hAnsi="Times New Roman"/>
        </w:rPr>
      </w:pPr>
      <w:r>
        <w:rPr>
          <w:rFonts w:hint="eastAsia" w:ascii="Times New Roman" w:hAnsi="Times New Roman"/>
        </w:rPr>
        <w:t>拟投标人不存在严重违规或被列入招标人“黑名单”的声明；</w:t>
      </w:r>
    </w:p>
    <w:p w14:paraId="69F0A77F">
      <w:pPr>
        <w:pStyle w:val="11"/>
        <w:numPr>
          <w:ilvl w:val="2"/>
          <w:numId w:val="11"/>
        </w:numPr>
        <w:spacing w:line="440" w:lineRule="exact"/>
        <w:ind w:firstLine="420" w:firstLineChars="200"/>
        <w:rPr>
          <w:rFonts w:ascii="Times New Roman" w:hAnsi="Times New Roman"/>
        </w:rPr>
      </w:pPr>
      <w:r>
        <w:rPr>
          <w:rFonts w:hint="eastAsia" w:ascii="Times New Roman" w:hAnsi="Times New Roman"/>
        </w:rPr>
        <w:t>企业最近半年完税证明、信用证明材料（中国人民银行信用代码证+征信报告）；</w:t>
      </w:r>
    </w:p>
    <w:p w14:paraId="50569D9C">
      <w:pPr>
        <w:pStyle w:val="11"/>
        <w:numPr>
          <w:ilvl w:val="2"/>
          <w:numId w:val="11"/>
        </w:numPr>
        <w:spacing w:line="440" w:lineRule="exact"/>
        <w:ind w:firstLine="420" w:firstLineChars="200"/>
        <w:rPr>
          <w:rFonts w:ascii="Times New Roman" w:hAnsi="Times New Roman"/>
        </w:rPr>
      </w:pPr>
      <w:r>
        <w:rPr>
          <w:rFonts w:hint="eastAsia" w:ascii="Times New Roman" w:hAnsi="Times New Roman"/>
        </w:rPr>
        <w:t>年度纳税信用评价信息（可从电子税务局查询截图，需加盖公章）；</w:t>
      </w:r>
    </w:p>
    <w:p w14:paraId="25E947C9">
      <w:pPr>
        <w:pStyle w:val="11"/>
        <w:numPr>
          <w:ilvl w:val="2"/>
          <w:numId w:val="11"/>
        </w:numPr>
        <w:spacing w:line="440" w:lineRule="exact"/>
        <w:ind w:firstLine="420" w:firstLineChars="200"/>
        <w:rPr>
          <w:rFonts w:ascii="Times New Roman" w:hAnsi="Times New Roman"/>
        </w:rPr>
      </w:pPr>
      <w:r>
        <w:rPr>
          <w:rFonts w:hint="eastAsia" w:ascii="Times New Roman" w:hAnsi="Times New Roman"/>
        </w:rPr>
        <w:t>企业对外担保说明（写明贵单位对外有无对外担保和质押业务，需加盖公章）；</w:t>
      </w:r>
    </w:p>
    <w:p w14:paraId="0173A2E5">
      <w:pPr>
        <w:pStyle w:val="11"/>
        <w:numPr>
          <w:ilvl w:val="2"/>
          <w:numId w:val="11"/>
        </w:numPr>
        <w:spacing w:line="440" w:lineRule="exact"/>
        <w:ind w:firstLine="420" w:firstLineChars="200"/>
        <w:rPr>
          <w:rFonts w:ascii="Times New Roman" w:hAnsi="Times New Roman"/>
        </w:rPr>
      </w:pPr>
      <w:r>
        <w:rPr>
          <w:rFonts w:ascii="Times New Roman" w:hAnsi="Times New Roman"/>
        </w:rPr>
        <w:t>投标人在国家企业信用信息公示系统中无与本项目有关的行政处罚、经营异常和失信信息的声明（附投标当日系统内相关截图）</w:t>
      </w:r>
      <w:r>
        <w:rPr>
          <w:rFonts w:hint="eastAsia" w:ascii="Times New Roman" w:hAnsi="Times New Roman"/>
        </w:rPr>
        <w:t>；</w:t>
      </w:r>
    </w:p>
    <w:p w14:paraId="4C3CD97F">
      <w:pPr>
        <w:pStyle w:val="11"/>
        <w:numPr>
          <w:ilvl w:val="2"/>
          <w:numId w:val="11"/>
        </w:numPr>
        <w:spacing w:line="440" w:lineRule="exact"/>
        <w:ind w:firstLine="420" w:firstLineChars="200"/>
        <w:rPr>
          <w:rFonts w:ascii="Times New Roman" w:hAnsi="Times New Roman"/>
        </w:rPr>
      </w:pPr>
      <w:r>
        <w:rPr>
          <w:rFonts w:ascii="Times New Roman" w:hAnsi="Times New Roman"/>
        </w:rPr>
        <w:t>保密承诺函（附件</w:t>
      </w:r>
      <w:r>
        <w:rPr>
          <w:rFonts w:hint="eastAsia" w:ascii="Times New Roman" w:hAnsi="Times New Roman"/>
        </w:rPr>
        <w:t>2</w:t>
      </w:r>
      <w:r>
        <w:rPr>
          <w:rFonts w:ascii="Times New Roman" w:hAnsi="Times New Roman"/>
        </w:rPr>
        <w:t>，需盖章）</w:t>
      </w:r>
      <w:r>
        <w:rPr>
          <w:rFonts w:hint="eastAsia" w:ascii="Times New Roman" w:hAnsi="Times New Roman"/>
        </w:rPr>
        <w:t>；</w:t>
      </w:r>
    </w:p>
    <w:p w14:paraId="5570C0B7">
      <w:pPr>
        <w:pStyle w:val="11"/>
        <w:numPr>
          <w:ilvl w:val="2"/>
          <w:numId w:val="11"/>
        </w:numPr>
        <w:spacing w:line="440" w:lineRule="exact"/>
        <w:ind w:firstLine="420" w:firstLineChars="200"/>
        <w:rPr>
          <w:rFonts w:ascii="Times New Roman" w:hAnsi="Times New Roman"/>
        </w:rPr>
      </w:pPr>
      <w:r>
        <w:rPr>
          <w:rFonts w:hint="eastAsia" w:ascii="Times New Roman" w:hAnsi="Times New Roman" w:cs="宋体"/>
          <w:szCs w:val="21"/>
          <w:shd w:val="clear" w:color="auto" w:fill="FFFFFF"/>
        </w:rPr>
        <w:t>2023年1月1日至今，企业近三年同类项目业绩证明，须提供用户清单、采购合同复印件;若因保密要求，项目业绩中可以隐去客户名称，采购合同由验收报告代替进行证明，用户清单可不提供但需出具书面文件进行说明;</w:t>
      </w:r>
    </w:p>
    <w:p w14:paraId="619E2124">
      <w:pPr>
        <w:pStyle w:val="11"/>
        <w:numPr>
          <w:ilvl w:val="2"/>
          <w:numId w:val="11"/>
        </w:numPr>
        <w:spacing w:line="440" w:lineRule="exact"/>
        <w:ind w:firstLine="420" w:firstLineChars="200"/>
        <w:rPr>
          <w:rFonts w:ascii="Times New Roman" w:hAnsi="Times New Roman"/>
        </w:rPr>
      </w:pPr>
      <w:r>
        <w:rPr>
          <w:rFonts w:hint="eastAsia" w:ascii="Times New Roman" w:hAnsi="Times New Roman"/>
        </w:rPr>
        <w:t>拟投标人近三年内在经营活动中无与本项目有关的违法及重大违规情况的声明；</w:t>
      </w:r>
    </w:p>
    <w:p w14:paraId="0A6A5B2A">
      <w:pPr>
        <w:pStyle w:val="11"/>
        <w:numPr>
          <w:ilvl w:val="2"/>
          <w:numId w:val="11"/>
        </w:numPr>
        <w:spacing w:line="440" w:lineRule="exact"/>
        <w:ind w:firstLine="420" w:firstLineChars="200"/>
        <w:rPr>
          <w:rFonts w:ascii="Times New Roman" w:hAnsi="Times New Roman"/>
        </w:rPr>
      </w:pPr>
      <w:r>
        <w:rPr>
          <w:rFonts w:hint="eastAsia" w:ascii="Times New Roman" w:hAnsi="Times New Roman"/>
        </w:rPr>
        <w:t>投标保证金缴纳凭证，同时正文描述付款账号、户名、开户行名称、开户行行号、保证金金额。</w:t>
      </w:r>
    </w:p>
    <w:p w14:paraId="2D38221E">
      <w:pPr>
        <w:pStyle w:val="11"/>
        <w:numPr>
          <w:ilvl w:val="0"/>
          <w:numId w:val="12"/>
        </w:numPr>
        <w:spacing w:line="440" w:lineRule="exact"/>
        <w:ind w:left="0" w:firstLine="422" w:firstLineChars="200"/>
        <w:rPr>
          <w:rFonts w:ascii="Times New Roman" w:hAnsi="Times New Roman"/>
          <w:b/>
          <w:bCs/>
        </w:rPr>
      </w:pPr>
      <w:r>
        <w:rPr>
          <w:rFonts w:hint="eastAsia" w:ascii="Times New Roman" w:hAnsi="Times New Roman"/>
          <w:b/>
          <w:bCs/>
        </w:rPr>
        <w:t>对于投标人资质审核不通过的，招标人有权拒绝其投标。</w:t>
      </w:r>
    </w:p>
    <w:p w14:paraId="5D8193CA">
      <w:pPr>
        <w:pStyle w:val="11"/>
        <w:numPr>
          <w:ilvl w:val="1"/>
          <w:numId w:val="11"/>
        </w:numPr>
        <w:spacing w:before="78" w:beforeLines="25" w:line="440" w:lineRule="exact"/>
        <w:outlineLvl w:val="3"/>
        <w:rPr>
          <w:rFonts w:ascii="Times New Roman" w:hAnsi="Times New Roman" w:eastAsia="黑体" w:cs="黑体"/>
          <w:bCs/>
          <w:szCs w:val="21"/>
        </w:rPr>
      </w:pPr>
      <w:r>
        <w:rPr>
          <w:rFonts w:hint="eastAsia" w:ascii="Times New Roman" w:hAnsi="Times New Roman" w:eastAsia="黑体" w:cs="黑体"/>
          <w:bCs/>
          <w:szCs w:val="21"/>
        </w:rPr>
        <w:t>技术标</w:t>
      </w:r>
    </w:p>
    <w:p w14:paraId="4F0FA3BE">
      <w:pPr>
        <w:pStyle w:val="11"/>
        <w:numPr>
          <w:ilvl w:val="2"/>
          <w:numId w:val="11"/>
        </w:numPr>
        <w:spacing w:line="440" w:lineRule="exact"/>
        <w:rPr>
          <w:rFonts w:ascii="Times New Roman" w:hAnsi="Times New Roman"/>
        </w:rPr>
      </w:pPr>
      <w:r>
        <w:rPr>
          <w:rFonts w:hint="eastAsia" w:ascii="Times New Roman" w:hAnsi="Times New Roman"/>
        </w:rPr>
        <w:t>技术规格偏离表（附件</w:t>
      </w:r>
      <w:r>
        <w:rPr>
          <w:rFonts w:ascii="Times New Roman" w:hAnsi="Times New Roman"/>
        </w:rPr>
        <w:t>4</w:t>
      </w:r>
      <w:r>
        <w:rPr>
          <w:rFonts w:hint="eastAsia" w:ascii="Times New Roman" w:hAnsi="Times New Roman"/>
        </w:rPr>
        <w:t>），必须先进行两列要求一一对照，不允许直接写无偏离；</w:t>
      </w:r>
    </w:p>
    <w:p w14:paraId="2609976D">
      <w:pPr>
        <w:pStyle w:val="11"/>
        <w:numPr>
          <w:ilvl w:val="2"/>
          <w:numId w:val="11"/>
        </w:numPr>
        <w:spacing w:line="440" w:lineRule="exact"/>
        <w:rPr>
          <w:rFonts w:ascii="Times New Roman" w:hAnsi="Times New Roman"/>
        </w:rPr>
      </w:pPr>
      <w:r>
        <w:rPr>
          <w:rFonts w:hint="eastAsia" w:ascii="Times New Roman" w:hAnsi="Times New Roman"/>
        </w:rPr>
        <w:t>近三年同类项目业绩一览表（附件</w:t>
      </w:r>
      <w:r>
        <w:rPr>
          <w:rFonts w:ascii="Times New Roman" w:hAnsi="Times New Roman"/>
        </w:rPr>
        <w:t>3</w:t>
      </w:r>
      <w:r>
        <w:rPr>
          <w:rFonts w:hint="eastAsia" w:ascii="Times New Roman" w:hAnsi="Times New Roman"/>
        </w:rPr>
        <w:t>）及有效合同复印件，若未提供相应业绩证明，根据技术标评分规则，将影响现场评标专家组对投标单位业绩判定打分；</w:t>
      </w:r>
    </w:p>
    <w:p w14:paraId="5902FD8C">
      <w:pPr>
        <w:pStyle w:val="11"/>
        <w:numPr>
          <w:ilvl w:val="2"/>
          <w:numId w:val="11"/>
        </w:numPr>
        <w:spacing w:line="440" w:lineRule="exact"/>
        <w:rPr>
          <w:rFonts w:ascii="Times New Roman" w:hAnsi="Times New Roman"/>
        </w:rPr>
      </w:pPr>
      <w:r>
        <w:rPr>
          <w:rFonts w:hint="eastAsia" w:ascii="Times New Roman" w:hAnsi="Times New Roman"/>
        </w:rPr>
        <w:t>供货期及保证措施；</w:t>
      </w:r>
    </w:p>
    <w:p w14:paraId="62C5D29A">
      <w:pPr>
        <w:pStyle w:val="11"/>
        <w:numPr>
          <w:ilvl w:val="2"/>
          <w:numId w:val="11"/>
        </w:numPr>
        <w:spacing w:line="440" w:lineRule="exact"/>
        <w:rPr>
          <w:rFonts w:ascii="Times New Roman" w:hAnsi="Times New Roman"/>
        </w:rPr>
      </w:pPr>
      <w:r>
        <w:rPr>
          <w:rFonts w:hint="eastAsia" w:ascii="Times New Roman" w:hAnsi="Times New Roman"/>
        </w:rPr>
        <w:t>产品的技术服务和售后服务内容及措施；</w:t>
      </w:r>
    </w:p>
    <w:p w14:paraId="5A2D499E">
      <w:pPr>
        <w:pStyle w:val="11"/>
        <w:numPr>
          <w:ilvl w:val="2"/>
          <w:numId w:val="11"/>
        </w:numPr>
        <w:spacing w:line="440" w:lineRule="exact"/>
        <w:rPr>
          <w:rFonts w:ascii="Times New Roman" w:hAnsi="Times New Roman"/>
        </w:rPr>
      </w:pPr>
      <w:r>
        <w:rPr>
          <w:rFonts w:hint="eastAsia" w:ascii="Times New Roman" w:hAnsi="Times New Roman"/>
        </w:rPr>
        <w:t>交货进度及计划；</w:t>
      </w:r>
    </w:p>
    <w:p w14:paraId="166E0CEA">
      <w:pPr>
        <w:pStyle w:val="11"/>
        <w:numPr>
          <w:ilvl w:val="2"/>
          <w:numId w:val="11"/>
        </w:numPr>
        <w:spacing w:line="440" w:lineRule="exact"/>
        <w:rPr>
          <w:rFonts w:ascii="Times New Roman" w:hAnsi="Times New Roman"/>
        </w:rPr>
      </w:pPr>
      <w:r>
        <w:rPr>
          <w:rFonts w:hint="eastAsia" w:ascii="Times New Roman" w:hAnsi="Times New Roman"/>
        </w:rPr>
        <w:t>投标产品技术支持材料；</w:t>
      </w:r>
    </w:p>
    <w:p w14:paraId="16F230AC">
      <w:pPr>
        <w:pStyle w:val="11"/>
        <w:numPr>
          <w:ilvl w:val="2"/>
          <w:numId w:val="11"/>
        </w:numPr>
        <w:spacing w:line="440" w:lineRule="exact"/>
        <w:rPr>
          <w:rFonts w:ascii="Times New Roman" w:hAnsi="Times New Roman"/>
        </w:rPr>
      </w:pPr>
      <w:r>
        <w:rPr>
          <w:rFonts w:hint="eastAsia" w:ascii="Times New Roman" w:hAnsi="Times New Roman"/>
        </w:rPr>
        <w:t>设备质量承诺函（附件</w:t>
      </w:r>
      <w:r>
        <w:rPr>
          <w:rFonts w:ascii="Times New Roman" w:hAnsi="Times New Roman"/>
        </w:rPr>
        <w:t>5</w:t>
      </w:r>
      <w:r>
        <w:rPr>
          <w:rFonts w:hint="eastAsia" w:ascii="Times New Roman" w:hAnsi="Times New Roman"/>
        </w:rPr>
        <w:t>）；</w:t>
      </w:r>
    </w:p>
    <w:p w14:paraId="6441EAC8">
      <w:pPr>
        <w:pStyle w:val="11"/>
        <w:numPr>
          <w:ilvl w:val="2"/>
          <w:numId w:val="11"/>
        </w:numPr>
        <w:spacing w:line="440" w:lineRule="exact"/>
        <w:rPr>
          <w:rFonts w:ascii="Times New Roman" w:hAnsi="Times New Roman"/>
        </w:rPr>
      </w:pPr>
      <w:r>
        <w:rPr>
          <w:rFonts w:hint="eastAsia" w:ascii="Times New Roman" w:hAnsi="Times New Roman"/>
        </w:rPr>
        <w:t>投标人需提交的其它资料。</w:t>
      </w:r>
    </w:p>
    <w:p w14:paraId="4FD8F29E">
      <w:pPr>
        <w:pStyle w:val="11"/>
        <w:numPr>
          <w:ilvl w:val="1"/>
          <w:numId w:val="11"/>
        </w:numPr>
        <w:spacing w:before="78" w:beforeLines="25" w:line="440" w:lineRule="exact"/>
        <w:outlineLvl w:val="3"/>
        <w:rPr>
          <w:rFonts w:ascii="Times New Roman" w:hAnsi="Times New Roman" w:eastAsia="黑体" w:cs="黑体"/>
          <w:bCs/>
          <w:szCs w:val="21"/>
        </w:rPr>
      </w:pPr>
      <w:r>
        <w:rPr>
          <w:rFonts w:hint="eastAsia" w:ascii="Times New Roman" w:hAnsi="Times New Roman" w:eastAsia="黑体" w:cs="黑体"/>
          <w:bCs/>
          <w:szCs w:val="21"/>
        </w:rPr>
        <w:t>商务标</w:t>
      </w:r>
    </w:p>
    <w:p w14:paraId="50E069D2">
      <w:pPr>
        <w:pStyle w:val="11"/>
        <w:numPr>
          <w:ilvl w:val="2"/>
          <w:numId w:val="11"/>
        </w:numPr>
        <w:spacing w:line="440" w:lineRule="exact"/>
        <w:rPr>
          <w:rFonts w:ascii="Times New Roman" w:hAnsi="Times New Roman"/>
        </w:rPr>
      </w:pPr>
      <w:r>
        <w:rPr>
          <w:rFonts w:hint="eastAsia" w:ascii="Times New Roman" w:hAnsi="Times New Roman"/>
        </w:rPr>
        <w:t>开标一览表（附件</w:t>
      </w:r>
      <w:r>
        <w:rPr>
          <w:rFonts w:ascii="Times New Roman" w:hAnsi="Times New Roman"/>
        </w:rPr>
        <w:t>6</w:t>
      </w:r>
      <w:r>
        <w:rPr>
          <w:rFonts w:hint="eastAsia" w:ascii="Times New Roman" w:hAnsi="Times New Roman"/>
        </w:rPr>
        <w:t>）；</w:t>
      </w:r>
    </w:p>
    <w:p w14:paraId="4C486FA3">
      <w:pPr>
        <w:pStyle w:val="11"/>
        <w:numPr>
          <w:ilvl w:val="2"/>
          <w:numId w:val="11"/>
        </w:numPr>
        <w:spacing w:line="440" w:lineRule="exact"/>
        <w:rPr>
          <w:rFonts w:ascii="Times New Roman" w:hAnsi="Times New Roman"/>
        </w:rPr>
      </w:pPr>
      <w:r>
        <w:rPr>
          <w:rFonts w:hint="eastAsia" w:ascii="Times New Roman" w:hAnsi="Times New Roman"/>
        </w:rPr>
        <w:t>商务条款偏离表（附件7）；</w:t>
      </w:r>
    </w:p>
    <w:p w14:paraId="11EF8B99">
      <w:pPr>
        <w:pStyle w:val="11"/>
        <w:numPr>
          <w:ilvl w:val="2"/>
          <w:numId w:val="11"/>
        </w:numPr>
        <w:spacing w:line="440" w:lineRule="exact"/>
        <w:rPr>
          <w:rFonts w:ascii="Times New Roman" w:hAnsi="Times New Roman"/>
        </w:rPr>
      </w:pPr>
      <w:r>
        <w:rPr>
          <w:rFonts w:hint="eastAsia" w:ascii="Times New Roman" w:hAnsi="Times New Roman"/>
        </w:rPr>
        <w:t>分项报价表（附件8）；</w:t>
      </w:r>
    </w:p>
    <w:p w14:paraId="2DCB15B8">
      <w:pPr>
        <w:pStyle w:val="10"/>
        <w:numPr>
          <w:ilvl w:val="0"/>
          <w:numId w:val="10"/>
        </w:numPr>
        <w:spacing w:before="156" w:beforeLines="50" w:after="156" w:afterLines="50" w:line="440" w:lineRule="exact"/>
        <w:outlineLvl w:val="2"/>
        <w:rPr>
          <w:rFonts w:ascii="Times New Roman" w:hAnsi="Times New Roman" w:cs="黑体"/>
          <w:b w:val="0"/>
          <w:sz w:val="24"/>
          <w:szCs w:val="24"/>
        </w:rPr>
      </w:pPr>
      <w:r>
        <w:rPr>
          <w:rFonts w:hint="eastAsia" w:ascii="Times New Roman" w:hAnsi="Times New Roman" w:cs="黑体"/>
          <w:b w:val="0"/>
          <w:sz w:val="24"/>
          <w:szCs w:val="24"/>
        </w:rPr>
        <w:t>投标文件的投递</w:t>
      </w:r>
    </w:p>
    <w:p w14:paraId="630D02F7">
      <w:pPr>
        <w:pStyle w:val="11"/>
        <w:numPr>
          <w:ilvl w:val="1"/>
          <w:numId w:val="10"/>
        </w:numPr>
        <w:spacing w:line="440" w:lineRule="exact"/>
        <w:outlineLvl w:val="3"/>
        <w:rPr>
          <w:rFonts w:ascii="Times New Roman" w:hAnsi="Times New Roman"/>
        </w:rPr>
      </w:pPr>
      <w:r>
        <w:rPr>
          <w:rFonts w:hint="eastAsia" w:ascii="Times New Roman" w:hAnsi="Times New Roman"/>
        </w:rPr>
        <w:t>投标方式</w:t>
      </w:r>
    </w:p>
    <w:p w14:paraId="0537B6BE">
      <w:pPr>
        <w:pStyle w:val="11"/>
        <w:spacing w:line="440" w:lineRule="exact"/>
        <w:ind w:firstLine="420" w:firstLineChars="200"/>
        <w:rPr>
          <w:rFonts w:ascii="Times New Roman" w:hAnsi="Times New Roman"/>
        </w:rPr>
      </w:pPr>
      <w:r>
        <w:rPr>
          <w:rFonts w:hint="eastAsia" w:ascii="Times New Roman" w:hAnsi="Times New Roman"/>
        </w:rPr>
        <w:t>在中国重汽e采通平台应标成功后，进入“供应商投标”环节，投递盖章扫描版电子标书（包含资质标书、商务标书）</w:t>
      </w:r>
      <w:r>
        <w:rPr>
          <w:rFonts w:hint="eastAsia" w:ascii="Times New Roman" w:hAnsi="Times New Roman" w:cs="宋体"/>
          <w:sz w:val="24"/>
          <w:szCs w:val="24"/>
        </w:rPr>
        <w:t>，</w:t>
      </w:r>
      <w:r>
        <w:rPr>
          <w:rFonts w:hint="eastAsia" w:ascii="Times New Roman" w:hAnsi="Times New Roman"/>
        </w:rPr>
        <w:t>用“公司名称+文件名称”命名。</w:t>
      </w:r>
      <w:r>
        <w:rPr>
          <w:rFonts w:hint="eastAsia" w:ascii="Times New Roman" w:hAnsi="Times New Roman"/>
          <w:b/>
          <w:bCs/>
        </w:rPr>
        <w:t>若逾期未在中国重汽e采通平台上传电子标书，即便递交了纸质版投标文件，一律视为无效投标。</w:t>
      </w:r>
    </w:p>
    <w:p w14:paraId="456A57E9">
      <w:pPr>
        <w:pStyle w:val="11"/>
        <w:numPr>
          <w:ilvl w:val="1"/>
          <w:numId w:val="10"/>
        </w:numPr>
        <w:spacing w:before="78" w:beforeLines="25" w:line="440" w:lineRule="exact"/>
        <w:outlineLvl w:val="3"/>
        <w:rPr>
          <w:rFonts w:ascii="Times New Roman" w:hAnsi="Times New Roman"/>
        </w:rPr>
      </w:pPr>
      <w:r>
        <w:rPr>
          <w:rFonts w:hint="eastAsia" w:ascii="Times New Roman" w:hAnsi="Times New Roman"/>
        </w:rPr>
        <w:t>投标文件递交截止时间：</w:t>
      </w:r>
      <w:r>
        <w:rPr>
          <w:rFonts w:hint="eastAsia" w:ascii="Times New Roman" w:hAnsi="Times New Roman"/>
          <w:u w:val="single"/>
        </w:rPr>
        <w:t>202</w:t>
      </w:r>
      <w:r>
        <w:rPr>
          <w:rFonts w:ascii="Times New Roman" w:hAnsi="Times New Roman"/>
          <w:u w:val="single"/>
        </w:rPr>
        <w:t>6</w:t>
      </w:r>
      <w:r>
        <w:rPr>
          <w:rFonts w:hint="eastAsia" w:ascii="Times New Roman" w:hAnsi="Times New Roman"/>
          <w:u w:val="single"/>
        </w:rPr>
        <w:t>年</w:t>
      </w:r>
      <w:r>
        <w:rPr>
          <w:rFonts w:hint="eastAsia" w:ascii="Times New Roman" w:hAnsi="Times New Roman"/>
          <w:u w:val="single"/>
          <w:lang w:val="en-US" w:eastAsia="zh-CN"/>
        </w:rPr>
        <w:t>6</w:t>
      </w:r>
      <w:r>
        <w:rPr>
          <w:rFonts w:hint="eastAsia" w:ascii="Times New Roman" w:hAnsi="Times New Roman"/>
          <w:u w:val="single"/>
        </w:rPr>
        <w:t>月</w:t>
      </w:r>
      <w:r>
        <w:rPr>
          <w:rFonts w:hint="eastAsia" w:ascii="Times New Roman" w:hAnsi="Times New Roman"/>
          <w:u w:val="single"/>
          <w:lang w:val="en-US" w:eastAsia="zh-CN"/>
        </w:rPr>
        <w:t>16</w:t>
      </w:r>
      <w:r>
        <w:rPr>
          <w:rFonts w:hint="eastAsia" w:ascii="Times New Roman" w:hAnsi="Times New Roman"/>
          <w:u w:val="single"/>
        </w:rPr>
        <w:t>日09:00:00</w:t>
      </w:r>
      <w:r>
        <w:rPr>
          <w:rFonts w:ascii="Times New Roman" w:hAnsi="Times New Roman"/>
          <w:u w:val="single"/>
        </w:rPr>
        <w:t>（北京时间）</w:t>
      </w:r>
    </w:p>
    <w:p w14:paraId="1BBB6B06">
      <w:pPr>
        <w:pStyle w:val="10"/>
        <w:numPr>
          <w:ilvl w:val="0"/>
          <w:numId w:val="0"/>
        </w:numPr>
        <w:rPr>
          <w:rFonts w:ascii="Times New Roman" w:hAnsi="Times New Roman"/>
        </w:rPr>
      </w:pPr>
      <w:bookmarkStart w:id="3" w:name="_Toc47976601"/>
      <w:r>
        <w:rPr>
          <w:rFonts w:hint="eastAsia" w:hAnsi="黑体"/>
          <w:szCs w:val="28"/>
        </w:rPr>
        <w:t>五、</w:t>
      </w:r>
      <w:r>
        <w:rPr>
          <w:rFonts w:hint="eastAsia" w:ascii="Times New Roman" w:hAnsi="Times New Roman"/>
        </w:rPr>
        <w:t>投标保证金收取、缴纳有效期及罚没</w:t>
      </w:r>
    </w:p>
    <w:p w14:paraId="000595CF">
      <w:pPr>
        <w:pStyle w:val="10"/>
        <w:numPr>
          <w:ilvl w:val="0"/>
          <w:numId w:val="13"/>
        </w:numPr>
        <w:spacing w:before="156" w:beforeLines="50" w:after="156" w:afterLines="50" w:line="440" w:lineRule="exact"/>
        <w:outlineLvl w:val="2"/>
        <w:rPr>
          <w:rFonts w:ascii="Times New Roman" w:hAnsi="Times New Roman" w:cs="黑体"/>
          <w:b w:val="0"/>
          <w:bCs w:val="0"/>
          <w:sz w:val="24"/>
          <w:szCs w:val="24"/>
          <w:u w:val="single"/>
        </w:rPr>
      </w:pPr>
      <w:r>
        <w:rPr>
          <w:rFonts w:hint="eastAsia" w:ascii="Times New Roman" w:hAnsi="Times New Roman" w:cs="黑体"/>
          <w:b w:val="0"/>
          <w:bCs w:val="0"/>
          <w:sz w:val="24"/>
          <w:szCs w:val="24"/>
        </w:rPr>
        <w:t>投标保证金的缴纳</w:t>
      </w:r>
    </w:p>
    <w:p w14:paraId="7150C465">
      <w:pPr>
        <w:pStyle w:val="11"/>
        <w:numPr>
          <w:ilvl w:val="1"/>
          <w:numId w:val="14"/>
        </w:numPr>
        <w:spacing w:line="440" w:lineRule="exact"/>
        <w:outlineLvl w:val="3"/>
        <w:rPr>
          <w:rFonts w:ascii="Times New Roman" w:hAnsi="Times New Roman" w:cs="宋体"/>
          <w:szCs w:val="21"/>
          <w:u w:val="single"/>
        </w:rPr>
      </w:pPr>
      <w:r>
        <w:rPr>
          <w:rFonts w:hint="eastAsia" w:ascii="Times New Roman" w:hAnsi="Times New Roman" w:cs="宋体"/>
          <w:szCs w:val="21"/>
        </w:rPr>
        <w:t>投标保证金的缴纳形式：</w:t>
      </w:r>
      <w:r>
        <w:rPr>
          <w:rFonts w:hint="eastAsia" w:ascii="Times New Roman" w:hAnsi="Times New Roman" w:cs="宋体"/>
          <w:szCs w:val="21"/>
          <w:u w:val="single"/>
        </w:rPr>
        <w:t>提交银行投标保函或从银行基本账户转账</w:t>
      </w:r>
    </w:p>
    <w:p w14:paraId="428B3840">
      <w:pPr>
        <w:pStyle w:val="11"/>
        <w:numPr>
          <w:ilvl w:val="0"/>
          <w:numId w:val="15"/>
        </w:numPr>
        <w:spacing w:line="440" w:lineRule="exact"/>
        <w:rPr>
          <w:rFonts w:ascii="Times New Roman" w:hAnsi="Times New Roman" w:cs="宋体"/>
          <w:szCs w:val="21"/>
          <w:u w:val="single"/>
        </w:rPr>
      </w:pPr>
      <w:r>
        <w:rPr>
          <w:rFonts w:hint="eastAsia" w:ascii="Times New Roman" w:hAnsi="Times New Roman" w:cs="宋体"/>
          <w:szCs w:val="21"/>
        </w:rPr>
        <w:t>选择提交银行投标保函的拟投标人，应在开标时提交投标保函正本，作为《投标文件》的一部分，该投标保函应是不可撤销的“见索即付”保函，保函有效期应满足投标有效期要求，由招标人留存保函正本。</w:t>
      </w:r>
    </w:p>
    <w:p w14:paraId="71F9C3B1">
      <w:pPr>
        <w:pStyle w:val="11"/>
        <w:numPr>
          <w:ilvl w:val="0"/>
          <w:numId w:val="15"/>
        </w:numPr>
        <w:spacing w:line="440" w:lineRule="exact"/>
        <w:rPr>
          <w:rFonts w:ascii="Times New Roman" w:hAnsi="Times New Roman" w:cs="宋体"/>
          <w:szCs w:val="21"/>
          <w:u w:val="single"/>
        </w:rPr>
      </w:pPr>
      <w:r>
        <w:rPr>
          <w:rFonts w:hint="eastAsia" w:ascii="Times New Roman" w:hAnsi="Times New Roman" w:cs="宋体"/>
          <w:szCs w:val="21"/>
        </w:rPr>
        <w:t>选择从银行基本账户转账的拟投标人，须在规定的时间之前将投标保证金从其单位基本帐户转出并到账，否则视为无效投标；未按规定提交保证金的拟投标人，其投标文件视为无效投标。拟投标人应充分考虑银行信息交换时间，由此带来的保证金不能按时到帐的责任由拟投标人自行承担。</w:t>
      </w:r>
    </w:p>
    <w:p w14:paraId="15D55257">
      <w:pPr>
        <w:pStyle w:val="11"/>
        <w:numPr>
          <w:ilvl w:val="1"/>
          <w:numId w:val="14"/>
        </w:numPr>
        <w:spacing w:line="440" w:lineRule="exact"/>
        <w:outlineLvl w:val="3"/>
        <w:rPr>
          <w:rFonts w:ascii="Times New Roman" w:hAnsi="Times New Roman"/>
        </w:rPr>
      </w:pPr>
      <w:r>
        <w:rPr>
          <w:rFonts w:hint="eastAsia" w:ascii="Times New Roman" w:hAnsi="Times New Roman"/>
        </w:rPr>
        <w:t>投标保证金的金额：人民币20000元</w:t>
      </w:r>
    </w:p>
    <w:p w14:paraId="33C4A2F5">
      <w:pPr>
        <w:tabs>
          <w:tab w:val="left" w:pos="932"/>
        </w:tabs>
        <w:spacing w:line="440" w:lineRule="exact"/>
        <w:ind w:firstLine="420" w:firstLineChars="200"/>
        <w:rPr>
          <w:rFonts w:cs="宋体"/>
          <w:szCs w:val="21"/>
        </w:rPr>
      </w:pPr>
      <w:r>
        <w:rPr>
          <w:rFonts w:hint="eastAsia" w:cs="宋体"/>
          <w:szCs w:val="21"/>
        </w:rPr>
        <w:t>账户名称：中国重汽集团济南动力有限公司</w:t>
      </w:r>
      <w:r>
        <w:rPr>
          <w:rFonts w:cs="宋体"/>
          <w:szCs w:val="21"/>
        </w:rPr>
        <w:t xml:space="preserve"> </w:t>
      </w:r>
    </w:p>
    <w:p w14:paraId="19AC5232">
      <w:pPr>
        <w:tabs>
          <w:tab w:val="left" w:pos="932"/>
        </w:tabs>
        <w:spacing w:line="440" w:lineRule="exact"/>
        <w:ind w:firstLine="420" w:firstLineChars="200"/>
        <w:rPr>
          <w:rFonts w:cs="宋体"/>
          <w:szCs w:val="21"/>
        </w:rPr>
      </w:pPr>
      <w:r>
        <w:rPr>
          <w:rFonts w:hint="eastAsia" w:cs="宋体"/>
          <w:szCs w:val="21"/>
        </w:rPr>
        <w:t>银行账号：</w:t>
      </w:r>
      <w:r>
        <w:rPr>
          <w:rFonts w:cs="宋体"/>
          <w:szCs w:val="21"/>
        </w:rPr>
        <w:t xml:space="preserve">376010100101373547 </w:t>
      </w:r>
    </w:p>
    <w:p w14:paraId="02D9FCB1">
      <w:pPr>
        <w:tabs>
          <w:tab w:val="left" w:pos="932"/>
        </w:tabs>
        <w:spacing w:line="440" w:lineRule="exact"/>
        <w:ind w:firstLine="420" w:firstLineChars="200"/>
        <w:rPr>
          <w:rFonts w:cs="宋体"/>
          <w:szCs w:val="21"/>
        </w:rPr>
      </w:pPr>
      <w:r>
        <w:rPr>
          <w:rFonts w:hint="eastAsia" w:cs="宋体"/>
          <w:szCs w:val="21"/>
        </w:rPr>
        <w:t>开户银行：兴业银行股份有限公司济南分行营业部</w:t>
      </w:r>
      <w:r>
        <w:rPr>
          <w:rFonts w:cs="宋体"/>
          <w:szCs w:val="21"/>
        </w:rPr>
        <w:t xml:space="preserve"> </w:t>
      </w:r>
    </w:p>
    <w:p w14:paraId="7FBFD270">
      <w:pPr>
        <w:tabs>
          <w:tab w:val="left" w:pos="932"/>
        </w:tabs>
        <w:spacing w:line="440" w:lineRule="exact"/>
        <w:ind w:firstLine="420" w:firstLineChars="200"/>
        <w:rPr>
          <w:rFonts w:cs="宋体"/>
          <w:szCs w:val="21"/>
        </w:rPr>
      </w:pPr>
      <w:r>
        <w:rPr>
          <w:rFonts w:hint="eastAsia" w:cs="宋体"/>
          <w:szCs w:val="21"/>
        </w:rPr>
        <w:t>联行号：</w:t>
      </w:r>
      <w:r>
        <w:rPr>
          <w:rFonts w:cs="宋体"/>
          <w:szCs w:val="21"/>
        </w:rPr>
        <w:t>309451013018</w:t>
      </w:r>
    </w:p>
    <w:p w14:paraId="7CF8FF1C">
      <w:pPr>
        <w:pStyle w:val="11"/>
        <w:numPr>
          <w:ilvl w:val="0"/>
          <w:numId w:val="15"/>
        </w:numPr>
        <w:spacing w:line="440" w:lineRule="exact"/>
        <w:ind w:firstLine="420" w:firstLineChars="200"/>
        <w:rPr>
          <w:rFonts w:ascii="Times New Roman" w:hAnsi="Times New Roman" w:cs="宋体"/>
          <w:szCs w:val="21"/>
        </w:rPr>
      </w:pPr>
      <w:r>
        <w:rPr>
          <w:rFonts w:hint="eastAsia" w:ascii="Times New Roman" w:hAnsi="Times New Roman" w:cs="宋体"/>
          <w:szCs w:val="21"/>
        </w:rPr>
        <w:t>转账附言：公司名称+项目名称+投标保证金。</w:t>
      </w:r>
    </w:p>
    <w:p w14:paraId="775FBFA4">
      <w:pPr>
        <w:tabs>
          <w:tab w:val="left" w:pos="932"/>
        </w:tabs>
        <w:spacing w:line="440" w:lineRule="exact"/>
        <w:ind w:firstLine="420" w:firstLineChars="200"/>
        <w:rPr>
          <w:rFonts w:cs="宋体"/>
          <w:szCs w:val="21"/>
        </w:rPr>
      </w:pPr>
      <w:r>
        <w:rPr>
          <w:rFonts w:cs="宋体"/>
          <w:szCs w:val="21"/>
        </w:rPr>
        <w:t>转账时，请注意备注</w:t>
      </w:r>
      <w:r>
        <w:rPr>
          <w:rFonts w:hint="eastAsia" w:cs="宋体"/>
          <w:szCs w:val="21"/>
        </w:rPr>
        <w:t>公司名称+项目名称+投标保证金</w:t>
      </w:r>
      <w:r>
        <w:rPr>
          <w:rFonts w:cs="宋体"/>
          <w:szCs w:val="21"/>
        </w:rPr>
        <w:t>，方便后期核对退款。</w:t>
      </w:r>
    </w:p>
    <w:p w14:paraId="2F47FB21">
      <w:pPr>
        <w:tabs>
          <w:tab w:val="left" w:pos="932"/>
        </w:tabs>
        <w:spacing w:line="440" w:lineRule="exact"/>
        <w:ind w:firstLine="420" w:firstLineChars="200"/>
        <w:rPr>
          <w:rFonts w:cs="宋体"/>
          <w:szCs w:val="21"/>
        </w:rPr>
      </w:pPr>
      <w:r>
        <w:rPr>
          <w:rFonts w:hint="eastAsia" w:cs="宋体"/>
          <w:szCs w:val="21"/>
        </w:rPr>
        <w:t>交纳保证金之后请发送报名邮件至邮箱：</w:t>
      </w:r>
      <w:r>
        <w:rPr>
          <w:rFonts w:hint="eastAsia"/>
        </w:rPr>
        <w:t>zhengjiahao@sinotruk.com</w:t>
      </w:r>
      <w:r>
        <w:rPr>
          <w:rFonts w:hint="eastAsia" w:cs="宋体"/>
          <w:szCs w:val="21"/>
        </w:rPr>
        <w:t>。</w:t>
      </w:r>
    </w:p>
    <w:p w14:paraId="7779E0E6">
      <w:pPr>
        <w:tabs>
          <w:tab w:val="left" w:pos="932"/>
        </w:tabs>
        <w:spacing w:line="440" w:lineRule="exact"/>
        <w:ind w:firstLine="420" w:firstLineChars="200"/>
        <w:rPr>
          <w:rFonts w:cs="宋体"/>
          <w:szCs w:val="21"/>
        </w:rPr>
      </w:pPr>
      <w:r>
        <w:rPr>
          <w:rFonts w:hint="eastAsia" w:cs="宋体"/>
          <w:szCs w:val="21"/>
        </w:rPr>
        <w:t>投标邮件主题：某单位授权某代表参与投标某项目+授权代表电话。</w:t>
      </w:r>
    </w:p>
    <w:p w14:paraId="19B5D570">
      <w:pPr>
        <w:tabs>
          <w:tab w:val="left" w:pos="932"/>
        </w:tabs>
        <w:spacing w:line="440" w:lineRule="exact"/>
        <w:ind w:firstLine="420" w:firstLineChars="200"/>
        <w:rPr>
          <w:rFonts w:cs="宋体"/>
          <w:szCs w:val="21"/>
        </w:rPr>
      </w:pPr>
      <w:r>
        <w:rPr>
          <w:rFonts w:hint="eastAsia" w:cs="宋体"/>
          <w:szCs w:val="21"/>
        </w:rPr>
        <w:t>报名提交资料：保证金回执</w:t>
      </w:r>
    </w:p>
    <w:p w14:paraId="6FC9E328">
      <w:pPr>
        <w:tabs>
          <w:tab w:val="left" w:pos="932"/>
        </w:tabs>
        <w:spacing w:line="440" w:lineRule="exact"/>
        <w:ind w:firstLine="420" w:firstLineChars="200"/>
        <w:rPr>
          <w:rFonts w:cs="宋体"/>
          <w:szCs w:val="21"/>
        </w:rPr>
      </w:pPr>
      <w:r>
        <w:rPr>
          <w:rFonts w:hint="eastAsia" w:cs="宋体"/>
          <w:szCs w:val="21"/>
        </w:rPr>
        <w:t>投标邮件正文：请务必在邮件正文中文字描述付款账户、付款账号、开户行名称、开户行行号、保证金金额、税号、注册时间、注册资金、法人代表（姓名）、公司地址。</w:t>
      </w:r>
    </w:p>
    <w:p w14:paraId="2F1C5B96">
      <w:pPr>
        <w:tabs>
          <w:tab w:val="left" w:pos="932"/>
        </w:tabs>
        <w:spacing w:line="440" w:lineRule="exact"/>
        <w:ind w:firstLine="420" w:firstLineChars="200"/>
        <w:rPr>
          <w:rFonts w:cs="宋体"/>
          <w:szCs w:val="21"/>
        </w:rPr>
      </w:pPr>
      <w:r>
        <w:rPr>
          <w:rFonts w:cs="宋体"/>
          <w:szCs w:val="21"/>
        </w:rPr>
        <w:t>未按照本要求提供信息，导致保证金退回困难等事宜，由投标单位承担。</w:t>
      </w:r>
    </w:p>
    <w:p w14:paraId="6DF24C40">
      <w:pPr>
        <w:pStyle w:val="11"/>
        <w:numPr>
          <w:ilvl w:val="1"/>
          <w:numId w:val="14"/>
        </w:numPr>
        <w:spacing w:line="440" w:lineRule="exact"/>
        <w:outlineLvl w:val="3"/>
        <w:rPr>
          <w:rFonts w:ascii="Times New Roman" w:hAnsi="Times New Roman" w:cs="宋体"/>
          <w:szCs w:val="21"/>
        </w:rPr>
      </w:pPr>
      <w:r>
        <w:rPr>
          <w:rFonts w:hint="eastAsia" w:ascii="Times New Roman" w:hAnsi="Times New Roman" w:cs="宋体"/>
          <w:szCs w:val="21"/>
        </w:rPr>
        <w:t>保证金缴纳</w:t>
      </w:r>
      <w:r>
        <w:rPr>
          <w:rFonts w:hint="eastAsia" w:ascii="Times New Roman" w:hAnsi="Times New Roman"/>
        </w:rPr>
        <w:t>截止</w:t>
      </w:r>
      <w:r>
        <w:rPr>
          <w:rFonts w:hint="eastAsia" w:ascii="Times New Roman" w:hAnsi="Times New Roman" w:cs="宋体"/>
          <w:szCs w:val="21"/>
        </w:rPr>
        <w:t>时间：</w:t>
      </w:r>
      <w:r>
        <w:rPr>
          <w:rFonts w:hint="eastAsia" w:ascii="Times New Roman" w:hAnsi="Times New Roman"/>
          <w:u w:val="single"/>
        </w:rPr>
        <w:t>202</w:t>
      </w:r>
      <w:r>
        <w:rPr>
          <w:rFonts w:ascii="Times New Roman" w:hAnsi="Times New Roman"/>
          <w:u w:val="single"/>
        </w:rPr>
        <w:t>6</w:t>
      </w:r>
      <w:r>
        <w:rPr>
          <w:rFonts w:hint="eastAsia" w:ascii="Times New Roman" w:hAnsi="Times New Roman"/>
          <w:u w:val="single"/>
        </w:rPr>
        <w:t>年</w:t>
      </w:r>
      <w:r>
        <w:rPr>
          <w:rFonts w:hint="eastAsia" w:ascii="Times New Roman" w:hAnsi="Times New Roman"/>
          <w:u w:val="single"/>
          <w:lang w:val="en-US" w:eastAsia="zh-CN"/>
        </w:rPr>
        <w:t>6</w:t>
      </w:r>
      <w:r>
        <w:rPr>
          <w:rFonts w:hint="eastAsia" w:ascii="Times New Roman" w:hAnsi="Times New Roman"/>
          <w:u w:val="single"/>
        </w:rPr>
        <w:t>月</w:t>
      </w:r>
      <w:r>
        <w:rPr>
          <w:rFonts w:hint="eastAsia" w:ascii="Times New Roman" w:hAnsi="Times New Roman" w:cs="宋体"/>
          <w:u w:val="single"/>
          <w:lang w:val="en-US" w:eastAsia="zh-CN"/>
        </w:rPr>
        <w:t>16</w:t>
      </w:r>
      <w:r>
        <w:rPr>
          <w:rFonts w:hint="eastAsia" w:ascii="Times New Roman" w:hAnsi="Times New Roman" w:cs="宋体"/>
          <w:u w:val="single"/>
        </w:rPr>
        <w:t>日</w:t>
      </w:r>
      <w:r>
        <w:rPr>
          <w:rFonts w:hint="eastAsia" w:ascii="Times New Roman" w:hAnsi="Times New Roman" w:cs="宋体"/>
          <w:u w:val="single"/>
          <w:lang w:val="en-US" w:eastAsia="zh-CN"/>
        </w:rPr>
        <w:t>9</w:t>
      </w:r>
      <w:r>
        <w:rPr>
          <w:rFonts w:hint="eastAsia" w:ascii="Times New Roman" w:hAnsi="Times New Roman"/>
          <w:u w:val="single"/>
        </w:rPr>
        <w:t>:00:00</w:t>
      </w:r>
      <w:r>
        <w:rPr>
          <w:rFonts w:ascii="Times New Roman" w:hAnsi="Times New Roman"/>
        </w:rPr>
        <w:t>（北京时间）</w:t>
      </w:r>
    </w:p>
    <w:p w14:paraId="03642D63">
      <w:pPr>
        <w:pStyle w:val="10"/>
        <w:numPr>
          <w:ilvl w:val="0"/>
          <w:numId w:val="13"/>
        </w:numPr>
        <w:spacing w:before="156" w:beforeLines="50" w:after="156" w:afterLines="50" w:line="440" w:lineRule="exact"/>
        <w:outlineLvl w:val="2"/>
        <w:rPr>
          <w:rFonts w:ascii="Times New Roman" w:hAnsi="Times New Roman" w:cs="黑体"/>
          <w:b w:val="0"/>
          <w:bCs w:val="0"/>
          <w:sz w:val="24"/>
          <w:szCs w:val="24"/>
        </w:rPr>
      </w:pPr>
      <w:r>
        <w:rPr>
          <w:rFonts w:hint="eastAsia" w:ascii="Times New Roman" w:hAnsi="Times New Roman" w:cs="黑体"/>
          <w:b w:val="0"/>
          <w:bCs w:val="0"/>
          <w:sz w:val="24"/>
          <w:szCs w:val="24"/>
        </w:rPr>
        <w:t>对于没有中标的投标人，投标保证金将于招标人内部完成中标人评审并确认最终中标人后</w:t>
      </w:r>
      <w:r>
        <w:rPr>
          <w:rFonts w:hint="eastAsia" w:ascii="Times New Roman" w:hAnsi="Times New Roman" w:cs="黑体"/>
          <w:b w:val="0"/>
          <w:bCs w:val="0"/>
          <w:sz w:val="24"/>
          <w:szCs w:val="24"/>
          <w:u w:val="single"/>
        </w:rPr>
        <w:t>一个付款周期</w:t>
      </w:r>
      <w:r>
        <w:rPr>
          <w:rFonts w:hint="eastAsia" w:ascii="Times New Roman" w:hAnsi="Times New Roman" w:cs="黑体"/>
          <w:b w:val="0"/>
          <w:bCs w:val="0"/>
          <w:sz w:val="24"/>
          <w:szCs w:val="24"/>
        </w:rPr>
        <w:t>予以原路返还（无息）；对于中标方，投标保证金将在签订合同后</w:t>
      </w:r>
      <w:r>
        <w:rPr>
          <w:rFonts w:hint="eastAsia" w:ascii="Times New Roman" w:hAnsi="Times New Roman" w:cs="黑体"/>
          <w:b w:val="0"/>
          <w:bCs w:val="0"/>
          <w:sz w:val="24"/>
          <w:szCs w:val="24"/>
          <w:u w:val="single"/>
        </w:rPr>
        <w:t>一个付款周期</w:t>
      </w:r>
      <w:r>
        <w:rPr>
          <w:rFonts w:hint="eastAsia" w:ascii="Times New Roman" w:hAnsi="Times New Roman" w:cs="黑体"/>
          <w:b w:val="0"/>
          <w:bCs w:val="0"/>
          <w:sz w:val="24"/>
          <w:szCs w:val="24"/>
        </w:rPr>
        <w:t>原路返还（无息）。</w:t>
      </w:r>
    </w:p>
    <w:p w14:paraId="352DE570">
      <w:pPr>
        <w:pStyle w:val="10"/>
        <w:numPr>
          <w:ilvl w:val="0"/>
          <w:numId w:val="13"/>
        </w:numPr>
        <w:spacing w:before="156" w:beforeLines="50" w:after="156" w:afterLines="50" w:line="440" w:lineRule="exact"/>
        <w:outlineLvl w:val="2"/>
        <w:rPr>
          <w:rFonts w:ascii="Times New Roman" w:hAnsi="Times New Roman" w:cs="黑体"/>
          <w:b w:val="0"/>
          <w:bCs w:val="0"/>
          <w:sz w:val="24"/>
          <w:szCs w:val="24"/>
        </w:rPr>
      </w:pPr>
      <w:r>
        <w:rPr>
          <w:rFonts w:hint="eastAsia" w:ascii="Times New Roman" w:hAnsi="Times New Roman" w:cs="黑体"/>
          <w:b w:val="0"/>
          <w:bCs w:val="0"/>
          <w:sz w:val="24"/>
          <w:szCs w:val="24"/>
        </w:rPr>
        <w:t>发生以下情况时，有权没收保证金：</w:t>
      </w:r>
    </w:p>
    <w:p w14:paraId="3CC7D58D">
      <w:pPr>
        <w:pStyle w:val="11"/>
        <w:numPr>
          <w:ilvl w:val="1"/>
          <w:numId w:val="13"/>
        </w:numPr>
        <w:spacing w:line="440" w:lineRule="exact"/>
        <w:rPr>
          <w:rFonts w:ascii="Times New Roman" w:hAnsi="Times New Roman"/>
        </w:rPr>
      </w:pPr>
      <w:r>
        <w:rPr>
          <w:rFonts w:hint="eastAsia" w:ascii="Times New Roman" w:hAnsi="Times New Roman" w:cs="宋体"/>
          <w:szCs w:val="21"/>
        </w:rPr>
        <w:t>供</w:t>
      </w:r>
      <w:r>
        <w:rPr>
          <w:rFonts w:hint="eastAsia" w:ascii="Times New Roman" w:hAnsi="Times New Roman"/>
        </w:rPr>
        <w:t>应商在提交响应文件截止时间后撤回响应文件的；</w:t>
      </w:r>
    </w:p>
    <w:p w14:paraId="59585039">
      <w:pPr>
        <w:pStyle w:val="11"/>
        <w:numPr>
          <w:ilvl w:val="1"/>
          <w:numId w:val="13"/>
        </w:numPr>
        <w:spacing w:line="440" w:lineRule="exact"/>
        <w:rPr>
          <w:rFonts w:ascii="Times New Roman" w:hAnsi="Times New Roman"/>
        </w:rPr>
      </w:pPr>
      <w:r>
        <w:rPr>
          <w:rFonts w:hint="eastAsia" w:ascii="Times New Roman" w:hAnsi="Times New Roman"/>
        </w:rPr>
        <w:t>供应商在响应文件中提供虚假材料的；</w:t>
      </w:r>
    </w:p>
    <w:p w14:paraId="2C0A77EB">
      <w:pPr>
        <w:pStyle w:val="11"/>
        <w:numPr>
          <w:ilvl w:val="1"/>
          <w:numId w:val="13"/>
        </w:numPr>
        <w:spacing w:line="440" w:lineRule="exact"/>
        <w:rPr>
          <w:rFonts w:ascii="Times New Roman" w:hAnsi="Times New Roman"/>
        </w:rPr>
      </w:pPr>
      <w:r>
        <w:rPr>
          <w:rFonts w:hint="eastAsia" w:ascii="Times New Roman" w:hAnsi="Times New Roman"/>
        </w:rPr>
        <w:t>除因不可抗力或谈判文件、询价通知书认可的情形以外，成交供应商不与采购人签订合同的；</w:t>
      </w:r>
    </w:p>
    <w:p w14:paraId="28A74AB7">
      <w:pPr>
        <w:pStyle w:val="11"/>
        <w:numPr>
          <w:ilvl w:val="1"/>
          <w:numId w:val="13"/>
        </w:numPr>
        <w:spacing w:line="440" w:lineRule="exact"/>
        <w:rPr>
          <w:rFonts w:ascii="Times New Roman" w:hAnsi="Times New Roman"/>
        </w:rPr>
      </w:pPr>
      <w:r>
        <w:rPr>
          <w:rFonts w:hint="eastAsia" w:ascii="Times New Roman" w:hAnsi="Times New Roman"/>
        </w:rPr>
        <w:t>供应商与采购人、其他供应商或者采购代理机构恶意串通、围标、陪标的；</w:t>
      </w:r>
    </w:p>
    <w:p w14:paraId="34EA07E0">
      <w:pPr>
        <w:pStyle w:val="11"/>
        <w:numPr>
          <w:ilvl w:val="1"/>
          <w:numId w:val="13"/>
        </w:numPr>
        <w:spacing w:line="440" w:lineRule="exact"/>
        <w:rPr>
          <w:rFonts w:ascii="Times New Roman" w:hAnsi="Times New Roman"/>
        </w:rPr>
      </w:pPr>
      <w:r>
        <w:rPr>
          <w:rFonts w:hint="eastAsia" w:ascii="Times New Roman" w:hAnsi="Times New Roman"/>
        </w:rPr>
        <w:t>供应商有违约违规行为或被投诉、举报的，在调查处理期间，保证金暂不退还，待调查处理结束后按有关规定处理。</w:t>
      </w:r>
    </w:p>
    <w:p w14:paraId="113CFB76">
      <w:pPr>
        <w:pStyle w:val="11"/>
        <w:numPr>
          <w:ilvl w:val="1"/>
          <w:numId w:val="13"/>
        </w:numPr>
        <w:spacing w:line="440" w:lineRule="exact"/>
        <w:rPr>
          <w:rFonts w:ascii="Times New Roman" w:hAnsi="Times New Roman"/>
        </w:rPr>
      </w:pPr>
      <w:r>
        <w:rPr>
          <w:rFonts w:hint="eastAsia" w:ascii="Times New Roman" w:hAnsi="Times New Roman"/>
        </w:rPr>
        <w:t>截至开标前3天，投标人无正当理由、未以书面形式向招标人递交说明而在投标截止日不来投标的。</w:t>
      </w:r>
    </w:p>
    <w:p w14:paraId="6B87A499">
      <w:pPr>
        <w:pStyle w:val="11"/>
        <w:numPr>
          <w:ilvl w:val="1"/>
          <w:numId w:val="13"/>
        </w:numPr>
        <w:spacing w:line="440" w:lineRule="exact"/>
        <w:rPr>
          <w:rFonts w:ascii="Times New Roman" w:hAnsi="Times New Roman"/>
        </w:rPr>
      </w:pPr>
      <w:r>
        <w:rPr>
          <w:rFonts w:hint="eastAsia" w:ascii="Times New Roman" w:hAnsi="Times New Roman"/>
        </w:rPr>
        <w:t>自中标通知书发出之日起30日内，中标人无正当理由投标人无正当签订合同的；</w:t>
      </w:r>
    </w:p>
    <w:p w14:paraId="4DC26D67">
      <w:pPr>
        <w:pStyle w:val="11"/>
        <w:numPr>
          <w:ilvl w:val="1"/>
          <w:numId w:val="13"/>
        </w:numPr>
        <w:spacing w:line="440" w:lineRule="exact"/>
        <w:rPr>
          <w:rFonts w:ascii="Times New Roman" w:hAnsi="Times New Roman" w:eastAsia="仿宋_GB2312" w:cs="宋体"/>
          <w:szCs w:val="24"/>
        </w:rPr>
      </w:pPr>
      <w:r>
        <w:rPr>
          <w:rFonts w:hint="eastAsia" w:ascii="Times New Roman" w:hAnsi="Times New Roman"/>
        </w:rPr>
        <w:t>采购文件规定</w:t>
      </w:r>
      <w:r>
        <w:rPr>
          <w:rFonts w:hint="eastAsia" w:ascii="Times New Roman" w:hAnsi="Times New Roman" w:cs="宋体"/>
          <w:szCs w:val="21"/>
        </w:rPr>
        <w:t>的其他情形。</w:t>
      </w:r>
    </w:p>
    <w:bookmarkEnd w:id="3"/>
    <w:p w14:paraId="36EBF0F2">
      <w:pPr>
        <w:pStyle w:val="10"/>
        <w:numPr>
          <w:ilvl w:val="0"/>
          <w:numId w:val="0"/>
        </w:numPr>
        <w:rPr>
          <w:rFonts w:ascii="Times New Roman" w:hAnsi="Times New Roman"/>
        </w:rPr>
      </w:pPr>
      <w:r>
        <w:rPr>
          <w:rFonts w:hint="eastAsia" w:hAnsi="黑体"/>
          <w:szCs w:val="28"/>
        </w:rPr>
        <w:t>六、</w:t>
      </w:r>
      <w:r>
        <w:rPr>
          <w:rFonts w:hint="eastAsia" w:ascii="Times New Roman" w:hAnsi="Times New Roman"/>
        </w:rPr>
        <w:t>开评标</w:t>
      </w:r>
    </w:p>
    <w:p w14:paraId="1487364E">
      <w:pPr>
        <w:pStyle w:val="10"/>
        <w:numPr>
          <w:ilvl w:val="0"/>
          <w:numId w:val="16"/>
        </w:numPr>
        <w:spacing w:before="156" w:beforeLines="50" w:after="156" w:afterLines="50" w:line="440" w:lineRule="exact"/>
        <w:outlineLvl w:val="2"/>
        <w:rPr>
          <w:rFonts w:ascii="Times New Roman" w:hAnsi="Times New Roman" w:cs="黑体"/>
          <w:b w:val="0"/>
          <w:bCs w:val="0"/>
          <w:sz w:val="24"/>
          <w:szCs w:val="24"/>
        </w:rPr>
      </w:pPr>
      <w:r>
        <w:rPr>
          <w:rFonts w:hint="eastAsia" w:ascii="Times New Roman" w:hAnsi="Times New Roman" w:cs="黑体"/>
          <w:b w:val="0"/>
          <w:bCs w:val="0"/>
          <w:sz w:val="24"/>
          <w:szCs w:val="24"/>
        </w:rPr>
        <w:t>开标时间和地点</w:t>
      </w:r>
    </w:p>
    <w:p w14:paraId="223AFF44">
      <w:pPr>
        <w:pStyle w:val="11"/>
        <w:numPr>
          <w:ilvl w:val="1"/>
          <w:numId w:val="17"/>
        </w:numPr>
        <w:spacing w:line="440" w:lineRule="exact"/>
        <w:rPr>
          <w:rFonts w:ascii="Times New Roman" w:hAnsi="Times New Roman" w:cs="宋体"/>
          <w:szCs w:val="21"/>
        </w:rPr>
      </w:pPr>
      <w:r>
        <w:rPr>
          <w:rFonts w:hint="eastAsia" w:ascii="Times New Roman" w:hAnsi="Times New Roman" w:cs="宋体"/>
          <w:szCs w:val="21"/>
        </w:rPr>
        <w:t>开标时间：202</w:t>
      </w:r>
      <w:r>
        <w:rPr>
          <w:rFonts w:ascii="Times New Roman" w:hAnsi="Times New Roman" w:cs="宋体"/>
          <w:szCs w:val="21"/>
        </w:rPr>
        <w:t>6</w:t>
      </w:r>
      <w:r>
        <w:rPr>
          <w:rFonts w:hint="eastAsia" w:ascii="Times New Roman" w:hAnsi="Times New Roman" w:cs="宋体"/>
          <w:szCs w:val="21"/>
        </w:rPr>
        <w:t>年</w:t>
      </w:r>
      <w:r>
        <w:rPr>
          <w:rFonts w:hint="eastAsia" w:ascii="Times New Roman" w:hAnsi="Times New Roman" w:cs="宋体"/>
          <w:szCs w:val="21"/>
          <w:lang w:val="en-US" w:eastAsia="zh-CN"/>
        </w:rPr>
        <w:t>6</w:t>
      </w:r>
      <w:r>
        <w:rPr>
          <w:rFonts w:hint="eastAsia" w:ascii="Times New Roman" w:hAnsi="Times New Roman" w:cs="宋体"/>
          <w:szCs w:val="21"/>
        </w:rPr>
        <w:t>月</w:t>
      </w:r>
      <w:r>
        <w:rPr>
          <w:rFonts w:hint="eastAsia" w:ascii="Times New Roman" w:hAnsi="Times New Roman" w:cs="宋体"/>
          <w:szCs w:val="21"/>
          <w:lang w:val="en-US" w:eastAsia="zh-CN"/>
        </w:rPr>
        <w:t>16</w:t>
      </w:r>
      <w:r>
        <w:rPr>
          <w:rFonts w:hint="eastAsia" w:ascii="Times New Roman" w:hAnsi="Times New Roman" w:cs="宋体"/>
          <w:szCs w:val="21"/>
        </w:rPr>
        <w:t>日</w:t>
      </w:r>
      <w:r>
        <w:rPr>
          <w:rFonts w:hint="eastAsia" w:ascii="Times New Roman" w:hAnsi="Times New Roman" w:cs="宋体"/>
          <w:szCs w:val="21"/>
          <w:lang w:val="en-US" w:eastAsia="zh-CN"/>
        </w:rPr>
        <w:t>9</w:t>
      </w:r>
      <w:r>
        <w:rPr>
          <w:rFonts w:ascii="Times New Roman" w:hAnsi="Times New Roman" w:cs="宋体"/>
          <w:szCs w:val="21"/>
        </w:rPr>
        <w:t>:00:00（北京时间）</w:t>
      </w:r>
      <w:r>
        <w:rPr>
          <w:rFonts w:hint="eastAsia" w:ascii="Times New Roman" w:hAnsi="Times New Roman" w:cs="宋体"/>
          <w:szCs w:val="21"/>
        </w:rPr>
        <w:t>，</w:t>
      </w:r>
      <w:r>
        <w:rPr>
          <w:rFonts w:ascii="Times New Roman" w:hAnsi="Times New Roman" w:cs="宋体"/>
          <w:szCs w:val="21"/>
        </w:rPr>
        <w:t>若有变动另行通知。</w:t>
      </w:r>
    </w:p>
    <w:p w14:paraId="4C5F9EA2">
      <w:pPr>
        <w:pStyle w:val="11"/>
        <w:numPr>
          <w:ilvl w:val="1"/>
          <w:numId w:val="17"/>
        </w:numPr>
        <w:spacing w:line="440" w:lineRule="exact"/>
        <w:rPr>
          <w:rFonts w:ascii="Times New Roman" w:hAnsi="Times New Roman" w:cs="宋体"/>
          <w:szCs w:val="21"/>
        </w:rPr>
      </w:pPr>
      <w:r>
        <w:rPr>
          <w:rFonts w:hint="eastAsia" w:ascii="Times New Roman" w:hAnsi="Times New Roman" w:cs="宋体"/>
          <w:szCs w:val="21"/>
        </w:rPr>
        <w:t>开标地点：</w:t>
      </w:r>
      <w:r>
        <w:rPr>
          <w:rFonts w:hint="eastAsia" w:ascii="Times New Roman" w:hAnsi="Times New Roman" w:cs="宋体"/>
          <w:szCs w:val="21"/>
          <w:lang w:val="en-US" w:eastAsia="zh-CN"/>
        </w:rPr>
        <w:t>山东省济南市高新区华奥路777号重汽科技大厦三楼会议室</w:t>
      </w:r>
    </w:p>
    <w:p w14:paraId="0B5578E8">
      <w:pPr>
        <w:pStyle w:val="11"/>
        <w:numPr>
          <w:ilvl w:val="1"/>
          <w:numId w:val="17"/>
        </w:numPr>
        <w:spacing w:line="440" w:lineRule="exact"/>
        <w:rPr>
          <w:rFonts w:ascii="Times New Roman" w:hAnsi="Times New Roman" w:cs="宋体"/>
          <w:szCs w:val="21"/>
        </w:rPr>
      </w:pPr>
      <w:r>
        <w:rPr>
          <w:rFonts w:hint="eastAsia" w:ascii="Times New Roman" w:hAnsi="Times New Roman" w:cs="宋体"/>
          <w:szCs w:val="21"/>
        </w:rPr>
        <w:t>开标方式：</w:t>
      </w:r>
      <w:r>
        <w:rPr>
          <w:rFonts w:hint="eastAsia" w:ascii="Times New Roman" w:hAnsi="Times New Roman"/>
          <w:b/>
          <w:u w:val="single"/>
        </w:rPr>
        <w:t>线下招标。</w:t>
      </w:r>
      <w:r>
        <w:rPr>
          <w:rFonts w:hint="eastAsia" w:ascii="Times New Roman" w:hAnsi="Times New Roman" w:cs="宋体"/>
          <w:szCs w:val="21"/>
          <w:u w:val="single"/>
        </w:rPr>
        <w:t>所需过程资料均通过e采通进行提报。</w:t>
      </w:r>
    </w:p>
    <w:p w14:paraId="690C1DC4">
      <w:pPr>
        <w:pStyle w:val="10"/>
        <w:numPr>
          <w:ilvl w:val="0"/>
          <w:numId w:val="16"/>
        </w:numPr>
        <w:spacing w:before="156" w:beforeLines="50" w:after="156" w:afterLines="50" w:line="440" w:lineRule="exact"/>
        <w:outlineLvl w:val="2"/>
        <w:rPr>
          <w:rFonts w:ascii="Times New Roman" w:hAnsi="Times New Roman" w:cs="黑体"/>
          <w:b w:val="0"/>
          <w:bCs w:val="0"/>
          <w:sz w:val="24"/>
          <w:szCs w:val="24"/>
        </w:rPr>
      </w:pPr>
      <w:r>
        <w:rPr>
          <w:rFonts w:hint="eastAsia" w:ascii="Times New Roman" w:hAnsi="Times New Roman" w:cs="黑体"/>
          <w:b w:val="0"/>
          <w:bCs w:val="0"/>
          <w:sz w:val="24"/>
          <w:szCs w:val="24"/>
        </w:rPr>
        <w:t>评标</w:t>
      </w:r>
    </w:p>
    <w:p w14:paraId="10DEDEF8">
      <w:pPr>
        <w:spacing w:line="440" w:lineRule="exact"/>
        <w:rPr>
          <w:rFonts w:cs="宋体"/>
          <w:bCs/>
          <w:szCs w:val="21"/>
        </w:rPr>
      </w:pPr>
      <w:r>
        <w:rPr>
          <w:rFonts w:cs="黑体"/>
          <w:szCs w:val="21"/>
        </w:rPr>
        <w:t>2.</w:t>
      </w:r>
      <w:r>
        <w:rPr>
          <w:rFonts w:hint="eastAsia" w:cs="黑体"/>
          <w:szCs w:val="21"/>
        </w:rPr>
        <w:t>1.</w:t>
      </w:r>
      <w:r>
        <w:rPr>
          <w:rFonts w:hint="eastAsia" w:cs="宋体"/>
          <w:bCs/>
          <w:szCs w:val="21"/>
        </w:rPr>
        <w:t>评标方法</w:t>
      </w:r>
    </w:p>
    <w:p w14:paraId="511C7FBF">
      <w:pPr>
        <w:spacing w:line="440" w:lineRule="exact"/>
        <w:ind w:firstLine="420" w:firstLineChars="200"/>
        <w:rPr>
          <w:rFonts w:cs="宋体"/>
          <w:bCs/>
          <w:szCs w:val="21"/>
        </w:rPr>
      </w:pPr>
      <w:r>
        <w:rPr>
          <w:rFonts w:hint="eastAsia" w:cs="宋体"/>
          <w:bCs/>
          <w:szCs w:val="21"/>
        </w:rPr>
        <w:t>本次招标采用综合评价法，技术标评议分数占总分40%，商务标评分占比60%。本着公平、公正、公开的原则，在通过技术标评审后入围的前提下，对招标文件中规定的各项因素进行综合评审，确定中标人，对未中标方不做任何解释。</w:t>
      </w:r>
    </w:p>
    <w:p w14:paraId="4D5DB04E">
      <w:pPr>
        <w:spacing w:line="440" w:lineRule="exact"/>
        <w:rPr>
          <w:rFonts w:cs="宋体"/>
          <w:bCs/>
          <w:szCs w:val="21"/>
        </w:rPr>
      </w:pPr>
      <w:r>
        <w:rPr>
          <w:rFonts w:hint="eastAsia" w:cs="宋体"/>
          <w:bCs/>
          <w:szCs w:val="21"/>
        </w:rPr>
        <w:t>2</w:t>
      </w:r>
      <w:r>
        <w:rPr>
          <w:rFonts w:cs="宋体"/>
          <w:bCs/>
          <w:szCs w:val="21"/>
        </w:rPr>
        <w:t>.2</w:t>
      </w:r>
      <w:r>
        <w:rPr>
          <w:rFonts w:hint="eastAsia" w:cs="宋体"/>
          <w:bCs/>
          <w:szCs w:val="21"/>
        </w:rPr>
        <w:t>评标流程：</w:t>
      </w:r>
    </w:p>
    <w:p w14:paraId="1E418C16">
      <w:pPr>
        <w:spacing w:line="440" w:lineRule="exact"/>
        <w:ind w:firstLine="420" w:firstLineChars="200"/>
        <w:rPr>
          <w:rFonts w:cs="宋体"/>
          <w:bCs/>
          <w:szCs w:val="21"/>
        </w:rPr>
      </w:pPr>
      <w:r>
        <w:rPr>
          <w:rFonts w:hint="eastAsia" w:cs="宋体"/>
          <w:bCs/>
          <w:szCs w:val="21"/>
        </w:rPr>
        <w:t>投标文件包含《投标文件（资质标）》、《投标文件（技术标）》、《投标文件（商务标）》（开标一览表），共计三个文件。</w:t>
      </w:r>
    </w:p>
    <w:p w14:paraId="53A7E31C">
      <w:pPr>
        <w:numPr>
          <w:ilvl w:val="0"/>
          <w:numId w:val="18"/>
        </w:numPr>
        <w:spacing w:line="440" w:lineRule="exact"/>
        <w:rPr>
          <w:rFonts w:cs="宋体"/>
          <w:bCs/>
          <w:szCs w:val="21"/>
        </w:rPr>
      </w:pPr>
      <w:r>
        <w:rPr>
          <w:rFonts w:hint="eastAsia" w:cs="宋体"/>
          <w:bCs/>
          <w:szCs w:val="21"/>
        </w:rPr>
        <w:t>应标资格审查：在“中国重汽e采通”应标报名时，按照第三部分投标文件组成资格证明文件中的1.1-1.12准备资料，上传完毕后，等待审核；</w:t>
      </w:r>
    </w:p>
    <w:p w14:paraId="6AC08F12">
      <w:pPr>
        <w:spacing w:line="440" w:lineRule="exact"/>
        <w:ind w:firstLine="420" w:firstLineChars="200"/>
        <w:rPr>
          <w:rFonts w:cs="宋体"/>
          <w:bCs/>
          <w:szCs w:val="21"/>
        </w:rPr>
      </w:pPr>
      <w:r>
        <w:rPr>
          <w:rFonts w:hint="eastAsia" w:cs="宋体"/>
          <w:bCs/>
          <w:szCs w:val="21"/>
        </w:rPr>
        <w:t>通过应标资格审查的单位进入投标环节，按照“SRM系统供应商用户手册（附件10）”，在重汽e采通平台投递电子标书（包含资质标、技术标、商务标），没有通过应标资质审查的单位不能进入投标环节；</w:t>
      </w:r>
    </w:p>
    <w:p w14:paraId="783DA6F0">
      <w:pPr>
        <w:numPr>
          <w:ilvl w:val="0"/>
          <w:numId w:val="18"/>
        </w:numPr>
        <w:spacing w:line="440" w:lineRule="exact"/>
        <w:rPr>
          <w:rFonts w:cs="宋体"/>
          <w:bCs/>
          <w:szCs w:val="21"/>
        </w:rPr>
      </w:pPr>
      <w:r>
        <w:rPr>
          <w:rFonts w:hint="eastAsia" w:cs="宋体"/>
          <w:bCs/>
          <w:szCs w:val="21"/>
        </w:rPr>
        <w:t>资质标评审：资质标审核通过的单位，进入技术标评审；</w:t>
      </w:r>
    </w:p>
    <w:p w14:paraId="703A39A0">
      <w:pPr>
        <w:numPr>
          <w:ilvl w:val="0"/>
          <w:numId w:val="18"/>
        </w:numPr>
        <w:spacing w:line="440" w:lineRule="exact"/>
        <w:rPr>
          <w:rFonts w:cs="宋体"/>
          <w:bCs/>
          <w:szCs w:val="21"/>
        </w:rPr>
      </w:pPr>
      <w:r>
        <w:rPr>
          <w:rFonts w:hint="eastAsia" w:cs="宋体"/>
          <w:bCs/>
          <w:szCs w:val="21"/>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w:t>
      </w:r>
    </w:p>
    <w:p w14:paraId="04C19375">
      <w:pPr>
        <w:pStyle w:val="4"/>
        <w:spacing w:line="440" w:lineRule="exact"/>
        <w:ind w:firstLine="420" w:firstLineChars="200"/>
        <w:rPr>
          <w:rFonts w:ascii="Times New Roman" w:hAnsi="Times New Roman" w:cs="宋体"/>
          <w:bCs/>
          <w:szCs w:val="21"/>
        </w:rPr>
      </w:pPr>
      <w:r>
        <w:rPr>
          <w:rFonts w:hint="eastAsia" w:ascii="Times New Roman" w:hAnsi="Times New Roman" w:cs="宋体"/>
          <w:bCs/>
          <w:szCs w:val="21"/>
        </w:rPr>
        <w:t>参与竞标的投标方必须完全满足下述技术要求，并提供相应的证明材料，方可通过技术标评审；未满足任一技术要求或未能提供有效证明的，将无法通过最终的技术标：</w:t>
      </w:r>
    </w:p>
    <w:p w14:paraId="1142AB60">
      <w:pPr>
        <w:pStyle w:val="4"/>
        <w:spacing w:line="440" w:lineRule="exact"/>
        <w:ind w:firstLine="420" w:firstLineChars="200"/>
        <w:rPr>
          <w:rFonts w:ascii="Times New Roman" w:hAnsi="Times New Roman" w:cs="宋体"/>
          <w:bCs/>
          <w:szCs w:val="21"/>
        </w:rPr>
      </w:pPr>
      <w:r>
        <w:rPr>
          <w:rFonts w:hint="eastAsia" w:ascii="Times New Roman" w:hAnsi="Times New Roman" w:cs="宋体"/>
          <w:bCs/>
          <w:szCs w:val="21"/>
        </w:rPr>
        <w:t>a)</w:t>
      </w:r>
      <w:r>
        <w:rPr>
          <w:rFonts w:hint="eastAsia" w:ascii="Times New Roman" w:hAnsi="Times New Roman" w:cs="宋体"/>
          <w:bCs/>
          <w:szCs w:val="21"/>
        </w:rPr>
        <w:tab/>
      </w:r>
      <w:r>
        <w:rPr>
          <w:rFonts w:hint="eastAsia" w:ascii="Times New Roman" w:hAnsi="Times New Roman" w:cs="宋体"/>
          <w:bCs/>
          <w:szCs w:val="21"/>
        </w:rPr>
        <w:t>拟投标人至少拥有</w:t>
      </w:r>
      <w:r>
        <w:rPr>
          <w:rFonts w:ascii="Times New Roman" w:hAnsi="Times New Roman" w:cs="宋体"/>
          <w:bCs/>
          <w:szCs w:val="21"/>
        </w:rPr>
        <w:t>3</w:t>
      </w:r>
      <w:r>
        <w:rPr>
          <w:rFonts w:hint="eastAsia" w:ascii="Times New Roman" w:hAnsi="Times New Roman" w:cs="宋体"/>
          <w:bCs/>
          <w:szCs w:val="21"/>
        </w:rPr>
        <w:t>年以上的的项目经验。需要提供该系统及设备的销售情况等相关证明。</w:t>
      </w:r>
    </w:p>
    <w:p w14:paraId="45B53A5F">
      <w:pPr>
        <w:pStyle w:val="4"/>
        <w:spacing w:line="440" w:lineRule="exact"/>
        <w:ind w:firstLine="420" w:firstLineChars="200"/>
        <w:rPr>
          <w:rFonts w:ascii="Times New Roman" w:hAnsi="Times New Roman" w:cs="宋体"/>
          <w:bCs/>
          <w:szCs w:val="21"/>
        </w:rPr>
      </w:pPr>
      <w:r>
        <w:rPr>
          <w:rFonts w:hint="eastAsia" w:ascii="Times New Roman" w:hAnsi="Times New Roman" w:cs="宋体"/>
          <w:bCs/>
          <w:szCs w:val="21"/>
        </w:rPr>
        <w:t>b)</w:t>
      </w:r>
      <w:r>
        <w:rPr>
          <w:rFonts w:hint="eastAsia" w:ascii="Times New Roman" w:hAnsi="Times New Roman" w:cs="宋体"/>
          <w:bCs/>
          <w:szCs w:val="21"/>
        </w:rPr>
        <w:tab/>
      </w:r>
      <w:r>
        <w:rPr>
          <w:rFonts w:hint="eastAsia" w:ascii="Times New Roman" w:hAnsi="Times New Roman" w:cs="宋体"/>
          <w:bCs/>
          <w:szCs w:val="21"/>
        </w:rPr>
        <w:t>拟投标人必须在中国具备同类产品良好的本地化售后服务和技术支持；</w:t>
      </w:r>
    </w:p>
    <w:p w14:paraId="548D26B4">
      <w:pPr>
        <w:pStyle w:val="4"/>
        <w:spacing w:line="440" w:lineRule="exact"/>
        <w:ind w:firstLine="420" w:firstLineChars="200"/>
        <w:rPr>
          <w:rFonts w:ascii="Times New Roman" w:hAnsi="Times New Roman" w:cs="宋体"/>
          <w:bCs/>
          <w:szCs w:val="21"/>
        </w:rPr>
      </w:pPr>
      <w:r>
        <w:rPr>
          <w:rFonts w:hint="eastAsia" w:ascii="Times New Roman" w:hAnsi="Times New Roman" w:cs="宋体"/>
          <w:bCs/>
          <w:szCs w:val="21"/>
        </w:rPr>
        <w:t>c)</w:t>
      </w:r>
      <w:r>
        <w:rPr>
          <w:rFonts w:hint="eastAsia" w:cs="宋体"/>
          <w:bCs/>
          <w:szCs w:val="21"/>
        </w:rPr>
        <w:t>本次招标采用综合评价法，技术标评议分数占总分40%，商务标评分占比60%,其中技术评分标准为100分，中标者需满足技术分≥70分。</w:t>
      </w:r>
    </w:p>
    <w:p w14:paraId="713DFCCF">
      <w:pPr>
        <w:pStyle w:val="4"/>
        <w:spacing w:line="440" w:lineRule="exact"/>
        <w:ind w:firstLine="420" w:firstLineChars="200"/>
        <w:rPr>
          <w:rFonts w:hint="eastAsia" w:ascii="Times New Roman" w:hAnsi="Times New Roman" w:cs="宋体"/>
          <w:bCs/>
          <w:szCs w:val="21"/>
        </w:rPr>
      </w:pPr>
      <w:r>
        <w:rPr>
          <w:rFonts w:hint="eastAsia" w:ascii="Times New Roman" w:hAnsi="Times New Roman" w:cs="宋体"/>
          <w:bCs/>
          <w:szCs w:val="21"/>
        </w:rPr>
        <w:t>满足技术标评标要求的投标方，将依据下述评分规则进行技术标评分，具体技术标评分标准见下表（满分1</w:t>
      </w:r>
      <w:r>
        <w:rPr>
          <w:rFonts w:ascii="Times New Roman" w:hAnsi="Times New Roman" w:cs="宋体"/>
          <w:bCs/>
          <w:szCs w:val="21"/>
        </w:rPr>
        <w:t>00</w:t>
      </w:r>
      <w:r>
        <w:rPr>
          <w:rFonts w:hint="eastAsia" w:ascii="Times New Roman" w:hAnsi="Times New Roman" w:cs="宋体"/>
          <w:bCs/>
          <w:szCs w:val="21"/>
        </w:rPr>
        <w:t>分）</w:t>
      </w:r>
    </w:p>
    <w:tbl>
      <w:tblPr>
        <w:tblStyle w:val="7"/>
        <w:tblW w:w="90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9"/>
        <w:gridCol w:w="707"/>
        <w:gridCol w:w="604"/>
        <w:gridCol w:w="2339"/>
        <w:gridCol w:w="991"/>
        <w:gridCol w:w="3763"/>
      </w:tblGrid>
      <w:tr w14:paraId="0D77A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9" w:type="dxa"/>
            <w:vAlign w:val="center"/>
          </w:tcPr>
          <w:p w14:paraId="528C93F1">
            <w:pPr>
              <w:jc w:val="center"/>
              <w:rPr>
                <w:b/>
                <w:szCs w:val="21"/>
              </w:rPr>
            </w:pPr>
            <w:r>
              <w:rPr>
                <w:rFonts w:hint="eastAsia"/>
                <w:b/>
                <w:szCs w:val="21"/>
              </w:rPr>
              <w:t>评价类型</w:t>
            </w:r>
          </w:p>
        </w:tc>
        <w:tc>
          <w:tcPr>
            <w:tcW w:w="707" w:type="dxa"/>
            <w:vAlign w:val="center"/>
          </w:tcPr>
          <w:p w14:paraId="761470E5">
            <w:pPr>
              <w:jc w:val="center"/>
              <w:rPr>
                <w:b/>
                <w:szCs w:val="21"/>
              </w:rPr>
            </w:pPr>
            <w:r>
              <w:rPr>
                <w:rFonts w:hint="eastAsia"/>
                <w:b/>
                <w:szCs w:val="21"/>
              </w:rPr>
              <w:t>评审内容</w:t>
            </w:r>
          </w:p>
        </w:tc>
        <w:tc>
          <w:tcPr>
            <w:tcW w:w="604" w:type="dxa"/>
            <w:vAlign w:val="center"/>
          </w:tcPr>
          <w:p w14:paraId="093BF40F">
            <w:pPr>
              <w:jc w:val="center"/>
              <w:rPr>
                <w:b/>
                <w:szCs w:val="21"/>
              </w:rPr>
            </w:pPr>
            <w:r>
              <w:rPr>
                <w:rFonts w:hint="eastAsia"/>
                <w:b/>
                <w:szCs w:val="21"/>
              </w:rPr>
              <w:t>序号</w:t>
            </w:r>
          </w:p>
        </w:tc>
        <w:tc>
          <w:tcPr>
            <w:tcW w:w="2339" w:type="dxa"/>
            <w:vAlign w:val="center"/>
          </w:tcPr>
          <w:p w14:paraId="5C0EA875">
            <w:pPr>
              <w:jc w:val="center"/>
              <w:rPr>
                <w:b/>
                <w:szCs w:val="21"/>
              </w:rPr>
            </w:pPr>
            <w:r>
              <w:rPr>
                <w:rFonts w:hint="eastAsia"/>
                <w:b/>
                <w:szCs w:val="21"/>
              </w:rPr>
              <w:t>内   容</w:t>
            </w:r>
          </w:p>
        </w:tc>
        <w:tc>
          <w:tcPr>
            <w:tcW w:w="991" w:type="dxa"/>
            <w:vAlign w:val="center"/>
          </w:tcPr>
          <w:p w14:paraId="39617582">
            <w:pPr>
              <w:jc w:val="center"/>
              <w:rPr>
                <w:b/>
                <w:szCs w:val="21"/>
              </w:rPr>
            </w:pPr>
            <w:r>
              <w:rPr>
                <w:rFonts w:hint="eastAsia"/>
                <w:b/>
                <w:szCs w:val="21"/>
              </w:rPr>
              <w:t>标准分</w:t>
            </w:r>
          </w:p>
        </w:tc>
        <w:tc>
          <w:tcPr>
            <w:tcW w:w="3763" w:type="dxa"/>
            <w:vAlign w:val="center"/>
          </w:tcPr>
          <w:p w14:paraId="6AE5D05E">
            <w:pPr>
              <w:jc w:val="center"/>
              <w:rPr>
                <w:b/>
                <w:szCs w:val="21"/>
              </w:rPr>
            </w:pPr>
            <w:r>
              <w:rPr>
                <w:rFonts w:hint="eastAsia"/>
                <w:b/>
                <w:szCs w:val="21"/>
              </w:rPr>
              <w:t>评分标准</w:t>
            </w:r>
          </w:p>
        </w:tc>
      </w:tr>
      <w:tr w14:paraId="30F9E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7" w:hRule="atLeast"/>
          <w:jc w:val="center"/>
        </w:trPr>
        <w:tc>
          <w:tcPr>
            <w:tcW w:w="669" w:type="dxa"/>
            <w:vMerge w:val="restart"/>
            <w:vAlign w:val="center"/>
          </w:tcPr>
          <w:p w14:paraId="421BBDAE">
            <w:pPr>
              <w:rPr>
                <w:bCs/>
                <w:szCs w:val="21"/>
              </w:rPr>
            </w:pPr>
            <w:r>
              <w:rPr>
                <w:rFonts w:hint="eastAsia"/>
                <w:bCs/>
                <w:szCs w:val="21"/>
              </w:rPr>
              <w:t>技术</w:t>
            </w:r>
          </w:p>
          <w:p w14:paraId="3D48A244">
            <w:pPr>
              <w:rPr>
                <w:bCs/>
                <w:szCs w:val="21"/>
              </w:rPr>
            </w:pPr>
            <w:r>
              <w:rPr>
                <w:rFonts w:hint="eastAsia"/>
                <w:bCs/>
                <w:szCs w:val="21"/>
              </w:rPr>
              <w:t>100分</w:t>
            </w:r>
          </w:p>
        </w:tc>
        <w:tc>
          <w:tcPr>
            <w:tcW w:w="707" w:type="dxa"/>
            <w:vAlign w:val="center"/>
          </w:tcPr>
          <w:p w14:paraId="2685CD51">
            <w:pPr>
              <w:rPr>
                <w:bCs/>
                <w:szCs w:val="21"/>
              </w:rPr>
            </w:pPr>
            <w:r>
              <w:rPr>
                <w:rFonts w:hint="eastAsia"/>
                <w:bCs/>
                <w:szCs w:val="21"/>
              </w:rPr>
              <w:t>业绩</w:t>
            </w:r>
          </w:p>
        </w:tc>
        <w:tc>
          <w:tcPr>
            <w:tcW w:w="604" w:type="dxa"/>
            <w:vAlign w:val="center"/>
          </w:tcPr>
          <w:p w14:paraId="76226242">
            <w:pPr>
              <w:jc w:val="center"/>
              <w:rPr>
                <w:bCs/>
                <w:szCs w:val="21"/>
              </w:rPr>
            </w:pPr>
            <w:r>
              <w:rPr>
                <w:rFonts w:hint="eastAsia"/>
                <w:bCs/>
                <w:szCs w:val="21"/>
              </w:rPr>
              <w:t>1</w:t>
            </w:r>
          </w:p>
        </w:tc>
        <w:tc>
          <w:tcPr>
            <w:tcW w:w="2339" w:type="dxa"/>
            <w:vAlign w:val="center"/>
          </w:tcPr>
          <w:p w14:paraId="202062E8">
            <w:pPr>
              <w:rPr>
                <w:bCs/>
                <w:szCs w:val="21"/>
              </w:rPr>
            </w:pPr>
            <w:r>
              <w:rPr>
                <w:rFonts w:hint="eastAsia"/>
                <w:bCs/>
                <w:szCs w:val="21"/>
              </w:rPr>
              <w:t>合作方同类型项目水平及经验。</w:t>
            </w:r>
          </w:p>
        </w:tc>
        <w:tc>
          <w:tcPr>
            <w:tcW w:w="991" w:type="dxa"/>
            <w:vAlign w:val="center"/>
          </w:tcPr>
          <w:p w14:paraId="157F2B89">
            <w:pPr>
              <w:jc w:val="center"/>
              <w:rPr>
                <w:bCs/>
                <w:szCs w:val="21"/>
              </w:rPr>
            </w:pPr>
            <w:r>
              <w:rPr>
                <w:rFonts w:hint="eastAsia"/>
                <w:bCs/>
                <w:szCs w:val="21"/>
              </w:rPr>
              <w:t>6</w:t>
            </w:r>
          </w:p>
        </w:tc>
        <w:tc>
          <w:tcPr>
            <w:tcW w:w="3763" w:type="dxa"/>
            <w:vAlign w:val="center"/>
          </w:tcPr>
          <w:p w14:paraId="4AB5E4A9">
            <w:pPr>
              <w:rPr>
                <w:bCs/>
                <w:szCs w:val="21"/>
              </w:rPr>
            </w:pPr>
            <w:r>
              <w:rPr>
                <w:rFonts w:hint="eastAsia"/>
                <w:bCs/>
                <w:szCs w:val="21"/>
              </w:rPr>
              <w:t>投标人在近三年以来有与本标同类项目的业绩，以合同复印件加盖公章为准。</w:t>
            </w:r>
          </w:p>
          <w:p w14:paraId="31836D42">
            <w:pPr>
              <w:rPr>
                <w:bCs/>
                <w:szCs w:val="21"/>
              </w:rPr>
            </w:pPr>
            <w:r>
              <w:rPr>
                <w:bCs/>
                <w:szCs w:val="21"/>
              </w:rPr>
              <w:t>5</w:t>
            </w:r>
            <w:r>
              <w:rPr>
                <w:rFonts w:hint="eastAsia"/>
                <w:bCs/>
                <w:szCs w:val="21"/>
              </w:rPr>
              <w:t>项（含）到</w:t>
            </w:r>
            <w:r>
              <w:rPr>
                <w:bCs/>
                <w:szCs w:val="21"/>
              </w:rPr>
              <w:t>10</w:t>
            </w:r>
            <w:r>
              <w:rPr>
                <w:rFonts w:hint="eastAsia"/>
                <w:bCs/>
                <w:szCs w:val="21"/>
              </w:rPr>
              <w:t>项（不含）者得5分</w:t>
            </w:r>
          </w:p>
          <w:p w14:paraId="1A034AE8">
            <w:pPr>
              <w:rPr>
                <w:bCs/>
                <w:szCs w:val="21"/>
              </w:rPr>
            </w:pPr>
            <w:r>
              <w:rPr>
                <w:rFonts w:hint="eastAsia"/>
                <w:bCs/>
                <w:szCs w:val="21"/>
              </w:rPr>
              <w:t>3项（含）到5项者（不含）者得4分</w:t>
            </w:r>
          </w:p>
          <w:p w14:paraId="3F120295">
            <w:pPr>
              <w:rPr>
                <w:bCs/>
                <w:szCs w:val="21"/>
              </w:rPr>
            </w:pPr>
            <w:r>
              <w:rPr>
                <w:rFonts w:hint="eastAsia"/>
                <w:bCs/>
                <w:szCs w:val="21"/>
              </w:rPr>
              <w:t>其他2分。</w:t>
            </w:r>
          </w:p>
        </w:tc>
      </w:tr>
      <w:tr w14:paraId="3F0E0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7" w:hRule="atLeast"/>
          <w:jc w:val="center"/>
        </w:trPr>
        <w:tc>
          <w:tcPr>
            <w:tcW w:w="669" w:type="dxa"/>
            <w:vMerge w:val="continue"/>
            <w:vAlign w:val="center"/>
          </w:tcPr>
          <w:p w14:paraId="7E984303">
            <w:pPr>
              <w:rPr>
                <w:bCs/>
                <w:szCs w:val="21"/>
              </w:rPr>
            </w:pPr>
          </w:p>
        </w:tc>
        <w:tc>
          <w:tcPr>
            <w:tcW w:w="707" w:type="dxa"/>
            <w:vMerge w:val="restart"/>
            <w:vAlign w:val="center"/>
          </w:tcPr>
          <w:p w14:paraId="324FC56C">
            <w:pPr>
              <w:rPr>
                <w:bCs/>
                <w:szCs w:val="21"/>
              </w:rPr>
            </w:pPr>
            <w:r>
              <w:rPr>
                <w:rFonts w:hint="eastAsia"/>
                <w:bCs/>
                <w:szCs w:val="21"/>
              </w:rPr>
              <w:t>总体技术方案</w:t>
            </w:r>
          </w:p>
        </w:tc>
        <w:tc>
          <w:tcPr>
            <w:tcW w:w="604" w:type="dxa"/>
            <w:vAlign w:val="center"/>
          </w:tcPr>
          <w:p w14:paraId="3955997A">
            <w:pPr>
              <w:jc w:val="center"/>
              <w:rPr>
                <w:bCs/>
                <w:szCs w:val="21"/>
              </w:rPr>
            </w:pPr>
            <w:r>
              <w:rPr>
                <w:rFonts w:hint="eastAsia"/>
                <w:bCs/>
                <w:szCs w:val="21"/>
              </w:rPr>
              <w:t>2</w:t>
            </w:r>
          </w:p>
        </w:tc>
        <w:tc>
          <w:tcPr>
            <w:tcW w:w="2339" w:type="dxa"/>
            <w:vAlign w:val="center"/>
          </w:tcPr>
          <w:p w14:paraId="23ED9D9C">
            <w:pPr>
              <w:rPr>
                <w:bCs/>
                <w:szCs w:val="21"/>
              </w:rPr>
            </w:pPr>
            <w:r>
              <w:rPr>
                <w:rFonts w:hint="eastAsia"/>
                <w:bCs/>
                <w:szCs w:val="21"/>
              </w:rPr>
              <w:t>合作方在本项目相关的整车E</w:t>
            </w:r>
            <w:r>
              <w:rPr>
                <w:bCs/>
                <w:szCs w:val="21"/>
              </w:rPr>
              <w:t>E</w:t>
            </w:r>
            <w:r>
              <w:rPr>
                <w:rFonts w:hint="eastAsia"/>
                <w:bCs/>
                <w:szCs w:val="21"/>
              </w:rPr>
              <w:t>架构开发经验评价。</w:t>
            </w:r>
          </w:p>
        </w:tc>
        <w:tc>
          <w:tcPr>
            <w:tcW w:w="991" w:type="dxa"/>
            <w:vAlign w:val="center"/>
          </w:tcPr>
          <w:p w14:paraId="6DC43DAA">
            <w:pPr>
              <w:jc w:val="center"/>
              <w:rPr>
                <w:bCs/>
                <w:szCs w:val="21"/>
              </w:rPr>
            </w:pPr>
            <w:r>
              <w:rPr>
                <w:bCs/>
                <w:szCs w:val="21"/>
              </w:rPr>
              <w:t>6</w:t>
            </w:r>
          </w:p>
        </w:tc>
        <w:tc>
          <w:tcPr>
            <w:tcW w:w="3763" w:type="dxa"/>
            <w:vAlign w:val="center"/>
          </w:tcPr>
          <w:p w14:paraId="532C8636">
            <w:pPr>
              <w:rPr>
                <w:bCs/>
                <w:szCs w:val="21"/>
              </w:rPr>
            </w:pPr>
            <w:r>
              <w:rPr>
                <w:rFonts w:hint="eastAsia"/>
                <w:bCs/>
                <w:szCs w:val="21"/>
              </w:rPr>
              <w:t>投标人应具备整车E</w:t>
            </w:r>
            <w:r>
              <w:rPr>
                <w:bCs/>
                <w:szCs w:val="21"/>
              </w:rPr>
              <w:t>E</w:t>
            </w:r>
            <w:r>
              <w:rPr>
                <w:rFonts w:hint="eastAsia"/>
                <w:bCs/>
                <w:szCs w:val="21"/>
              </w:rPr>
              <w:t>架构开发经验，拥有国际头部重卡车企开发经验或国内头部乘用车车企合作开发经验酌情加分。</w:t>
            </w:r>
          </w:p>
          <w:p w14:paraId="1C7E945A">
            <w:pPr>
              <w:rPr>
                <w:bCs/>
                <w:szCs w:val="21"/>
              </w:rPr>
            </w:pPr>
            <w:r>
              <w:rPr>
                <w:rFonts w:hint="eastAsia"/>
                <w:bCs/>
                <w:szCs w:val="21"/>
              </w:rPr>
              <w:t>由评标委员会成员独立进行客观、公正的评价，按照优、良、一般进行赋分，优得</w:t>
            </w:r>
            <w:r>
              <w:rPr>
                <w:bCs/>
                <w:szCs w:val="21"/>
              </w:rPr>
              <w:t>6</w:t>
            </w:r>
            <w:r>
              <w:rPr>
                <w:rFonts w:hint="eastAsia"/>
                <w:bCs/>
                <w:szCs w:val="21"/>
              </w:rPr>
              <w:t>分，良得</w:t>
            </w:r>
            <w:r>
              <w:rPr>
                <w:bCs/>
                <w:szCs w:val="21"/>
              </w:rPr>
              <w:t>5</w:t>
            </w:r>
            <w:r>
              <w:rPr>
                <w:rFonts w:hint="eastAsia"/>
                <w:bCs/>
                <w:szCs w:val="21"/>
              </w:rPr>
              <w:t>分，一般得</w:t>
            </w:r>
            <w:r>
              <w:rPr>
                <w:bCs/>
                <w:szCs w:val="21"/>
              </w:rPr>
              <w:t>4</w:t>
            </w:r>
            <w:r>
              <w:rPr>
                <w:rFonts w:hint="eastAsia"/>
                <w:bCs/>
                <w:szCs w:val="21"/>
              </w:rPr>
              <w:t>分，其他为</w:t>
            </w:r>
            <w:r>
              <w:rPr>
                <w:bCs/>
                <w:szCs w:val="21"/>
              </w:rPr>
              <w:t>3</w:t>
            </w:r>
            <w:r>
              <w:rPr>
                <w:rFonts w:hint="eastAsia"/>
                <w:bCs/>
                <w:szCs w:val="21"/>
              </w:rPr>
              <w:t>。</w:t>
            </w:r>
          </w:p>
        </w:tc>
      </w:tr>
      <w:tr w14:paraId="5EB942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7" w:hRule="atLeast"/>
          <w:jc w:val="center"/>
        </w:trPr>
        <w:tc>
          <w:tcPr>
            <w:tcW w:w="669" w:type="dxa"/>
            <w:vMerge w:val="continue"/>
            <w:vAlign w:val="center"/>
          </w:tcPr>
          <w:p w14:paraId="28180398">
            <w:pPr>
              <w:rPr>
                <w:bCs/>
                <w:szCs w:val="21"/>
              </w:rPr>
            </w:pPr>
          </w:p>
        </w:tc>
        <w:tc>
          <w:tcPr>
            <w:tcW w:w="707" w:type="dxa"/>
            <w:vMerge w:val="continue"/>
            <w:vAlign w:val="center"/>
          </w:tcPr>
          <w:p w14:paraId="3C4EA6D3">
            <w:pPr>
              <w:rPr>
                <w:bCs/>
                <w:szCs w:val="21"/>
              </w:rPr>
            </w:pPr>
          </w:p>
        </w:tc>
        <w:tc>
          <w:tcPr>
            <w:tcW w:w="604" w:type="dxa"/>
            <w:vAlign w:val="center"/>
          </w:tcPr>
          <w:p w14:paraId="3062C6DE">
            <w:pPr>
              <w:jc w:val="center"/>
              <w:rPr>
                <w:bCs/>
                <w:szCs w:val="21"/>
              </w:rPr>
            </w:pPr>
            <w:r>
              <w:rPr>
                <w:bCs/>
                <w:szCs w:val="21"/>
              </w:rPr>
              <w:t>3</w:t>
            </w:r>
          </w:p>
        </w:tc>
        <w:tc>
          <w:tcPr>
            <w:tcW w:w="2339" w:type="dxa"/>
            <w:vAlign w:val="center"/>
          </w:tcPr>
          <w:p w14:paraId="587400CC">
            <w:pPr>
              <w:rPr>
                <w:bCs/>
                <w:szCs w:val="21"/>
              </w:rPr>
            </w:pPr>
            <w:r>
              <w:rPr>
                <w:rFonts w:hint="eastAsia"/>
                <w:bCs/>
                <w:szCs w:val="21"/>
              </w:rPr>
              <w:t>合作方整车架构方案清晰，规划合理，贴合第五代区域控制+跨域融合的设计理念，域划分、硬件布局、整车EE架构总体方案先进合理，完全匹配整车平台长期迭代需求。</w:t>
            </w:r>
          </w:p>
        </w:tc>
        <w:tc>
          <w:tcPr>
            <w:tcW w:w="991" w:type="dxa"/>
            <w:vAlign w:val="center"/>
          </w:tcPr>
          <w:p w14:paraId="754F7D41">
            <w:pPr>
              <w:jc w:val="center"/>
              <w:rPr>
                <w:bCs/>
                <w:szCs w:val="21"/>
              </w:rPr>
            </w:pPr>
            <w:r>
              <w:rPr>
                <w:bCs/>
                <w:szCs w:val="21"/>
              </w:rPr>
              <w:t>12</w:t>
            </w:r>
          </w:p>
        </w:tc>
        <w:tc>
          <w:tcPr>
            <w:tcW w:w="3763" w:type="dxa"/>
            <w:vAlign w:val="center"/>
          </w:tcPr>
          <w:p w14:paraId="05851D14">
            <w:pPr>
              <w:rPr>
                <w:bCs/>
                <w:szCs w:val="21"/>
              </w:rPr>
            </w:pPr>
            <w:r>
              <w:rPr>
                <w:rFonts w:hint="eastAsia"/>
                <w:bCs/>
                <w:szCs w:val="21"/>
              </w:rPr>
              <w:t>由评标委员会成员独立进行客观、公正的评价，按照优、良、一般进行赋分，优得</w:t>
            </w:r>
            <w:r>
              <w:rPr>
                <w:bCs/>
                <w:szCs w:val="21"/>
              </w:rPr>
              <w:t>12</w:t>
            </w:r>
            <w:r>
              <w:rPr>
                <w:rFonts w:hint="eastAsia"/>
                <w:bCs/>
                <w:szCs w:val="21"/>
              </w:rPr>
              <w:t>分，良得</w:t>
            </w:r>
            <w:r>
              <w:rPr>
                <w:bCs/>
                <w:szCs w:val="21"/>
              </w:rPr>
              <w:t>10</w:t>
            </w:r>
            <w:r>
              <w:rPr>
                <w:rFonts w:hint="eastAsia"/>
                <w:bCs/>
                <w:szCs w:val="21"/>
              </w:rPr>
              <w:t>分，一般得</w:t>
            </w:r>
            <w:r>
              <w:rPr>
                <w:bCs/>
                <w:szCs w:val="21"/>
              </w:rPr>
              <w:t>8</w:t>
            </w:r>
            <w:r>
              <w:rPr>
                <w:rFonts w:hint="eastAsia"/>
                <w:bCs/>
                <w:szCs w:val="21"/>
              </w:rPr>
              <w:t>分，其他为</w:t>
            </w:r>
            <w:r>
              <w:rPr>
                <w:bCs/>
                <w:szCs w:val="21"/>
              </w:rPr>
              <w:t>6</w:t>
            </w:r>
            <w:r>
              <w:rPr>
                <w:rFonts w:hint="eastAsia"/>
                <w:bCs/>
                <w:szCs w:val="21"/>
              </w:rPr>
              <w:t>。</w:t>
            </w:r>
          </w:p>
        </w:tc>
      </w:tr>
      <w:tr w14:paraId="6A053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669" w:type="dxa"/>
            <w:vMerge w:val="continue"/>
            <w:vAlign w:val="center"/>
          </w:tcPr>
          <w:p w14:paraId="40471A45">
            <w:pPr>
              <w:rPr>
                <w:bCs/>
                <w:szCs w:val="21"/>
              </w:rPr>
            </w:pPr>
          </w:p>
        </w:tc>
        <w:tc>
          <w:tcPr>
            <w:tcW w:w="707" w:type="dxa"/>
            <w:vMerge w:val="continue"/>
            <w:vAlign w:val="center"/>
          </w:tcPr>
          <w:p w14:paraId="02C7980B">
            <w:pPr>
              <w:rPr>
                <w:bCs/>
                <w:szCs w:val="21"/>
              </w:rPr>
            </w:pPr>
          </w:p>
        </w:tc>
        <w:tc>
          <w:tcPr>
            <w:tcW w:w="604" w:type="dxa"/>
            <w:vAlign w:val="center"/>
          </w:tcPr>
          <w:p w14:paraId="3E20A2B5">
            <w:pPr>
              <w:jc w:val="center"/>
              <w:rPr>
                <w:bCs/>
                <w:szCs w:val="21"/>
              </w:rPr>
            </w:pPr>
            <w:r>
              <w:rPr>
                <w:rFonts w:hint="eastAsia"/>
                <w:bCs/>
                <w:szCs w:val="21"/>
              </w:rPr>
              <w:t>4</w:t>
            </w:r>
          </w:p>
        </w:tc>
        <w:tc>
          <w:tcPr>
            <w:tcW w:w="2339" w:type="dxa"/>
            <w:vAlign w:val="center"/>
          </w:tcPr>
          <w:p w14:paraId="050EC2E4">
            <w:pPr>
              <w:rPr>
                <w:bCs/>
                <w:szCs w:val="21"/>
              </w:rPr>
            </w:pPr>
            <w:r>
              <w:rPr>
                <w:rFonts w:hint="eastAsia"/>
                <w:bCs/>
                <w:szCs w:val="21"/>
              </w:rPr>
              <w:t>合作方域控制器设计方案完整可行，就近采集、就近驱动、集中配电设计思路合理，eFuse电子熔断，主干架构网络设计成熟可行。</w:t>
            </w:r>
          </w:p>
        </w:tc>
        <w:tc>
          <w:tcPr>
            <w:tcW w:w="991" w:type="dxa"/>
            <w:vAlign w:val="center"/>
          </w:tcPr>
          <w:p w14:paraId="225753BC">
            <w:pPr>
              <w:jc w:val="center"/>
              <w:rPr>
                <w:bCs/>
                <w:szCs w:val="21"/>
              </w:rPr>
            </w:pPr>
            <w:r>
              <w:rPr>
                <w:bCs/>
                <w:szCs w:val="21"/>
              </w:rPr>
              <w:t>12</w:t>
            </w:r>
          </w:p>
        </w:tc>
        <w:tc>
          <w:tcPr>
            <w:tcW w:w="3763" w:type="dxa"/>
            <w:vAlign w:val="center"/>
          </w:tcPr>
          <w:p w14:paraId="0B3421E6">
            <w:pPr>
              <w:rPr>
                <w:bCs/>
                <w:szCs w:val="21"/>
              </w:rPr>
            </w:pPr>
            <w:r>
              <w:rPr>
                <w:rFonts w:hint="eastAsia"/>
                <w:bCs/>
                <w:szCs w:val="21"/>
              </w:rPr>
              <w:t>由评标委员会成员独立进行客观、公正的评价，按照优、良、一般进行赋分，优得</w:t>
            </w:r>
            <w:r>
              <w:rPr>
                <w:bCs/>
                <w:szCs w:val="21"/>
              </w:rPr>
              <w:t>12</w:t>
            </w:r>
            <w:r>
              <w:rPr>
                <w:rFonts w:hint="eastAsia"/>
                <w:bCs/>
                <w:szCs w:val="21"/>
              </w:rPr>
              <w:t>分，良得</w:t>
            </w:r>
            <w:r>
              <w:rPr>
                <w:bCs/>
                <w:szCs w:val="21"/>
              </w:rPr>
              <w:t>10</w:t>
            </w:r>
            <w:r>
              <w:rPr>
                <w:rFonts w:hint="eastAsia"/>
                <w:bCs/>
                <w:szCs w:val="21"/>
              </w:rPr>
              <w:t>分，一般得</w:t>
            </w:r>
            <w:r>
              <w:rPr>
                <w:bCs/>
                <w:szCs w:val="21"/>
              </w:rPr>
              <w:t>8</w:t>
            </w:r>
            <w:r>
              <w:rPr>
                <w:rFonts w:hint="eastAsia"/>
                <w:bCs/>
                <w:szCs w:val="21"/>
              </w:rPr>
              <w:t>分，其他为</w:t>
            </w:r>
            <w:r>
              <w:rPr>
                <w:bCs/>
                <w:szCs w:val="21"/>
              </w:rPr>
              <w:t>6</w:t>
            </w:r>
            <w:r>
              <w:rPr>
                <w:rFonts w:hint="eastAsia"/>
                <w:bCs/>
                <w:szCs w:val="21"/>
              </w:rPr>
              <w:t>。。</w:t>
            </w:r>
          </w:p>
        </w:tc>
      </w:tr>
      <w:tr w14:paraId="65B52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669" w:type="dxa"/>
            <w:vMerge w:val="continue"/>
            <w:vAlign w:val="center"/>
          </w:tcPr>
          <w:p w14:paraId="72ED8053">
            <w:pPr>
              <w:rPr>
                <w:bCs/>
                <w:szCs w:val="21"/>
              </w:rPr>
            </w:pPr>
          </w:p>
        </w:tc>
        <w:tc>
          <w:tcPr>
            <w:tcW w:w="707" w:type="dxa"/>
            <w:vMerge w:val="continue"/>
            <w:vAlign w:val="center"/>
          </w:tcPr>
          <w:p w14:paraId="1C60D2D6">
            <w:pPr>
              <w:rPr>
                <w:bCs/>
                <w:szCs w:val="21"/>
              </w:rPr>
            </w:pPr>
          </w:p>
        </w:tc>
        <w:tc>
          <w:tcPr>
            <w:tcW w:w="604" w:type="dxa"/>
            <w:vAlign w:val="center"/>
          </w:tcPr>
          <w:p w14:paraId="498517C2">
            <w:pPr>
              <w:jc w:val="center"/>
              <w:rPr>
                <w:bCs/>
                <w:szCs w:val="21"/>
              </w:rPr>
            </w:pPr>
            <w:r>
              <w:rPr>
                <w:rFonts w:hint="eastAsia"/>
                <w:bCs/>
                <w:szCs w:val="21"/>
              </w:rPr>
              <w:t>5</w:t>
            </w:r>
          </w:p>
        </w:tc>
        <w:tc>
          <w:tcPr>
            <w:tcW w:w="2339" w:type="dxa"/>
            <w:vAlign w:val="center"/>
          </w:tcPr>
          <w:p w14:paraId="35751751">
            <w:pPr>
              <w:rPr>
                <w:bCs/>
                <w:szCs w:val="21"/>
              </w:rPr>
            </w:pPr>
            <w:r>
              <w:rPr>
                <w:rFonts w:hint="eastAsia"/>
                <w:bCs/>
                <w:szCs w:val="21"/>
              </w:rPr>
              <w:t>合作方整体方案具备高扩展性、高兼容性、高可靠性，满足功能安全、信息安全、EMC、整车要求法规，架构方案可支持后续多车型、多动力形式的迭代升级。</w:t>
            </w:r>
          </w:p>
        </w:tc>
        <w:tc>
          <w:tcPr>
            <w:tcW w:w="991" w:type="dxa"/>
            <w:vAlign w:val="center"/>
          </w:tcPr>
          <w:p w14:paraId="59ACFF60">
            <w:pPr>
              <w:jc w:val="center"/>
              <w:rPr>
                <w:bCs/>
                <w:szCs w:val="21"/>
              </w:rPr>
            </w:pPr>
            <w:r>
              <w:rPr>
                <w:bCs/>
                <w:szCs w:val="21"/>
              </w:rPr>
              <w:t>8</w:t>
            </w:r>
          </w:p>
        </w:tc>
        <w:tc>
          <w:tcPr>
            <w:tcW w:w="3763" w:type="dxa"/>
            <w:vAlign w:val="center"/>
          </w:tcPr>
          <w:p w14:paraId="5CCDFECF">
            <w:pPr>
              <w:rPr>
                <w:bCs/>
                <w:szCs w:val="21"/>
              </w:rPr>
            </w:pPr>
            <w:r>
              <w:rPr>
                <w:rFonts w:hint="eastAsia"/>
                <w:bCs/>
                <w:szCs w:val="21"/>
              </w:rPr>
              <w:t>由评标委员会成员独立进行客观、公正的评价，按照优、良、一般进行赋分，优得</w:t>
            </w:r>
            <w:r>
              <w:rPr>
                <w:bCs/>
                <w:szCs w:val="21"/>
              </w:rPr>
              <w:t>8</w:t>
            </w:r>
            <w:r>
              <w:rPr>
                <w:rFonts w:hint="eastAsia"/>
                <w:bCs/>
                <w:szCs w:val="21"/>
              </w:rPr>
              <w:t>分，良得</w:t>
            </w:r>
            <w:r>
              <w:rPr>
                <w:bCs/>
                <w:szCs w:val="21"/>
              </w:rPr>
              <w:t>7</w:t>
            </w:r>
            <w:r>
              <w:rPr>
                <w:rFonts w:hint="eastAsia"/>
                <w:bCs/>
                <w:szCs w:val="21"/>
              </w:rPr>
              <w:t>分，一般得</w:t>
            </w:r>
            <w:r>
              <w:rPr>
                <w:bCs/>
                <w:szCs w:val="21"/>
              </w:rPr>
              <w:t>6</w:t>
            </w:r>
            <w:r>
              <w:rPr>
                <w:rFonts w:hint="eastAsia"/>
                <w:bCs/>
                <w:szCs w:val="21"/>
              </w:rPr>
              <w:t>分，其他为</w:t>
            </w:r>
            <w:r>
              <w:rPr>
                <w:bCs/>
                <w:szCs w:val="21"/>
              </w:rPr>
              <w:t>4</w:t>
            </w:r>
            <w:r>
              <w:rPr>
                <w:rFonts w:hint="eastAsia"/>
                <w:bCs/>
                <w:szCs w:val="21"/>
              </w:rPr>
              <w:t>。</w:t>
            </w:r>
          </w:p>
        </w:tc>
      </w:tr>
      <w:tr w14:paraId="56437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669" w:type="dxa"/>
            <w:vMerge w:val="continue"/>
            <w:vAlign w:val="center"/>
          </w:tcPr>
          <w:p w14:paraId="49BFBB5F">
            <w:pPr>
              <w:rPr>
                <w:bCs/>
                <w:szCs w:val="21"/>
              </w:rPr>
            </w:pPr>
          </w:p>
        </w:tc>
        <w:tc>
          <w:tcPr>
            <w:tcW w:w="707" w:type="dxa"/>
            <w:vMerge w:val="restart"/>
            <w:vAlign w:val="center"/>
          </w:tcPr>
          <w:p w14:paraId="5B84013A">
            <w:pPr>
              <w:rPr>
                <w:bCs/>
                <w:szCs w:val="21"/>
              </w:rPr>
            </w:pPr>
            <w:r>
              <w:rPr>
                <w:rFonts w:hint="eastAsia"/>
                <w:bCs/>
                <w:szCs w:val="21"/>
              </w:rPr>
              <w:t>核心关键能力</w:t>
            </w:r>
          </w:p>
        </w:tc>
        <w:tc>
          <w:tcPr>
            <w:tcW w:w="604" w:type="dxa"/>
            <w:vAlign w:val="center"/>
          </w:tcPr>
          <w:p w14:paraId="7230067A">
            <w:pPr>
              <w:jc w:val="center"/>
              <w:rPr>
                <w:bCs/>
                <w:szCs w:val="21"/>
              </w:rPr>
            </w:pPr>
            <w:r>
              <w:rPr>
                <w:rFonts w:hint="eastAsia"/>
                <w:bCs/>
                <w:szCs w:val="21"/>
              </w:rPr>
              <w:t>6</w:t>
            </w:r>
          </w:p>
        </w:tc>
        <w:tc>
          <w:tcPr>
            <w:tcW w:w="2339" w:type="dxa"/>
            <w:vAlign w:val="center"/>
          </w:tcPr>
          <w:p w14:paraId="3775728D">
            <w:pPr>
              <w:rPr>
                <w:bCs/>
                <w:szCs w:val="21"/>
              </w:rPr>
            </w:pPr>
            <w:r>
              <w:rPr>
                <w:rFonts w:hint="eastAsia"/>
                <w:bCs/>
                <w:szCs w:val="21"/>
              </w:rPr>
              <w:t>跨域融合控制技术：动力、车身、底盘、空调上层策略融合设计。</w:t>
            </w:r>
          </w:p>
        </w:tc>
        <w:tc>
          <w:tcPr>
            <w:tcW w:w="991" w:type="dxa"/>
            <w:vAlign w:val="center"/>
          </w:tcPr>
          <w:p w14:paraId="2FB86B5B">
            <w:pPr>
              <w:jc w:val="center"/>
              <w:rPr>
                <w:bCs/>
                <w:szCs w:val="21"/>
              </w:rPr>
            </w:pPr>
            <w:r>
              <w:rPr>
                <w:bCs/>
                <w:szCs w:val="21"/>
              </w:rPr>
              <w:t>10</w:t>
            </w:r>
          </w:p>
        </w:tc>
        <w:tc>
          <w:tcPr>
            <w:tcW w:w="3763" w:type="dxa"/>
            <w:vAlign w:val="center"/>
          </w:tcPr>
          <w:p w14:paraId="50FB5D9F">
            <w:pPr>
              <w:rPr>
                <w:bCs/>
                <w:szCs w:val="21"/>
              </w:rPr>
            </w:pPr>
            <w:r>
              <w:rPr>
                <w:rFonts w:hint="eastAsia"/>
                <w:bCs/>
                <w:szCs w:val="21"/>
              </w:rPr>
              <w:t>投标人代表对方案、技术优势的讲解，以及就该项目难点回答评标专家现场提问，打分0-10分。</w:t>
            </w:r>
          </w:p>
        </w:tc>
      </w:tr>
      <w:tr w14:paraId="7DD1C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669" w:type="dxa"/>
            <w:vMerge w:val="continue"/>
            <w:vAlign w:val="center"/>
          </w:tcPr>
          <w:p w14:paraId="26B409F9">
            <w:pPr>
              <w:rPr>
                <w:bCs/>
                <w:szCs w:val="21"/>
              </w:rPr>
            </w:pPr>
          </w:p>
        </w:tc>
        <w:tc>
          <w:tcPr>
            <w:tcW w:w="707" w:type="dxa"/>
            <w:vMerge w:val="continue"/>
            <w:vAlign w:val="center"/>
          </w:tcPr>
          <w:p w14:paraId="76D3BE00">
            <w:pPr>
              <w:rPr>
                <w:bCs/>
                <w:szCs w:val="21"/>
              </w:rPr>
            </w:pPr>
          </w:p>
        </w:tc>
        <w:tc>
          <w:tcPr>
            <w:tcW w:w="604" w:type="dxa"/>
            <w:vAlign w:val="center"/>
          </w:tcPr>
          <w:p w14:paraId="3564330F">
            <w:pPr>
              <w:jc w:val="center"/>
              <w:rPr>
                <w:bCs/>
                <w:szCs w:val="21"/>
              </w:rPr>
            </w:pPr>
            <w:r>
              <w:rPr>
                <w:rFonts w:hint="eastAsia"/>
                <w:bCs/>
                <w:szCs w:val="21"/>
              </w:rPr>
              <w:t>7</w:t>
            </w:r>
          </w:p>
        </w:tc>
        <w:tc>
          <w:tcPr>
            <w:tcW w:w="2339" w:type="dxa"/>
            <w:vAlign w:val="center"/>
          </w:tcPr>
          <w:p w14:paraId="62C072FD">
            <w:pPr>
              <w:rPr>
                <w:bCs/>
                <w:szCs w:val="21"/>
              </w:rPr>
            </w:pPr>
            <w:r>
              <w:rPr>
                <w:rFonts w:hint="eastAsia"/>
                <w:bCs/>
                <w:szCs w:val="21"/>
              </w:rPr>
              <w:t>区域控制与底盘技术：底盘分区控制、整车电源管理、智能配电优化方案。</w:t>
            </w:r>
          </w:p>
        </w:tc>
        <w:tc>
          <w:tcPr>
            <w:tcW w:w="991" w:type="dxa"/>
            <w:vAlign w:val="center"/>
          </w:tcPr>
          <w:p w14:paraId="379FBD9E">
            <w:pPr>
              <w:jc w:val="center"/>
              <w:rPr>
                <w:bCs/>
                <w:szCs w:val="21"/>
              </w:rPr>
            </w:pPr>
            <w:r>
              <w:rPr>
                <w:rFonts w:hint="eastAsia"/>
                <w:bCs/>
                <w:szCs w:val="21"/>
              </w:rPr>
              <w:t>10</w:t>
            </w:r>
          </w:p>
        </w:tc>
        <w:tc>
          <w:tcPr>
            <w:tcW w:w="3763" w:type="dxa"/>
            <w:vAlign w:val="center"/>
          </w:tcPr>
          <w:p w14:paraId="0398568D">
            <w:pPr>
              <w:rPr>
                <w:bCs/>
                <w:szCs w:val="21"/>
              </w:rPr>
            </w:pPr>
            <w:r>
              <w:rPr>
                <w:rFonts w:hint="eastAsia"/>
                <w:bCs/>
                <w:szCs w:val="21"/>
              </w:rPr>
              <w:t>投标人代表对方案、技术优势的讲解，以及就该项目难点回答评标专家现场提问，打分0-10分。</w:t>
            </w:r>
          </w:p>
        </w:tc>
      </w:tr>
      <w:tr w14:paraId="432C8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669" w:type="dxa"/>
            <w:vMerge w:val="continue"/>
            <w:vAlign w:val="center"/>
          </w:tcPr>
          <w:p w14:paraId="63EE2950">
            <w:pPr>
              <w:rPr>
                <w:bCs/>
                <w:szCs w:val="21"/>
              </w:rPr>
            </w:pPr>
          </w:p>
        </w:tc>
        <w:tc>
          <w:tcPr>
            <w:tcW w:w="707" w:type="dxa"/>
            <w:vMerge w:val="continue"/>
            <w:vAlign w:val="center"/>
          </w:tcPr>
          <w:p w14:paraId="2B689141">
            <w:pPr>
              <w:rPr>
                <w:bCs/>
                <w:szCs w:val="21"/>
              </w:rPr>
            </w:pPr>
          </w:p>
        </w:tc>
        <w:tc>
          <w:tcPr>
            <w:tcW w:w="604" w:type="dxa"/>
            <w:vAlign w:val="center"/>
          </w:tcPr>
          <w:p w14:paraId="426B3655">
            <w:pPr>
              <w:jc w:val="center"/>
              <w:rPr>
                <w:bCs/>
                <w:szCs w:val="21"/>
              </w:rPr>
            </w:pPr>
            <w:r>
              <w:rPr>
                <w:rFonts w:hint="eastAsia"/>
                <w:bCs/>
                <w:szCs w:val="21"/>
              </w:rPr>
              <w:t>8</w:t>
            </w:r>
          </w:p>
        </w:tc>
        <w:tc>
          <w:tcPr>
            <w:tcW w:w="2339" w:type="dxa"/>
            <w:vAlign w:val="center"/>
          </w:tcPr>
          <w:p w14:paraId="676C19AF">
            <w:pPr>
              <w:rPr>
                <w:bCs/>
                <w:szCs w:val="21"/>
              </w:rPr>
            </w:pPr>
            <w:r>
              <w:rPr>
                <w:rFonts w:hint="eastAsia"/>
                <w:bCs/>
                <w:szCs w:val="21"/>
              </w:rPr>
              <w:t>仿真测试和台架开发：LabCar集成测试、系统联调、架构仿真验证、A样件软硬件设计开发技术路线。</w:t>
            </w:r>
          </w:p>
        </w:tc>
        <w:tc>
          <w:tcPr>
            <w:tcW w:w="991" w:type="dxa"/>
            <w:vAlign w:val="center"/>
          </w:tcPr>
          <w:p w14:paraId="0120766C">
            <w:pPr>
              <w:jc w:val="center"/>
              <w:rPr>
                <w:bCs/>
                <w:szCs w:val="21"/>
              </w:rPr>
            </w:pPr>
            <w:r>
              <w:rPr>
                <w:rFonts w:hint="eastAsia"/>
                <w:bCs/>
                <w:szCs w:val="21"/>
              </w:rPr>
              <w:t>10</w:t>
            </w:r>
          </w:p>
        </w:tc>
        <w:tc>
          <w:tcPr>
            <w:tcW w:w="3763" w:type="dxa"/>
            <w:vAlign w:val="center"/>
          </w:tcPr>
          <w:p w14:paraId="747B4AB1">
            <w:pPr>
              <w:rPr>
                <w:bCs/>
                <w:szCs w:val="21"/>
              </w:rPr>
            </w:pPr>
            <w:r>
              <w:rPr>
                <w:rFonts w:hint="eastAsia"/>
                <w:bCs/>
                <w:szCs w:val="21"/>
              </w:rPr>
              <w:t>投标人代表对方案、技术优势的讲解，以及就该项目难点回答评标专家现场提问，打分0-10分。</w:t>
            </w:r>
          </w:p>
        </w:tc>
      </w:tr>
      <w:tr w14:paraId="5225F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669" w:type="dxa"/>
            <w:vMerge w:val="continue"/>
            <w:vAlign w:val="center"/>
          </w:tcPr>
          <w:p w14:paraId="597A346A">
            <w:pPr>
              <w:rPr>
                <w:bCs/>
                <w:szCs w:val="21"/>
              </w:rPr>
            </w:pPr>
          </w:p>
        </w:tc>
        <w:tc>
          <w:tcPr>
            <w:tcW w:w="707" w:type="dxa"/>
            <w:vAlign w:val="center"/>
          </w:tcPr>
          <w:p w14:paraId="1D4EEBC2">
            <w:pPr>
              <w:rPr>
                <w:bCs/>
                <w:szCs w:val="21"/>
              </w:rPr>
            </w:pPr>
            <w:r>
              <w:rPr>
                <w:rFonts w:hint="eastAsia"/>
                <w:bCs/>
                <w:szCs w:val="21"/>
              </w:rPr>
              <w:t>技术偏离</w:t>
            </w:r>
          </w:p>
        </w:tc>
        <w:tc>
          <w:tcPr>
            <w:tcW w:w="604" w:type="dxa"/>
            <w:vAlign w:val="center"/>
          </w:tcPr>
          <w:p w14:paraId="77B73908">
            <w:pPr>
              <w:jc w:val="center"/>
              <w:rPr>
                <w:bCs/>
                <w:szCs w:val="21"/>
              </w:rPr>
            </w:pPr>
            <w:r>
              <w:rPr>
                <w:rFonts w:hint="eastAsia"/>
                <w:bCs/>
                <w:szCs w:val="21"/>
              </w:rPr>
              <w:t>9</w:t>
            </w:r>
          </w:p>
        </w:tc>
        <w:tc>
          <w:tcPr>
            <w:tcW w:w="2339" w:type="dxa"/>
            <w:vAlign w:val="center"/>
          </w:tcPr>
          <w:p w14:paraId="4B13D3A7">
            <w:pPr>
              <w:rPr>
                <w:bCs/>
                <w:szCs w:val="21"/>
              </w:rPr>
            </w:pPr>
            <w:r>
              <w:rPr>
                <w:rFonts w:hint="eastAsia"/>
                <w:bCs/>
                <w:szCs w:val="21"/>
              </w:rPr>
              <w:t>根据各投标人的核心产品的配置参数、技术偏离情况进行确认。</w:t>
            </w:r>
          </w:p>
        </w:tc>
        <w:tc>
          <w:tcPr>
            <w:tcW w:w="991" w:type="dxa"/>
            <w:vAlign w:val="center"/>
          </w:tcPr>
          <w:p w14:paraId="52AB8F4C">
            <w:pPr>
              <w:jc w:val="center"/>
              <w:rPr>
                <w:bCs/>
                <w:szCs w:val="21"/>
              </w:rPr>
            </w:pPr>
            <w:r>
              <w:rPr>
                <w:rFonts w:hint="eastAsia"/>
                <w:bCs/>
                <w:szCs w:val="21"/>
              </w:rPr>
              <w:t>1</w:t>
            </w:r>
            <w:r>
              <w:rPr>
                <w:bCs/>
                <w:szCs w:val="21"/>
              </w:rPr>
              <w:t>5</w:t>
            </w:r>
          </w:p>
        </w:tc>
        <w:tc>
          <w:tcPr>
            <w:tcW w:w="3763" w:type="dxa"/>
            <w:vAlign w:val="center"/>
          </w:tcPr>
          <w:p w14:paraId="1AA54A73">
            <w:pPr>
              <w:rPr>
                <w:bCs/>
                <w:szCs w:val="21"/>
              </w:rPr>
            </w:pPr>
            <w:r>
              <w:rPr>
                <w:rFonts w:hint="eastAsia"/>
                <w:bCs/>
                <w:szCs w:val="21"/>
              </w:rPr>
              <w:t>由评标委员会成员独立进行客观、公正的评价，根据各投标人的核心产品的配置参数、技术偏离情况，在满足我司技术基本要求的前提下偏离，无偏离得满分1</w:t>
            </w:r>
            <w:r>
              <w:rPr>
                <w:bCs/>
                <w:szCs w:val="21"/>
              </w:rPr>
              <w:t>5</w:t>
            </w:r>
            <w:r>
              <w:rPr>
                <w:rFonts w:hint="eastAsia"/>
                <w:bCs/>
                <w:szCs w:val="21"/>
              </w:rPr>
              <w:t>分，较大偏离每一项扣5分，一般偏离每一项扣3分，最低0分。</w:t>
            </w:r>
          </w:p>
        </w:tc>
      </w:tr>
      <w:tr w14:paraId="27F56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669" w:type="dxa"/>
            <w:vMerge w:val="continue"/>
            <w:vAlign w:val="center"/>
          </w:tcPr>
          <w:p w14:paraId="5240B010">
            <w:pPr>
              <w:rPr>
                <w:bCs/>
                <w:szCs w:val="21"/>
              </w:rPr>
            </w:pPr>
          </w:p>
        </w:tc>
        <w:tc>
          <w:tcPr>
            <w:tcW w:w="707" w:type="dxa"/>
            <w:shd w:val="clear" w:color="auto" w:fill="auto"/>
            <w:vAlign w:val="center"/>
          </w:tcPr>
          <w:p w14:paraId="05344EEA">
            <w:pPr>
              <w:pStyle w:val="4"/>
            </w:pPr>
            <w:r>
              <w:rPr>
                <w:rFonts w:hint="eastAsia"/>
                <w:bCs/>
                <w:szCs w:val="21"/>
              </w:rPr>
              <w:t>人员配置</w:t>
            </w:r>
          </w:p>
        </w:tc>
        <w:tc>
          <w:tcPr>
            <w:tcW w:w="604" w:type="dxa"/>
            <w:shd w:val="clear" w:color="auto" w:fill="auto"/>
            <w:vAlign w:val="center"/>
          </w:tcPr>
          <w:p w14:paraId="5261F497">
            <w:pPr>
              <w:jc w:val="center"/>
              <w:rPr>
                <w:bCs/>
                <w:szCs w:val="21"/>
              </w:rPr>
            </w:pPr>
            <w:r>
              <w:rPr>
                <w:rFonts w:hint="eastAsia"/>
                <w:bCs/>
                <w:szCs w:val="21"/>
              </w:rPr>
              <w:t>1</w:t>
            </w:r>
            <w:r>
              <w:rPr>
                <w:bCs/>
                <w:szCs w:val="21"/>
              </w:rPr>
              <w:t>0</w:t>
            </w:r>
          </w:p>
        </w:tc>
        <w:tc>
          <w:tcPr>
            <w:tcW w:w="2339" w:type="dxa"/>
            <w:shd w:val="clear" w:color="auto" w:fill="auto"/>
            <w:vAlign w:val="center"/>
          </w:tcPr>
          <w:p w14:paraId="3A5E77C8">
            <w:pPr>
              <w:rPr>
                <w:bCs/>
                <w:szCs w:val="21"/>
              </w:rPr>
            </w:pPr>
            <w:r>
              <w:rPr>
                <w:rFonts w:hint="eastAsia"/>
                <w:bCs/>
                <w:szCs w:val="21"/>
              </w:rPr>
              <w:t>为满足项目需求及响应及时性，投标人应为本项目配置充足的项目团队。</w:t>
            </w:r>
          </w:p>
        </w:tc>
        <w:tc>
          <w:tcPr>
            <w:tcW w:w="991" w:type="dxa"/>
            <w:vAlign w:val="center"/>
          </w:tcPr>
          <w:p w14:paraId="4EBB1480">
            <w:pPr>
              <w:pStyle w:val="4"/>
              <w:jc w:val="center"/>
            </w:pPr>
            <w:r>
              <w:rPr>
                <w:rFonts w:hint="eastAsia"/>
                <w:bCs/>
                <w:szCs w:val="21"/>
              </w:rPr>
              <w:t>4</w:t>
            </w:r>
          </w:p>
        </w:tc>
        <w:tc>
          <w:tcPr>
            <w:tcW w:w="3763" w:type="dxa"/>
            <w:vAlign w:val="center"/>
          </w:tcPr>
          <w:p w14:paraId="38FECE0E">
            <w:pPr>
              <w:rPr>
                <w:bCs/>
                <w:szCs w:val="21"/>
              </w:rPr>
            </w:pPr>
            <w:r>
              <w:rPr>
                <w:rFonts w:hint="eastAsia"/>
                <w:bCs/>
                <w:szCs w:val="21"/>
              </w:rPr>
              <w:t>1. 项目实施团队＞</w:t>
            </w:r>
            <w:r>
              <w:rPr>
                <w:bCs/>
                <w:szCs w:val="21"/>
              </w:rPr>
              <w:t>10</w:t>
            </w:r>
            <w:r>
              <w:rPr>
                <w:rFonts w:hint="eastAsia"/>
                <w:bCs/>
                <w:szCs w:val="21"/>
              </w:rPr>
              <w:t>人，且组织结构合理，得</w:t>
            </w:r>
            <w:r>
              <w:rPr>
                <w:bCs/>
                <w:szCs w:val="21"/>
              </w:rPr>
              <w:t>4</w:t>
            </w:r>
            <w:r>
              <w:rPr>
                <w:rFonts w:hint="eastAsia"/>
                <w:bCs/>
                <w:szCs w:val="21"/>
              </w:rPr>
              <w:t>分</w:t>
            </w:r>
          </w:p>
          <w:p w14:paraId="2233B598">
            <w:pPr>
              <w:rPr>
                <w:bCs/>
                <w:szCs w:val="21"/>
              </w:rPr>
            </w:pPr>
            <w:r>
              <w:rPr>
                <w:rFonts w:hint="eastAsia"/>
                <w:bCs/>
                <w:szCs w:val="21"/>
              </w:rPr>
              <w:t>2. 项目实施团队</w:t>
            </w:r>
            <w:r>
              <w:rPr>
                <w:bCs/>
                <w:szCs w:val="21"/>
              </w:rPr>
              <w:t>5~10</w:t>
            </w:r>
            <w:r>
              <w:rPr>
                <w:rFonts w:hint="eastAsia"/>
                <w:bCs/>
                <w:szCs w:val="21"/>
              </w:rPr>
              <w:t>人，且组织结构合理，得</w:t>
            </w:r>
            <w:r>
              <w:rPr>
                <w:bCs/>
                <w:szCs w:val="21"/>
              </w:rPr>
              <w:t>3</w:t>
            </w:r>
            <w:r>
              <w:rPr>
                <w:rFonts w:hint="eastAsia"/>
                <w:bCs/>
                <w:szCs w:val="21"/>
              </w:rPr>
              <w:t>分</w:t>
            </w:r>
          </w:p>
          <w:p w14:paraId="34CA5F23">
            <w:pPr>
              <w:rPr>
                <w:bCs/>
                <w:szCs w:val="21"/>
              </w:rPr>
            </w:pPr>
            <w:r>
              <w:rPr>
                <w:rFonts w:hint="eastAsia"/>
                <w:bCs/>
                <w:szCs w:val="21"/>
              </w:rPr>
              <w:t>3. 项目实施团队</w:t>
            </w:r>
            <w:r>
              <w:rPr>
                <w:bCs/>
                <w:szCs w:val="21"/>
              </w:rPr>
              <w:t>3~5</w:t>
            </w:r>
            <w:r>
              <w:rPr>
                <w:rFonts w:hint="eastAsia"/>
                <w:bCs/>
                <w:szCs w:val="21"/>
              </w:rPr>
              <w:t>人，且组织结构合理，得2分</w:t>
            </w:r>
          </w:p>
          <w:p w14:paraId="52B0902A">
            <w:pPr>
              <w:pStyle w:val="4"/>
            </w:pPr>
            <w:r>
              <w:t>4.</w:t>
            </w:r>
            <w:r>
              <w:rPr>
                <w:rFonts w:hint="eastAsia"/>
                <w:bCs/>
                <w:szCs w:val="21"/>
              </w:rPr>
              <w:t xml:space="preserve"> 项目实施团队＜</w:t>
            </w:r>
            <w:r>
              <w:rPr>
                <w:bCs/>
                <w:szCs w:val="21"/>
              </w:rPr>
              <w:t>3</w:t>
            </w:r>
            <w:r>
              <w:rPr>
                <w:rFonts w:hint="eastAsia"/>
                <w:bCs/>
                <w:szCs w:val="21"/>
              </w:rPr>
              <w:t>人，或组织结构合理，得0分</w:t>
            </w:r>
          </w:p>
          <w:p w14:paraId="29E0B322">
            <w:pPr>
              <w:pStyle w:val="4"/>
              <w:rPr>
                <w:bCs/>
                <w:szCs w:val="21"/>
              </w:rPr>
            </w:pPr>
            <w:r>
              <w:rPr>
                <w:rFonts w:hint="eastAsia"/>
                <w:bCs/>
                <w:szCs w:val="21"/>
              </w:rPr>
              <w:t>注：所有项目团队成员必须是投标人正式员工，需须提供不少于半年的社保缴纳证明</w:t>
            </w:r>
          </w:p>
        </w:tc>
      </w:tr>
      <w:tr w14:paraId="3F7E5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669" w:type="dxa"/>
            <w:vMerge w:val="continue"/>
            <w:vAlign w:val="center"/>
          </w:tcPr>
          <w:p w14:paraId="1FD213F0">
            <w:pPr>
              <w:rPr>
                <w:bCs/>
                <w:szCs w:val="21"/>
              </w:rPr>
            </w:pPr>
          </w:p>
        </w:tc>
        <w:tc>
          <w:tcPr>
            <w:tcW w:w="707" w:type="dxa"/>
            <w:shd w:val="clear" w:color="auto" w:fill="auto"/>
            <w:vAlign w:val="center"/>
          </w:tcPr>
          <w:p w14:paraId="5953B0FB">
            <w:pPr>
              <w:pStyle w:val="4"/>
            </w:pPr>
            <w:r>
              <w:rPr>
                <w:rFonts w:hint="eastAsia"/>
                <w:bCs/>
                <w:szCs w:val="21"/>
              </w:rPr>
              <w:t>能力及经验要求</w:t>
            </w:r>
          </w:p>
        </w:tc>
        <w:tc>
          <w:tcPr>
            <w:tcW w:w="604" w:type="dxa"/>
            <w:shd w:val="clear" w:color="auto" w:fill="auto"/>
            <w:vAlign w:val="center"/>
          </w:tcPr>
          <w:p w14:paraId="7AB9825E">
            <w:pPr>
              <w:jc w:val="center"/>
              <w:rPr>
                <w:bCs/>
                <w:szCs w:val="21"/>
              </w:rPr>
            </w:pPr>
            <w:r>
              <w:rPr>
                <w:rFonts w:hint="eastAsia"/>
                <w:bCs/>
                <w:szCs w:val="21"/>
              </w:rPr>
              <w:t>1</w:t>
            </w:r>
            <w:r>
              <w:rPr>
                <w:bCs/>
                <w:szCs w:val="21"/>
              </w:rPr>
              <w:t>1</w:t>
            </w:r>
          </w:p>
        </w:tc>
        <w:tc>
          <w:tcPr>
            <w:tcW w:w="2339" w:type="dxa"/>
            <w:shd w:val="clear" w:color="auto" w:fill="auto"/>
            <w:vAlign w:val="center"/>
          </w:tcPr>
          <w:p w14:paraId="39CB53A6">
            <w:pPr>
              <w:rPr>
                <w:bCs/>
                <w:szCs w:val="21"/>
              </w:rPr>
            </w:pPr>
            <w:r>
              <w:rPr>
                <w:rFonts w:hint="eastAsia"/>
                <w:bCs/>
                <w:szCs w:val="21"/>
              </w:rPr>
              <w:t>为保证项目开发进度和质量，投标人需保障投入项目人员能力及经验。</w:t>
            </w:r>
          </w:p>
        </w:tc>
        <w:tc>
          <w:tcPr>
            <w:tcW w:w="991" w:type="dxa"/>
            <w:vAlign w:val="center"/>
          </w:tcPr>
          <w:p w14:paraId="4854D8C0">
            <w:pPr>
              <w:pStyle w:val="4"/>
              <w:jc w:val="center"/>
            </w:pPr>
            <w:r>
              <w:rPr>
                <w:bCs/>
                <w:szCs w:val="21"/>
              </w:rPr>
              <w:t>3</w:t>
            </w:r>
          </w:p>
        </w:tc>
        <w:tc>
          <w:tcPr>
            <w:tcW w:w="3763" w:type="dxa"/>
            <w:vAlign w:val="center"/>
          </w:tcPr>
          <w:p w14:paraId="55E1968D">
            <w:pPr>
              <w:rPr>
                <w:bCs/>
                <w:szCs w:val="21"/>
              </w:rPr>
            </w:pPr>
            <w:r>
              <w:rPr>
                <w:rFonts w:hint="eastAsia"/>
                <w:bCs/>
                <w:szCs w:val="21"/>
              </w:rPr>
              <w:t>以下全部满足得</w:t>
            </w:r>
            <w:r>
              <w:rPr>
                <w:bCs/>
                <w:szCs w:val="21"/>
              </w:rPr>
              <w:t>3</w:t>
            </w:r>
            <w:r>
              <w:rPr>
                <w:rFonts w:hint="eastAsia"/>
                <w:bCs/>
                <w:szCs w:val="21"/>
              </w:rPr>
              <w:t>分，任意一项不满足得</w:t>
            </w:r>
            <w:r>
              <w:rPr>
                <w:bCs/>
                <w:szCs w:val="21"/>
              </w:rPr>
              <w:t>1</w:t>
            </w:r>
            <w:r>
              <w:rPr>
                <w:rFonts w:hint="eastAsia"/>
                <w:bCs/>
                <w:szCs w:val="21"/>
              </w:rPr>
              <w:t>分：</w:t>
            </w:r>
          </w:p>
          <w:p w14:paraId="4A598F8B">
            <w:pPr>
              <w:rPr>
                <w:bCs/>
                <w:szCs w:val="21"/>
              </w:rPr>
            </w:pPr>
            <w:r>
              <w:rPr>
                <w:rFonts w:hint="eastAsia"/>
                <w:bCs/>
                <w:szCs w:val="21"/>
              </w:rPr>
              <w:t>1.</w:t>
            </w:r>
            <w:r>
              <w:rPr>
                <w:rFonts w:hint="eastAsia"/>
                <w:bCs/>
                <w:szCs w:val="21"/>
              </w:rPr>
              <w:tab/>
            </w:r>
            <w:r>
              <w:rPr>
                <w:rFonts w:hint="eastAsia"/>
                <w:bCs/>
                <w:szCs w:val="21"/>
              </w:rPr>
              <w:t>所有成员学历要求本科及以上</w:t>
            </w:r>
          </w:p>
          <w:p w14:paraId="7A0C2898">
            <w:pPr>
              <w:pStyle w:val="4"/>
              <w:rPr>
                <w:bCs/>
                <w:szCs w:val="21"/>
              </w:rPr>
            </w:pPr>
            <w:r>
              <w:rPr>
                <w:rFonts w:hint="eastAsia"/>
                <w:bCs/>
                <w:szCs w:val="21"/>
              </w:rPr>
              <w:t>2.项目组关键岗位人员工作年限≥5，且具备</w:t>
            </w:r>
            <w:r>
              <w:rPr>
                <w:bCs/>
                <w:szCs w:val="21"/>
              </w:rPr>
              <w:t>3</w:t>
            </w:r>
            <w:r>
              <w:rPr>
                <w:rFonts w:hint="eastAsia"/>
                <w:bCs/>
                <w:szCs w:val="21"/>
              </w:rPr>
              <w:t>个以上架构开发或控制器开发经验；</w:t>
            </w:r>
            <w:r>
              <w:rPr>
                <w:bCs/>
                <w:szCs w:val="21"/>
              </w:rPr>
              <w:t xml:space="preserve"> </w:t>
            </w:r>
          </w:p>
        </w:tc>
      </w:tr>
      <w:tr w14:paraId="5BB5C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669" w:type="dxa"/>
            <w:vMerge w:val="continue"/>
            <w:vAlign w:val="center"/>
          </w:tcPr>
          <w:p w14:paraId="7A89DA53">
            <w:pPr>
              <w:rPr>
                <w:bCs/>
                <w:szCs w:val="21"/>
              </w:rPr>
            </w:pPr>
          </w:p>
        </w:tc>
        <w:tc>
          <w:tcPr>
            <w:tcW w:w="707" w:type="dxa"/>
            <w:vAlign w:val="center"/>
          </w:tcPr>
          <w:p w14:paraId="347ABC35">
            <w:pPr>
              <w:pStyle w:val="4"/>
            </w:pPr>
            <w:r>
              <w:rPr>
                <w:rFonts w:hint="eastAsia"/>
                <w:bCs/>
                <w:szCs w:val="21"/>
              </w:rPr>
              <w:t>本地化团队及协同办公</w:t>
            </w:r>
          </w:p>
        </w:tc>
        <w:tc>
          <w:tcPr>
            <w:tcW w:w="604" w:type="dxa"/>
            <w:vAlign w:val="center"/>
          </w:tcPr>
          <w:p w14:paraId="63930EA0">
            <w:pPr>
              <w:jc w:val="center"/>
              <w:rPr>
                <w:bCs/>
                <w:szCs w:val="21"/>
              </w:rPr>
            </w:pPr>
            <w:r>
              <w:rPr>
                <w:rFonts w:hint="eastAsia"/>
                <w:bCs/>
                <w:szCs w:val="21"/>
              </w:rPr>
              <w:t>1</w:t>
            </w:r>
            <w:r>
              <w:rPr>
                <w:bCs/>
                <w:szCs w:val="21"/>
              </w:rPr>
              <w:t>2</w:t>
            </w:r>
          </w:p>
        </w:tc>
        <w:tc>
          <w:tcPr>
            <w:tcW w:w="2339" w:type="dxa"/>
            <w:vAlign w:val="center"/>
          </w:tcPr>
          <w:p w14:paraId="1BA4F402">
            <w:pPr>
              <w:rPr>
                <w:rFonts w:hint="eastAsia"/>
                <w:bCs/>
                <w:szCs w:val="21"/>
              </w:rPr>
            </w:pPr>
            <w:r>
              <w:rPr>
                <w:rFonts w:hint="eastAsia"/>
                <w:bCs/>
                <w:szCs w:val="21"/>
              </w:rPr>
              <w:t>为保证项目开发效率及质量，面对面办公至关重要。投标人需保障一定数量的驻场工作人员。</w:t>
            </w:r>
          </w:p>
        </w:tc>
        <w:tc>
          <w:tcPr>
            <w:tcW w:w="991" w:type="dxa"/>
            <w:vAlign w:val="center"/>
          </w:tcPr>
          <w:p w14:paraId="2231A913">
            <w:pPr>
              <w:jc w:val="center"/>
              <w:rPr>
                <w:bCs/>
                <w:szCs w:val="21"/>
              </w:rPr>
            </w:pPr>
            <w:r>
              <w:rPr>
                <w:bCs/>
                <w:szCs w:val="21"/>
              </w:rPr>
              <w:t>4</w:t>
            </w:r>
          </w:p>
        </w:tc>
        <w:tc>
          <w:tcPr>
            <w:tcW w:w="3763" w:type="dxa"/>
            <w:vAlign w:val="center"/>
          </w:tcPr>
          <w:p w14:paraId="3A2DE67C">
            <w:pPr>
              <w:rPr>
                <w:bCs/>
                <w:szCs w:val="21"/>
              </w:rPr>
            </w:pPr>
            <w:r>
              <w:rPr>
                <w:rFonts w:hint="eastAsia"/>
                <w:bCs/>
                <w:szCs w:val="21"/>
              </w:rPr>
              <w:t>1.可提供</w:t>
            </w:r>
            <w:r>
              <w:rPr>
                <w:bCs/>
                <w:szCs w:val="21"/>
              </w:rPr>
              <w:t>3</w:t>
            </w:r>
            <w:r>
              <w:rPr>
                <w:rFonts w:hint="eastAsia"/>
                <w:bCs/>
                <w:szCs w:val="21"/>
              </w:rPr>
              <w:t>人以上驻场工作团队，得</w:t>
            </w:r>
            <w:r>
              <w:rPr>
                <w:bCs/>
                <w:szCs w:val="21"/>
              </w:rPr>
              <w:t>4</w:t>
            </w:r>
            <w:r>
              <w:rPr>
                <w:rFonts w:hint="eastAsia"/>
                <w:bCs/>
                <w:szCs w:val="21"/>
              </w:rPr>
              <w:t>分；</w:t>
            </w:r>
          </w:p>
          <w:p w14:paraId="0DEFE836">
            <w:pPr>
              <w:rPr>
                <w:bCs/>
                <w:szCs w:val="21"/>
              </w:rPr>
            </w:pPr>
            <w:r>
              <w:rPr>
                <w:rFonts w:hint="eastAsia"/>
                <w:bCs/>
                <w:szCs w:val="21"/>
              </w:rPr>
              <w:t>2.可提供</w:t>
            </w:r>
            <w:r>
              <w:rPr>
                <w:bCs/>
                <w:szCs w:val="21"/>
              </w:rPr>
              <w:t>2</w:t>
            </w:r>
            <w:r>
              <w:rPr>
                <w:rFonts w:hint="eastAsia"/>
                <w:bCs/>
                <w:szCs w:val="21"/>
              </w:rPr>
              <w:t>人的驻场工作团队，得</w:t>
            </w:r>
            <w:r>
              <w:rPr>
                <w:bCs/>
                <w:szCs w:val="21"/>
              </w:rPr>
              <w:t>3</w:t>
            </w:r>
            <w:r>
              <w:rPr>
                <w:rFonts w:hint="eastAsia"/>
                <w:bCs/>
                <w:szCs w:val="21"/>
              </w:rPr>
              <w:t>分；</w:t>
            </w:r>
          </w:p>
          <w:p w14:paraId="47AC05D5">
            <w:pPr>
              <w:rPr>
                <w:bCs/>
                <w:szCs w:val="21"/>
              </w:rPr>
            </w:pPr>
            <w:r>
              <w:rPr>
                <w:rFonts w:hint="eastAsia"/>
                <w:bCs/>
                <w:szCs w:val="21"/>
              </w:rPr>
              <w:t>3.可提供</w:t>
            </w:r>
            <w:r>
              <w:rPr>
                <w:bCs/>
                <w:szCs w:val="21"/>
              </w:rPr>
              <w:t>1</w:t>
            </w:r>
            <w:r>
              <w:rPr>
                <w:rFonts w:hint="eastAsia"/>
                <w:bCs/>
                <w:szCs w:val="21"/>
              </w:rPr>
              <w:t>人的驻场工作团队，得</w:t>
            </w:r>
            <w:r>
              <w:rPr>
                <w:bCs/>
                <w:szCs w:val="21"/>
              </w:rPr>
              <w:t>1</w:t>
            </w:r>
            <w:r>
              <w:rPr>
                <w:rFonts w:hint="eastAsia"/>
                <w:bCs/>
                <w:szCs w:val="21"/>
              </w:rPr>
              <w:t>.5分；；</w:t>
            </w:r>
          </w:p>
          <w:p w14:paraId="2D688848">
            <w:pPr>
              <w:pStyle w:val="4"/>
            </w:pPr>
            <w:r>
              <w:t>4.</w:t>
            </w:r>
            <w:r>
              <w:rPr>
                <w:rFonts w:hint="eastAsia"/>
              </w:rPr>
              <w:t>不满足驻场要求的，得0分</w:t>
            </w:r>
          </w:p>
          <w:p w14:paraId="66300827">
            <w:pPr>
              <w:rPr>
                <w:bCs/>
                <w:szCs w:val="21"/>
              </w:rPr>
            </w:pPr>
            <w:r>
              <w:rPr>
                <w:rFonts w:hint="eastAsia"/>
                <w:bCs/>
                <w:szCs w:val="21"/>
              </w:rPr>
              <w:t>注：驻场工作人员需为项目组核心人员，驻场人员平均每周驻场不少于3天；</w:t>
            </w:r>
          </w:p>
        </w:tc>
      </w:tr>
    </w:tbl>
    <w:p w14:paraId="3D01C3D3">
      <w:pPr>
        <w:pStyle w:val="4"/>
        <w:rPr>
          <w:rFonts w:ascii="Times New Roman" w:hAnsi="Times New Roman"/>
        </w:rPr>
      </w:pPr>
    </w:p>
    <w:p w14:paraId="194835E7">
      <w:pPr>
        <w:numPr>
          <w:ilvl w:val="0"/>
          <w:numId w:val="18"/>
        </w:numPr>
        <w:spacing w:line="440" w:lineRule="exact"/>
        <w:rPr>
          <w:rFonts w:hint="eastAsia" w:ascii="Times New Roman" w:hAnsi="Times New Roman" w:eastAsia="宋体" w:cs="宋体"/>
          <w:bCs/>
          <w:kern w:val="2"/>
          <w:sz w:val="21"/>
          <w:szCs w:val="21"/>
          <w:lang w:val="en-US" w:eastAsia="zh-CN" w:bidi="ar-SA"/>
        </w:rPr>
      </w:pPr>
      <w:r>
        <w:rPr>
          <w:rFonts w:hint="eastAsia" w:cs="宋体"/>
          <w:bCs/>
          <w:szCs w:val="21"/>
        </w:rPr>
        <w:t>商务标评审：商务条款相应确认→价格澄清→商务标评审；评审期间产生的商务价格澄清均由投标人在重汽e采通平台内限时完成提交；</w:t>
      </w:r>
    </w:p>
    <w:p w14:paraId="578AD287">
      <w:pPr>
        <w:numPr>
          <w:ilvl w:val="0"/>
          <w:numId w:val="18"/>
        </w:numPr>
        <w:spacing w:line="440" w:lineRule="exact"/>
        <w:rPr>
          <w:rFonts w:hint="eastAsia" w:ascii="Times New Roman" w:hAnsi="Times New Roman" w:eastAsia="宋体" w:cs="宋体"/>
          <w:bCs/>
          <w:kern w:val="2"/>
          <w:sz w:val="21"/>
          <w:szCs w:val="21"/>
          <w:lang w:val="en-US" w:eastAsia="zh-CN" w:bidi="ar-SA"/>
        </w:rPr>
      </w:pPr>
      <w:r>
        <w:rPr>
          <w:rFonts w:hint="eastAsia" w:ascii="Times New Roman" w:hAnsi="Times New Roman" w:eastAsia="宋体" w:cs="宋体"/>
          <w:bCs/>
          <w:kern w:val="2"/>
          <w:sz w:val="21"/>
          <w:szCs w:val="21"/>
          <w:lang w:val="en-US" w:eastAsia="zh-CN" w:bidi="ar-SA"/>
        </w:rPr>
        <w:t xml:space="preserve">商务标评审采用多轮报价，除开标唱标为公开报价方式外，后续多轮澄清报价均为非公开的方式，在重汽e采通进行提报。商务标开标后，评审期间产生的商务价格澄清均由投标人在重汽e采通平台内限时完成提交，根据招标人需求与投标人进行多轮竞价谈判，按照评标模式推荐中标人，对未入围候选中标人不做任何解释。 </w:t>
      </w:r>
    </w:p>
    <w:p w14:paraId="313009EE">
      <w:pPr>
        <w:pStyle w:val="4"/>
        <w:spacing w:line="440" w:lineRule="exact"/>
        <w:rPr>
          <w:rFonts w:ascii="Times New Roman" w:hAnsi="Times New Roman" w:cs="宋体"/>
          <w:bCs/>
          <w:szCs w:val="21"/>
        </w:rPr>
      </w:pPr>
      <w:r>
        <w:rPr>
          <w:rFonts w:hint="eastAsia" w:ascii="Times New Roman" w:hAnsi="Times New Roman"/>
        </w:rPr>
        <w:t xml:space="preserve"> </w:t>
      </w:r>
      <w:r>
        <w:rPr>
          <w:rFonts w:ascii="Times New Roman" w:hAnsi="Times New Roman"/>
        </w:rPr>
        <w:t xml:space="preserve">   </w:t>
      </w:r>
      <w:r>
        <w:rPr>
          <w:rFonts w:hint="eastAsia" w:ascii="Times New Roman" w:hAnsi="Times New Roman"/>
        </w:rPr>
        <w:t>商务标</w:t>
      </w:r>
      <w:r>
        <w:rPr>
          <w:rFonts w:hint="eastAsia" w:ascii="Times New Roman" w:hAnsi="Times New Roman" w:cs="宋体"/>
          <w:bCs/>
          <w:szCs w:val="21"/>
        </w:rPr>
        <w:t xml:space="preserve">评标基准价： </w:t>
      </w:r>
    </w:p>
    <w:p w14:paraId="1AF9C4CF">
      <w:pPr>
        <w:pStyle w:val="4"/>
        <w:spacing w:line="440" w:lineRule="exact"/>
        <w:ind w:firstLine="420" w:firstLineChars="200"/>
        <w:rPr>
          <w:rFonts w:ascii="Times New Roman" w:hAnsi="Times New Roman" w:cs="宋体"/>
          <w:bCs/>
          <w:szCs w:val="21"/>
        </w:rPr>
      </w:pPr>
      <w:r>
        <w:rPr>
          <w:rFonts w:hint="eastAsia" w:ascii="Times New Roman" w:hAnsi="Times New Roman" w:cs="宋体"/>
          <w:bCs/>
          <w:szCs w:val="21"/>
        </w:rPr>
        <w:t>评标基准价为本轮次所有合理有效的最终投标报价的最低价。</w:t>
      </w:r>
    </w:p>
    <w:p w14:paraId="7AFFE867">
      <w:pPr>
        <w:pStyle w:val="4"/>
        <w:spacing w:line="440" w:lineRule="exact"/>
        <w:ind w:firstLine="420" w:firstLineChars="200"/>
        <w:rPr>
          <w:rFonts w:ascii="Times New Roman" w:hAnsi="Times New Roman" w:cs="宋体"/>
          <w:bCs/>
          <w:szCs w:val="21"/>
        </w:rPr>
      </w:pPr>
      <w:r>
        <w:rPr>
          <w:rFonts w:hint="eastAsia" w:ascii="Times New Roman" w:hAnsi="Times New Roman" w:cs="宋体"/>
          <w:bCs/>
          <w:szCs w:val="21"/>
        </w:rPr>
        <w:t>有效的评标基准价得100分；其他投标人的价格得分按下列公式计算：投标价格得分=100×（评标基准价/投标报价）。</w:t>
      </w:r>
    </w:p>
    <w:p w14:paraId="4683A1E4">
      <w:pPr>
        <w:pStyle w:val="4"/>
        <w:spacing w:line="440" w:lineRule="exact"/>
        <w:ind w:firstLine="420" w:firstLineChars="200"/>
        <w:rPr>
          <w:rFonts w:ascii="Times New Roman" w:hAnsi="Times New Roman" w:cs="宋体"/>
          <w:bCs/>
          <w:szCs w:val="21"/>
        </w:rPr>
      </w:pPr>
      <w:r>
        <w:rPr>
          <w:rFonts w:hint="eastAsia" w:ascii="Times New Roman" w:hAnsi="Times New Roman" w:cs="宋体"/>
          <w:bCs/>
          <w:szCs w:val="21"/>
        </w:rPr>
        <w:t>注：得分值取小数点后两位，不足一个百分点的，按照四舍五入法计算。</w:t>
      </w:r>
    </w:p>
    <w:p w14:paraId="42E68603">
      <w:pPr>
        <w:spacing w:line="440" w:lineRule="exact"/>
        <w:ind w:firstLine="420" w:firstLineChars="200"/>
        <w:rPr>
          <w:rFonts w:cs="宋体"/>
          <w:bCs/>
          <w:szCs w:val="21"/>
        </w:rPr>
      </w:pPr>
      <w:r>
        <w:rPr>
          <w:rFonts w:hint="eastAsia" w:cs="宋体"/>
          <w:bCs/>
          <w:szCs w:val="21"/>
        </w:rPr>
        <w:t>注意：投标人均需在重汽e采通平台自主进行投标和提交澄清函；投标和提交澄清函均有时间限制，超时未提交的</w:t>
      </w:r>
      <w:r>
        <w:rPr>
          <w:lang w:val="en-US" w:eastAsia="zh-CN"/>
        </w:rPr>
        <w:t>视为放弃本次投标</w:t>
      </w:r>
      <w:r>
        <w:rPr>
          <w:rFonts w:hint="eastAsia" w:cs="宋体"/>
          <w:bCs/>
          <w:szCs w:val="21"/>
        </w:rPr>
        <w:t xml:space="preserve">。  </w:t>
      </w:r>
    </w:p>
    <w:p w14:paraId="20B0074B">
      <w:pPr>
        <w:numPr>
          <w:ilvl w:val="0"/>
          <w:numId w:val="18"/>
        </w:numPr>
        <w:spacing w:line="440" w:lineRule="exact"/>
        <w:rPr>
          <w:rFonts w:cs="宋体"/>
          <w:bCs/>
          <w:szCs w:val="21"/>
        </w:rPr>
      </w:pPr>
      <w:r>
        <w:rPr>
          <w:rFonts w:hint="eastAsia" w:cs="宋体"/>
          <w:bCs/>
          <w:szCs w:val="21"/>
        </w:rPr>
        <w:t>中标人确定：综合得分=技术分×40%＋商务标得分×60%，原则上综合评分最高的投标方中标。</w:t>
      </w:r>
    </w:p>
    <w:p w14:paraId="1C1498CC">
      <w:pPr>
        <w:pStyle w:val="4"/>
        <w:spacing w:line="440" w:lineRule="exact"/>
        <w:ind w:firstLine="420" w:firstLineChars="200"/>
        <w:rPr>
          <w:rFonts w:ascii="Times New Roman" w:hAnsi="Times New Roman" w:cs="宋体"/>
          <w:bCs/>
          <w:szCs w:val="21"/>
        </w:rPr>
      </w:pPr>
      <w:r>
        <w:rPr>
          <w:rFonts w:hint="eastAsia" w:ascii="Times New Roman" w:hAnsi="Times New Roman" w:cs="宋体"/>
          <w:bCs/>
          <w:szCs w:val="21"/>
        </w:rPr>
        <w:t>a、若出现总分并列时，比较技术部分得分，此分项得分高者排序在前；若技术部分得分仍相同，再比较价格部分的投标报价得分，此分项得分高者排序在前；若投标报价得分仍相同，则由全体评委成员无记名投票，得票高者排序在前。</w:t>
      </w:r>
    </w:p>
    <w:p w14:paraId="5D3687B3">
      <w:pPr>
        <w:pStyle w:val="4"/>
        <w:spacing w:line="440" w:lineRule="exact"/>
        <w:ind w:firstLine="420" w:firstLineChars="200"/>
        <w:rPr>
          <w:rFonts w:ascii="Times New Roman" w:hAnsi="Times New Roman" w:cs="宋体"/>
          <w:bCs/>
          <w:szCs w:val="21"/>
        </w:rPr>
      </w:pPr>
      <w:r>
        <w:rPr>
          <w:rFonts w:hint="eastAsia" w:ascii="Times New Roman" w:hAnsi="Times New Roman" w:cs="宋体"/>
          <w:bCs/>
          <w:szCs w:val="21"/>
        </w:rPr>
        <w:t>b、评委打分超过得分界限或未按本方法赋分时，该评委的打分按废票处理。</w:t>
      </w:r>
    </w:p>
    <w:p w14:paraId="1000C3B5">
      <w:pPr>
        <w:pStyle w:val="4"/>
        <w:spacing w:line="440" w:lineRule="exact"/>
        <w:ind w:firstLine="420" w:firstLineChars="200"/>
        <w:rPr>
          <w:rFonts w:ascii="Times New Roman" w:hAnsi="Times New Roman" w:cs="宋体"/>
          <w:bCs/>
          <w:szCs w:val="21"/>
        </w:rPr>
      </w:pPr>
      <w:r>
        <w:rPr>
          <w:rFonts w:hint="eastAsia" w:ascii="Times New Roman" w:hAnsi="Times New Roman" w:cs="宋体"/>
          <w:bCs/>
          <w:szCs w:val="21"/>
        </w:rPr>
        <w:t>c、评标过程中，若出现本办法以外的特殊情况时，将暂停评标，有关情况处理意见待招标工作小组确认后，再行评定。</w:t>
      </w:r>
    </w:p>
    <w:p w14:paraId="0860BCE4">
      <w:pPr>
        <w:spacing w:line="440" w:lineRule="exact"/>
        <w:ind w:firstLine="420" w:firstLineChars="200"/>
        <w:rPr>
          <w:rFonts w:cs="宋体"/>
          <w:bCs/>
          <w:szCs w:val="21"/>
        </w:rPr>
      </w:pPr>
      <w:r>
        <w:rPr>
          <w:rFonts w:hint="eastAsia" w:cs="宋体"/>
          <w:bCs/>
          <w:szCs w:val="21"/>
        </w:rPr>
        <w:t>本项目只产生一个中标人。</w:t>
      </w:r>
    </w:p>
    <w:p w14:paraId="023B2AE8">
      <w:pPr>
        <w:spacing w:line="440" w:lineRule="exact"/>
        <w:ind w:firstLine="420" w:firstLineChars="200"/>
      </w:pPr>
      <w:r>
        <w:rPr>
          <w:rFonts w:hint="eastAsia" w:cs="宋体"/>
          <w:bCs/>
          <w:szCs w:val="21"/>
        </w:rPr>
        <w:t>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p w14:paraId="32E9C2F9">
      <w:pPr>
        <w:pStyle w:val="10"/>
        <w:numPr>
          <w:ilvl w:val="0"/>
          <w:numId w:val="0"/>
        </w:numPr>
        <w:rPr>
          <w:rFonts w:ascii="Times New Roman" w:hAnsi="Times New Roman"/>
        </w:rPr>
      </w:pPr>
      <w:r>
        <w:rPr>
          <w:rFonts w:hint="eastAsia" w:hAnsi="黑体"/>
          <w:szCs w:val="28"/>
        </w:rPr>
        <w:t>七、</w:t>
      </w:r>
      <w:r>
        <w:rPr>
          <w:rFonts w:hint="eastAsia" w:ascii="Times New Roman" w:hAnsi="Times New Roman"/>
        </w:rPr>
        <w:t>废标及终止招标</w:t>
      </w:r>
    </w:p>
    <w:p w14:paraId="4CE9A93E">
      <w:pPr>
        <w:pStyle w:val="10"/>
        <w:numPr>
          <w:ilvl w:val="0"/>
          <w:numId w:val="19"/>
        </w:numPr>
        <w:spacing w:before="156" w:beforeLines="50" w:after="156" w:afterLines="50" w:line="440" w:lineRule="exact"/>
        <w:outlineLvl w:val="2"/>
        <w:rPr>
          <w:rFonts w:ascii="Times New Roman" w:hAnsi="Times New Roman" w:cs="黑体"/>
          <w:b w:val="0"/>
          <w:bCs w:val="0"/>
          <w:sz w:val="24"/>
          <w:szCs w:val="24"/>
        </w:rPr>
      </w:pPr>
      <w:r>
        <w:rPr>
          <w:rFonts w:hint="eastAsia" w:ascii="Times New Roman" w:hAnsi="Times New Roman" w:cs="黑体"/>
          <w:b w:val="0"/>
          <w:bCs w:val="0"/>
          <w:sz w:val="24"/>
          <w:szCs w:val="24"/>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3B0E97C0">
      <w:pPr>
        <w:pStyle w:val="11"/>
        <w:numPr>
          <w:ilvl w:val="1"/>
          <w:numId w:val="20"/>
        </w:numPr>
        <w:spacing w:line="440" w:lineRule="exact"/>
        <w:rPr>
          <w:rFonts w:ascii="Times New Roman" w:hAnsi="Times New Roman"/>
        </w:rPr>
      </w:pPr>
      <w:r>
        <w:rPr>
          <w:rFonts w:hint="eastAsia" w:ascii="Times New Roman" w:hAnsi="Times New Roman"/>
        </w:rPr>
        <w:t>投标人提供的有关资格、资质证明文件不合格、不真实或提供虚假投标材料；</w:t>
      </w:r>
    </w:p>
    <w:p w14:paraId="39E06DA1">
      <w:pPr>
        <w:pStyle w:val="11"/>
        <w:numPr>
          <w:ilvl w:val="1"/>
          <w:numId w:val="20"/>
        </w:numPr>
        <w:spacing w:line="440" w:lineRule="exact"/>
        <w:rPr>
          <w:rFonts w:ascii="Times New Roman" w:hAnsi="Times New Roman"/>
        </w:rPr>
      </w:pPr>
      <w:r>
        <w:rPr>
          <w:rFonts w:hint="eastAsia" w:ascii="Times New Roman" w:hAnsi="Times New Roman"/>
        </w:rPr>
        <w:t>投标人在报价有效期内撤回投标；</w:t>
      </w:r>
    </w:p>
    <w:p w14:paraId="71DA7AE6">
      <w:pPr>
        <w:pStyle w:val="11"/>
        <w:numPr>
          <w:ilvl w:val="1"/>
          <w:numId w:val="20"/>
        </w:numPr>
        <w:spacing w:line="440" w:lineRule="exact"/>
        <w:rPr>
          <w:rFonts w:ascii="Times New Roman" w:hAnsi="Times New Roman"/>
        </w:rPr>
      </w:pPr>
      <w:r>
        <w:rPr>
          <w:rFonts w:hint="eastAsia" w:ascii="Times New Roman" w:hAnsi="Times New Roman"/>
        </w:rPr>
        <w:t>在整个评标过程中，投标人有企图影响评标结果公正性的任何活动；</w:t>
      </w:r>
    </w:p>
    <w:p w14:paraId="65A9B959">
      <w:pPr>
        <w:pStyle w:val="11"/>
        <w:numPr>
          <w:ilvl w:val="1"/>
          <w:numId w:val="20"/>
        </w:numPr>
        <w:spacing w:line="440" w:lineRule="exact"/>
        <w:rPr>
          <w:rFonts w:ascii="Times New Roman" w:hAnsi="Times New Roman"/>
        </w:rPr>
      </w:pPr>
      <w:r>
        <w:rPr>
          <w:rFonts w:hint="eastAsia" w:ascii="Times New Roman" w:hAnsi="Times New Roman"/>
        </w:rPr>
        <w:t>投标人以任何方式诋毁其他投标人；</w:t>
      </w:r>
    </w:p>
    <w:p w14:paraId="3B386579">
      <w:pPr>
        <w:pStyle w:val="11"/>
        <w:numPr>
          <w:ilvl w:val="1"/>
          <w:numId w:val="20"/>
        </w:numPr>
        <w:spacing w:line="440" w:lineRule="exact"/>
        <w:rPr>
          <w:rFonts w:ascii="Times New Roman" w:hAnsi="Times New Roman"/>
        </w:rPr>
      </w:pPr>
      <w:r>
        <w:rPr>
          <w:rFonts w:hint="eastAsia" w:ascii="Times New Roman" w:hAnsi="Times New Roman"/>
        </w:rPr>
        <w:t>投标人串通投标；</w:t>
      </w:r>
    </w:p>
    <w:p w14:paraId="7D999A23">
      <w:pPr>
        <w:pStyle w:val="11"/>
        <w:numPr>
          <w:ilvl w:val="1"/>
          <w:numId w:val="20"/>
        </w:numPr>
        <w:spacing w:line="440" w:lineRule="exact"/>
        <w:rPr>
          <w:rFonts w:ascii="Times New Roman" w:hAnsi="Times New Roman"/>
        </w:rPr>
      </w:pPr>
      <w:r>
        <w:rPr>
          <w:rFonts w:hint="eastAsia" w:ascii="Times New Roman" w:hAnsi="Times New Roman"/>
        </w:rPr>
        <w:t>投标人被举报、检举，并经招标人查实无误的；</w:t>
      </w:r>
    </w:p>
    <w:p w14:paraId="08BB1FFD">
      <w:pPr>
        <w:pStyle w:val="11"/>
        <w:numPr>
          <w:ilvl w:val="1"/>
          <w:numId w:val="20"/>
        </w:numPr>
        <w:spacing w:line="440" w:lineRule="exact"/>
        <w:rPr>
          <w:rFonts w:ascii="Times New Roman" w:hAnsi="Times New Roman"/>
        </w:rPr>
      </w:pPr>
      <w:r>
        <w:rPr>
          <w:rFonts w:hint="eastAsia" w:ascii="Times New Roman" w:hAnsi="Times New Roman"/>
        </w:rPr>
        <w:t>以他人名义投标或者以其他方式弄虚作假，骗取中标的；</w:t>
      </w:r>
    </w:p>
    <w:p w14:paraId="0DC6D659">
      <w:pPr>
        <w:pStyle w:val="11"/>
        <w:numPr>
          <w:ilvl w:val="1"/>
          <w:numId w:val="20"/>
        </w:numPr>
        <w:spacing w:line="440" w:lineRule="exact"/>
        <w:rPr>
          <w:rFonts w:ascii="Times New Roman" w:hAnsi="Times New Roman"/>
        </w:rPr>
      </w:pPr>
      <w:r>
        <w:rPr>
          <w:rFonts w:hint="eastAsia" w:ascii="Times New Roman" w:hAnsi="Times New Roman"/>
        </w:rPr>
        <w:t>投标人负责人为同一人或者存在控股、管理关系的不同单位；</w:t>
      </w:r>
    </w:p>
    <w:p w14:paraId="2019D8F8">
      <w:pPr>
        <w:pStyle w:val="11"/>
        <w:numPr>
          <w:ilvl w:val="1"/>
          <w:numId w:val="20"/>
        </w:numPr>
        <w:spacing w:line="440" w:lineRule="exact"/>
        <w:rPr>
          <w:rFonts w:ascii="Times New Roman" w:hAnsi="Times New Roman"/>
        </w:rPr>
      </w:pPr>
      <w:r>
        <w:rPr>
          <w:rFonts w:hint="eastAsia" w:ascii="Times New Roman" w:hAnsi="Times New Roman"/>
        </w:rPr>
        <w:t>有效投标不足三家；</w:t>
      </w:r>
    </w:p>
    <w:p w14:paraId="1AA56442">
      <w:pPr>
        <w:pStyle w:val="11"/>
        <w:numPr>
          <w:ilvl w:val="1"/>
          <w:numId w:val="20"/>
        </w:numPr>
        <w:spacing w:line="440" w:lineRule="exact"/>
        <w:rPr>
          <w:rFonts w:ascii="Times New Roman" w:hAnsi="Times New Roman"/>
        </w:rPr>
      </w:pPr>
      <w:r>
        <w:rPr>
          <w:rFonts w:hint="eastAsia" w:ascii="Times New Roman" w:hAnsi="Times New Roman"/>
        </w:rPr>
        <w:t>不同投标人的投标文件异常一致或者投标报价呈规律性差异的；</w:t>
      </w:r>
    </w:p>
    <w:p w14:paraId="5603FA5D">
      <w:pPr>
        <w:pStyle w:val="11"/>
        <w:numPr>
          <w:ilvl w:val="1"/>
          <w:numId w:val="20"/>
        </w:numPr>
        <w:spacing w:line="440" w:lineRule="exact"/>
        <w:rPr>
          <w:rFonts w:ascii="Times New Roman" w:hAnsi="Times New Roman"/>
        </w:rPr>
      </w:pPr>
      <w:r>
        <w:rPr>
          <w:rFonts w:hint="eastAsia" w:ascii="Times New Roman" w:hAnsi="Times New Roman"/>
        </w:rPr>
        <w:t>未按要求填报商务报价资料，对招标开展造成较大影响；</w:t>
      </w:r>
    </w:p>
    <w:p w14:paraId="71A89913">
      <w:pPr>
        <w:pStyle w:val="11"/>
        <w:numPr>
          <w:ilvl w:val="1"/>
          <w:numId w:val="20"/>
        </w:numPr>
        <w:spacing w:line="440" w:lineRule="exact"/>
        <w:rPr>
          <w:rFonts w:ascii="Times New Roman" w:hAnsi="Times New Roman"/>
        </w:rPr>
      </w:pPr>
      <w:r>
        <w:rPr>
          <w:rFonts w:hint="eastAsia" w:ascii="Times New Roman" w:hAnsi="Times New Roman"/>
        </w:rPr>
        <w:t>未按照招标人规定的时间内在中国重汽e采通完成投标的；</w:t>
      </w:r>
    </w:p>
    <w:p w14:paraId="6C055F31">
      <w:pPr>
        <w:pStyle w:val="11"/>
        <w:numPr>
          <w:ilvl w:val="1"/>
          <w:numId w:val="20"/>
        </w:numPr>
        <w:spacing w:line="440" w:lineRule="exact"/>
        <w:rPr>
          <w:rFonts w:ascii="Times New Roman" w:hAnsi="Times New Roman"/>
        </w:rPr>
      </w:pPr>
      <w:r>
        <w:rPr>
          <w:rFonts w:hint="eastAsia" w:ascii="Times New Roman" w:hAnsi="Times New Roman"/>
        </w:rPr>
        <w:t>法律、法规规定的其他情况。</w:t>
      </w:r>
    </w:p>
    <w:p w14:paraId="2521CD38">
      <w:pPr>
        <w:pStyle w:val="10"/>
        <w:numPr>
          <w:ilvl w:val="0"/>
          <w:numId w:val="19"/>
        </w:numPr>
        <w:spacing w:before="156" w:beforeLines="50" w:after="156" w:afterLines="50" w:line="440" w:lineRule="exact"/>
        <w:outlineLvl w:val="2"/>
        <w:rPr>
          <w:rFonts w:ascii="Times New Roman" w:hAnsi="Times New Roman" w:cs="黑体"/>
          <w:b w:val="0"/>
          <w:bCs w:val="0"/>
          <w:sz w:val="24"/>
          <w:szCs w:val="24"/>
        </w:rPr>
      </w:pPr>
      <w:r>
        <w:rPr>
          <w:rFonts w:hint="eastAsia" w:ascii="Times New Roman" w:hAnsi="Times New Roman" w:cs="黑体"/>
          <w:b w:val="0"/>
          <w:bCs w:val="0"/>
          <w:sz w:val="24"/>
          <w:szCs w:val="24"/>
        </w:rPr>
        <w:t>出现下列情形之一，招标人有权否决所有投标人的投标，并终止招标。</w:t>
      </w:r>
    </w:p>
    <w:p w14:paraId="1CCA9EE9">
      <w:pPr>
        <w:numPr>
          <w:ilvl w:val="1"/>
          <w:numId w:val="19"/>
        </w:numPr>
        <w:spacing w:line="440" w:lineRule="exact"/>
        <w:rPr>
          <w:rFonts w:cs="宋体"/>
          <w:szCs w:val="21"/>
        </w:rPr>
      </w:pPr>
      <w:r>
        <w:rPr>
          <w:rFonts w:hint="eastAsia" w:cs="宋体"/>
          <w:szCs w:val="21"/>
        </w:rPr>
        <w:t>符合条件的投标人或者对招标文件做实质响应的投标人不足三家的；</w:t>
      </w:r>
    </w:p>
    <w:p w14:paraId="243F01A6">
      <w:pPr>
        <w:numPr>
          <w:ilvl w:val="1"/>
          <w:numId w:val="19"/>
        </w:numPr>
        <w:spacing w:line="440" w:lineRule="exact"/>
        <w:rPr>
          <w:rFonts w:cs="宋体"/>
          <w:szCs w:val="21"/>
        </w:rPr>
      </w:pPr>
      <w:r>
        <w:rPr>
          <w:rFonts w:hint="eastAsia" w:cs="宋体"/>
          <w:szCs w:val="21"/>
        </w:rPr>
        <w:t>出现影响采购公正的违法、违规行为的；</w:t>
      </w:r>
    </w:p>
    <w:p w14:paraId="202F0F34">
      <w:pPr>
        <w:numPr>
          <w:ilvl w:val="1"/>
          <w:numId w:val="19"/>
        </w:numPr>
        <w:spacing w:line="440" w:lineRule="exact"/>
        <w:rPr>
          <w:rFonts w:cs="宋体"/>
          <w:szCs w:val="21"/>
        </w:rPr>
      </w:pPr>
      <w:r>
        <w:rPr>
          <w:rFonts w:hint="eastAsia" w:cs="宋体"/>
          <w:szCs w:val="21"/>
        </w:rPr>
        <w:t>评标委员会经评审，认为所有投标都不符合招标文件要求的；</w:t>
      </w:r>
    </w:p>
    <w:p w14:paraId="486705D2">
      <w:pPr>
        <w:numPr>
          <w:ilvl w:val="1"/>
          <w:numId w:val="19"/>
        </w:numPr>
        <w:spacing w:line="440" w:lineRule="exact"/>
        <w:rPr>
          <w:rFonts w:cs="宋体"/>
          <w:szCs w:val="21"/>
        </w:rPr>
      </w:pPr>
      <w:r>
        <w:rPr>
          <w:rFonts w:hint="eastAsia" w:cs="宋体"/>
          <w:szCs w:val="21"/>
        </w:rPr>
        <w:t>因重大变故，采购任务取消的</w:t>
      </w:r>
      <w:bookmarkStart w:id="4" w:name="OLE_LINK27"/>
      <w:bookmarkStart w:id="5" w:name="OLE_LINK29"/>
      <w:bookmarkStart w:id="6" w:name="OLE_LINK28"/>
      <w:bookmarkStart w:id="7" w:name="OLE_LINK26"/>
      <w:bookmarkStart w:id="8" w:name="OLE_LINK25"/>
      <w:r>
        <w:rPr>
          <w:rFonts w:hint="eastAsia" w:cs="宋体"/>
          <w:szCs w:val="21"/>
        </w:rPr>
        <w:t>；</w:t>
      </w:r>
      <w:bookmarkEnd w:id="4"/>
      <w:bookmarkEnd w:id="5"/>
      <w:bookmarkEnd w:id="6"/>
      <w:bookmarkEnd w:id="7"/>
      <w:bookmarkEnd w:id="8"/>
    </w:p>
    <w:p w14:paraId="33573184">
      <w:pPr>
        <w:numPr>
          <w:ilvl w:val="1"/>
          <w:numId w:val="19"/>
        </w:numPr>
        <w:spacing w:line="440" w:lineRule="exact"/>
        <w:rPr>
          <w:rFonts w:cs="宋体"/>
          <w:szCs w:val="21"/>
        </w:rPr>
      </w:pPr>
      <w:r>
        <w:rPr>
          <w:rFonts w:hint="eastAsia" w:cs="宋体"/>
          <w:szCs w:val="21"/>
        </w:rPr>
        <w:t>招标人认为其他应终止招标的情形。</w:t>
      </w:r>
    </w:p>
    <w:p w14:paraId="331361D5">
      <w:pPr>
        <w:pStyle w:val="10"/>
        <w:numPr>
          <w:ilvl w:val="0"/>
          <w:numId w:val="19"/>
        </w:numPr>
        <w:spacing w:before="156" w:beforeLines="50" w:after="156" w:afterLines="50" w:line="440" w:lineRule="exact"/>
        <w:outlineLvl w:val="2"/>
        <w:rPr>
          <w:rFonts w:ascii="Times New Roman" w:hAnsi="Times New Roman" w:cs="黑体"/>
          <w:b w:val="0"/>
          <w:bCs w:val="0"/>
          <w:sz w:val="24"/>
          <w:szCs w:val="24"/>
        </w:rPr>
      </w:pPr>
      <w:r>
        <w:rPr>
          <w:rFonts w:hint="eastAsia" w:ascii="Times New Roman" w:hAnsi="Times New Roman" w:cs="黑体"/>
          <w:b w:val="0"/>
          <w:bCs w:val="0"/>
          <w:sz w:val="24"/>
          <w:szCs w:val="24"/>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099CE9CC">
      <w:pPr>
        <w:pStyle w:val="10"/>
        <w:numPr>
          <w:ilvl w:val="0"/>
          <w:numId w:val="0"/>
        </w:numPr>
        <w:rPr>
          <w:rFonts w:ascii="Times New Roman" w:hAnsi="Times New Roman"/>
        </w:rPr>
      </w:pPr>
      <w:r>
        <w:rPr>
          <w:rFonts w:hint="eastAsia" w:hAnsi="黑体"/>
          <w:szCs w:val="28"/>
        </w:rPr>
        <w:t>八、</w:t>
      </w:r>
      <w:r>
        <w:rPr>
          <w:rFonts w:hint="eastAsia" w:ascii="Times New Roman" w:hAnsi="Times New Roman"/>
        </w:rPr>
        <w:t>合同签订</w:t>
      </w:r>
    </w:p>
    <w:p w14:paraId="63C1DA2D">
      <w:pPr>
        <w:numPr>
          <w:ilvl w:val="0"/>
          <w:numId w:val="21"/>
        </w:numPr>
        <w:spacing w:line="360" w:lineRule="auto"/>
        <w:rPr>
          <w:rFonts w:cs="宋体"/>
          <w:szCs w:val="21"/>
        </w:rPr>
      </w:pPr>
      <w:r>
        <w:rPr>
          <w:rFonts w:hint="eastAsia" w:cs="宋体"/>
          <w:szCs w:val="21"/>
        </w:rPr>
        <w:t>招标人根据评标工作小组的评标结果确定中标人，在重汽e采通平台公布中标结果，并发送中标通知。</w:t>
      </w:r>
    </w:p>
    <w:p w14:paraId="1EDBCA7D">
      <w:pPr>
        <w:numPr>
          <w:ilvl w:val="0"/>
          <w:numId w:val="21"/>
        </w:numPr>
        <w:spacing w:line="360" w:lineRule="auto"/>
        <w:rPr>
          <w:rFonts w:cs="宋体"/>
          <w:szCs w:val="21"/>
        </w:rPr>
      </w:pPr>
      <w:r>
        <w:rPr>
          <w:rFonts w:hint="eastAsia" w:cs="宋体"/>
          <w:szCs w:val="21"/>
        </w:rPr>
        <w:t>中标人应该在中标通知书规定的时间、地点与招标人签订采购合同，否则按照开标后撤回投标处理。</w:t>
      </w:r>
    </w:p>
    <w:p w14:paraId="70F3E497">
      <w:pPr>
        <w:numPr>
          <w:ilvl w:val="0"/>
          <w:numId w:val="21"/>
        </w:numPr>
        <w:spacing w:line="360" w:lineRule="auto"/>
        <w:rPr>
          <w:rFonts w:cs="宋体"/>
          <w:szCs w:val="21"/>
        </w:rPr>
      </w:pPr>
      <w:r>
        <w:rPr>
          <w:rFonts w:hint="eastAsia" w:cs="宋体"/>
          <w:szCs w:val="21"/>
        </w:rPr>
        <w:t>中标人应当按照合同约定的履约责任，在保证质量的前提下完成中标项目，不得将中标项目转包或分包给他人，否则视为违约，招标人有权解除合同。</w:t>
      </w:r>
    </w:p>
    <w:p w14:paraId="5795641F">
      <w:pPr>
        <w:numPr>
          <w:ilvl w:val="0"/>
          <w:numId w:val="21"/>
        </w:numPr>
        <w:spacing w:line="360" w:lineRule="auto"/>
      </w:pPr>
      <w:r>
        <w:rPr>
          <w:rFonts w:hint="eastAsia" w:cs="宋体"/>
          <w:szCs w:val="21"/>
        </w:rPr>
        <w:t>招标人有权指定招标人的关联单位作为合同签订人，与中标人签署相关合同，且具体权利义务以中标人与招标人的关联公司最终签署的合同为准。</w:t>
      </w:r>
    </w:p>
    <w:p w14:paraId="192EEF6D">
      <w:pPr>
        <w:numPr>
          <w:ilvl w:val="0"/>
          <w:numId w:val="21"/>
        </w:numPr>
        <w:spacing w:line="360" w:lineRule="auto"/>
        <w:rPr>
          <w:rFonts w:cs="宋体"/>
          <w:b/>
          <w:szCs w:val="21"/>
        </w:rPr>
      </w:pPr>
      <w:r>
        <w:rPr>
          <w:rFonts w:hint="eastAsia" w:cs="宋体"/>
          <w:b/>
          <w:szCs w:val="21"/>
        </w:rPr>
        <w:t>中标人由于履行义务的能力或信用有严重缺陷，招标人有权取消其中标资格，招标人将从中标候选单位中依序重新确定中标人，或重新组织招标；</w:t>
      </w:r>
    </w:p>
    <w:p w14:paraId="38A3ED3C">
      <w:pPr>
        <w:numPr>
          <w:ilvl w:val="0"/>
          <w:numId w:val="21"/>
        </w:numPr>
        <w:spacing w:line="360" w:lineRule="auto"/>
        <w:rPr>
          <w:rFonts w:cs="宋体"/>
          <w:b/>
          <w:szCs w:val="21"/>
        </w:rPr>
      </w:pPr>
      <w:r>
        <w:rPr>
          <w:rFonts w:hint="eastAsia" w:cs="宋体"/>
          <w:b/>
          <w:szCs w:val="21"/>
        </w:rPr>
        <w:t>合同以双方最终签署的版本为准。</w:t>
      </w:r>
    </w:p>
    <w:p w14:paraId="03D0D8F6">
      <w:pPr>
        <w:pStyle w:val="10"/>
        <w:numPr>
          <w:ilvl w:val="0"/>
          <w:numId w:val="0"/>
        </w:numPr>
        <w:rPr>
          <w:rFonts w:ascii="Times New Roman" w:hAnsi="Times New Roman"/>
        </w:rPr>
      </w:pPr>
      <w:r>
        <w:rPr>
          <w:rFonts w:hint="eastAsia" w:hAnsi="黑体"/>
          <w:szCs w:val="28"/>
        </w:rPr>
        <w:t>九、</w:t>
      </w:r>
      <w:r>
        <w:rPr>
          <w:rFonts w:hint="eastAsia" w:ascii="Times New Roman" w:hAnsi="Times New Roman"/>
        </w:rPr>
        <w:t>交付及付款</w:t>
      </w:r>
    </w:p>
    <w:p w14:paraId="7E2017C0">
      <w:pPr>
        <w:pStyle w:val="11"/>
        <w:numPr>
          <w:ilvl w:val="0"/>
          <w:numId w:val="22"/>
        </w:numPr>
        <w:spacing w:line="440" w:lineRule="exact"/>
        <w:rPr>
          <w:rFonts w:ascii="Times New Roman" w:hAnsi="Times New Roman"/>
        </w:rPr>
      </w:pPr>
      <w:r>
        <w:rPr>
          <w:rFonts w:hint="eastAsia" w:ascii="Times New Roman" w:hAnsi="Times New Roman"/>
        </w:rPr>
        <w:t>交付需求：按照本文件第二部分第三章和第五章技术输出进行交付验收。</w:t>
      </w:r>
    </w:p>
    <w:p w14:paraId="303C1E68">
      <w:pPr>
        <w:pStyle w:val="11"/>
        <w:numPr>
          <w:ilvl w:val="0"/>
          <w:numId w:val="22"/>
        </w:numPr>
        <w:spacing w:line="440" w:lineRule="exact"/>
        <w:ind w:left="0" w:firstLine="0"/>
        <w:rPr>
          <w:rFonts w:ascii="Times New Roman" w:hAnsi="Times New Roman"/>
        </w:rPr>
      </w:pPr>
      <w:r>
        <w:rPr>
          <w:rFonts w:hint="eastAsia" w:ascii="Times New Roman" w:hAnsi="Times New Roman"/>
        </w:rPr>
        <w:t>付款方式：半年期商业汇票（包括银行承兑汇票和商业承兑汇票）</w:t>
      </w:r>
    </w:p>
    <w:p w14:paraId="0D6746CA">
      <w:pPr>
        <w:pStyle w:val="11"/>
        <w:spacing w:line="440" w:lineRule="exact"/>
        <w:ind w:firstLine="420" w:firstLineChars="200"/>
        <w:rPr>
          <w:rFonts w:ascii="Times New Roman" w:hAnsi="Times New Roman"/>
        </w:rPr>
      </w:pPr>
      <w:r>
        <w:rPr>
          <w:rFonts w:hint="eastAsia" w:ascii="Times New Roman" w:hAnsi="Times New Roman"/>
        </w:rPr>
        <w:t>（1）项目完成第一阶段方案设计阶段，经评审交付无问题，中标人提交金额为合同价款25%的收据并提供合同价款25%的增值税专用发票（含复印件二份），经招标人依照财务制度审核通过后30日支付；</w:t>
      </w:r>
    </w:p>
    <w:p w14:paraId="4E13600A">
      <w:pPr>
        <w:pStyle w:val="11"/>
        <w:spacing w:line="440" w:lineRule="exact"/>
        <w:ind w:firstLine="420" w:firstLineChars="200"/>
        <w:rPr>
          <w:rFonts w:ascii="Times New Roman" w:hAnsi="Times New Roman"/>
        </w:rPr>
      </w:pPr>
      <w:r>
        <w:rPr>
          <w:rFonts w:hint="eastAsia" w:ascii="Times New Roman" w:hAnsi="Times New Roman"/>
        </w:rPr>
        <w:t>（2）项目完成第二阶段技术开发阶段，经评审交付无问题，中标人提交金额为合同价款25%的收据并提供合同价款25%的增值税专用发票（含复印件二份），经招标人依照财务制度审核通过后30日支付；</w:t>
      </w:r>
    </w:p>
    <w:p w14:paraId="5858435C">
      <w:pPr>
        <w:pStyle w:val="11"/>
        <w:spacing w:line="440" w:lineRule="exact"/>
        <w:ind w:firstLine="420" w:firstLineChars="200"/>
        <w:rPr>
          <w:rFonts w:ascii="Times New Roman" w:hAnsi="Times New Roman"/>
        </w:rPr>
      </w:pPr>
      <w:r>
        <w:rPr>
          <w:rFonts w:hint="eastAsia" w:ascii="Times New Roman" w:hAnsi="Times New Roman"/>
        </w:rPr>
        <w:t>（3）项目完成第三阶段测试验证阶段，经评审交付无问题，中标人提交金额为合同价款40%的收据并提供合同价款40%的增值税专用发票（含复印件二份），经招标人依照财务制度审核通过后30日支付；</w:t>
      </w:r>
    </w:p>
    <w:p w14:paraId="4D1D178F">
      <w:pPr>
        <w:pStyle w:val="11"/>
        <w:spacing w:line="440" w:lineRule="exact"/>
        <w:ind w:firstLine="420" w:firstLineChars="200"/>
        <w:rPr>
          <w:rFonts w:ascii="Times New Roman" w:hAnsi="Times New Roman"/>
        </w:rPr>
      </w:pPr>
      <w:r>
        <w:rPr>
          <w:rFonts w:hint="eastAsia" w:ascii="Times New Roman" w:hAnsi="Times New Roman"/>
        </w:rPr>
        <w:t>（4）项目完成第四阶段结题验收阶段，经评审交付无问题，中标人提交金额为合同价款10%的收据并提供合同价款10%的增值税专用发票（含复印件二份），该部分合同总价款的10%作为本合同约定设备的质量保证金，质量保证金在质量保证期内不计利息。质保期届满后支付。</w:t>
      </w:r>
    </w:p>
    <w:p w14:paraId="701D9B71">
      <w:pPr>
        <w:pStyle w:val="11"/>
        <w:spacing w:line="440" w:lineRule="exact"/>
        <w:ind w:firstLine="420" w:firstLineChars="200"/>
        <w:rPr>
          <w:rFonts w:ascii="Times New Roman" w:hAnsi="Times New Roman"/>
        </w:rPr>
      </w:pPr>
      <w:r>
        <w:rPr>
          <w:rFonts w:hint="eastAsia" w:ascii="Times New Roman" w:hAnsi="Times New Roman"/>
        </w:rPr>
        <w:t>*付款方式及付款比例不允许偏离。</w:t>
      </w:r>
    </w:p>
    <w:p w14:paraId="3AE13DBB">
      <w:pPr>
        <w:pStyle w:val="11"/>
        <w:spacing w:line="440" w:lineRule="exact"/>
        <w:ind w:firstLine="420" w:firstLineChars="200"/>
        <w:rPr>
          <w:rFonts w:ascii="Times New Roman" w:hAnsi="Times New Roman"/>
        </w:rPr>
      </w:pPr>
    </w:p>
    <w:p w14:paraId="6E09F630">
      <w:pPr>
        <w:pStyle w:val="11"/>
        <w:spacing w:line="440" w:lineRule="exact"/>
        <w:ind w:firstLine="562" w:firstLineChars="200"/>
        <w:rPr>
          <w:rFonts w:ascii="Times New Roman" w:hAnsi="Times New Roman"/>
          <w:b/>
          <w:sz w:val="28"/>
          <w:szCs w:val="28"/>
        </w:rPr>
      </w:pPr>
      <w:r>
        <w:rPr>
          <w:rFonts w:hint="eastAsia" w:ascii="Times New Roman" w:hAnsi="Times New Roman"/>
          <w:b/>
          <w:sz w:val="28"/>
          <w:szCs w:val="28"/>
        </w:rPr>
        <w:t>本次招标最终解释权归中国重汽集团济南动力有限公司。</w:t>
      </w:r>
    </w:p>
    <w:p w14:paraId="0F3685AD">
      <w:pPr>
        <w:pStyle w:val="11"/>
        <w:rPr>
          <w:rFonts w:ascii="Times New Roman" w:hAnsi="Times New Roman"/>
        </w:rPr>
      </w:pPr>
    </w:p>
    <w:p w14:paraId="39B3099A">
      <w:bookmarkStart w:id="9" w:name="_Toc47976607"/>
      <w:r>
        <w:rPr>
          <w:rFonts w:hint="eastAsia"/>
        </w:rPr>
        <w:br w:type="page"/>
      </w:r>
    </w:p>
    <w:bookmarkEnd w:id="9"/>
    <w:p w14:paraId="031AF37C">
      <w:pPr>
        <w:pStyle w:val="10"/>
        <w:numPr>
          <w:ilvl w:val="0"/>
          <w:numId w:val="0"/>
        </w:numPr>
        <w:rPr>
          <w:rFonts w:ascii="Times New Roman" w:hAnsi="Times New Roman" w:eastAsia="宋体" w:cs="宋体"/>
          <w:sz w:val="32"/>
          <w:szCs w:val="32"/>
        </w:rPr>
      </w:pPr>
      <w:bookmarkStart w:id="10" w:name="_Toc47976618"/>
      <w:bookmarkStart w:id="11" w:name="_Toc29366869"/>
      <w:bookmarkStart w:id="12" w:name="_Toc29366865"/>
      <w:r>
        <w:rPr>
          <w:rFonts w:hint="eastAsia" w:ascii="Times New Roman" w:hAnsi="Times New Roman" w:eastAsia="宋体" w:cs="宋体"/>
          <w:sz w:val="32"/>
          <w:szCs w:val="32"/>
        </w:rPr>
        <w:t>附件1 法定代表人授权委托书</w:t>
      </w:r>
    </w:p>
    <w:bookmarkEnd w:id="10"/>
    <w:p w14:paraId="3BFB8C14">
      <w:pPr>
        <w:spacing w:line="360" w:lineRule="auto"/>
        <w:jc w:val="center"/>
        <w:rPr>
          <w:rFonts w:cs="宋体"/>
          <w:b/>
          <w:bCs/>
          <w:sz w:val="32"/>
          <w:szCs w:val="32"/>
        </w:rPr>
      </w:pPr>
      <w:r>
        <w:rPr>
          <w:rFonts w:hint="eastAsia" w:cs="宋体"/>
          <w:b/>
          <w:bCs/>
          <w:sz w:val="32"/>
          <w:szCs w:val="32"/>
        </w:rPr>
        <w:t>法定代表人授权委托书</w:t>
      </w:r>
    </w:p>
    <w:p w14:paraId="3C399F4E">
      <w:pPr>
        <w:spacing w:line="360" w:lineRule="auto"/>
        <w:ind w:firstLine="480" w:firstLineChars="200"/>
        <w:rPr>
          <w:sz w:val="24"/>
          <w:szCs w:val="24"/>
        </w:rPr>
      </w:pPr>
      <w:r>
        <w:rPr>
          <w:rFonts w:hint="eastAsia"/>
          <w:sz w:val="24"/>
          <w:szCs w:val="24"/>
        </w:rPr>
        <w:t>本授权委托书声明：我＿＿＿＿＿＿＿（姓名）系＿＿＿＿＿＿＿＿＿＿＿＿＿＿＿＿＿＿＿＿＿＿＿＿（投标人全称）的法定代表人，就</w:t>
      </w:r>
      <w:r>
        <w:rPr>
          <w:b/>
          <w:bCs/>
          <w:sz w:val="24"/>
          <w:szCs w:val="24"/>
          <w:u w:val="single"/>
        </w:rPr>
        <w:t xml:space="preserve"> </w:t>
      </w:r>
      <w:r>
        <w:rPr>
          <w:rFonts w:hint="eastAsia"/>
          <w:b/>
          <w:bCs/>
          <w:sz w:val="24"/>
          <w:szCs w:val="24"/>
          <w:u w:val="single"/>
        </w:rPr>
        <w:t xml:space="preserve">第五代电子电气架构开发项目  </w:t>
      </w:r>
      <w:r>
        <w:rPr>
          <w:rFonts w:hint="eastAsia"/>
          <w:sz w:val="24"/>
          <w:szCs w:val="24"/>
        </w:rPr>
        <w:t>现授权委托＿＿＿＿＿＿＿＿＿＿＿＿＿＿＿＿＿＿＿＿＿＿＿＿＿＿＿＿（单位名称）的＿＿＿＿＿＿＿＿（姓名、职务）为我公司全权代表，全权代表在投标文件、评标过程中的书面承诺、合同等所签署的一切文件和处理与之有关的一切事务，我均予以承认。</w:t>
      </w:r>
    </w:p>
    <w:p w14:paraId="09A13B1F">
      <w:pPr>
        <w:spacing w:line="360" w:lineRule="auto"/>
        <w:ind w:firstLine="480" w:firstLineChars="200"/>
        <w:rPr>
          <w:sz w:val="24"/>
          <w:szCs w:val="24"/>
        </w:rPr>
      </w:pPr>
      <w:r>
        <w:rPr>
          <w:rFonts w:hint="eastAsia"/>
          <w:sz w:val="24"/>
          <w:szCs w:val="24"/>
        </w:rPr>
        <w:t>全权代表无转委权。特此委托。</w:t>
      </w:r>
    </w:p>
    <w:tbl>
      <w:tblPr>
        <w:tblStyle w:val="7"/>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27DE649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0965C831">
            <w:pPr>
              <w:adjustRightInd w:val="0"/>
              <w:snapToGrid w:val="0"/>
              <w:spacing w:before="93" w:beforeLines="30" w:line="312" w:lineRule="auto"/>
              <w:jc w:val="center"/>
              <w:rPr>
                <w:sz w:val="24"/>
              </w:rPr>
            </w:pPr>
            <w:r>
              <w:rPr>
                <w:rFonts w:hint="eastAsia"/>
                <w:sz w:val="24"/>
              </w:rPr>
              <w:t>附法人身份证明复印件（正反面）</w:t>
            </w:r>
          </w:p>
          <w:p w14:paraId="20BDAE8F">
            <w:pPr>
              <w:adjustRightInd w:val="0"/>
              <w:snapToGrid w:val="0"/>
              <w:spacing w:before="93" w:beforeLines="30" w:line="312" w:lineRule="auto"/>
              <w:jc w:val="center"/>
              <w:rPr>
                <w:sz w:val="24"/>
              </w:rPr>
            </w:pPr>
            <w:r>
              <w:rPr>
                <w:rFonts w:hint="eastAsia"/>
                <w:sz w:val="24"/>
              </w:rPr>
              <w:t>附授权代理人身份证明复印件（正反面）</w:t>
            </w:r>
          </w:p>
        </w:tc>
      </w:tr>
    </w:tbl>
    <w:p w14:paraId="19C6AB83">
      <w:pPr>
        <w:spacing w:line="360" w:lineRule="auto"/>
        <w:ind w:firstLine="480" w:firstLineChars="200"/>
        <w:rPr>
          <w:sz w:val="24"/>
          <w:szCs w:val="24"/>
        </w:rPr>
      </w:pPr>
      <w:r>
        <w:rPr>
          <w:rFonts w:hint="eastAsia"/>
          <w:sz w:val="24"/>
          <w:szCs w:val="24"/>
        </w:rPr>
        <w:t>全权代表姓名：</w:t>
      </w:r>
      <w:r>
        <w:rPr>
          <w:sz w:val="24"/>
          <w:szCs w:val="24"/>
        </w:rPr>
        <w:t xml:space="preserve">            </w:t>
      </w:r>
      <w:r>
        <w:rPr>
          <w:rFonts w:hint="eastAsia"/>
          <w:sz w:val="24"/>
          <w:szCs w:val="24"/>
        </w:rPr>
        <w:t>性别：</w:t>
      </w:r>
      <w:r>
        <w:rPr>
          <w:sz w:val="24"/>
          <w:szCs w:val="24"/>
        </w:rPr>
        <w:t xml:space="preserve">          </w:t>
      </w:r>
      <w:r>
        <w:rPr>
          <w:rFonts w:hint="eastAsia"/>
          <w:sz w:val="24"/>
          <w:szCs w:val="24"/>
        </w:rPr>
        <w:t>年龄：</w:t>
      </w:r>
    </w:p>
    <w:p w14:paraId="75AE7736">
      <w:pPr>
        <w:spacing w:line="360" w:lineRule="auto"/>
        <w:ind w:firstLine="480" w:firstLineChars="200"/>
        <w:rPr>
          <w:sz w:val="24"/>
          <w:szCs w:val="24"/>
        </w:rPr>
      </w:pPr>
      <w:r>
        <w:rPr>
          <w:rFonts w:hint="eastAsia"/>
          <w:sz w:val="24"/>
          <w:szCs w:val="24"/>
        </w:rPr>
        <w:t>单位：</w:t>
      </w:r>
      <w:r>
        <w:rPr>
          <w:sz w:val="24"/>
          <w:szCs w:val="24"/>
        </w:rPr>
        <w:t xml:space="preserve">                    </w:t>
      </w:r>
      <w:r>
        <w:rPr>
          <w:rFonts w:hint="eastAsia"/>
          <w:sz w:val="24"/>
          <w:szCs w:val="24"/>
        </w:rPr>
        <w:t>部门：</w:t>
      </w:r>
      <w:r>
        <w:rPr>
          <w:sz w:val="24"/>
          <w:szCs w:val="24"/>
        </w:rPr>
        <w:t xml:space="preserve">          </w:t>
      </w:r>
      <w:r>
        <w:rPr>
          <w:rFonts w:hint="eastAsia"/>
          <w:sz w:val="24"/>
          <w:szCs w:val="24"/>
        </w:rPr>
        <w:t>职务：</w:t>
      </w:r>
    </w:p>
    <w:p w14:paraId="41203C6B">
      <w:pPr>
        <w:spacing w:line="360" w:lineRule="auto"/>
        <w:ind w:firstLine="480" w:firstLineChars="200"/>
        <w:rPr>
          <w:sz w:val="24"/>
          <w:szCs w:val="24"/>
        </w:rPr>
      </w:pPr>
      <w:r>
        <w:rPr>
          <w:rFonts w:hint="eastAsia"/>
          <w:sz w:val="24"/>
          <w:szCs w:val="24"/>
        </w:rPr>
        <w:t>法定代表人签字或盖章</w:t>
      </w:r>
      <w:r>
        <w:rPr>
          <w:sz w:val="24"/>
          <w:szCs w:val="24"/>
        </w:rPr>
        <w:t xml:space="preserve">                          </w:t>
      </w:r>
    </w:p>
    <w:p w14:paraId="0CBA9AA2">
      <w:pPr>
        <w:spacing w:line="360" w:lineRule="auto"/>
        <w:ind w:firstLine="480" w:firstLineChars="200"/>
        <w:rPr>
          <w:sz w:val="24"/>
          <w:szCs w:val="24"/>
        </w:rPr>
      </w:pPr>
      <w:r>
        <w:rPr>
          <w:rFonts w:hint="eastAsia"/>
          <w:sz w:val="24"/>
          <w:szCs w:val="24"/>
        </w:rPr>
        <w:t>被授权人签字</w:t>
      </w:r>
      <w:r>
        <w:rPr>
          <w:sz w:val="24"/>
          <w:szCs w:val="24"/>
        </w:rPr>
        <w:t xml:space="preserve">  </w:t>
      </w:r>
    </w:p>
    <w:p w14:paraId="6DCAF072">
      <w:pPr>
        <w:spacing w:line="360" w:lineRule="auto"/>
        <w:ind w:firstLine="480" w:firstLineChars="200"/>
        <w:rPr>
          <w:sz w:val="24"/>
          <w:szCs w:val="24"/>
        </w:rPr>
      </w:pPr>
      <w:r>
        <w:rPr>
          <w:rFonts w:hint="eastAsia"/>
          <w:sz w:val="24"/>
          <w:szCs w:val="24"/>
        </w:rPr>
        <w:t>被授权人电话：</w:t>
      </w:r>
      <w:r>
        <w:rPr>
          <w:sz w:val="24"/>
          <w:szCs w:val="24"/>
        </w:rPr>
        <w:t xml:space="preserve">   </w:t>
      </w:r>
    </w:p>
    <w:p w14:paraId="1D773D14">
      <w:pPr>
        <w:spacing w:line="360" w:lineRule="auto"/>
        <w:ind w:firstLine="480" w:firstLineChars="200"/>
        <w:rPr>
          <w:sz w:val="24"/>
          <w:szCs w:val="24"/>
        </w:rPr>
      </w:pPr>
      <w:r>
        <w:rPr>
          <w:rFonts w:hint="eastAsia"/>
          <w:sz w:val="24"/>
          <w:szCs w:val="24"/>
        </w:rPr>
        <w:t>投标人名称（公章）</w:t>
      </w:r>
      <w:r>
        <w:rPr>
          <w:sz w:val="24"/>
          <w:szCs w:val="24"/>
        </w:rPr>
        <w:t xml:space="preserve">                       </w:t>
      </w:r>
    </w:p>
    <w:p w14:paraId="026EDEE4">
      <w:pPr>
        <w:spacing w:line="460" w:lineRule="exact"/>
        <w:ind w:firstLine="5520" w:firstLineChars="2300"/>
        <w:rPr>
          <w:sz w:val="24"/>
          <w:u w:val="single"/>
        </w:rPr>
      </w:pPr>
      <w:r>
        <w:rPr>
          <w:sz w:val="24"/>
          <w:u w:val="single"/>
        </w:rPr>
        <w:t xml:space="preserve">      </w:t>
      </w:r>
      <w:r>
        <w:rPr>
          <w:rFonts w:hint="eastAsia"/>
          <w:sz w:val="24"/>
        </w:rPr>
        <w:t>年</w:t>
      </w:r>
      <w:r>
        <w:rPr>
          <w:sz w:val="24"/>
          <w:u w:val="single"/>
        </w:rPr>
        <w:t xml:space="preserve">   </w:t>
      </w:r>
      <w:r>
        <w:rPr>
          <w:rFonts w:hint="eastAsia"/>
          <w:sz w:val="24"/>
        </w:rPr>
        <w:t>月</w:t>
      </w:r>
      <w:r>
        <w:rPr>
          <w:sz w:val="24"/>
          <w:u w:val="single"/>
        </w:rPr>
        <w:t xml:space="preserve">   </w:t>
      </w:r>
      <w:r>
        <w:rPr>
          <w:rFonts w:hint="eastAsia"/>
          <w:sz w:val="24"/>
        </w:rPr>
        <w:t>日</w:t>
      </w:r>
    </w:p>
    <w:p w14:paraId="72699443">
      <w:pPr>
        <w:spacing w:line="460" w:lineRule="exact"/>
        <w:ind w:firstLine="5520" w:firstLineChars="2300"/>
        <w:rPr>
          <w:sz w:val="24"/>
          <w:u w:val="single"/>
        </w:rPr>
      </w:pPr>
    </w:p>
    <w:p w14:paraId="5769BA76">
      <w:pPr>
        <w:rPr>
          <w:rFonts w:eastAsia="黑体"/>
          <w:b/>
          <w:bCs/>
          <w:sz w:val="28"/>
        </w:rPr>
      </w:pPr>
    </w:p>
    <w:p w14:paraId="0E2335D5">
      <w:pPr>
        <w:pStyle w:val="4"/>
        <w:rPr>
          <w:rFonts w:ascii="Times New Roman" w:hAnsi="Times New Roman" w:eastAsia="黑体"/>
          <w:b/>
          <w:bCs/>
          <w:sz w:val="28"/>
        </w:rPr>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p>
    <w:p w14:paraId="77D4F49B">
      <w:pPr>
        <w:pStyle w:val="10"/>
        <w:numPr>
          <w:ilvl w:val="0"/>
          <w:numId w:val="0"/>
        </w:numPr>
        <w:rPr>
          <w:rFonts w:ascii="Times New Roman" w:hAnsi="Times New Roman" w:eastAsia="宋体" w:cs="宋体"/>
          <w:sz w:val="32"/>
          <w:szCs w:val="32"/>
        </w:rPr>
      </w:pPr>
      <w:r>
        <w:rPr>
          <w:rFonts w:hint="eastAsia" w:ascii="Times New Roman" w:hAnsi="Times New Roman" w:eastAsia="宋体" w:cs="宋体"/>
          <w:sz w:val="32"/>
          <w:szCs w:val="32"/>
        </w:rPr>
        <w:t>附件2 保密承诺函</w:t>
      </w:r>
    </w:p>
    <w:p w14:paraId="3FB8E268">
      <w:pPr>
        <w:spacing w:line="360" w:lineRule="auto"/>
        <w:jc w:val="center"/>
        <w:rPr>
          <w:rFonts w:cs="宋体"/>
          <w:b/>
          <w:bCs/>
          <w:sz w:val="32"/>
          <w:szCs w:val="32"/>
        </w:rPr>
      </w:pPr>
      <w:r>
        <w:rPr>
          <w:rFonts w:hint="eastAsia" w:cs="宋体"/>
          <w:b/>
          <w:bCs/>
          <w:sz w:val="32"/>
          <w:szCs w:val="32"/>
        </w:rPr>
        <w:t>保密承诺函</w:t>
      </w:r>
    </w:p>
    <w:p w14:paraId="32D2929D">
      <w:pPr>
        <w:spacing w:line="240" w:lineRule="exact"/>
        <w:jc w:val="center"/>
        <w:rPr>
          <w:b/>
          <w:bCs/>
          <w:sz w:val="36"/>
        </w:rPr>
      </w:pPr>
    </w:p>
    <w:p w14:paraId="534F5AEA">
      <w:pPr>
        <w:spacing w:line="360" w:lineRule="auto"/>
        <w:rPr>
          <w:rFonts w:cs="宋体"/>
          <w:b/>
          <w:bCs/>
          <w:sz w:val="24"/>
          <w:szCs w:val="24"/>
          <w:u w:val="single"/>
        </w:rPr>
      </w:pPr>
      <w:r>
        <w:rPr>
          <w:rFonts w:hint="eastAsia"/>
          <w:sz w:val="24"/>
        </w:rPr>
        <w:t>项目名称：</w:t>
      </w:r>
      <w:r>
        <w:rPr>
          <w:rFonts w:hint="eastAsia" w:cs="宋体"/>
          <w:b/>
          <w:bCs/>
          <w:sz w:val="24"/>
          <w:szCs w:val="24"/>
          <w:u w:val="single"/>
        </w:rPr>
        <w:t>第五代电子电气架构开发项目</w:t>
      </w:r>
    </w:p>
    <w:p w14:paraId="265FA098">
      <w:pPr>
        <w:spacing w:line="360" w:lineRule="auto"/>
        <w:rPr>
          <w:b/>
          <w:bCs/>
          <w:sz w:val="24"/>
        </w:rPr>
      </w:pPr>
      <w:r>
        <w:rPr>
          <w:rFonts w:hint="eastAsia"/>
          <w:b/>
          <w:bCs/>
          <w:sz w:val="24"/>
        </w:rPr>
        <w:t>中国重汽集团济南动力有限公司：</w:t>
      </w:r>
    </w:p>
    <w:p w14:paraId="3DA0BC0A">
      <w:pPr>
        <w:spacing w:line="360" w:lineRule="auto"/>
        <w:ind w:firstLine="480"/>
        <w:rPr>
          <w:sz w:val="24"/>
        </w:rPr>
      </w:pPr>
      <w:r>
        <w:rPr>
          <w:rFonts w:hint="eastAsia"/>
          <w:sz w:val="24"/>
        </w:rPr>
        <w:t>我代表（</w:t>
      </w:r>
      <w:r>
        <w:rPr>
          <w:rFonts w:hint="eastAsia"/>
          <w:sz w:val="24"/>
          <w:u w:val="single"/>
        </w:rPr>
        <w:t>投标单位名称</w:t>
      </w:r>
      <w:r>
        <w:rPr>
          <w:rFonts w:hint="eastAsia"/>
          <w:sz w:val="24"/>
        </w:rPr>
        <w:t>）对招标人的商业秘密作如下承诺：</w:t>
      </w:r>
    </w:p>
    <w:p w14:paraId="5A5A96C9">
      <w:pPr>
        <w:spacing w:line="360" w:lineRule="auto"/>
        <w:ind w:left="479" w:leftChars="228"/>
        <w:rPr>
          <w:sz w:val="24"/>
          <w:u w:val="single"/>
        </w:rPr>
      </w:pPr>
      <w:r>
        <w:rPr>
          <w:sz w:val="24"/>
          <w:u w:val="single"/>
        </w:rPr>
        <w:t xml:space="preserve">    </w:t>
      </w:r>
      <w:r>
        <w:rPr>
          <w:rFonts w:hint="eastAsia"/>
          <w:sz w:val="24"/>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sz w:val="24"/>
          <w:u w:val="single"/>
        </w:rPr>
        <w:t xml:space="preserve">                                                                 </w:t>
      </w:r>
    </w:p>
    <w:p w14:paraId="60577DFA">
      <w:pPr>
        <w:spacing w:line="360" w:lineRule="auto"/>
        <w:ind w:firstLine="480" w:firstLineChars="200"/>
        <w:rPr>
          <w:sz w:val="24"/>
          <w:u w:val="single"/>
        </w:rPr>
      </w:pPr>
      <w:r>
        <w:rPr>
          <w:sz w:val="24"/>
          <w:u w:val="single"/>
        </w:rPr>
        <w:t xml:space="preserve">                                                                       </w:t>
      </w:r>
    </w:p>
    <w:p w14:paraId="1788BB50">
      <w:pPr>
        <w:spacing w:line="360" w:lineRule="auto"/>
        <w:ind w:firstLine="480" w:firstLineChars="200"/>
        <w:rPr>
          <w:sz w:val="24"/>
          <w:u w:val="single"/>
        </w:rPr>
      </w:pPr>
      <w:r>
        <w:rPr>
          <w:sz w:val="24"/>
          <w:u w:val="single"/>
        </w:rPr>
        <w:t xml:space="preserve">                                                                       </w:t>
      </w:r>
    </w:p>
    <w:p w14:paraId="73869738">
      <w:pPr>
        <w:spacing w:line="360" w:lineRule="auto"/>
        <w:ind w:firstLine="480" w:firstLineChars="200"/>
        <w:rPr>
          <w:sz w:val="24"/>
          <w:u w:val="single"/>
        </w:rPr>
      </w:pPr>
      <w:r>
        <w:rPr>
          <w:sz w:val="24"/>
          <w:u w:val="single"/>
        </w:rPr>
        <w:t xml:space="preserve">                                                                       </w:t>
      </w:r>
    </w:p>
    <w:p w14:paraId="0D64312A">
      <w:pPr>
        <w:spacing w:line="360" w:lineRule="auto"/>
        <w:ind w:firstLine="480" w:firstLineChars="200"/>
        <w:rPr>
          <w:sz w:val="24"/>
          <w:u w:val="single"/>
        </w:rPr>
      </w:pPr>
      <w:r>
        <w:rPr>
          <w:sz w:val="24"/>
          <w:u w:val="single"/>
        </w:rPr>
        <w:t xml:space="preserve">                                                                       </w:t>
      </w:r>
    </w:p>
    <w:p w14:paraId="57BEC870">
      <w:pPr>
        <w:spacing w:line="360" w:lineRule="auto"/>
        <w:ind w:firstLine="480" w:firstLineChars="200"/>
        <w:rPr>
          <w:sz w:val="24"/>
          <w:u w:val="single"/>
        </w:rPr>
      </w:pPr>
      <w:r>
        <w:rPr>
          <w:sz w:val="24"/>
          <w:u w:val="single"/>
        </w:rPr>
        <w:t xml:space="preserve">                                                                       </w:t>
      </w:r>
    </w:p>
    <w:p w14:paraId="4D1C42A9">
      <w:pPr>
        <w:spacing w:line="360" w:lineRule="auto"/>
        <w:ind w:firstLine="480" w:firstLineChars="200"/>
        <w:rPr>
          <w:sz w:val="24"/>
          <w:u w:val="single"/>
        </w:rPr>
      </w:pPr>
      <w:r>
        <w:rPr>
          <w:sz w:val="24"/>
          <w:u w:val="single"/>
        </w:rPr>
        <w:t xml:space="preserve">                                                                       </w:t>
      </w:r>
    </w:p>
    <w:p w14:paraId="50361C4B">
      <w:pPr>
        <w:spacing w:line="360" w:lineRule="auto"/>
        <w:ind w:firstLine="480" w:firstLineChars="200"/>
        <w:rPr>
          <w:sz w:val="24"/>
          <w:u w:val="single"/>
        </w:rPr>
      </w:pPr>
      <w:r>
        <w:rPr>
          <w:sz w:val="24"/>
          <w:u w:val="single"/>
        </w:rPr>
        <w:t xml:space="preserve">                                                                       </w:t>
      </w:r>
    </w:p>
    <w:p w14:paraId="46E84D5A">
      <w:pPr>
        <w:spacing w:line="360" w:lineRule="auto"/>
        <w:ind w:firstLine="480" w:firstLineChars="200"/>
        <w:rPr>
          <w:sz w:val="24"/>
          <w:u w:val="single"/>
        </w:rPr>
      </w:pPr>
      <w:r>
        <w:rPr>
          <w:sz w:val="24"/>
          <w:u w:val="single"/>
        </w:rPr>
        <w:t xml:space="preserve">                                                                       </w:t>
      </w:r>
    </w:p>
    <w:p w14:paraId="58EC42F2">
      <w:pPr>
        <w:spacing w:line="360" w:lineRule="auto"/>
        <w:ind w:firstLine="480" w:firstLineChars="200"/>
        <w:rPr>
          <w:sz w:val="24"/>
          <w:u w:val="single"/>
        </w:rPr>
      </w:pPr>
      <w:r>
        <w:rPr>
          <w:sz w:val="24"/>
          <w:u w:val="single"/>
        </w:rPr>
        <w:t xml:space="preserve">                                                                       </w:t>
      </w:r>
    </w:p>
    <w:p w14:paraId="7AD1222A">
      <w:pPr>
        <w:spacing w:line="360" w:lineRule="auto"/>
        <w:ind w:firstLine="480" w:firstLineChars="200"/>
        <w:rPr>
          <w:sz w:val="24"/>
          <w:u w:val="single"/>
        </w:rPr>
      </w:pPr>
      <w:r>
        <w:rPr>
          <w:sz w:val="24"/>
          <w:u w:val="single"/>
        </w:rPr>
        <w:t xml:space="preserve">                                                                       </w:t>
      </w:r>
    </w:p>
    <w:p w14:paraId="4418A6CF">
      <w:pPr>
        <w:spacing w:line="360" w:lineRule="auto"/>
        <w:ind w:firstLine="480" w:firstLineChars="200"/>
        <w:rPr>
          <w:sz w:val="24"/>
          <w:u w:val="single"/>
        </w:rPr>
      </w:pPr>
      <w:r>
        <w:rPr>
          <w:sz w:val="24"/>
          <w:u w:val="single"/>
        </w:rPr>
        <w:t xml:space="preserve">                                                                       </w:t>
      </w:r>
    </w:p>
    <w:p w14:paraId="00C42F4A">
      <w:pPr>
        <w:spacing w:line="360" w:lineRule="auto"/>
        <w:ind w:firstLine="480" w:firstLineChars="200"/>
        <w:rPr>
          <w:sz w:val="24"/>
          <w:u w:val="single"/>
        </w:rPr>
      </w:pPr>
      <w:r>
        <w:rPr>
          <w:sz w:val="24"/>
          <w:u w:val="single"/>
        </w:rPr>
        <w:t xml:space="preserve">                                                                       </w:t>
      </w:r>
    </w:p>
    <w:p w14:paraId="0156E66E">
      <w:pPr>
        <w:spacing w:line="360" w:lineRule="auto"/>
        <w:ind w:firstLine="480" w:firstLineChars="200"/>
        <w:rPr>
          <w:sz w:val="24"/>
          <w:u w:val="single"/>
        </w:rPr>
      </w:pPr>
    </w:p>
    <w:p w14:paraId="7DD2B471">
      <w:pPr>
        <w:spacing w:line="360" w:lineRule="auto"/>
        <w:ind w:firstLine="480" w:firstLineChars="200"/>
        <w:rPr>
          <w:sz w:val="24"/>
          <w:szCs w:val="24"/>
        </w:rPr>
      </w:pPr>
      <w:r>
        <w:rPr>
          <w:rFonts w:hint="eastAsia"/>
          <w:sz w:val="24"/>
          <w:szCs w:val="24"/>
        </w:rPr>
        <w:t>投标人：（盖章）</w:t>
      </w:r>
    </w:p>
    <w:p w14:paraId="17615E61">
      <w:pPr>
        <w:spacing w:line="360" w:lineRule="auto"/>
        <w:ind w:firstLine="480" w:firstLineChars="200"/>
        <w:rPr>
          <w:sz w:val="24"/>
          <w:szCs w:val="24"/>
        </w:rPr>
      </w:pPr>
      <w:r>
        <w:rPr>
          <w:rFonts w:hint="eastAsia"/>
          <w:sz w:val="24"/>
          <w:szCs w:val="24"/>
        </w:rPr>
        <w:t>法定代表人（委托代理人）：（签字）</w:t>
      </w:r>
    </w:p>
    <w:p w14:paraId="0D6E7C31">
      <w:pPr>
        <w:spacing w:line="360" w:lineRule="auto"/>
        <w:ind w:firstLine="480" w:firstLineChars="200"/>
        <w:rPr>
          <w:sz w:val="24"/>
          <w:szCs w:val="24"/>
        </w:rPr>
      </w:pPr>
      <w:r>
        <w:rPr>
          <w:rFonts w:hint="eastAsia"/>
          <w:sz w:val="24"/>
          <w:szCs w:val="24"/>
        </w:rPr>
        <w:t>日</w:t>
      </w:r>
      <w:r>
        <w:rPr>
          <w:sz w:val="24"/>
          <w:szCs w:val="24"/>
        </w:rPr>
        <w:t xml:space="preserve">  </w:t>
      </w:r>
      <w:r>
        <w:rPr>
          <w:rFonts w:hint="eastAsia"/>
          <w:sz w:val="24"/>
          <w:szCs w:val="24"/>
        </w:rPr>
        <w:t>期：</w:t>
      </w:r>
      <w:r>
        <w:rPr>
          <w:sz w:val="24"/>
          <w:szCs w:val="24"/>
        </w:rPr>
        <w:t xml:space="preserve">       </w:t>
      </w:r>
      <w:r>
        <w:rPr>
          <w:rFonts w:hint="eastAsia"/>
          <w:sz w:val="24"/>
          <w:szCs w:val="24"/>
        </w:rPr>
        <w:t>年</w:t>
      </w:r>
      <w:r>
        <w:rPr>
          <w:sz w:val="24"/>
          <w:szCs w:val="24"/>
        </w:rPr>
        <w:t xml:space="preserve">    </w:t>
      </w:r>
      <w:r>
        <w:rPr>
          <w:rFonts w:hint="eastAsia"/>
          <w:sz w:val="24"/>
          <w:szCs w:val="24"/>
        </w:rPr>
        <w:t>月</w:t>
      </w:r>
      <w:r>
        <w:rPr>
          <w:sz w:val="24"/>
          <w:szCs w:val="24"/>
        </w:rPr>
        <w:t xml:space="preserve">    </w:t>
      </w:r>
      <w:r>
        <w:rPr>
          <w:rFonts w:hint="eastAsia"/>
          <w:sz w:val="24"/>
          <w:szCs w:val="24"/>
        </w:rPr>
        <w:t>日</w:t>
      </w:r>
    </w:p>
    <w:bookmarkEnd w:id="11"/>
    <w:bookmarkEnd w:id="12"/>
    <w:p w14:paraId="629F2C2E">
      <w:pPr>
        <w:pStyle w:val="10"/>
        <w:numPr>
          <w:ilvl w:val="0"/>
          <w:numId w:val="0"/>
        </w:numPr>
        <w:rPr>
          <w:rFonts w:ascii="Times New Roman" w:hAnsi="Times New Roman" w:eastAsia="宋体"/>
          <w:b w:val="0"/>
          <w:bCs w:val="0"/>
          <w:sz w:val="24"/>
          <w:szCs w:val="24"/>
        </w:rPr>
      </w:pPr>
      <w:r>
        <w:rPr>
          <w:rFonts w:hint="eastAsia" w:ascii="Times New Roman" w:hAnsi="Times New Roman" w:cs="宋体"/>
          <w:sz w:val="32"/>
          <w:szCs w:val="32"/>
        </w:rPr>
        <w:br w:type="page"/>
      </w:r>
      <w:bookmarkStart w:id="13" w:name="_Toc4225"/>
      <w:bookmarkStart w:id="14" w:name="_Toc47976616"/>
      <w:r>
        <w:rPr>
          <w:rFonts w:hint="eastAsia" w:ascii="Times New Roman" w:hAnsi="Times New Roman" w:eastAsia="宋体" w:cs="宋体"/>
          <w:sz w:val="32"/>
          <w:szCs w:val="32"/>
        </w:rPr>
        <w:t>附件</w:t>
      </w:r>
      <w:r>
        <w:rPr>
          <w:rFonts w:ascii="Times New Roman" w:hAnsi="Times New Roman" w:eastAsia="宋体" w:cs="宋体"/>
          <w:sz w:val="32"/>
          <w:szCs w:val="32"/>
        </w:rPr>
        <w:t xml:space="preserve">3 </w:t>
      </w:r>
      <w:r>
        <w:rPr>
          <w:rFonts w:hint="eastAsia" w:ascii="Times New Roman" w:hAnsi="Times New Roman" w:eastAsia="宋体" w:cs="宋体"/>
          <w:sz w:val="32"/>
          <w:szCs w:val="32"/>
        </w:rPr>
        <w:t>近三年同类项目业绩一览表</w:t>
      </w:r>
    </w:p>
    <w:p w14:paraId="0F6ECC63">
      <w:pPr>
        <w:spacing w:line="360" w:lineRule="auto"/>
        <w:ind w:firstLine="480" w:firstLineChars="200"/>
        <w:rPr>
          <w:sz w:val="24"/>
          <w:szCs w:val="24"/>
        </w:rPr>
      </w:pPr>
      <w:r>
        <w:rPr>
          <w:rFonts w:hint="eastAsia"/>
          <w:sz w:val="24"/>
          <w:szCs w:val="24"/>
        </w:rPr>
        <w:t>项目名称：</w:t>
      </w:r>
      <w:r>
        <w:rPr>
          <w:rFonts w:hint="eastAsia"/>
          <w:b/>
          <w:bCs/>
          <w:sz w:val="24"/>
          <w:szCs w:val="24"/>
          <w:u w:val="single"/>
        </w:rPr>
        <w:tab/>
      </w:r>
      <w:r>
        <w:rPr>
          <w:rFonts w:hint="eastAsia"/>
          <w:b/>
          <w:bCs/>
          <w:sz w:val="24"/>
          <w:szCs w:val="24"/>
          <w:u w:val="single"/>
        </w:rPr>
        <w:t>第五代电子电气架构开发项目</w:t>
      </w:r>
      <w:r>
        <w:rPr>
          <w:sz w:val="24"/>
          <w:szCs w:val="24"/>
        </w:rPr>
        <w:t xml:space="preserve">                                                 </w:t>
      </w:r>
    </w:p>
    <w:tbl>
      <w:tblPr>
        <w:tblStyle w:val="7"/>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4C994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28A3A61E">
            <w:pPr>
              <w:ind w:left="420" w:hanging="420"/>
              <w:jc w:val="center"/>
              <w:rPr>
                <w:b/>
                <w:szCs w:val="21"/>
              </w:rPr>
            </w:pPr>
            <w:r>
              <w:rPr>
                <w:rFonts w:hint="eastAsia"/>
                <w:b/>
                <w:szCs w:val="21"/>
              </w:rPr>
              <w:t>序号</w:t>
            </w:r>
          </w:p>
        </w:tc>
        <w:tc>
          <w:tcPr>
            <w:tcW w:w="2082" w:type="dxa"/>
            <w:vAlign w:val="center"/>
          </w:tcPr>
          <w:p w14:paraId="2928908F">
            <w:pPr>
              <w:ind w:left="420" w:hanging="420"/>
              <w:jc w:val="center"/>
              <w:rPr>
                <w:b/>
                <w:szCs w:val="21"/>
              </w:rPr>
            </w:pPr>
            <w:r>
              <w:rPr>
                <w:rFonts w:hint="eastAsia"/>
                <w:b/>
                <w:szCs w:val="21"/>
              </w:rPr>
              <w:t>采购单位</w:t>
            </w:r>
          </w:p>
        </w:tc>
        <w:tc>
          <w:tcPr>
            <w:tcW w:w="1355" w:type="dxa"/>
            <w:vAlign w:val="center"/>
          </w:tcPr>
          <w:p w14:paraId="143E989E">
            <w:pPr>
              <w:ind w:left="420" w:hanging="420"/>
              <w:jc w:val="center"/>
              <w:rPr>
                <w:b/>
                <w:szCs w:val="21"/>
              </w:rPr>
            </w:pPr>
            <w:r>
              <w:rPr>
                <w:rFonts w:hint="eastAsia"/>
                <w:b/>
                <w:szCs w:val="21"/>
              </w:rPr>
              <w:t>项目名称</w:t>
            </w:r>
          </w:p>
          <w:p w14:paraId="407190A2">
            <w:pPr>
              <w:ind w:left="420" w:hanging="420"/>
              <w:jc w:val="center"/>
              <w:rPr>
                <w:b/>
                <w:szCs w:val="21"/>
              </w:rPr>
            </w:pPr>
            <w:r>
              <w:rPr>
                <w:rFonts w:hint="eastAsia"/>
                <w:b/>
                <w:szCs w:val="21"/>
              </w:rPr>
              <w:t>（万元）</w:t>
            </w:r>
          </w:p>
        </w:tc>
        <w:tc>
          <w:tcPr>
            <w:tcW w:w="826" w:type="dxa"/>
            <w:vAlign w:val="center"/>
          </w:tcPr>
          <w:p w14:paraId="5FC66945">
            <w:pPr>
              <w:jc w:val="center"/>
              <w:rPr>
                <w:b/>
                <w:szCs w:val="21"/>
              </w:rPr>
            </w:pPr>
            <w:r>
              <w:rPr>
                <w:rFonts w:hint="eastAsia"/>
                <w:b/>
                <w:szCs w:val="21"/>
              </w:rPr>
              <w:t>数量</w:t>
            </w:r>
          </w:p>
        </w:tc>
        <w:tc>
          <w:tcPr>
            <w:tcW w:w="1320" w:type="dxa"/>
            <w:vAlign w:val="center"/>
          </w:tcPr>
          <w:p w14:paraId="59C174C6">
            <w:pPr>
              <w:jc w:val="center"/>
              <w:rPr>
                <w:b/>
                <w:szCs w:val="21"/>
              </w:rPr>
            </w:pPr>
            <w:r>
              <w:rPr>
                <w:rFonts w:hint="eastAsia"/>
                <w:b/>
                <w:szCs w:val="21"/>
              </w:rPr>
              <w:t>合同金额</w:t>
            </w:r>
          </w:p>
        </w:tc>
        <w:tc>
          <w:tcPr>
            <w:tcW w:w="1023" w:type="dxa"/>
            <w:vAlign w:val="center"/>
          </w:tcPr>
          <w:p w14:paraId="6DA9C1AB">
            <w:pPr>
              <w:jc w:val="center"/>
              <w:rPr>
                <w:b/>
                <w:szCs w:val="21"/>
              </w:rPr>
            </w:pPr>
            <w:r>
              <w:rPr>
                <w:rFonts w:hint="eastAsia"/>
                <w:b/>
                <w:szCs w:val="21"/>
              </w:rPr>
              <w:t>合同签订时间</w:t>
            </w:r>
          </w:p>
        </w:tc>
        <w:tc>
          <w:tcPr>
            <w:tcW w:w="1590" w:type="dxa"/>
            <w:vAlign w:val="center"/>
          </w:tcPr>
          <w:p w14:paraId="2477B2FC">
            <w:pPr>
              <w:ind w:left="420" w:hanging="420"/>
              <w:jc w:val="center"/>
              <w:rPr>
                <w:b/>
                <w:szCs w:val="21"/>
              </w:rPr>
            </w:pPr>
            <w:r>
              <w:rPr>
                <w:rFonts w:hint="eastAsia"/>
                <w:b/>
                <w:szCs w:val="21"/>
              </w:rPr>
              <w:t>联系人及</w:t>
            </w:r>
          </w:p>
          <w:p w14:paraId="1F1A3CC0">
            <w:pPr>
              <w:ind w:left="420" w:hanging="420"/>
              <w:jc w:val="center"/>
              <w:rPr>
                <w:b/>
                <w:szCs w:val="21"/>
              </w:rPr>
            </w:pPr>
            <w:r>
              <w:rPr>
                <w:rFonts w:hint="eastAsia"/>
                <w:b/>
                <w:szCs w:val="21"/>
              </w:rPr>
              <w:t>联系电话</w:t>
            </w:r>
          </w:p>
        </w:tc>
      </w:tr>
      <w:tr w14:paraId="2931F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EF8F422">
            <w:pPr>
              <w:ind w:left="420" w:hanging="420"/>
              <w:rPr>
                <w:b/>
              </w:rPr>
            </w:pPr>
          </w:p>
        </w:tc>
        <w:tc>
          <w:tcPr>
            <w:tcW w:w="2082" w:type="dxa"/>
          </w:tcPr>
          <w:p w14:paraId="1FBA7BBE">
            <w:pPr>
              <w:ind w:left="420" w:hanging="420"/>
              <w:rPr>
                <w:b/>
              </w:rPr>
            </w:pPr>
          </w:p>
        </w:tc>
        <w:tc>
          <w:tcPr>
            <w:tcW w:w="1355" w:type="dxa"/>
          </w:tcPr>
          <w:p w14:paraId="5029F520">
            <w:pPr>
              <w:ind w:left="420" w:hanging="420"/>
              <w:rPr>
                <w:b/>
              </w:rPr>
            </w:pPr>
          </w:p>
        </w:tc>
        <w:tc>
          <w:tcPr>
            <w:tcW w:w="826" w:type="dxa"/>
          </w:tcPr>
          <w:p w14:paraId="74ADA2F1">
            <w:pPr>
              <w:ind w:left="420" w:hanging="420"/>
              <w:rPr>
                <w:b/>
              </w:rPr>
            </w:pPr>
          </w:p>
        </w:tc>
        <w:tc>
          <w:tcPr>
            <w:tcW w:w="1320" w:type="dxa"/>
          </w:tcPr>
          <w:p w14:paraId="4450DAFB">
            <w:pPr>
              <w:ind w:left="420" w:hanging="420"/>
              <w:rPr>
                <w:b/>
              </w:rPr>
            </w:pPr>
          </w:p>
        </w:tc>
        <w:tc>
          <w:tcPr>
            <w:tcW w:w="1023" w:type="dxa"/>
          </w:tcPr>
          <w:p w14:paraId="6CEDAA85">
            <w:pPr>
              <w:ind w:left="420" w:hanging="420"/>
              <w:rPr>
                <w:b/>
              </w:rPr>
            </w:pPr>
          </w:p>
        </w:tc>
        <w:tc>
          <w:tcPr>
            <w:tcW w:w="1590" w:type="dxa"/>
          </w:tcPr>
          <w:p w14:paraId="74B39A43">
            <w:pPr>
              <w:ind w:left="420" w:hanging="420"/>
              <w:rPr>
                <w:b/>
              </w:rPr>
            </w:pPr>
          </w:p>
        </w:tc>
      </w:tr>
      <w:tr w14:paraId="63B74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CCC3C96">
            <w:pPr>
              <w:ind w:left="420" w:hanging="420"/>
              <w:rPr>
                <w:b/>
              </w:rPr>
            </w:pPr>
          </w:p>
        </w:tc>
        <w:tc>
          <w:tcPr>
            <w:tcW w:w="2082" w:type="dxa"/>
          </w:tcPr>
          <w:p w14:paraId="423D3DA1">
            <w:pPr>
              <w:ind w:left="420" w:hanging="420"/>
              <w:rPr>
                <w:b/>
              </w:rPr>
            </w:pPr>
          </w:p>
        </w:tc>
        <w:tc>
          <w:tcPr>
            <w:tcW w:w="1355" w:type="dxa"/>
          </w:tcPr>
          <w:p w14:paraId="42721C22">
            <w:pPr>
              <w:ind w:left="420" w:hanging="420"/>
              <w:rPr>
                <w:b/>
              </w:rPr>
            </w:pPr>
          </w:p>
        </w:tc>
        <w:tc>
          <w:tcPr>
            <w:tcW w:w="826" w:type="dxa"/>
          </w:tcPr>
          <w:p w14:paraId="2EAE2B9B">
            <w:pPr>
              <w:ind w:left="420" w:hanging="420"/>
              <w:rPr>
                <w:b/>
              </w:rPr>
            </w:pPr>
          </w:p>
        </w:tc>
        <w:tc>
          <w:tcPr>
            <w:tcW w:w="1320" w:type="dxa"/>
          </w:tcPr>
          <w:p w14:paraId="6ACB9852">
            <w:pPr>
              <w:ind w:left="420" w:hanging="420"/>
              <w:rPr>
                <w:b/>
              </w:rPr>
            </w:pPr>
          </w:p>
        </w:tc>
        <w:tc>
          <w:tcPr>
            <w:tcW w:w="1023" w:type="dxa"/>
          </w:tcPr>
          <w:p w14:paraId="1F9F78C7">
            <w:pPr>
              <w:ind w:left="420" w:hanging="420"/>
              <w:rPr>
                <w:b/>
              </w:rPr>
            </w:pPr>
          </w:p>
        </w:tc>
        <w:tc>
          <w:tcPr>
            <w:tcW w:w="1590" w:type="dxa"/>
          </w:tcPr>
          <w:p w14:paraId="43E92EDA">
            <w:pPr>
              <w:ind w:left="420" w:hanging="420"/>
              <w:rPr>
                <w:b/>
              </w:rPr>
            </w:pPr>
          </w:p>
        </w:tc>
      </w:tr>
      <w:tr w14:paraId="2F38C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888ACA0">
            <w:pPr>
              <w:ind w:left="420" w:hanging="420"/>
              <w:rPr>
                <w:b/>
              </w:rPr>
            </w:pPr>
          </w:p>
        </w:tc>
        <w:tc>
          <w:tcPr>
            <w:tcW w:w="2082" w:type="dxa"/>
          </w:tcPr>
          <w:p w14:paraId="7E5326AD">
            <w:pPr>
              <w:ind w:left="420" w:hanging="420"/>
              <w:rPr>
                <w:b/>
              </w:rPr>
            </w:pPr>
          </w:p>
        </w:tc>
        <w:tc>
          <w:tcPr>
            <w:tcW w:w="1355" w:type="dxa"/>
          </w:tcPr>
          <w:p w14:paraId="56FFAFA9">
            <w:pPr>
              <w:ind w:left="420" w:hanging="420"/>
              <w:rPr>
                <w:b/>
              </w:rPr>
            </w:pPr>
          </w:p>
        </w:tc>
        <w:tc>
          <w:tcPr>
            <w:tcW w:w="826" w:type="dxa"/>
          </w:tcPr>
          <w:p w14:paraId="2A02C721">
            <w:pPr>
              <w:ind w:left="420" w:hanging="420"/>
              <w:rPr>
                <w:b/>
              </w:rPr>
            </w:pPr>
          </w:p>
        </w:tc>
        <w:tc>
          <w:tcPr>
            <w:tcW w:w="1320" w:type="dxa"/>
          </w:tcPr>
          <w:p w14:paraId="479E0392">
            <w:pPr>
              <w:ind w:left="420" w:hanging="420"/>
              <w:rPr>
                <w:b/>
              </w:rPr>
            </w:pPr>
          </w:p>
        </w:tc>
        <w:tc>
          <w:tcPr>
            <w:tcW w:w="1023" w:type="dxa"/>
          </w:tcPr>
          <w:p w14:paraId="13FBD5ED">
            <w:pPr>
              <w:ind w:left="420" w:hanging="420"/>
              <w:rPr>
                <w:b/>
              </w:rPr>
            </w:pPr>
          </w:p>
        </w:tc>
        <w:tc>
          <w:tcPr>
            <w:tcW w:w="1590" w:type="dxa"/>
          </w:tcPr>
          <w:p w14:paraId="3F4AAF6D">
            <w:pPr>
              <w:ind w:left="420" w:hanging="420"/>
              <w:rPr>
                <w:b/>
              </w:rPr>
            </w:pPr>
          </w:p>
        </w:tc>
      </w:tr>
      <w:tr w14:paraId="5091D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09C07F2">
            <w:pPr>
              <w:ind w:left="420" w:hanging="420"/>
              <w:rPr>
                <w:b/>
              </w:rPr>
            </w:pPr>
          </w:p>
        </w:tc>
        <w:tc>
          <w:tcPr>
            <w:tcW w:w="2082" w:type="dxa"/>
          </w:tcPr>
          <w:p w14:paraId="6CE99C50">
            <w:pPr>
              <w:ind w:left="420" w:hanging="420"/>
              <w:rPr>
                <w:b/>
              </w:rPr>
            </w:pPr>
          </w:p>
        </w:tc>
        <w:tc>
          <w:tcPr>
            <w:tcW w:w="1355" w:type="dxa"/>
          </w:tcPr>
          <w:p w14:paraId="591E9B41">
            <w:pPr>
              <w:ind w:left="420" w:hanging="420"/>
              <w:rPr>
                <w:b/>
              </w:rPr>
            </w:pPr>
          </w:p>
        </w:tc>
        <w:tc>
          <w:tcPr>
            <w:tcW w:w="826" w:type="dxa"/>
          </w:tcPr>
          <w:p w14:paraId="0636DF90">
            <w:pPr>
              <w:ind w:left="420" w:hanging="420"/>
              <w:rPr>
                <w:b/>
              </w:rPr>
            </w:pPr>
          </w:p>
        </w:tc>
        <w:tc>
          <w:tcPr>
            <w:tcW w:w="1320" w:type="dxa"/>
          </w:tcPr>
          <w:p w14:paraId="022B4DB7">
            <w:pPr>
              <w:ind w:left="420" w:hanging="420"/>
              <w:rPr>
                <w:b/>
              </w:rPr>
            </w:pPr>
          </w:p>
        </w:tc>
        <w:tc>
          <w:tcPr>
            <w:tcW w:w="1023" w:type="dxa"/>
          </w:tcPr>
          <w:p w14:paraId="52511403">
            <w:pPr>
              <w:ind w:left="420" w:hanging="420"/>
              <w:rPr>
                <w:b/>
              </w:rPr>
            </w:pPr>
          </w:p>
        </w:tc>
        <w:tc>
          <w:tcPr>
            <w:tcW w:w="1590" w:type="dxa"/>
          </w:tcPr>
          <w:p w14:paraId="0B798938">
            <w:pPr>
              <w:ind w:left="420" w:hanging="420"/>
              <w:rPr>
                <w:b/>
              </w:rPr>
            </w:pPr>
          </w:p>
        </w:tc>
      </w:tr>
      <w:tr w14:paraId="2B39B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4F6EB4E">
            <w:pPr>
              <w:ind w:left="420" w:hanging="420"/>
              <w:rPr>
                <w:b/>
              </w:rPr>
            </w:pPr>
          </w:p>
        </w:tc>
        <w:tc>
          <w:tcPr>
            <w:tcW w:w="2082" w:type="dxa"/>
          </w:tcPr>
          <w:p w14:paraId="0FADB7CD">
            <w:pPr>
              <w:ind w:left="420" w:hanging="420"/>
              <w:rPr>
                <w:b/>
              </w:rPr>
            </w:pPr>
          </w:p>
        </w:tc>
        <w:tc>
          <w:tcPr>
            <w:tcW w:w="1355" w:type="dxa"/>
          </w:tcPr>
          <w:p w14:paraId="1670EA40">
            <w:pPr>
              <w:ind w:left="420" w:hanging="420"/>
              <w:rPr>
                <w:b/>
              </w:rPr>
            </w:pPr>
          </w:p>
        </w:tc>
        <w:tc>
          <w:tcPr>
            <w:tcW w:w="826" w:type="dxa"/>
          </w:tcPr>
          <w:p w14:paraId="04D74443">
            <w:pPr>
              <w:ind w:left="420" w:hanging="420"/>
              <w:rPr>
                <w:b/>
              </w:rPr>
            </w:pPr>
          </w:p>
        </w:tc>
        <w:tc>
          <w:tcPr>
            <w:tcW w:w="1320" w:type="dxa"/>
          </w:tcPr>
          <w:p w14:paraId="51627BDB">
            <w:pPr>
              <w:ind w:left="420" w:hanging="420"/>
              <w:rPr>
                <w:b/>
              </w:rPr>
            </w:pPr>
          </w:p>
        </w:tc>
        <w:tc>
          <w:tcPr>
            <w:tcW w:w="1023" w:type="dxa"/>
          </w:tcPr>
          <w:p w14:paraId="4A365F45">
            <w:pPr>
              <w:ind w:left="420" w:hanging="420"/>
              <w:rPr>
                <w:b/>
              </w:rPr>
            </w:pPr>
          </w:p>
        </w:tc>
        <w:tc>
          <w:tcPr>
            <w:tcW w:w="1590" w:type="dxa"/>
          </w:tcPr>
          <w:p w14:paraId="22F1A453">
            <w:pPr>
              <w:ind w:left="420" w:hanging="420"/>
              <w:rPr>
                <w:b/>
              </w:rPr>
            </w:pPr>
          </w:p>
        </w:tc>
      </w:tr>
      <w:tr w14:paraId="6F56CA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04F0CC5">
            <w:pPr>
              <w:ind w:left="420" w:hanging="420"/>
              <w:rPr>
                <w:b/>
              </w:rPr>
            </w:pPr>
          </w:p>
        </w:tc>
        <w:tc>
          <w:tcPr>
            <w:tcW w:w="2082" w:type="dxa"/>
          </w:tcPr>
          <w:p w14:paraId="53A9D4F5">
            <w:pPr>
              <w:ind w:left="420" w:hanging="420"/>
              <w:rPr>
                <w:b/>
              </w:rPr>
            </w:pPr>
          </w:p>
        </w:tc>
        <w:tc>
          <w:tcPr>
            <w:tcW w:w="1355" w:type="dxa"/>
          </w:tcPr>
          <w:p w14:paraId="355B8A5B">
            <w:pPr>
              <w:ind w:left="420" w:hanging="420"/>
              <w:rPr>
                <w:b/>
              </w:rPr>
            </w:pPr>
          </w:p>
        </w:tc>
        <w:tc>
          <w:tcPr>
            <w:tcW w:w="826" w:type="dxa"/>
          </w:tcPr>
          <w:p w14:paraId="13D78640">
            <w:pPr>
              <w:ind w:left="420" w:hanging="420"/>
              <w:rPr>
                <w:b/>
              </w:rPr>
            </w:pPr>
          </w:p>
        </w:tc>
        <w:tc>
          <w:tcPr>
            <w:tcW w:w="1320" w:type="dxa"/>
          </w:tcPr>
          <w:p w14:paraId="4E45F9C6">
            <w:pPr>
              <w:ind w:left="420" w:hanging="420"/>
              <w:rPr>
                <w:b/>
              </w:rPr>
            </w:pPr>
          </w:p>
        </w:tc>
        <w:tc>
          <w:tcPr>
            <w:tcW w:w="1023" w:type="dxa"/>
          </w:tcPr>
          <w:p w14:paraId="6D8C076E">
            <w:pPr>
              <w:ind w:left="420" w:hanging="420"/>
              <w:rPr>
                <w:b/>
              </w:rPr>
            </w:pPr>
          </w:p>
        </w:tc>
        <w:tc>
          <w:tcPr>
            <w:tcW w:w="1590" w:type="dxa"/>
          </w:tcPr>
          <w:p w14:paraId="3005F362">
            <w:pPr>
              <w:ind w:left="420" w:hanging="420"/>
              <w:rPr>
                <w:b/>
              </w:rPr>
            </w:pPr>
          </w:p>
        </w:tc>
      </w:tr>
      <w:tr w14:paraId="1D530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F95DB95">
            <w:pPr>
              <w:ind w:left="420" w:hanging="420"/>
              <w:rPr>
                <w:b/>
              </w:rPr>
            </w:pPr>
          </w:p>
        </w:tc>
        <w:tc>
          <w:tcPr>
            <w:tcW w:w="2082" w:type="dxa"/>
          </w:tcPr>
          <w:p w14:paraId="6315E3EE">
            <w:pPr>
              <w:ind w:left="420" w:hanging="420"/>
              <w:rPr>
                <w:b/>
              </w:rPr>
            </w:pPr>
          </w:p>
        </w:tc>
        <w:tc>
          <w:tcPr>
            <w:tcW w:w="1355" w:type="dxa"/>
          </w:tcPr>
          <w:p w14:paraId="59D60497">
            <w:pPr>
              <w:ind w:left="420" w:hanging="420"/>
              <w:rPr>
                <w:b/>
              </w:rPr>
            </w:pPr>
          </w:p>
        </w:tc>
        <w:tc>
          <w:tcPr>
            <w:tcW w:w="826" w:type="dxa"/>
          </w:tcPr>
          <w:p w14:paraId="027AFA9D">
            <w:pPr>
              <w:ind w:left="420" w:hanging="420"/>
              <w:rPr>
                <w:b/>
              </w:rPr>
            </w:pPr>
          </w:p>
        </w:tc>
        <w:tc>
          <w:tcPr>
            <w:tcW w:w="1320" w:type="dxa"/>
          </w:tcPr>
          <w:p w14:paraId="42ECFFC6">
            <w:pPr>
              <w:ind w:left="420" w:hanging="420"/>
              <w:rPr>
                <w:b/>
              </w:rPr>
            </w:pPr>
          </w:p>
        </w:tc>
        <w:tc>
          <w:tcPr>
            <w:tcW w:w="1023" w:type="dxa"/>
          </w:tcPr>
          <w:p w14:paraId="191D2541">
            <w:pPr>
              <w:ind w:left="420" w:hanging="420"/>
              <w:rPr>
                <w:b/>
              </w:rPr>
            </w:pPr>
          </w:p>
        </w:tc>
        <w:tc>
          <w:tcPr>
            <w:tcW w:w="1590" w:type="dxa"/>
          </w:tcPr>
          <w:p w14:paraId="0E2ADC53">
            <w:pPr>
              <w:ind w:left="420" w:hanging="420"/>
              <w:rPr>
                <w:b/>
              </w:rPr>
            </w:pPr>
          </w:p>
        </w:tc>
      </w:tr>
      <w:tr w14:paraId="2D6CE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566325B">
            <w:pPr>
              <w:ind w:left="420" w:hanging="420"/>
              <w:rPr>
                <w:b/>
              </w:rPr>
            </w:pPr>
          </w:p>
        </w:tc>
        <w:tc>
          <w:tcPr>
            <w:tcW w:w="2082" w:type="dxa"/>
          </w:tcPr>
          <w:p w14:paraId="0CA67E71">
            <w:pPr>
              <w:ind w:left="420" w:hanging="420"/>
              <w:rPr>
                <w:b/>
              </w:rPr>
            </w:pPr>
          </w:p>
        </w:tc>
        <w:tc>
          <w:tcPr>
            <w:tcW w:w="1355" w:type="dxa"/>
          </w:tcPr>
          <w:p w14:paraId="6A4D5D0F">
            <w:pPr>
              <w:ind w:left="420" w:hanging="420"/>
              <w:rPr>
                <w:b/>
              </w:rPr>
            </w:pPr>
          </w:p>
        </w:tc>
        <w:tc>
          <w:tcPr>
            <w:tcW w:w="826" w:type="dxa"/>
          </w:tcPr>
          <w:p w14:paraId="34F80881">
            <w:pPr>
              <w:ind w:left="420" w:hanging="420"/>
              <w:rPr>
                <w:b/>
              </w:rPr>
            </w:pPr>
          </w:p>
        </w:tc>
        <w:tc>
          <w:tcPr>
            <w:tcW w:w="1320" w:type="dxa"/>
          </w:tcPr>
          <w:p w14:paraId="2A6B009A">
            <w:pPr>
              <w:ind w:left="420" w:hanging="420"/>
              <w:rPr>
                <w:b/>
              </w:rPr>
            </w:pPr>
          </w:p>
        </w:tc>
        <w:tc>
          <w:tcPr>
            <w:tcW w:w="1023" w:type="dxa"/>
          </w:tcPr>
          <w:p w14:paraId="6602CF36">
            <w:pPr>
              <w:ind w:left="420" w:hanging="420"/>
              <w:rPr>
                <w:b/>
              </w:rPr>
            </w:pPr>
          </w:p>
        </w:tc>
        <w:tc>
          <w:tcPr>
            <w:tcW w:w="1590" w:type="dxa"/>
          </w:tcPr>
          <w:p w14:paraId="14D43E76">
            <w:pPr>
              <w:ind w:left="420" w:hanging="420"/>
              <w:rPr>
                <w:b/>
              </w:rPr>
            </w:pPr>
          </w:p>
        </w:tc>
      </w:tr>
      <w:tr w14:paraId="6D507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50C15CC">
            <w:pPr>
              <w:ind w:left="420" w:hanging="420"/>
              <w:rPr>
                <w:b/>
              </w:rPr>
            </w:pPr>
          </w:p>
        </w:tc>
        <w:tc>
          <w:tcPr>
            <w:tcW w:w="2082" w:type="dxa"/>
          </w:tcPr>
          <w:p w14:paraId="7BAD103E">
            <w:pPr>
              <w:ind w:left="420" w:hanging="420"/>
              <w:rPr>
                <w:b/>
              </w:rPr>
            </w:pPr>
          </w:p>
        </w:tc>
        <w:tc>
          <w:tcPr>
            <w:tcW w:w="1355" w:type="dxa"/>
          </w:tcPr>
          <w:p w14:paraId="39551242">
            <w:pPr>
              <w:ind w:left="420" w:hanging="420"/>
              <w:rPr>
                <w:b/>
              </w:rPr>
            </w:pPr>
          </w:p>
        </w:tc>
        <w:tc>
          <w:tcPr>
            <w:tcW w:w="826" w:type="dxa"/>
          </w:tcPr>
          <w:p w14:paraId="0FAA5202">
            <w:pPr>
              <w:ind w:left="420" w:hanging="420"/>
              <w:rPr>
                <w:b/>
              </w:rPr>
            </w:pPr>
          </w:p>
        </w:tc>
        <w:tc>
          <w:tcPr>
            <w:tcW w:w="1320" w:type="dxa"/>
          </w:tcPr>
          <w:p w14:paraId="1418DD03">
            <w:pPr>
              <w:ind w:left="420" w:hanging="420"/>
              <w:rPr>
                <w:b/>
              </w:rPr>
            </w:pPr>
          </w:p>
        </w:tc>
        <w:tc>
          <w:tcPr>
            <w:tcW w:w="1023" w:type="dxa"/>
          </w:tcPr>
          <w:p w14:paraId="18E37E1B">
            <w:pPr>
              <w:ind w:left="420" w:hanging="420"/>
              <w:rPr>
                <w:b/>
              </w:rPr>
            </w:pPr>
          </w:p>
        </w:tc>
        <w:tc>
          <w:tcPr>
            <w:tcW w:w="1590" w:type="dxa"/>
          </w:tcPr>
          <w:p w14:paraId="6A698642">
            <w:pPr>
              <w:ind w:left="420" w:hanging="420"/>
              <w:rPr>
                <w:b/>
              </w:rPr>
            </w:pPr>
          </w:p>
        </w:tc>
      </w:tr>
      <w:tr w14:paraId="0849F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21F78C5">
            <w:pPr>
              <w:ind w:left="420" w:hanging="420"/>
              <w:rPr>
                <w:b/>
              </w:rPr>
            </w:pPr>
          </w:p>
        </w:tc>
        <w:tc>
          <w:tcPr>
            <w:tcW w:w="2082" w:type="dxa"/>
          </w:tcPr>
          <w:p w14:paraId="4C68F0D0">
            <w:pPr>
              <w:ind w:left="420" w:hanging="420"/>
              <w:rPr>
                <w:b/>
              </w:rPr>
            </w:pPr>
          </w:p>
        </w:tc>
        <w:tc>
          <w:tcPr>
            <w:tcW w:w="1355" w:type="dxa"/>
          </w:tcPr>
          <w:p w14:paraId="70EB2DD5">
            <w:pPr>
              <w:ind w:left="420" w:hanging="420"/>
              <w:rPr>
                <w:b/>
              </w:rPr>
            </w:pPr>
          </w:p>
        </w:tc>
        <w:tc>
          <w:tcPr>
            <w:tcW w:w="826" w:type="dxa"/>
          </w:tcPr>
          <w:p w14:paraId="094A2F28">
            <w:pPr>
              <w:ind w:left="420" w:hanging="420"/>
              <w:rPr>
                <w:b/>
              </w:rPr>
            </w:pPr>
          </w:p>
        </w:tc>
        <w:tc>
          <w:tcPr>
            <w:tcW w:w="1320" w:type="dxa"/>
          </w:tcPr>
          <w:p w14:paraId="7DFFBEDC">
            <w:pPr>
              <w:ind w:left="420" w:hanging="420"/>
              <w:rPr>
                <w:b/>
              </w:rPr>
            </w:pPr>
          </w:p>
        </w:tc>
        <w:tc>
          <w:tcPr>
            <w:tcW w:w="1023" w:type="dxa"/>
          </w:tcPr>
          <w:p w14:paraId="5749FA01">
            <w:pPr>
              <w:ind w:left="420" w:hanging="420"/>
              <w:rPr>
                <w:b/>
              </w:rPr>
            </w:pPr>
          </w:p>
        </w:tc>
        <w:tc>
          <w:tcPr>
            <w:tcW w:w="1590" w:type="dxa"/>
          </w:tcPr>
          <w:p w14:paraId="4C08CA69">
            <w:pPr>
              <w:ind w:left="420" w:hanging="420"/>
              <w:rPr>
                <w:b/>
              </w:rPr>
            </w:pPr>
          </w:p>
        </w:tc>
      </w:tr>
      <w:tr w14:paraId="3D2CC6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822F713">
            <w:pPr>
              <w:ind w:left="420" w:hanging="420"/>
              <w:rPr>
                <w:b/>
              </w:rPr>
            </w:pPr>
          </w:p>
        </w:tc>
        <w:tc>
          <w:tcPr>
            <w:tcW w:w="2082" w:type="dxa"/>
          </w:tcPr>
          <w:p w14:paraId="106D6188">
            <w:pPr>
              <w:ind w:left="420" w:hanging="420"/>
              <w:rPr>
                <w:b/>
              </w:rPr>
            </w:pPr>
          </w:p>
        </w:tc>
        <w:tc>
          <w:tcPr>
            <w:tcW w:w="1355" w:type="dxa"/>
          </w:tcPr>
          <w:p w14:paraId="4F4358C6">
            <w:pPr>
              <w:ind w:left="420" w:hanging="420"/>
              <w:rPr>
                <w:b/>
              </w:rPr>
            </w:pPr>
          </w:p>
        </w:tc>
        <w:tc>
          <w:tcPr>
            <w:tcW w:w="826" w:type="dxa"/>
          </w:tcPr>
          <w:p w14:paraId="65B190E0">
            <w:pPr>
              <w:ind w:left="420" w:hanging="420"/>
              <w:rPr>
                <w:b/>
              </w:rPr>
            </w:pPr>
          </w:p>
        </w:tc>
        <w:tc>
          <w:tcPr>
            <w:tcW w:w="1320" w:type="dxa"/>
          </w:tcPr>
          <w:p w14:paraId="680FBF42">
            <w:pPr>
              <w:ind w:left="420" w:hanging="420"/>
              <w:rPr>
                <w:b/>
              </w:rPr>
            </w:pPr>
          </w:p>
        </w:tc>
        <w:tc>
          <w:tcPr>
            <w:tcW w:w="1023" w:type="dxa"/>
          </w:tcPr>
          <w:p w14:paraId="3F2937AB">
            <w:pPr>
              <w:ind w:left="420" w:hanging="420"/>
              <w:rPr>
                <w:b/>
              </w:rPr>
            </w:pPr>
          </w:p>
        </w:tc>
        <w:tc>
          <w:tcPr>
            <w:tcW w:w="1590" w:type="dxa"/>
          </w:tcPr>
          <w:p w14:paraId="2B497C28">
            <w:pPr>
              <w:ind w:left="420" w:hanging="420"/>
              <w:rPr>
                <w:b/>
              </w:rPr>
            </w:pPr>
          </w:p>
        </w:tc>
      </w:tr>
      <w:tr w14:paraId="54339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9CCB586">
            <w:pPr>
              <w:ind w:left="420" w:hanging="420"/>
              <w:rPr>
                <w:b/>
              </w:rPr>
            </w:pPr>
          </w:p>
        </w:tc>
        <w:tc>
          <w:tcPr>
            <w:tcW w:w="2082" w:type="dxa"/>
          </w:tcPr>
          <w:p w14:paraId="3D5CC7DF">
            <w:pPr>
              <w:ind w:left="420" w:hanging="420"/>
              <w:rPr>
                <w:b/>
              </w:rPr>
            </w:pPr>
          </w:p>
        </w:tc>
        <w:tc>
          <w:tcPr>
            <w:tcW w:w="1355" w:type="dxa"/>
          </w:tcPr>
          <w:p w14:paraId="2B6C88F5">
            <w:pPr>
              <w:ind w:left="420" w:hanging="420"/>
              <w:rPr>
                <w:b/>
              </w:rPr>
            </w:pPr>
          </w:p>
        </w:tc>
        <w:tc>
          <w:tcPr>
            <w:tcW w:w="826" w:type="dxa"/>
          </w:tcPr>
          <w:p w14:paraId="7DCEFBC3">
            <w:pPr>
              <w:ind w:left="420" w:hanging="420"/>
              <w:rPr>
                <w:b/>
              </w:rPr>
            </w:pPr>
          </w:p>
        </w:tc>
        <w:tc>
          <w:tcPr>
            <w:tcW w:w="1320" w:type="dxa"/>
          </w:tcPr>
          <w:p w14:paraId="089D631A">
            <w:pPr>
              <w:ind w:left="420" w:hanging="420"/>
              <w:rPr>
                <w:b/>
              </w:rPr>
            </w:pPr>
          </w:p>
        </w:tc>
        <w:tc>
          <w:tcPr>
            <w:tcW w:w="1023" w:type="dxa"/>
          </w:tcPr>
          <w:p w14:paraId="18EF8848">
            <w:pPr>
              <w:ind w:left="420" w:hanging="420"/>
              <w:rPr>
                <w:b/>
              </w:rPr>
            </w:pPr>
          </w:p>
        </w:tc>
        <w:tc>
          <w:tcPr>
            <w:tcW w:w="1590" w:type="dxa"/>
          </w:tcPr>
          <w:p w14:paraId="384BEF99">
            <w:pPr>
              <w:ind w:left="420" w:hanging="420"/>
              <w:rPr>
                <w:b/>
              </w:rPr>
            </w:pPr>
          </w:p>
        </w:tc>
      </w:tr>
      <w:tr w14:paraId="062CE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A677687">
            <w:pPr>
              <w:ind w:left="420" w:hanging="420"/>
              <w:rPr>
                <w:b/>
              </w:rPr>
            </w:pPr>
          </w:p>
        </w:tc>
        <w:tc>
          <w:tcPr>
            <w:tcW w:w="2082" w:type="dxa"/>
          </w:tcPr>
          <w:p w14:paraId="4E3AF2BB">
            <w:pPr>
              <w:ind w:left="420" w:hanging="420"/>
              <w:rPr>
                <w:b/>
              </w:rPr>
            </w:pPr>
          </w:p>
        </w:tc>
        <w:tc>
          <w:tcPr>
            <w:tcW w:w="1355" w:type="dxa"/>
          </w:tcPr>
          <w:p w14:paraId="467EDA08">
            <w:pPr>
              <w:ind w:left="420" w:hanging="420"/>
              <w:rPr>
                <w:b/>
              </w:rPr>
            </w:pPr>
          </w:p>
        </w:tc>
        <w:tc>
          <w:tcPr>
            <w:tcW w:w="826" w:type="dxa"/>
          </w:tcPr>
          <w:p w14:paraId="0B7F468B">
            <w:pPr>
              <w:ind w:left="420" w:hanging="420"/>
              <w:rPr>
                <w:b/>
              </w:rPr>
            </w:pPr>
          </w:p>
        </w:tc>
        <w:tc>
          <w:tcPr>
            <w:tcW w:w="1320" w:type="dxa"/>
          </w:tcPr>
          <w:p w14:paraId="2CC1E99C">
            <w:pPr>
              <w:ind w:left="420" w:hanging="420"/>
              <w:rPr>
                <w:b/>
              </w:rPr>
            </w:pPr>
          </w:p>
        </w:tc>
        <w:tc>
          <w:tcPr>
            <w:tcW w:w="1023" w:type="dxa"/>
          </w:tcPr>
          <w:p w14:paraId="262BD878">
            <w:pPr>
              <w:ind w:left="420" w:hanging="420"/>
              <w:rPr>
                <w:b/>
              </w:rPr>
            </w:pPr>
          </w:p>
        </w:tc>
        <w:tc>
          <w:tcPr>
            <w:tcW w:w="1590" w:type="dxa"/>
          </w:tcPr>
          <w:p w14:paraId="7B1C426A">
            <w:pPr>
              <w:ind w:left="420" w:hanging="420"/>
              <w:rPr>
                <w:b/>
              </w:rPr>
            </w:pPr>
          </w:p>
        </w:tc>
      </w:tr>
    </w:tbl>
    <w:p w14:paraId="029A7E2D">
      <w:pPr>
        <w:spacing w:line="240" w:lineRule="atLeast"/>
        <w:rPr>
          <w:sz w:val="24"/>
        </w:rPr>
      </w:pPr>
      <w:r>
        <w:rPr>
          <w:rFonts w:hint="eastAsia"/>
          <w:sz w:val="24"/>
        </w:rPr>
        <w:t>注：</w:t>
      </w:r>
      <w:r>
        <w:rPr>
          <w:rFonts w:hint="eastAsia" w:cs="宋体"/>
          <w:kern w:val="0"/>
          <w:sz w:val="24"/>
        </w:rPr>
        <w:t>提供近三年同类产品的销售业绩（用户名单、联系方式）</w:t>
      </w:r>
      <w:r>
        <w:rPr>
          <w:rFonts w:hint="eastAsia"/>
          <w:sz w:val="24"/>
        </w:rPr>
        <w:t>，并附合同复印件。</w:t>
      </w:r>
    </w:p>
    <w:p w14:paraId="7BE748D4">
      <w:pPr>
        <w:tabs>
          <w:tab w:val="left" w:pos="1578"/>
          <w:tab w:val="left" w:pos="10083"/>
        </w:tabs>
        <w:spacing w:line="500" w:lineRule="exact"/>
        <w:rPr>
          <w:sz w:val="24"/>
        </w:rPr>
      </w:pPr>
    </w:p>
    <w:p w14:paraId="72E1EDF7">
      <w:pPr>
        <w:spacing w:line="660" w:lineRule="exact"/>
        <w:rPr>
          <w:sz w:val="24"/>
        </w:rPr>
      </w:pPr>
      <w:r>
        <w:rPr>
          <w:rFonts w:hint="eastAsia"/>
          <w:sz w:val="24"/>
        </w:rPr>
        <w:t>投标人：（盖章）</w:t>
      </w:r>
    </w:p>
    <w:p w14:paraId="607324B9">
      <w:pPr>
        <w:spacing w:line="660" w:lineRule="exact"/>
        <w:rPr>
          <w:sz w:val="24"/>
        </w:rPr>
      </w:pPr>
      <w:r>
        <w:rPr>
          <w:rFonts w:hint="eastAsia"/>
          <w:sz w:val="24"/>
        </w:rPr>
        <w:t>法定代表人（委托代理人）：（签字）</w:t>
      </w:r>
    </w:p>
    <w:p w14:paraId="3C54C11F">
      <w:pPr>
        <w:spacing w:line="660" w:lineRule="exact"/>
        <w:rPr>
          <w:sz w:val="24"/>
        </w:rPr>
      </w:pPr>
      <w:r>
        <w:rPr>
          <w:rFonts w:hint="eastAsia"/>
          <w:sz w:val="24"/>
        </w:rPr>
        <w:t>日</w:t>
      </w:r>
      <w:r>
        <w:rPr>
          <w:sz w:val="24"/>
        </w:rPr>
        <w:t xml:space="preserve">  </w:t>
      </w:r>
      <w:r>
        <w:rPr>
          <w:rFonts w:hint="eastAsia"/>
          <w:sz w:val="24"/>
        </w:rPr>
        <w:t>期：</w:t>
      </w:r>
      <w:r>
        <w:rPr>
          <w:sz w:val="24"/>
          <w:u w:val="single"/>
        </w:rPr>
        <w:t xml:space="preserve">       </w:t>
      </w:r>
      <w:r>
        <w:rPr>
          <w:rFonts w:hint="eastAsia"/>
          <w:sz w:val="24"/>
        </w:rPr>
        <w:t>年</w:t>
      </w:r>
      <w:r>
        <w:rPr>
          <w:sz w:val="24"/>
          <w:u w:val="single"/>
        </w:rPr>
        <w:t xml:space="preserve">    </w:t>
      </w:r>
      <w:r>
        <w:rPr>
          <w:rFonts w:hint="eastAsia"/>
          <w:sz w:val="24"/>
        </w:rPr>
        <w:t>月</w:t>
      </w:r>
      <w:r>
        <w:rPr>
          <w:sz w:val="24"/>
          <w:u w:val="single"/>
        </w:rPr>
        <w:t xml:space="preserve">    </w:t>
      </w:r>
      <w:r>
        <w:rPr>
          <w:rFonts w:hint="eastAsia"/>
          <w:sz w:val="24"/>
        </w:rPr>
        <w:t>日</w:t>
      </w:r>
    </w:p>
    <w:p w14:paraId="1A819C07">
      <w:pPr>
        <w:rPr>
          <w:rFonts w:cs="宋体"/>
          <w:b/>
          <w:bCs/>
          <w:sz w:val="28"/>
        </w:rPr>
      </w:pPr>
    </w:p>
    <w:p w14:paraId="794B833E">
      <w:pPr>
        <w:pStyle w:val="4"/>
        <w:rPr>
          <w:rFonts w:ascii="Times New Roman" w:hAnsi="Times New Roman"/>
        </w:rPr>
      </w:pPr>
    </w:p>
    <w:p w14:paraId="60F6E565">
      <w:pPr>
        <w:pStyle w:val="10"/>
        <w:numPr>
          <w:ilvl w:val="0"/>
          <w:numId w:val="0"/>
        </w:numPr>
        <w:rPr>
          <w:rFonts w:ascii="Times New Roman" w:hAnsi="Times New Roman" w:eastAsia="宋体" w:cs="宋体"/>
          <w:sz w:val="32"/>
          <w:szCs w:val="32"/>
        </w:rPr>
      </w:pPr>
      <w:r>
        <w:rPr>
          <w:rFonts w:ascii="Times New Roman" w:hAnsi="Times New Roman" w:eastAsia="宋体" w:cs="宋体"/>
          <w:sz w:val="32"/>
          <w:szCs w:val="32"/>
        </w:rPr>
        <w:t>附件4 技术规格偏离表</w:t>
      </w:r>
    </w:p>
    <w:p w14:paraId="7ACB47E7">
      <w:pPr>
        <w:spacing w:line="360" w:lineRule="auto"/>
        <w:ind w:firstLine="480" w:firstLineChars="200"/>
        <w:rPr>
          <w:sz w:val="24"/>
          <w:szCs w:val="24"/>
        </w:rPr>
      </w:pPr>
      <w:r>
        <w:rPr>
          <w:sz w:val="24"/>
          <w:szCs w:val="24"/>
        </w:rPr>
        <w:t>项目名称：</w:t>
      </w:r>
      <w:r>
        <w:rPr>
          <w:rFonts w:hint="eastAsia"/>
          <w:b/>
          <w:bCs/>
          <w:sz w:val="24"/>
          <w:szCs w:val="24"/>
          <w:u w:val="single"/>
        </w:rPr>
        <w:t>第五代电子电气架构开发项目</w:t>
      </w:r>
      <w:r>
        <w:rPr>
          <w:sz w:val="24"/>
          <w:szCs w:val="24"/>
        </w:rPr>
        <w:t xml:space="preserve">   </w:t>
      </w:r>
      <w:r>
        <w:rPr>
          <w:rFonts w:hint="eastAsia"/>
          <w:sz w:val="24"/>
          <w:szCs w:val="24"/>
        </w:rPr>
        <w:t>（指标项是上述时间及工作项内容）</w:t>
      </w:r>
      <w:r>
        <w:rPr>
          <w:sz w:val="24"/>
          <w:szCs w:val="24"/>
        </w:rPr>
        <w:t xml:space="preserve">    </w:t>
      </w:r>
    </w:p>
    <w:tbl>
      <w:tblPr>
        <w:tblStyle w:val="7"/>
        <w:tblW w:w="927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2"/>
        <w:gridCol w:w="2150"/>
        <w:gridCol w:w="4200"/>
        <w:gridCol w:w="1250"/>
        <w:gridCol w:w="1117"/>
      </w:tblGrid>
      <w:tr w14:paraId="4E89A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 w:hRule="atLeast"/>
          <w:jc w:val="center"/>
        </w:trPr>
        <w:tc>
          <w:tcPr>
            <w:tcW w:w="562" w:type="dxa"/>
            <w:vMerge w:val="restart"/>
            <w:vAlign w:val="center"/>
          </w:tcPr>
          <w:p w14:paraId="63925E8E">
            <w:pPr>
              <w:jc w:val="center"/>
              <w:rPr>
                <w:b/>
              </w:rPr>
            </w:pPr>
            <w:r>
              <w:rPr>
                <w:rFonts w:hint="eastAsia" w:cs="宋体"/>
                <w:b/>
              </w:rPr>
              <w:t>序号</w:t>
            </w:r>
          </w:p>
        </w:tc>
        <w:tc>
          <w:tcPr>
            <w:tcW w:w="6350" w:type="dxa"/>
            <w:gridSpan w:val="2"/>
            <w:vAlign w:val="center"/>
          </w:tcPr>
          <w:p w14:paraId="01424E53">
            <w:pPr>
              <w:jc w:val="center"/>
              <w:rPr>
                <w:rFonts w:cs="宋体"/>
                <w:b/>
              </w:rPr>
            </w:pPr>
            <w:r>
              <w:rPr>
                <w:rFonts w:hint="eastAsia" w:cs="宋体"/>
                <w:b/>
              </w:rPr>
              <w:t>招标要求</w:t>
            </w:r>
          </w:p>
        </w:tc>
        <w:tc>
          <w:tcPr>
            <w:tcW w:w="1250" w:type="dxa"/>
            <w:vMerge w:val="restart"/>
            <w:vAlign w:val="center"/>
          </w:tcPr>
          <w:p w14:paraId="67C3665F">
            <w:pPr>
              <w:jc w:val="center"/>
              <w:rPr>
                <w:b/>
              </w:rPr>
            </w:pPr>
            <w:r>
              <w:rPr>
                <w:rFonts w:hint="eastAsia" w:cs="宋体"/>
                <w:b/>
              </w:rPr>
              <w:t>响应规格</w:t>
            </w:r>
          </w:p>
        </w:tc>
        <w:tc>
          <w:tcPr>
            <w:tcW w:w="1117" w:type="dxa"/>
            <w:vMerge w:val="restart"/>
            <w:vAlign w:val="center"/>
          </w:tcPr>
          <w:p w14:paraId="4E3B2866">
            <w:pPr>
              <w:jc w:val="center"/>
              <w:rPr>
                <w:b/>
              </w:rPr>
            </w:pPr>
            <w:r>
              <w:rPr>
                <w:rFonts w:hint="eastAsia" w:cs="宋体"/>
                <w:b/>
              </w:rPr>
              <w:t>是否偏离</w:t>
            </w:r>
          </w:p>
        </w:tc>
      </w:tr>
      <w:tr w14:paraId="00B74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562" w:type="dxa"/>
            <w:vMerge w:val="continue"/>
            <w:vAlign w:val="center"/>
          </w:tcPr>
          <w:p w14:paraId="11D2ABDA">
            <w:pPr>
              <w:jc w:val="center"/>
              <w:rPr>
                <w:rFonts w:cs="宋体"/>
                <w:b/>
              </w:rPr>
            </w:pPr>
          </w:p>
        </w:tc>
        <w:tc>
          <w:tcPr>
            <w:tcW w:w="2150" w:type="dxa"/>
            <w:vAlign w:val="center"/>
          </w:tcPr>
          <w:p w14:paraId="5A177594">
            <w:pPr>
              <w:jc w:val="center"/>
              <w:rPr>
                <w:rFonts w:cs="宋体"/>
                <w:b/>
              </w:rPr>
            </w:pPr>
            <w:r>
              <w:rPr>
                <w:rFonts w:hint="eastAsia" w:cs="宋体"/>
                <w:b/>
              </w:rPr>
              <w:t>指标项</w:t>
            </w:r>
          </w:p>
        </w:tc>
        <w:tc>
          <w:tcPr>
            <w:tcW w:w="4200" w:type="dxa"/>
            <w:vAlign w:val="center"/>
          </w:tcPr>
          <w:p w14:paraId="51068F1F">
            <w:pPr>
              <w:jc w:val="center"/>
              <w:rPr>
                <w:rFonts w:cs="宋体"/>
                <w:b/>
              </w:rPr>
            </w:pPr>
            <w:r>
              <w:rPr>
                <w:rFonts w:hint="eastAsia" w:cs="宋体"/>
                <w:b/>
              </w:rPr>
              <w:t>指标要求</w:t>
            </w:r>
          </w:p>
        </w:tc>
        <w:tc>
          <w:tcPr>
            <w:tcW w:w="1250" w:type="dxa"/>
            <w:vMerge w:val="continue"/>
            <w:vAlign w:val="center"/>
          </w:tcPr>
          <w:p w14:paraId="03AD88BC">
            <w:pPr>
              <w:jc w:val="center"/>
              <w:rPr>
                <w:rFonts w:cs="宋体"/>
                <w:b/>
              </w:rPr>
            </w:pPr>
          </w:p>
        </w:tc>
        <w:tc>
          <w:tcPr>
            <w:tcW w:w="1117" w:type="dxa"/>
            <w:vMerge w:val="continue"/>
            <w:vAlign w:val="center"/>
          </w:tcPr>
          <w:p w14:paraId="33633A10">
            <w:pPr>
              <w:jc w:val="center"/>
              <w:rPr>
                <w:rFonts w:cs="宋体"/>
                <w:b/>
              </w:rPr>
            </w:pPr>
          </w:p>
        </w:tc>
      </w:tr>
      <w:tr w14:paraId="166BD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2" w:type="dxa"/>
            <w:vAlign w:val="center"/>
          </w:tcPr>
          <w:p w14:paraId="11296359">
            <w:pPr>
              <w:widowControl/>
              <w:numPr>
                <w:ilvl w:val="0"/>
                <w:numId w:val="23"/>
              </w:numPr>
              <w:jc w:val="center"/>
              <w:textAlignment w:val="center"/>
              <w:rPr>
                <w:sz w:val="18"/>
                <w:szCs w:val="18"/>
              </w:rPr>
            </w:pPr>
          </w:p>
        </w:tc>
        <w:tc>
          <w:tcPr>
            <w:tcW w:w="2150" w:type="dxa"/>
            <w:vAlign w:val="center"/>
          </w:tcPr>
          <w:p w14:paraId="7BD4FD5C">
            <w:pPr>
              <w:widowControl/>
              <w:jc w:val="center"/>
              <w:textAlignment w:val="center"/>
              <w:rPr>
                <w:kern w:val="0"/>
                <w:sz w:val="18"/>
                <w:szCs w:val="18"/>
                <w:highlight w:val="yellow"/>
                <w:lang w:bidi="ar"/>
              </w:rPr>
            </w:pPr>
          </w:p>
        </w:tc>
        <w:tc>
          <w:tcPr>
            <w:tcW w:w="4200" w:type="dxa"/>
            <w:vAlign w:val="center"/>
          </w:tcPr>
          <w:p w14:paraId="3508A853">
            <w:pPr>
              <w:widowControl/>
              <w:jc w:val="left"/>
              <w:textAlignment w:val="center"/>
              <w:rPr>
                <w:kern w:val="0"/>
                <w:sz w:val="18"/>
                <w:szCs w:val="18"/>
                <w:highlight w:val="yellow"/>
                <w:lang w:bidi="ar"/>
              </w:rPr>
            </w:pPr>
          </w:p>
        </w:tc>
        <w:tc>
          <w:tcPr>
            <w:tcW w:w="1250" w:type="dxa"/>
          </w:tcPr>
          <w:p w14:paraId="282E379E">
            <w:pPr>
              <w:jc w:val="center"/>
              <w:rPr>
                <w:b/>
                <w:sz w:val="24"/>
              </w:rPr>
            </w:pPr>
          </w:p>
        </w:tc>
        <w:tc>
          <w:tcPr>
            <w:tcW w:w="1117" w:type="dxa"/>
          </w:tcPr>
          <w:p w14:paraId="10187C79">
            <w:pPr>
              <w:jc w:val="center"/>
              <w:rPr>
                <w:b/>
                <w:sz w:val="24"/>
              </w:rPr>
            </w:pPr>
          </w:p>
        </w:tc>
      </w:tr>
      <w:tr w14:paraId="0F5F2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2" w:type="dxa"/>
            <w:vAlign w:val="center"/>
          </w:tcPr>
          <w:p w14:paraId="428EFE30">
            <w:pPr>
              <w:widowControl/>
              <w:numPr>
                <w:ilvl w:val="0"/>
                <w:numId w:val="23"/>
              </w:numPr>
              <w:jc w:val="center"/>
              <w:textAlignment w:val="center"/>
              <w:rPr>
                <w:sz w:val="18"/>
                <w:szCs w:val="18"/>
              </w:rPr>
            </w:pPr>
          </w:p>
        </w:tc>
        <w:tc>
          <w:tcPr>
            <w:tcW w:w="2150" w:type="dxa"/>
            <w:vAlign w:val="center"/>
          </w:tcPr>
          <w:p w14:paraId="02BA4F2F">
            <w:pPr>
              <w:widowControl/>
              <w:jc w:val="center"/>
              <w:textAlignment w:val="center"/>
              <w:rPr>
                <w:kern w:val="0"/>
                <w:sz w:val="18"/>
                <w:szCs w:val="18"/>
                <w:highlight w:val="yellow"/>
                <w:lang w:bidi="ar"/>
              </w:rPr>
            </w:pPr>
          </w:p>
        </w:tc>
        <w:tc>
          <w:tcPr>
            <w:tcW w:w="4200" w:type="dxa"/>
            <w:vAlign w:val="center"/>
          </w:tcPr>
          <w:p w14:paraId="407C6616">
            <w:pPr>
              <w:widowControl/>
              <w:jc w:val="left"/>
              <w:textAlignment w:val="center"/>
              <w:rPr>
                <w:kern w:val="0"/>
                <w:sz w:val="18"/>
                <w:szCs w:val="18"/>
                <w:highlight w:val="yellow"/>
                <w:lang w:bidi="ar"/>
              </w:rPr>
            </w:pPr>
          </w:p>
        </w:tc>
        <w:tc>
          <w:tcPr>
            <w:tcW w:w="1250" w:type="dxa"/>
          </w:tcPr>
          <w:p w14:paraId="7F6533AE">
            <w:pPr>
              <w:jc w:val="center"/>
              <w:rPr>
                <w:b/>
                <w:sz w:val="24"/>
              </w:rPr>
            </w:pPr>
          </w:p>
        </w:tc>
        <w:tc>
          <w:tcPr>
            <w:tcW w:w="1117" w:type="dxa"/>
          </w:tcPr>
          <w:p w14:paraId="687C9B4F">
            <w:pPr>
              <w:jc w:val="center"/>
              <w:rPr>
                <w:b/>
                <w:sz w:val="24"/>
              </w:rPr>
            </w:pPr>
          </w:p>
        </w:tc>
      </w:tr>
      <w:tr w14:paraId="0EA06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jc w:val="center"/>
        </w:trPr>
        <w:tc>
          <w:tcPr>
            <w:tcW w:w="562" w:type="dxa"/>
            <w:vAlign w:val="center"/>
          </w:tcPr>
          <w:p w14:paraId="500FE2A9">
            <w:pPr>
              <w:widowControl/>
              <w:numPr>
                <w:ilvl w:val="0"/>
                <w:numId w:val="23"/>
              </w:numPr>
              <w:jc w:val="center"/>
              <w:textAlignment w:val="center"/>
              <w:rPr>
                <w:sz w:val="18"/>
                <w:szCs w:val="18"/>
              </w:rPr>
            </w:pPr>
          </w:p>
        </w:tc>
        <w:tc>
          <w:tcPr>
            <w:tcW w:w="2150" w:type="dxa"/>
            <w:vAlign w:val="center"/>
          </w:tcPr>
          <w:p w14:paraId="0C773BFF">
            <w:pPr>
              <w:widowControl/>
              <w:jc w:val="center"/>
              <w:textAlignment w:val="center"/>
              <w:rPr>
                <w:kern w:val="0"/>
                <w:sz w:val="18"/>
                <w:szCs w:val="18"/>
                <w:highlight w:val="yellow"/>
                <w:lang w:bidi="ar"/>
              </w:rPr>
            </w:pPr>
          </w:p>
        </w:tc>
        <w:tc>
          <w:tcPr>
            <w:tcW w:w="4200" w:type="dxa"/>
            <w:vAlign w:val="center"/>
          </w:tcPr>
          <w:p w14:paraId="55456DDE">
            <w:pPr>
              <w:widowControl/>
              <w:jc w:val="left"/>
              <w:textAlignment w:val="center"/>
              <w:rPr>
                <w:kern w:val="0"/>
                <w:sz w:val="18"/>
                <w:szCs w:val="18"/>
                <w:highlight w:val="yellow"/>
                <w:lang w:bidi="ar"/>
              </w:rPr>
            </w:pPr>
          </w:p>
        </w:tc>
        <w:tc>
          <w:tcPr>
            <w:tcW w:w="1250" w:type="dxa"/>
          </w:tcPr>
          <w:p w14:paraId="6394BB62">
            <w:pPr>
              <w:jc w:val="center"/>
              <w:rPr>
                <w:b/>
                <w:sz w:val="24"/>
              </w:rPr>
            </w:pPr>
          </w:p>
        </w:tc>
        <w:tc>
          <w:tcPr>
            <w:tcW w:w="1117" w:type="dxa"/>
          </w:tcPr>
          <w:p w14:paraId="5BE5815B">
            <w:pPr>
              <w:jc w:val="center"/>
              <w:rPr>
                <w:b/>
                <w:sz w:val="24"/>
              </w:rPr>
            </w:pPr>
          </w:p>
        </w:tc>
      </w:tr>
      <w:tr w14:paraId="6B74D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jc w:val="center"/>
        </w:trPr>
        <w:tc>
          <w:tcPr>
            <w:tcW w:w="562" w:type="dxa"/>
            <w:vAlign w:val="center"/>
          </w:tcPr>
          <w:p w14:paraId="3AF5C396">
            <w:pPr>
              <w:widowControl/>
              <w:numPr>
                <w:ilvl w:val="0"/>
                <w:numId w:val="23"/>
              </w:numPr>
              <w:jc w:val="center"/>
              <w:textAlignment w:val="center"/>
              <w:rPr>
                <w:sz w:val="18"/>
                <w:szCs w:val="18"/>
              </w:rPr>
            </w:pPr>
          </w:p>
        </w:tc>
        <w:tc>
          <w:tcPr>
            <w:tcW w:w="2150" w:type="dxa"/>
            <w:vAlign w:val="center"/>
          </w:tcPr>
          <w:p w14:paraId="015D25F1">
            <w:pPr>
              <w:widowControl/>
              <w:jc w:val="center"/>
              <w:textAlignment w:val="center"/>
              <w:rPr>
                <w:kern w:val="0"/>
                <w:sz w:val="18"/>
                <w:szCs w:val="18"/>
                <w:highlight w:val="yellow"/>
                <w:lang w:bidi="ar"/>
              </w:rPr>
            </w:pPr>
          </w:p>
        </w:tc>
        <w:tc>
          <w:tcPr>
            <w:tcW w:w="4200" w:type="dxa"/>
            <w:vAlign w:val="center"/>
          </w:tcPr>
          <w:p w14:paraId="6D8536DC">
            <w:pPr>
              <w:widowControl/>
              <w:jc w:val="left"/>
              <w:textAlignment w:val="center"/>
              <w:rPr>
                <w:kern w:val="0"/>
                <w:sz w:val="18"/>
                <w:szCs w:val="18"/>
                <w:highlight w:val="yellow"/>
                <w:lang w:bidi="ar"/>
              </w:rPr>
            </w:pPr>
          </w:p>
        </w:tc>
        <w:tc>
          <w:tcPr>
            <w:tcW w:w="1250" w:type="dxa"/>
          </w:tcPr>
          <w:p w14:paraId="2A968B7D">
            <w:pPr>
              <w:jc w:val="center"/>
              <w:rPr>
                <w:b/>
                <w:sz w:val="24"/>
              </w:rPr>
            </w:pPr>
          </w:p>
        </w:tc>
        <w:tc>
          <w:tcPr>
            <w:tcW w:w="1117" w:type="dxa"/>
          </w:tcPr>
          <w:p w14:paraId="6C71F946">
            <w:pPr>
              <w:jc w:val="center"/>
              <w:rPr>
                <w:b/>
                <w:sz w:val="24"/>
              </w:rPr>
            </w:pPr>
          </w:p>
        </w:tc>
      </w:tr>
      <w:tr w14:paraId="603A1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2" w:type="dxa"/>
            <w:vAlign w:val="center"/>
          </w:tcPr>
          <w:p w14:paraId="7D14CAA2">
            <w:pPr>
              <w:widowControl/>
              <w:numPr>
                <w:ilvl w:val="0"/>
                <w:numId w:val="23"/>
              </w:numPr>
              <w:jc w:val="center"/>
              <w:textAlignment w:val="center"/>
              <w:rPr>
                <w:sz w:val="18"/>
                <w:szCs w:val="18"/>
              </w:rPr>
            </w:pPr>
          </w:p>
        </w:tc>
        <w:tc>
          <w:tcPr>
            <w:tcW w:w="2150" w:type="dxa"/>
            <w:vAlign w:val="center"/>
          </w:tcPr>
          <w:p w14:paraId="21AE97AC">
            <w:pPr>
              <w:widowControl/>
              <w:jc w:val="center"/>
              <w:textAlignment w:val="center"/>
              <w:rPr>
                <w:kern w:val="0"/>
                <w:sz w:val="18"/>
                <w:szCs w:val="18"/>
                <w:highlight w:val="yellow"/>
                <w:lang w:bidi="ar"/>
              </w:rPr>
            </w:pPr>
          </w:p>
        </w:tc>
        <w:tc>
          <w:tcPr>
            <w:tcW w:w="4200" w:type="dxa"/>
            <w:vAlign w:val="center"/>
          </w:tcPr>
          <w:p w14:paraId="41FD6DD6">
            <w:pPr>
              <w:widowControl/>
              <w:jc w:val="left"/>
              <w:textAlignment w:val="center"/>
              <w:rPr>
                <w:kern w:val="0"/>
                <w:sz w:val="18"/>
                <w:szCs w:val="18"/>
                <w:highlight w:val="yellow"/>
                <w:lang w:bidi="ar"/>
              </w:rPr>
            </w:pPr>
          </w:p>
        </w:tc>
        <w:tc>
          <w:tcPr>
            <w:tcW w:w="1250" w:type="dxa"/>
          </w:tcPr>
          <w:p w14:paraId="326B881B">
            <w:pPr>
              <w:jc w:val="center"/>
              <w:rPr>
                <w:b/>
                <w:sz w:val="24"/>
              </w:rPr>
            </w:pPr>
          </w:p>
        </w:tc>
        <w:tc>
          <w:tcPr>
            <w:tcW w:w="1117" w:type="dxa"/>
          </w:tcPr>
          <w:p w14:paraId="625133B8">
            <w:pPr>
              <w:jc w:val="center"/>
              <w:rPr>
                <w:b/>
                <w:sz w:val="24"/>
              </w:rPr>
            </w:pPr>
          </w:p>
        </w:tc>
      </w:tr>
      <w:tr w14:paraId="77620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2" w:type="dxa"/>
            <w:vAlign w:val="center"/>
          </w:tcPr>
          <w:p w14:paraId="2FACF40B">
            <w:pPr>
              <w:widowControl/>
              <w:numPr>
                <w:ilvl w:val="0"/>
                <w:numId w:val="23"/>
              </w:numPr>
              <w:jc w:val="center"/>
              <w:textAlignment w:val="center"/>
              <w:rPr>
                <w:sz w:val="18"/>
                <w:szCs w:val="18"/>
              </w:rPr>
            </w:pPr>
          </w:p>
        </w:tc>
        <w:tc>
          <w:tcPr>
            <w:tcW w:w="2150" w:type="dxa"/>
            <w:vAlign w:val="center"/>
          </w:tcPr>
          <w:p w14:paraId="191B09B0">
            <w:pPr>
              <w:widowControl/>
              <w:jc w:val="center"/>
              <w:textAlignment w:val="center"/>
              <w:rPr>
                <w:kern w:val="0"/>
                <w:sz w:val="18"/>
                <w:szCs w:val="18"/>
                <w:highlight w:val="yellow"/>
                <w:lang w:bidi="ar"/>
              </w:rPr>
            </w:pPr>
          </w:p>
        </w:tc>
        <w:tc>
          <w:tcPr>
            <w:tcW w:w="4200" w:type="dxa"/>
            <w:vAlign w:val="center"/>
          </w:tcPr>
          <w:p w14:paraId="3D4F678D">
            <w:pPr>
              <w:widowControl/>
              <w:jc w:val="left"/>
              <w:textAlignment w:val="center"/>
              <w:rPr>
                <w:kern w:val="0"/>
                <w:sz w:val="18"/>
                <w:szCs w:val="18"/>
                <w:highlight w:val="yellow"/>
                <w:lang w:bidi="ar"/>
              </w:rPr>
            </w:pPr>
          </w:p>
        </w:tc>
        <w:tc>
          <w:tcPr>
            <w:tcW w:w="1250" w:type="dxa"/>
          </w:tcPr>
          <w:p w14:paraId="2A44520F">
            <w:pPr>
              <w:jc w:val="center"/>
              <w:rPr>
                <w:b/>
                <w:sz w:val="24"/>
              </w:rPr>
            </w:pPr>
          </w:p>
        </w:tc>
        <w:tc>
          <w:tcPr>
            <w:tcW w:w="1117" w:type="dxa"/>
          </w:tcPr>
          <w:p w14:paraId="1A0CC804">
            <w:pPr>
              <w:jc w:val="center"/>
              <w:rPr>
                <w:b/>
                <w:sz w:val="24"/>
              </w:rPr>
            </w:pPr>
          </w:p>
        </w:tc>
      </w:tr>
      <w:tr w14:paraId="42799F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2" w:type="dxa"/>
            <w:vAlign w:val="center"/>
          </w:tcPr>
          <w:p w14:paraId="07D813C7">
            <w:pPr>
              <w:widowControl/>
              <w:numPr>
                <w:ilvl w:val="0"/>
                <w:numId w:val="23"/>
              </w:numPr>
              <w:jc w:val="center"/>
              <w:textAlignment w:val="center"/>
              <w:rPr>
                <w:sz w:val="18"/>
                <w:szCs w:val="18"/>
              </w:rPr>
            </w:pPr>
          </w:p>
        </w:tc>
        <w:tc>
          <w:tcPr>
            <w:tcW w:w="2150" w:type="dxa"/>
            <w:vAlign w:val="center"/>
          </w:tcPr>
          <w:p w14:paraId="077B7251">
            <w:pPr>
              <w:widowControl/>
              <w:jc w:val="center"/>
              <w:textAlignment w:val="center"/>
              <w:rPr>
                <w:kern w:val="0"/>
                <w:sz w:val="18"/>
                <w:szCs w:val="18"/>
                <w:highlight w:val="yellow"/>
                <w:lang w:bidi="ar"/>
              </w:rPr>
            </w:pPr>
          </w:p>
        </w:tc>
        <w:tc>
          <w:tcPr>
            <w:tcW w:w="4200" w:type="dxa"/>
            <w:vAlign w:val="center"/>
          </w:tcPr>
          <w:p w14:paraId="25DD49AC">
            <w:pPr>
              <w:widowControl/>
              <w:jc w:val="left"/>
              <w:textAlignment w:val="center"/>
              <w:rPr>
                <w:kern w:val="0"/>
                <w:sz w:val="18"/>
                <w:szCs w:val="18"/>
                <w:highlight w:val="yellow"/>
                <w:lang w:bidi="ar"/>
              </w:rPr>
            </w:pPr>
          </w:p>
        </w:tc>
        <w:tc>
          <w:tcPr>
            <w:tcW w:w="1250" w:type="dxa"/>
          </w:tcPr>
          <w:p w14:paraId="35600076">
            <w:pPr>
              <w:jc w:val="center"/>
              <w:rPr>
                <w:b/>
                <w:sz w:val="24"/>
              </w:rPr>
            </w:pPr>
          </w:p>
        </w:tc>
        <w:tc>
          <w:tcPr>
            <w:tcW w:w="1117" w:type="dxa"/>
          </w:tcPr>
          <w:p w14:paraId="3EFE7274">
            <w:pPr>
              <w:jc w:val="center"/>
              <w:rPr>
                <w:b/>
                <w:sz w:val="24"/>
              </w:rPr>
            </w:pPr>
          </w:p>
        </w:tc>
      </w:tr>
      <w:tr w14:paraId="5351A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2" w:type="dxa"/>
            <w:vAlign w:val="center"/>
          </w:tcPr>
          <w:p w14:paraId="4EF5AA76">
            <w:pPr>
              <w:widowControl/>
              <w:numPr>
                <w:ilvl w:val="0"/>
                <w:numId w:val="23"/>
              </w:numPr>
              <w:jc w:val="center"/>
              <w:textAlignment w:val="center"/>
              <w:rPr>
                <w:sz w:val="18"/>
                <w:szCs w:val="18"/>
              </w:rPr>
            </w:pPr>
          </w:p>
        </w:tc>
        <w:tc>
          <w:tcPr>
            <w:tcW w:w="2150" w:type="dxa"/>
            <w:vAlign w:val="center"/>
          </w:tcPr>
          <w:p w14:paraId="419942EA">
            <w:pPr>
              <w:widowControl/>
              <w:jc w:val="center"/>
              <w:textAlignment w:val="center"/>
              <w:rPr>
                <w:kern w:val="0"/>
                <w:sz w:val="18"/>
                <w:szCs w:val="18"/>
                <w:highlight w:val="yellow"/>
                <w:lang w:bidi="ar"/>
              </w:rPr>
            </w:pPr>
          </w:p>
        </w:tc>
        <w:tc>
          <w:tcPr>
            <w:tcW w:w="4200" w:type="dxa"/>
            <w:vAlign w:val="center"/>
          </w:tcPr>
          <w:p w14:paraId="2FA8E0E1">
            <w:pPr>
              <w:widowControl/>
              <w:jc w:val="left"/>
              <w:textAlignment w:val="center"/>
              <w:rPr>
                <w:kern w:val="0"/>
                <w:sz w:val="18"/>
                <w:szCs w:val="18"/>
                <w:highlight w:val="yellow"/>
                <w:lang w:bidi="ar"/>
              </w:rPr>
            </w:pPr>
          </w:p>
        </w:tc>
        <w:tc>
          <w:tcPr>
            <w:tcW w:w="1250" w:type="dxa"/>
          </w:tcPr>
          <w:p w14:paraId="7CC7D15B">
            <w:pPr>
              <w:jc w:val="center"/>
              <w:rPr>
                <w:b/>
                <w:sz w:val="24"/>
              </w:rPr>
            </w:pPr>
          </w:p>
        </w:tc>
        <w:tc>
          <w:tcPr>
            <w:tcW w:w="1117" w:type="dxa"/>
          </w:tcPr>
          <w:p w14:paraId="18B7840D">
            <w:pPr>
              <w:jc w:val="center"/>
              <w:rPr>
                <w:b/>
                <w:sz w:val="24"/>
              </w:rPr>
            </w:pPr>
          </w:p>
        </w:tc>
      </w:tr>
      <w:tr w14:paraId="1B54E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2" w:type="dxa"/>
            <w:vAlign w:val="center"/>
          </w:tcPr>
          <w:p w14:paraId="7D9DDC4C">
            <w:pPr>
              <w:widowControl/>
              <w:numPr>
                <w:ilvl w:val="0"/>
                <w:numId w:val="23"/>
              </w:numPr>
              <w:jc w:val="center"/>
              <w:textAlignment w:val="center"/>
              <w:rPr>
                <w:sz w:val="18"/>
                <w:szCs w:val="18"/>
              </w:rPr>
            </w:pPr>
          </w:p>
        </w:tc>
        <w:tc>
          <w:tcPr>
            <w:tcW w:w="2150" w:type="dxa"/>
            <w:vAlign w:val="center"/>
          </w:tcPr>
          <w:p w14:paraId="2C1953DC">
            <w:pPr>
              <w:widowControl/>
              <w:jc w:val="center"/>
              <w:textAlignment w:val="center"/>
              <w:rPr>
                <w:kern w:val="0"/>
                <w:sz w:val="18"/>
                <w:szCs w:val="18"/>
                <w:highlight w:val="yellow"/>
                <w:lang w:bidi="ar"/>
              </w:rPr>
            </w:pPr>
          </w:p>
        </w:tc>
        <w:tc>
          <w:tcPr>
            <w:tcW w:w="4200" w:type="dxa"/>
            <w:vAlign w:val="center"/>
          </w:tcPr>
          <w:p w14:paraId="62B2E953">
            <w:pPr>
              <w:widowControl/>
              <w:jc w:val="left"/>
              <w:textAlignment w:val="center"/>
              <w:rPr>
                <w:kern w:val="0"/>
                <w:sz w:val="18"/>
                <w:szCs w:val="18"/>
                <w:highlight w:val="yellow"/>
                <w:lang w:bidi="ar"/>
              </w:rPr>
            </w:pPr>
          </w:p>
        </w:tc>
        <w:tc>
          <w:tcPr>
            <w:tcW w:w="1250" w:type="dxa"/>
          </w:tcPr>
          <w:p w14:paraId="04ADFD28">
            <w:pPr>
              <w:jc w:val="center"/>
              <w:rPr>
                <w:b/>
                <w:sz w:val="24"/>
              </w:rPr>
            </w:pPr>
          </w:p>
        </w:tc>
        <w:tc>
          <w:tcPr>
            <w:tcW w:w="1117" w:type="dxa"/>
          </w:tcPr>
          <w:p w14:paraId="21D59F81">
            <w:pPr>
              <w:jc w:val="center"/>
              <w:rPr>
                <w:b/>
                <w:sz w:val="24"/>
              </w:rPr>
            </w:pPr>
          </w:p>
        </w:tc>
      </w:tr>
      <w:tr w14:paraId="77AFD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2" w:type="dxa"/>
            <w:vAlign w:val="center"/>
          </w:tcPr>
          <w:p w14:paraId="22FA8CE3">
            <w:pPr>
              <w:widowControl/>
              <w:numPr>
                <w:ilvl w:val="0"/>
                <w:numId w:val="23"/>
              </w:numPr>
              <w:jc w:val="center"/>
              <w:textAlignment w:val="center"/>
              <w:rPr>
                <w:sz w:val="18"/>
                <w:szCs w:val="18"/>
              </w:rPr>
            </w:pPr>
          </w:p>
        </w:tc>
        <w:tc>
          <w:tcPr>
            <w:tcW w:w="2150" w:type="dxa"/>
            <w:vAlign w:val="center"/>
          </w:tcPr>
          <w:p w14:paraId="00FB9ECF">
            <w:pPr>
              <w:widowControl/>
              <w:jc w:val="center"/>
              <w:textAlignment w:val="center"/>
              <w:rPr>
                <w:kern w:val="0"/>
                <w:sz w:val="18"/>
                <w:szCs w:val="18"/>
                <w:highlight w:val="yellow"/>
                <w:lang w:bidi="ar"/>
              </w:rPr>
            </w:pPr>
          </w:p>
        </w:tc>
        <w:tc>
          <w:tcPr>
            <w:tcW w:w="4200" w:type="dxa"/>
            <w:vAlign w:val="center"/>
          </w:tcPr>
          <w:p w14:paraId="50082378">
            <w:pPr>
              <w:widowControl/>
              <w:jc w:val="left"/>
              <w:textAlignment w:val="center"/>
              <w:rPr>
                <w:kern w:val="0"/>
                <w:sz w:val="18"/>
                <w:szCs w:val="18"/>
                <w:highlight w:val="yellow"/>
                <w:lang w:bidi="ar"/>
              </w:rPr>
            </w:pPr>
          </w:p>
        </w:tc>
        <w:tc>
          <w:tcPr>
            <w:tcW w:w="1250" w:type="dxa"/>
          </w:tcPr>
          <w:p w14:paraId="63459C3E">
            <w:pPr>
              <w:jc w:val="center"/>
              <w:rPr>
                <w:b/>
                <w:sz w:val="24"/>
              </w:rPr>
            </w:pPr>
          </w:p>
        </w:tc>
        <w:tc>
          <w:tcPr>
            <w:tcW w:w="1117" w:type="dxa"/>
          </w:tcPr>
          <w:p w14:paraId="0087E02D">
            <w:pPr>
              <w:jc w:val="center"/>
              <w:rPr>
                <w:b/>
                <w:sz w:val="24"/>
              </w:rPr>
            </w:pPr>
          </w:p>
        </w:tc>
      </w:tr>
      <w:tr w14:paraId="3C8E0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2" w:type="dxa"/>
            <w:vAlign w:val="center"/>
          </w:tcPr>
          <w:p w14:paraId="2FB815D3">
            <w:pPr>
              <w:widowControl/>
              <w:numPr>
                <w:ilvl w:val="0"/>
                <w:numId w:val="23"/>
              </w:numPr>
              <w:jc w:val="center"/>
              <w:textAlignment w:val="center"/>
              <w:rPr>
                <w:sz w:val="18"/>
                <w:szCs w:val="18"/>
              </w:rPr>
            </w:pPr>
          </w:p>
        </w:tc>
        <w:tc>
          <w:tcPr>
            <w:tcW w:w="2150" w:type="dxa"/>
            <w:vAlign w:val="center"/>
          </w:tcPr>
          <w:p w14:paraId="442A1BBD">
            <w:pPr>
              <w:widowControl/>
              <w:jc w:val="center"/>
              <w:textAlignment w:val="center"/>
              <w:rPr>
                <w:kern w:val="0"/>
                <w:sz w:val="18"/>
                <w:szCs w:val="18"/>
                <w:highlight w:val="yellow"/>
                <w:lang w:bidi="ar"/>
              </w:rPr>
            </w:pPr>
          </w:p>
        </w:tc>
        <w:tc>
          <w:tcPr>
            <w:tcW w:w="4200" w:type="dxa"/>
            <w:vAlign w:val="center"/>
          </w:tcPr>
          <w:p w14:paraId="1E770491">
            <w:pPr>
              <w:widowControl/>
              <w:jc w:val="left"/>
              <w:textAlignment w:val="center"/>
              <w:rPr>
                <w:kern w:val="0"/>
                <w:sz w:val="18"/>
                <w:szCs w:val="18"/>
                <w:highlight w:val="yellow"/>
                <w:lang w:bidi="ar"/>
              </w:rPr>
            </w:pPr>
          </w:p>
        </w:tc>
        <w:tc>
          <w:tcPr>
            <w:tcW w:w="1250" w:type="dxa"/>
          </w:tcPr>
          <w:p w14:paraId="56F6FF86">
            <w:pPr>
              <w:jc w:val="center"/>
              <w:rPr>
                <w:b/>
                <w:sz w:val="24"/>
              </w:rPr>
            </w:pPr>
          </w:p>
        </w:tc>
        <w:tc>
          <w:tcPr>
            <w:tcW w:w="1117" w:type="dxa"/>
          </w:tcPr>
          <w:p w14:paraId="5CB59125">
            <w:pPr>
              <w:jc w:val="center"/>
              <w:rPr>
                <w:b/>
                <w:sz w:val="24"/>
              </w:rPr>
            </w:pPr>
          </w:p>
        </w:tc>
      </w:tr>
      <w:tr w14:paraId="14EEC7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2" w:type="dxa"/>
            <w:vAlign w:val="center"/>
          </w:tcPr>
          <w:p w14:paraId="30ADEDD9">
            <w:pPr>
              <w:widowControl/>
              <w:numPr>
                <w:ilvl w:val="0"/>
                <w:numId w:val="23"/>
              </w:numPr>
              <w:jc w:val="center"/>
              <w:textAlignment w:val="center"/>
              <w:rPr>
                <w:sz w:val="18"/>
                <w:szCs w:val="18"/>
              </w:rPr>
            </w:pPr>
          </w:p>
        </w:tc>
        <w:tc>
          <w:tcPr>
            <w:tcW w:w="2150" w:type="dxa"/>
            <w:vAlign w:val="center"/>
          </w:tcPr>
          <w:p w14:paraId="1B8A6A30">
            <w:pPr>
              <w:widowControl/>
              <w:jc w:val="center"/>
              <w:textAlignment w:val="center"/>
              <w:rPr>
                <w:kern w:val="0"/>
                <w:sz w:val="18"/>
                <w:szCs w:val="18"/>
                <w:highlight w:val="yellow"/>
                <w:lang w:bidi="ar"/>
              </w:rPr>
            </w:pPr>
          </w:p>
        </w:tc>
        <w:tc>
          <w:tcPr>
            <w:tcW w:w="4200" w:type="dxa"/>
            <w:vAlign w:val="center"/>
          </w:tcPr>
          <w:p w14:paraId="28186A70">
            <w:pPr>
              <w:widowControl/>
              <w:jc w:val="left"/>
              <w:textAlignment w:val="center"/>
              <w:rPr>
                <w:kern w:val="0"/>
                <w:sz w:val="18"/>
                <w:szCs w:val="18"/>
                <w:highlight w:val="yellow"/>
                <w:lang w:bidi="ar"/>
              </w:rPr>
            </w:pPr>
          </w:p>
        </w:tc>
        <w:tc>
          <w:tcPr>
            <w:tcW w:w="1250" w:type="dxa"/>
          </w:tcPr>
          <w:p w14:paraId="4BB80A9A">
            <w:pPr>
              <w:jc w:val="center"/>
              <w:rPr>
                <w:b/>
                <w:sz w:val="24"/>
              </w:rPr>
            </w:pPr>
          </w:p>
        </w:tc>
        <w:tc>
          <w:tcPr>
            <w:tcW w:w="1117" w:type="dxa"/>
          </w:tcPr>
          <w:p w14:paraId="6E7B8D76">
            <w:pPr>
              <w:jc w:val="center"/>
              <w:rPr>
                <w:b/>
                <w:sz w:val="24"/>
              </w:rPr>
            </w:pPr>
          </w:p>
        </w:tc>
      </w:tr>
      <w:tr w14:paraId="52725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2" w:type="dxa"/>
            <w:vAlign w:val="center"/>
          </w:tcPr>
          <w:p w14:paraId="27700428">
            <w:pPr>
              <w:widowControl/>
              <w:numPr>
                <w:ilvl w:val="0"/>
                <w:numId w:val="23"/>
              </w:numPr>
              <w:jc w:val="center"/>
              <w:textAlignment w:val="center"/>
              <w:rPr>
                <w:sz w:val="18"/>
                <w:szCs w:val="18"/>
              </w:rPr>
            </w:pPr>
          </w:p>
        </w:tc>
        <w:tc>
          <w:tcPr>
            <w:tcW w:w="2150" w:type="dxa"/>
            <w:vAlign w:val="center"/>
          </w:tcPr>
          <w:p w14:paraId="0F5C3C1D">
            <w:pPr>
              <w:widowControl/>
              <w:jc w:val="center"/>
              <w:textAlignment w:val="center"/>
              <w:rPr>
                <w:kern w:val="0"/>
                <w:sz w:val="18"/>
                <w:szCs w:val="18"/>
                <w:highlight w:val="yellow"/>
                <w:lang w:bidi="ar"/>
              </w:rPr>
            </w:pPr>
          </w:p>
        </w:tc>
        <w:tc>
          <w:tcPr>
            <w:tcW w:w="4200" w:type="dxa"/>
            <w:vAlign w:val="center"/>
          </w:tcPr>
          <w:p w14:paraId="607AE63F">
            <w:pPr>
              <w:widowControl/>
              <w:jc w:val="left"/>
              <w:textAlignment w:val="center"/>
              <w:rPr>
                <w:kern w:val="0"/>
                <w:sz w:val="18"/>
                <w:szCs w:val="18"/>
                <w:highlight w:val="yellow"/>
                <w:lang w:bidi="ar"/>
              </w:rPr>
            </w:pPr>
          </w:p>
        </w:tc>
        <w:tc>
          <w:tcPr>
            <w:tcW w:w="1250" w:type="dxa"/>
          </w:tcPr>
          <w:p w14:paraId="65DFE430">
            <w:pPr>
              <w:jc w:val="center"/>
              <w:rPr>
                <w:b/>
                <w:sz w:val="24"/>
              </w:rPr>
            </w:pPr>
          </w:p>
        </w:tc>
        <w:tc>
          <w:tcPr>
            <w:tcW w:w="1117" w:type="dxa"/>
          </w:tcPr>
          <w:p w14:paraId="5941F574">
            <w:pPr>
              <w:jc w:val="center"/>
              <w:rPr>
                <w:b/>
                <w:sz w:val="24"/>
              </w:rPr>
            </w:pPr>
          </w:p>
        </w:tc>
      </w:tr>
      <w:tr w14:paraId="4CDE5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2" w:type="dxa"/>
            <w:vAlign w:val="center"/>
          </w:tcPr>
          <w:p w14:paraId="06C7B643">
            <w:pPr>
              <w:widowControl/>
              <w:numPr>
                <w:ilvl w:val="0"/>
                <w:numId w:val="23"/>
              </w:numPr>
              <w:jc w:val="center"/>
              <w:textAlignment w:val="center"/>
              <w:rPr>
                <w:sz w:val="18"/>
                <w:szCs w:val="18"/>
              </w:rPr>
            </w:pPr>
          </w:p>
        </w:tc>
        <w:tc>
          <w:tcPr>
            <w:tcW w:w="2150" w:type="dxa"/>
            <w:vAlign w:val="center"/>
          </w:tcPr>
          <w:p w14:paraId="36A7CC02">
            <w:pPr>
              <w:widowControl/>
              <w:jc w:val="center"/>
              <w:textAlignment w:val="center"/>
              <w:rPr>
                <w:kern w:val="0"/>
                <w:sz w:val="18"/>
                <w:szCs w:val="18"/>
                <w:highlight w:val="yellow"/>
                <w:lang w:bidi="ar"/>
              </w:rPr>
            </w:pPr>
          </w:p>
        </w:tc>
        <w:tc>
          <w:tcPr>
            <w:tcW w:w="4200" w:type="dxa"/>
            <w:vAlign w:val="center"/>
          </w:tcPr>
          <w:p w14:paraId="5E4A2DE2">
            <w:pPr>
              <w:widowControl/>
              <w:jc w:val="left"/>
              <w:textAlignment w:val="center"/>
              <w:rPr>
                <w:kern w:val="0"/>
                <w:sz w:val="18"/>
                <w:szCs w:val="18"/>
                <w:highlight w:val="yellow"/>
                <w:lang w:bidi="ar"/>
              </w:rPr>
            </w:pPr>
          </w:p>
        </w:tc>
        <w:tc>
          <w:tcPr>
            <w:tcW w:w="1250" w:type="dxa"/>
          </w:tcPr>
          <w:p w14:paraId="5ECF2A0A">
            <w:pPr>
              <w:jc w:val="center"/>
              <w:rPr>
                <w:b/>
                <w:sz w:val="24"/>
              </w:rPr>
            </w:pPr>
          </w:p>
        </w:tc>
        <w:tc>
          <w:tcPr>
            <w:tcW w:w="1117" w:type="dxa"/>
          </w:tcPr>
          <w:p w14:paraId="4C8CB3E6">
            <w:pPr>
              <w:jc w:val="center"/>
              <w:rPr>
                <w:b/>
                <w:sz w:val="24"/>
              </w:rPr>
            </w:pPr>
          </w:p>
        </w:tc>
      </w:tr>
      <w:tr w14:paraId="38E97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2" w:type="dxa"/>
            <w:vAlign w:val="center"/>
          </w:tcPr>
          <w:p w14:paraId="08F4CC3D">
            <w:pPr>
              <w:widowControl/>
              <w:numPr>
                <w:ilvl w:val="0"/>
                <w:numId w:val="23"/>
              </w:numPr>
              <w:jc w:val="center"/>
              <w:textAlignment w:val="center"/>
              <w:rPr>
                <w:sz w:val="18"/>
                <w:szCs w:val="18"/>
              </w:rPr>
            </w:pPr>
          </w:p>
        </w:tc>
        <w:tc>
          <w:tcPr>
            <w:tcW w:w="2150" w:type="dxa"/>
            <w:vAlign w:val="center"/>
          </w:tcPr>
          <w:p w14:paraId="324BEF11">
            <w:pPr>
              <w:widowControl/>
              <w:jc w:val="center"/>
              <w:textAlignment w:val="center"/>
              <w:rPr>
                <w:kern w:val="0"/>
                <w:sz w:val="18"/>
                <w:szCs w:val="18"/>
                <w:highlight w:val="yellow"/>
                <w:lang w:bidi="ar"/>
              </w:rPr>
            </w:pPr>
          </w:p>
        </w:tc>
        <w:tc>
          <w:tcPr>
            <w:tcW w:w="4200" w:type="dxa"/>
            <w:vAlign w:val="center"/>
          </w:tcPr>
          <w:p w14:paraId="261F2DC7">
            <w:pPr>
              <w:widowControl/>
              <w:jc w:val="left"/>
              <w:textAlignment w:val="center"/>
              <w:rPr>
                <w:kern w:val="0"/>
                <w:sz w:val="18"/>
                <w:szCs w:val="18"/>
                <w:highlight w:val="yellow"/>
                <w:lang w:bidi="ar"/>
              </w:rPr>
            </w:pPr>
          </w:p>
        </w:tc>
        <w:tc>
          <w:tcPr>
            <w:tcW w:w="1250" w:type="dxa"/>
          </w:tcPr>
          <w:p w14:paraId="152BF387">
            <w:pPr>
              <w:jc w:val="center"/>
              <w:rPr>
                <w:b/>
                <w:sz w:val="24"/>
              </w:rPr>
            </w:pPr>
          </w:p>
        </w:tc>
        <w:tc>
          <w:tcPr>
            <w:tcW w:w="1117" w:type="dxa"/>
          </w:tcPr>
          <w:p w14:paraId="522A396A">
            <w:pPr>
              <w:jc w:val="center"/>
              <w:rPr>
                <w:b/>
                <w:sz w:val="24"/>
              </w:rPr>
            </w:pPr>
          </w:p>
        </w:tc>
      </w:tr>
      <w:tr w14:paraId="5AE30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2" w:type="dxa"/>
            <w:vAlign w:val="center"/>
          </w:tcPr>
          <w:p w14:paraId="7004459D">
            <w:pPr>
              <w:widowControl/>
              <w:numPr>
                <w:ilvl w:val="0"/>
                <w:numId w:val="23"/>
              </w:numPr>
              <w:jc w:val="center"/>
              <w:textAlignment w:val="center"/>
              <w:rPr>
                <w:sz w:val="18"/>
                <w:szCs w:val="18"/>
              </w:rPr>
            </w:pPr>
          </w:p>
        </w:tc>
        <w:tc>
          <w:tcPr>
            <w:tcW w:w="2150" w:type="dxa"/>
            <w:vAlign w:val="center"/>
          </w:tcPr>
          <w:p w14:paraId="6EEF79BD">
            <w:pPr>
              <w:widowControl/>
              <w:jc w:val="center"/>
              <w:textAlignment w:val="center"/>
              <w:rPr>
                <w:kern w:val="0"/>
                <w:sz w:val="18"/>
                <w:szCs w:val="18"/>
                <w:highlight w:val="yellow"/>
                <w:lang w:bidi="ar"/>
              </w:rPr>
            </w:pPr>
          </w:p>
        </w:tc>
        <w:tc>
          <w:tcPr>
            <w:tcW w:w="4200" w:type="dxa"/>
            <w:vAlign w:val="center"/>
          </w:tcPr>
          <w:p w14:paraId="741E4277">
            <w:pPr>
              <w:widowControl/>
              <w:jc w:val="left"/>
              <w:textAlignment w:val="center"/>
              <w:rPr>
                <w:kern w:val="0"/>
                <w:sz w:val="18"/>
                <w:szCs w:val="18"/>
                <w:highlight w:val="yellow"/>
                <w:lang w:bidi="ar"/>
              </w:rPr>
            </w:pPr>
          </w:p>
        </w:tc>
        <w:tc>
          <w:tcPr>
            <w:tcW w:w="1250" w:type="dxa"/>
          </w:tcPr>
          <w:p w14:paraId="47E8C458">
            <w:pPr>
              <w:jc w:val="center"/>
              <w:rPr>
                <w:b/>
                <w:sz w:val="24"/>
              </w:rPr>
            </w:pPr>
          </w:p>
        </w:tc>
        <w:tc>
          <w:tcPr>
            <w:tcW w:w="1117" w:type="dxa"/>
          </w:tcPr>
          <w:p w14:paraId="47C13A36">
            <w:pPr>
              <w:jc w:val="center"/>
              <w:rPr>
                <w:b/>
                <w:sz w:val="24"/>
              </w:rPr>
            </w:pPr>
          </w:p>
        </w:tc>
      </w:tr>
      <w:tr w14:paraId="5A6CB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2" w:type="dxa"/>
            <w:vAlign w:val="center"/>
          </w:tcPr>
          <w:p w14:paraId="526D0CA6">
            <w:pPr>
              <w:widowControl/>
              <w:numPr>
                <w:ilvl w:val="0"/>
                <w:numId w:val="23"/>
              </w:numPr>
              <w:jc w:val="center"/>
              <w:textAlignment w:val="center"/>
              <w:rPr>
                <w:sz w:val="18"/>
                <w:szCs w:val="18"/>
              </w:rPr>
            </w:pPr>
          </w:p>
        </w:tc>
        <w:tc>
          <w:tcPr>
            <w:tcW w:w="2150" w:type="dxa"/>
            <w:vAlign w:val="center"/>
          </w:tcPr>
          <w:p w14:paraId="3C8B1EE9">
            <w:pPr>
              <w:widowControl/>
              <w:jc w:val="center"/>
              <w:textAlignment w:val="center"/>
              <w:rPr>
                <w:kern w:val="0"/>
                <w:sz w:val="18"/>
                <w:szCs w:val="18"/>
                <w:highlight w:val="yellow"/>
                <w:lang w:bidi="ar"/>
              </w:rPr>
            </w:pPr>
          </w:p>
        </w:tc>
        <w:tc>
          <w:tcPr>
            <w:tcW w:w="4200" w:type="dxa"/>
            <w:vAlign w:val="center"/>
          </w:tcPr>
          <w:p w14:paraId="402DABFC">
            <w:pPr>
              <w:jc w:val="left"/>
              <w:rPr>
                <w:kern w:val="0"/>
                <w:sz w:val="18"/>
                <w:szCs w:val="18"/>
                <w:highlight w:val="yellow"/>
                <w:lang w:bidi="ar"/>
              </w:rPr>
            </w:pPr>
          </w:p>
        </w:tc>
        <w:tc>
          <w:tcPr>
            <w:tcW w:w="1250" w:type="dxa"/>
          </w:tcPr>
          <w:p w14:paraId="332BA622">
            <w:pPr>
              <w:jc w:val="center"/>
              <w:rPr>
                <w:b/>
                <w:sz w:val="24"/>
              </w:rPr>
            </w:pPr>
          </w:p>
        </w:tc>
        <w:tc>
          <w:tcPr>
            <w:tcW w:w="1117" w:type="dxa"/>
          </w:tcPr>
          <w:p w14:paraId="2C913A0C">
            <w:pPr>
              <w:jc w:val="center"/>
              <w:rPr>
                <w:b/>
                <w:sz w:val="24"/>
              </w:rPr>
            </w:pPr>
          </w:p>
        </w:tc>
      </w:tr>
      <w:tr w14:paraId="3B242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2" w:type="dxa"/>
            <w:vAlign w:val="center"/>
          </w:tcPr>
          <w:p w14:paraId="17453551">
            <w:pPr>
              <w:widowControl/>
              <w:numPr>
                <w:ilvl w:val="0"/>
                <w:numId w:val="23"/>
              </w:numPr>
              <w:jc w:val="center"/>
              <w:textAlignment w:val="center"/>
              <w:rPr>
                <w:sz w:val="18"/>
                <w:szCs w:val="18"/>
              </w:rPr>
            </w:pPr>
          </w:p>
        </w:tc>
        <w:tc>
          <w:tcPr>
            <w:tcW w:w="2150" w:type="dxa"/>
            <w:vAlign w:val="center"/>
          </w:tcPr>
          <w:p w14:paraId="551B13EE">
            <w:pPr>
              <w:widowControl/>
              <w:jc w:val="center"/>
              <w:textAlignment w:val="center"/>
              <w:rPr>
                <w:kern w:val="0"/>
                <w:sz w:val="18"/>
                <w:szCs w:val="18"/>
                <w:highlight w:val="yellow"/>
                <w:lang w:bidi="ar"/>
              </w:rPr>
            </w:pPr>
          </w:p>
        </w:tc>
        <w:tc>
          <w:tcPr>
            <w:tcW w:w="4200" w:type="dxa"/>
            <w:vAlign w:val="center"/>
          </w:tcPr>
          <w:p w14:paraId="0AD87173">
            <w:pPr>
              <w:pStyle w:val="4"/>
              <w:rPr>
                <w:rFonts w:ascii="Times New Roman" w:hAnsi="Times New Roman"/>
                <w:kern w:val="0"/>
                <w:sz w:val="18"/>
                <w:szCs w:val="18"/>
                <w:highlight w:val="yellow"/>
                <w:lang w:bidi="ar"/>
              </w:rPr>
            </w:pPr>
          </w:p>
        </w:tc>
        <w:tc>
          <w:tcPr>
            <w:tcW w:w="1250" w:type="dxa"/>
          </w:tcPr>
          <w:p w14:paraId="2C84F00B">
            <w:pPr>
              <w:jc w:val="center"/>
              <w:rPr>
                <w:b/>
                <w:sz w:val="24"/>
              </w:rPr>
            </w:pPr>
          </w:p>
        </w:tc>
        <w:tc>
          <w:tcPr>
            <w:tcW w:w="1117" w:type="dxa"/>
          </w:tcPr>
          <w:p w14:paraId="02F9905F">
            <w:pPr>
              <w:jc w:val="center"/>
              <w:rPr>
                <w:b/>
                <w:sz w:val="24"/>
              </w:rPr>
            </w:pPr>
          </w:p>
        </w:tc>
      </w:tr>
      <w:tr w14:paraId="2A97F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2" w:type="dxa"/>
            <w:vAlign w:val="center"/>
          </w:tcPr>
          <w:p w14:paraId="75D4DFD1">
            <w:pPr>
              <w:widowControl/>
              <w:numPr>
                <w:ilvl w:val="0"/>
                <w:numId w:val="23"/>
              </w:numPr>
              <w:jc w:val="center"/>
              <w:textAlignment w:val="center"/>
              <w:rPr>
                <w:sz w:val="18"/>
                <w:szCs w:val="18"/>
              </w:rPr>
            </w:pPr>
          </w:p>
        </w:tc>
        <w:tc>
          <w:tcPr>
            <w:tcW w:w="2150" w:type="dxa"/>
            <w:vAlign w:val="center"/>
          </w:tcPr>
          <w:p w14:paraId="029B5CA0">
            <w:pPr>
              <w:widowControl/>
              <w:jc w:val="center"/>
              <w:textAlignment w:val="center"/>
              <w:rPr>
                <w:kern w:val="0"/>
                <w:sz w:val="18"/>
                <w:szCs w:val="18"/>
                <w:highlight w:val="yellow"/>
                <w:lang w:bidi="ar"/>
              </w:rPr>
            </w:pPr>
          </w:p>
        </w:tc>
        <w:tc>
          <w:tcPr>
            <w:tcW w:w="4200" w:type="dxa"/>
            <w:vAlign w:val="center"/>
          </w:tcPr>
          <w:p w14:paraId="1D3D17CE">
            <w:pPr>
              <w:widowControl/>
              <w:jc w:val="left"/>
              <w:textAlignment w:val="center"/>
              <w:rPr>
                <w:kern w:val="0"/>
                <w:sz w:val="18"/>
                <w:szCs w:val="18"/>
                <w:highlight w:val="yellow"/>
                <w:lang w:bidi="ar"/>
              </w:rPr>
            </w:pPr>
          </w:p>
        </w:tc>
        <w:tc>
          <w:tcPr>
            <w:tcW w:w="1250" w:type="dxa"/>
          </w:tcPr>
          <w:p w14:paraId="4BC6FDB9">
            <w:pPr>
              <w:jc w:val="center"/>
              <w:rPr>
                <w:b/>
                <w:sz w:val="24"/>
              </w:rPr>
            </w:pPr>
          </w:p>
        </w:tc>
        <w:tc>
          <w:tcPr>
            <w:tcW w:w="1117" w:type="dxa"/>
          </w:tcPr>
          <w:p w14:paraId="2C00826B">
            <w:pPr>
              <w:jc w:val="center"/>
              <w:rPr>
                <w:b/>
                <w:sz w:val="24"/>
              </w:rPr>
            </w:pPr>
          </w:p>
        </w:tc>
      </w:tr>
      <w:tr w14:paraId="7A7678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2" w:type="dxa"/>
            <w:vAlign w:val="center"/>
          </w:tcPr>
          <w:p w14:paraId="241FF701">
            <w:pPr>
              <w:widowControl/>
              <w:numPr>
                <w:ilvl w:val="0"/>
                <w:numId w:val="23"/>
              </w:numPr>
              <w:jc w:val="center"/>
              <w:textAlignment w:val="center"/>
              <w:rPr>
                <w:sz w:val="18"/>
                <w:szCs w:val="18"/>
              </w:rPr>
            </w:pPr>
          </w:p>
        </w:tc>
        <w:tc>
          <w:tcPr>
            <w:tcW w:w="2150" w:type="dxa"/>
            <w:vAlign w:val="center"/>
          </w:tcPr>
          <w:p w14:paraId="7953A911">
            <w:pPr>
              <w:widowControl/>
              <w:jc w:val="center"/>
              <w:textAlignment w:val="center"/>
              <w:rPr>
                <w:kern w:val="0"/>
                <w:sz w:val="18"/>
                <w:szCs w:val="18"/>
                <w:highlight w:val="yellow"/>
                <w:lang w:bidi="ar"/>
              </w:rPr>
            </w:pPr>
          </w:p>
        </w:tc>
        <w:tc>
          <w:tcPr>
            <w:tcW w:w="4200" w:type="dxa"/>
            <w:vAlign w:val="center"/>
          </w:tcPr>
          <w:p w14:paraId="1989EADD">
            <w:pPr>
              <w:widowControl/>
              <w:jc w:val="left"/>
              <w:textAlignment w:val="center"/>
              <w:rPr>
                <w:kern w:val="0"/>
                <w:sz w:val="18"/>
                <w:szCs w:val="18"/>
                <w:highlight w:val="yellow"/>
                <w:lang w:bidi="ar"/>
              </w:rPr>
            </w:pPr>
          </w:p>
        </w:tc>
        <w:tc>
          <w:tcPr>
            <w:tcW w:w="1250" w:type="dxa"/>
          </w:tcPr>
          <w:p w14:paraId="5B03D329">
            <w:pPr>
              <w:jc w:val="center"/>
              <w:rPr>
                <w:b/>
                <w:sz w:val="24"/>
              </w:rPr>
            </w:pPr>
          </w:p>
        </w:tc>
        <w:tc>
          <w:tcPr>
            <w:tcW w:w="1117" w:type="dxa"/>
          </w:tcPr>
          <w:p w14:paraId="3CC8B28C">
            <w:pPr>
              <w:jc w:val="center"/>
              <w:rPr>
                <w:b/>
                <w:sz w:val="24"/>
              </w:rPr>
            </w:pPr>
          </w:p>
        </w:tc>
      </w:tr>
      <w:tr w14:paraId="5F034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2" w:type="dxa"/>
            <w:vAlign w:val="center"/>
          </w:tcPr>
          <w:p w14:paraId="2E0734CA">
            <w:pPr>
              <w:widowControl/>
              <w:numPr>
                <w:ilvl w:val="0"/>
                <w:numId w:val="23"/>
              </w:numPr>
              <w:jc w:val="center"/>
              <w:textAlignment w:val="center"/>
              <w:rPr>
                <w:sz w:val="18"/>
                <w:szCs w:val="18"/>
              </w:rPr>
            </w:pPr>
          </w:p>
        </w:tc>
        <w:tc>
          <w:tcPr>
            <w:tcW w:w="2150" w:type="dxa"/>
            <w:vAlign w:val="center"/>
          </w:tcPr>
          <w:p w14:paraId="6580EAF1">
            <w:pPr>
              <w:widowControl/>
              <w:jc w:val="center"/>
              <w:textAlignment w:val="center"/>
              <w:rPr>
                <w:kern w:val="0"/>
                <w:sz w:val="18"/>
                <w:szCs w:val="18"/>
                <w:highlight w:val="yellow"/>
                <w:lang w:bidi="ar"/>
              </w:rPr>
            </w:pPr>
          </w:p>
        </w:tc>
        <w:tc>
          <w:tcPr>
            <w:tcW w:w="4200" w:type="dxa"/>
            <w:vAlign w:val="center"/>
          </w:tcPr>
          <w:p w14:paraId="1DC21D48">
            <w:pPr>
              <w:widowControl/>
              <w:jc w:val="left"/>
              <w:textAlignment w:val="center"/>
              <w:rPr>
                <w:kern w:val="0"/>
                <w:sz w:val="18"/>
                <w:szCs w:val="18"/>
                <w:highlight w:val="yellow"/>
                <w:lang w:bidi="ar"/>
              </w:rPr>
            </w:pPr>
          </w:p>
        </w:tc>
        <w:tc>
          <w:tcPr>
            <w:tcW w:w="1250" w:type="dxa"/>
          </w:tcPr>
          <w:p w14:paraId="3AEA250E">
            <w:pPr>
              <w:jc w:val="center"/>
              <w:rPr>
                <w:b/>
                <w:sz w:val="24"/>
              </w:rPr>
            </w:pPr>
          </w:p>
        </w:tc>
        <w:tc>
          <w:tcPr>
            <w:tcW w:w="1117" w:type="dxa"/>
          </w:tcPr>
          <w:p w14:paraId="439C5204">
            <w:pPr>
              <w:jc w:val="center"/>
              <w:rPr>
                <w:b/>
                <w:sz w:val="24"/>
              </w:rPr>
            </w:pPr>
          </w:p>
        </w:tc>
      </w:tr>
      <w:tr w14:paraId="00781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2" w:type="dxa"/>
            <w:vAlign w:val="center"/>
          </w:tcPr>
          <w:p w14:paraId="1C7B1F17">
            <w:pPr>
              <w:widowControl/>
              <w:numPr>
                <w:ilvl w:val="0"/>
                <w:numId w:val="23"/>
              </w:numPr>
              <w:jc w:val="center"/>
              <w:textAlignment w:val="center"/>
              <w:rPr>
                <w:sz w:val="18"/>
                <w:szCs w:val="18"/>
              </w:rPr>
            </w:pPr>
          </w:p>
        </w:tc>
        <w:tc>
          <w:tcPr>
            <w:tcW w:w="2150" w:type="dxa"/>
            <w:vAlign w:val="center"/>
          </w:tcPr>
          <w:p w14:paraId="3A6476C5">
            <w:pPr>
              <w:widowControl/>
              <w:jc w:val="center"/>
              <w:textAlignment w:val="center"/>
              <w:rPr>
                <w:kern w:val="0"/>
                <w:sz w:val="18"/>
                <w:szCs w:val="18"/>
                <w:highlight w:val="yellow"/>
                <w:lang w:bidi="ar"/>
              </w:rPr>
            </w:pPr>
          </w:p>
        </w:tc>
        <w:tc>
          <w:tcPr>
            <w:tcW w:w="4200" w:type="dxa"/>
            <w:vAlign w:val="center"/>
          </w:tcPr>
          <w:p w14:paraId="3B2D2CFF">
            <w:pPr>
              <w:widowControl/>
              <w:jc w:val="left"/>
              <w:textAlignment w:val="center"/>
              <w:rPr>
                <w:kern w:val="0"/>
                <w:sz w:val="18"/>
                <w:szCs w:val="18"/>
                <w:highlight w:val="yellow"/>
                <w:lang w:bidi="ar"/>
              </w:rPr>
            </w:pPr>
          </w:p>
        </w:tc>
        <w:tc>
          <w:tcPr>
            <w:tcW w:w="1250" w:type="dxa"/>
          </w:tcPr>
          <w:p w14:paraId="4F240CC6">
            <w:pPr>
              <w:jc w:val="center"/>
              <w:rPr>
                <w:b/>
                <w:sz w:val="24"/>
              </w:rPr>
            </w:pPr>
          </w:p>
        </w:tc>
        <w:tc>
          <w:tcPr>
            <w:tcW w:w="1117" w:type="dxa"/>
          </w:tcPr>
          <w:p w14:paraId="350AF57A">
            <w:pPr>
              <w:jc w:val="center"/>
              <w:rPr>
                <w:b/>
                <w:sz w:val="24"/>
              </w:rPr>
            </w:pPr>
          </w:p>
        </w:tc>
      </w:tr>
      <w:tr w14:paraId="565D3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2" w:type="dxa"/>
            <w:vAlign w:val="center"/>
          </w:tcPr>
          <w:p w14:paraId="19600ACC">
            <w:pPr>
              <w:widowControl/>
              <w:numPr>
                <w:ilvl w:val="0"/>
                <w:numId w:val="23"/>
              </w:numPr>
              <w:jc w:val="center"/>
              <w:textAlignment w:val="center"/>
              <w:rPr>
                <w:sz w:val="18"/>
                <w:szCs w:val="18"/>
              </w:rPr>
            </w:pPr>
          </w:p>
        </w:tc>
        <w:tc>
          <w:tcPr>
            <w:tcW w:w="2150" w:type="dxa"/>
            <w:vAlign w:val="center"/>
          </w:tcPr>
          <w:p w14:paraId="148AF1C8">
            <w:pPr>
              <w:widowControl/>
              <w:jc w:val="center"/>
              <w:textAlignment w:val="center"/>
              <w:rPr>
                <w:kern w:val="0"/>
                <w:sz w:val="18"/>
                <w:szCs w:val="18"/>
                <w:highlight w:val="yellow"/>
                <w:lang w:bidi="ar"/>
              </w:rPr>
            </w:pPr>
          </w:p>
        </w:tc>
        <w:tc>
          <w:tcPr>
            <w:tcW w:w="4200" w:type="dxa"/>
            <w:vAlign w:val="center"/>
          </w:tcPr>
          <w:p w14:paraId="316A3114">
            <w:pPr>
              <w:widowControl/>
              <w:jc w:val="left"/>
              <w:textAlignment w:val="center"/>
              <w:rPr>
                <w:kern w:val="0"/>
                <w:sz w:val="18"/>
                <w:szCs w:val="18"/>
                <w:highlight w:val="yellow"/>
                <w:lang w:bidi="ar"/>
              </w:rPr>
            </w:pPr>
          </w:p>
        </w:tc>
        <w:tc>
          <w:tcPr>
            <w:tcW w:w="1250" w:type="dxa"/>
          </w:tcPr>
          <w:p w14:paraId="51E99CED">
            <w:pPr>
              <w:jc w:val="center"/>
              <w:rPr>
                <w:b/>
                <w:sz w:val="24"/>
              </w:rPr>
            </w:pPr>
          </w:p>
        </w:tc>
        <w:tc>
          <w:tcPr>
            <w:tcW w:w="1117" w:type="dxa"/>
          </w:tcPr>
          <w:p w14:paraId="0A360B54">
            <w:pPr>
              <w:jc w:val="center"/>
              <w:rPr>
                <w:b/>
                <w:sz w:val="24"/>
              </w:rPr>
            </w:pPr>
          </w:p>
        </w:tc>
      </w:tr>
      <w:tr w14:paraId="22CE1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 w:hRule="atLeast"/>
          <w:jc w:val="center"/>
        </w:trPr>
        <w:tc>
          <w:tcPr>
            <w:tcW w:w="562" w:type="dxa"/>
            <w:vAlign w:val="center"/>
          </w:tcPr>
          <w:p w14:paraId="51BDC15A">
            <w:pPr>
              <w:widowControl/>
              <w:numPr>
                <w:ilvl w:val="0"/>
                <w:numId w:val="23"/>
              </w:numPr>
              <w:jc w:val="center"/>
              <w:textAlignment w:val="center"/>
              <w:rPr>
                <w:sz w:val="18"/>
                <w:szCs w:val="18"/>
              </w:rPr>
            </w:pPr>
          </w:p>
        </w:tc>
        <w:tc>
          <w:tcPr>
            <w:tcW w:w="2150" w:type="dxa"/>
            <w:vAlign w:val="center"/>
          </w:tcPr>
          <w:p w14:paraId="77AF8417">
            <w:pPr>
              <w:widowControl/>
              <w:jc w:val="center"/>
              <w:textAlignment w:val="center"/>
              <w:rPr>
                <w:kern w:val="0"/>
                <w:sz w:val="18"/>
                <w:szCs w:val="18"/>
                <w:highlight w:val="yellow"/>
                <w:lang w:bidi="ar"/>
              </w:rPr>
            </w:pPr>
          </w:p>
        </w:tc>
        <w:tc>
          <w:tcPr>
            <w:tcW w:w="4200" w:type="dxa"/>
            <w:vAlign w:val="center"/>
          </w:tcPr>
          <w:p w14:paraId="236B63DD">
            <w:pPr>
              <w:widowControl/>
              <w:jc w:val="left"/>
              <w:textAlignment w:val="center"/>
              <w:rPr>
                <w:kern w:val="0"/>
                <w:sz w:val="18"/>
                <w:szCs w:val="18"/>
                <w:highlight w:val="yellow"/>
                <w:lang w:bidi="ar"/>
              </w:rPr>
            </w:pPr>
          </w:p>
        </w:tc>
        <w:tc>
          <w:tcPr>
            <w:tcW w:w="1250" w:type="dxa"/>
          </w:tcPr>
          <w:p w14:paraId="69E2D259">
            <w:pPr>
              <w:jc w:val="center"/>
              <w:rPr>
                <w:b/>
                <w:sz w:val="24"/>
              </w:rPr>
            </w:pPr>
          </w:p>
        </w:tc>
        <w:tc>
          <w:tcPr>
            <w:tcW w:w="1117" w:type="dxa"/>
          </w:tcPr>
          <w:p w14:paraId="3DACA1F5">
            <w:pPr>
              <w:jc w:val="center"/>
              <w:rPr>
                <w:b/>
                <w:sz w:val="24"/>
              </w:rPr>
            </w:pPr>
          </w:p>
        </w:tc>
      </w:tr>
      <w:tr w14:paraId="764D7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2" w:type="dxa"/>
            <w:vAlign w:val="center"/>
          </w:tcPr>
          <w:p w14:paraId="5754995D">
            <w:pPr>
              <w:widowControl/>
              <w:numPr>
                <w:ilvl w:val="0"/>
                <w:numId w:val="23"/>
              </w:numPr>
              <w:jc w:val="center"/>
              <w:textAlignment w:val="center"/>
              <w:rPr>
                <w:sz w:val="18"/>
                <w:szCs w:val="18"/>
              </w:rPr>
            </w:pPr>
          </w:p>
        </w:tc>
        <w:tc>
          <w:tcPr>
            <w:tcW w:w="2150" w:type="dxa"/>
            <w:vAlign w:val="center"/>
          </w:tcPr>
          <w:p w14:paraId="638C5A20">
            <w:pPr>
              <w:widowControl/>
              <w:jc w:val="center"/>
              <w:textAlignment w:val="center"/>
              <w:rPr>
                <w:kern w:val="0"/>
                <w:sz w:val="18"/>
                <w:szCs w:val="18"/>
                <w:highlight w:val="yellow"/>
                <w:lang w:bidi="ar"/>
              </w:rPr>
            </w:pPr>
          </w:p>
        </w:tc>
        <w:tc>
          <w:tcPr>
            <w:tcW w:w="4200" w:type="dxa"/>
            <w:vAlign w:val="center"/>
          </w:tcPr>
          <w:p w14:paraId="1A6A798F">
            <w:pPr>
              <w:widowControl/>
              <w:jc w:val="left"/>
              <w:textAlignment w:val="center"/>
              <w:rPr>
                <w:kern w:val="0"/>
                <w:sz w:val="18"/>
                <w:szCs w:val="18"/>
                <w:highlight w:val="yellow"/>
                <w:lang w:bidi="ar"/>
              </w:rPr>
            </w:pPr>
          </w:p>
        </w:tc>
        <w:tc>
          <w:tcPr>
            <w:tcW w:w="1250" w:type="dxa"/>
          </w:tcPr>
          <w:p w14:paraId="01C62710">
            <w:pPr>
              <w:jc w:val="center"/>
              <w:rPr>
                <w:b/>
                <w:sz w:val="24"/>
              </w:rPr>
            </w:pPr>
          </w:p>
        </w:tc>
        <w:tc>
          <w:tcPr>
            <w:tcW w:w="1117" w:type="dxa"/>
          </w:tcPr>
          <w:p w14:paraId="29D54890">
            <w:pPr>
              <w:jc w:val="center"/>
              <w:rPr>
                <w:b/>
                <w:sz w:val="24"/>
              </w:rPr>
            </w:pPr>
          </w:p>
        </w:tc>
      </w:tr>
      <w:tr w14:paraId="274511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2" w:type="dxa"/>
            <w:vAlign w:val="center"/>
          </w:tcPr>
          <w:p w14:paraId="149577C0">
            <w:pPr>
              <w:widowControl/>
              <w:numPr>
                <w:ilvl w:val="0"/>
                <w:numId w:val="23"/>
              </w:numPr>
              <w:jc w:val="center"/>
              <w:textAlignment w:val="center"/>
              <w:rPr>
                <w:sz w:val="18"/>
                <w:szCs w:val="18"/>
              </w:rPr>
            </w:pPr>
          </w:p>
        </w:tc>
        <w:tc>
          <w:tcPr>
            <w:tcW w:w="2150" w:type="dxa"/>
            <w:vAlign w:val="center"/>
          </w:tcPr>
          <w:p w14:paraId="451FB4FA">
            <w:pPr>
              <w:widowControl/>
              <w:jc w:val="center"/>
              <w:textAlignment w:val="center"/>
              <w:rPr>
                <w:kern w:val="0"/>
                <w:sz w:val="18"/>
                <w:szCs w:val="18"/>
                <w:highlight w:val="yellow"/>
                <w:lang w:bidi="ar"/>
              </w:rPr>
            </w:pPr>
          </w:p>
        </w:tc>
        <w:tc>
          <w:tcPr>
            <w:tcW w:w="4200" w:type="dxa"/>
            <w:vAlign w:val="center"/>
          </w:tcPr>
          <w:p w14:paraId="6C6EA572">
            <w:pPr>
              <w:jc w:val="left"/>
              <w:rPr>
                <w:b/>
                <w:bCs/>
                <w:kern w:val="0"/>
                <w:sz w:val="18"/>
                <w:szCs w:val="18"/>
                <w:highlight w:val="yellow"/>
                <w:lang w:bidi="ar"/>
              </w:rPr>
            </w:pPr>
          </w:p>
        </w:tc>
        <w:tc>
          <w:tcPr>
            <w:tcW w:w="1250" w:type="dxa"/>
          </w:tcPr>
          <w:p w14:paraId="6BCE0351">
            <w:pPr>
              <w:jc w:val="center"/>
              <w:rPr>
                <w:b/>
                <w:sz w:val="24"/>
              </w:rPr>
            </w:pPr>
          </w:p>
        </w:tc>
        <w:tc>
          <w:tcPr>
            <w:tcW w:w="1117" w:type="dxa"/>
          </w:tcPr>
          <w:p w14:paraId="596232D6">
            <w:pPr>
              <w:jc w:val="center"/>
              <w:rPr>
                <w:b/>
                <w:sz w:val="24"/>
              </w:rPr>
            </w:pPr>
          </w:p>
        </w:tc>
      </w:tr>
      <w:tr w14:paraId="154D2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2" w:type="dxa"/>
            <w:vAlign w:val="center"/>
          </w:tcPr>
          <w:p w14:paraId="1FC44D87">
            <w:pPr>
              <w:widowControl/>
              <w:numPr>
                <w:ilvl w:val="0"/>
                <w:numId w:val="23"/>
              </w:numPr>
              <w:jc w:val="center"/>
              <w:textAlignment w:val="center"/>
              <w:rPr>
                <w:sz w:val="18"/>
                <w:szCs w:val="18"/>
              </w:rPr>
            </w:pPr>
          </w:p>
        </w:tc>
        <w:tc>
          <w:tcPr>
            <w:tcW w:w="2150" w:type="dxa"/>
            <w:vAlign w:val="center"/>
          </w:tcPr>
          <w:p w14:paraId="48DEFD8C">
            <w:pPr>
              <w:widowControl/>
              <w:jc w:val="center"/>
              <w:textAlignment w:val="center"/>
              <w:rPr>
                <w:kern w:val="0"/>
                <w:sz w:val="18"/>
                <w:szCs w:val="18"/>
                <w:highlight w:val="yellow"/>
                <w:lang w:bidi="ar"/>
              </w:rPr>
            </w:pPr>
          </w:p>
        </w:tc>
        <w:tc>
          <w:tcPr>
            <w:tcW w:w="4200" w:type="dxa"/>
            <w:vAlign w:val="center"/>
          </w:tcPr>
          <w:p w14:paraId="2DB1C4F8">
            <w:pPr>
              <w:widowControl/>
              <w:jc w:val="left"/>
              <w:textAlignment w:val="center"/>
              <w:rPr>
                <w:kern w:val="0"/>
                <w:sz w:val="18"/>
                <w:szCs w:val="18"/>
                <w:highlight w:val="yellow"/>
                <w:lang w:bidi="ar"/>
              </w:rPr>
            </w:pPr>
          </w:p>
        </w:tc>
        <w:tc>
          <w:tcPr>
            <w:tcW w:w="1250" w:type="dxa"/>
          </w:tcPr>
          <w:p w14:paraId="17DE2128">
            <w:pPr>
              <w:jc w:val="center"/>
              <w:rPr>
                <w:b/>
                <w:sz w:val="24"/>
              </w:rPr>
            </w:pPr>
          </w:p>
        </w:tc>
        <w:tc>
          <w:tcPr>
            <w:tcW w:w="1117" w:type="dxa"/>
          </w:tcPr>
          <w:p w14:paraId="3FAAC4D0">
            <w:pPr>
              <w:jc w:val="center"/>
              <w:rPr>
                <w:b/>
                <w:sz w:val="24"/>
              </w:rPr>
            </w:pPr>
          </w:p>
        </w:tc>
      </w:tr>
    </w:tbl>
    <w:p w14:paraId="4C94CDA0">
      <w:pPr>
        <w:spacing w:line="360" w:lineRule="auto"/>
        <w:ind w:firstLine="480" w:firstLineChars="200"/>
        <w:rPr>
          <w:sz w:val="24"/>
          <w:szCs w:val="24"/>
        </w:rPr>
      </w:pPr>
      <w:r>
        <w:rPr>
          <w:sz w:val="24"/>
          <w:szCs w:val="24"/>
        </w:rPr>
        <w:t xml:space="preserve">                                                    </w:t>
      </w:r>
    </w:p>
    <w:p w14:paraId="03A161A6">
      <w:pPr>
        <w:spacing w:line="660" w:lineRule="exact"/>
        <w:rPr>
          <w:sz w:val="24"/>
        </w:rPr>
      </w:pPr>
      <w:r>
        <w:rPr>
          <w:sz w:val="24"/>
        </w:rPr>
        <w:t>投标人：（盖章）</w:t>
      </w:r>
    </w:p>
    <w:p w14:paraId="612BCDB5">
      <w:pPr>
        <w:rPr>
          <w:rFonts w:cs="宋体"/>
          <w:sz w:val="32"/>
          <w:szCs w:val="32"/>
        </w:rPr>
      </w:pPr>
      <w:r>
        <w:rPr>
          <w:sz w:val="24"/>
        </w:rPr>
        <w:t>法定代表人（委托代理人）：（签字）</w:t>
      </w:r>
      <w:r>
        <w:rPr>
          <w:rFonts w:cs="宋体"/>
          <w:sz w:val="32"/>
          <w:szCs w:val="32"/>
        </w:rPr>
        <w:br w:type="page"/>
      </w:r>
    </w:p>
    <w:bookmarkEnd w:id="13"/>
    <w:bookmarkEnd w:id="14"/>
    <w:p w14:paraId="687F7FA1">
      <w:pPr>
        <w:pStyle w:val="10"/>
        <w:numPr>
          <w:ilvl w:val="0"/>
          <w:numId w:val="0"/>
        </w:numPr>
        <w:rPr>
          <w:rFonts w:ascii="Times New Roman" w:hAnsi="Times New Roman" w:eastAsia="宋体" w:cs="宋体"/>
          <w:sz w:val="32"/>
          <w:szCs w:val="32"/>
        </w:rPr>
      </w:pPr>
      <w:r>
        <w:rPr>
          <w:rFonts w:hint="eastAsia" w:ascii="Times New Roman" w:hAnsi="Times New Roman" w:eastAsia="宋体" w:cs="宋体"/>
          <w:sz w:val="32"/>
          <w:szCs w:val="32"/>
        </w:rPr>
        <w:t>附件</w:t>
      </w:r>
      <w:r>
        <w:rPr>
          <w:rFonts w:ascii="Times New Roman" w:hAnsi="Times New Roman" w:eastAsia="宋体" w:cs="宋体"/>
          <w:sz w:val="32"/>
          <w:szCs w:val="32"/>
        </w:rPr>
        <w:t>5</w:t>
      </w:r>
      <w:r>
        <w:rPr>
          <w:rFonts w:hint="eastAsia" w:ascii="Times New Roman" w:hAnsi="Times New Roman" w:eastAsia="宋体" w:cs="宋体"/>
          <w:sz w:val="32"/>
          <w:szCs w:val="32"/>
        </w:rPr>
        <w:t>设备质量承诺函</w:t>
      </w:r>
    </w:p>
    <w:p w14:paraId="7E502C62">
      <w:pPr>
        <w:spacing w:line="240" w:lineRule="exact"/>
      </w:pPr>
      <w:r>
        <w:t xml:space="preserve">                                               </w:t>
      </w:r>
    </w:p>
    <w:p w14:paraId="64C3B731">
      <w:pPr>
        <w:spacing w:line="360" w:lineRule="auto"/>
        <w:rPr>
          <w:b/>
          <w:bCs/>
          <w:sz w:val="24"/>
          <w:szCs w:val="24"/>
          <w:u w:val="single"/>
        </w:rPr>
      </w:pPr>
      <w:r>
        <w:rPr>
          <w:rFonts w:hint="eastAsia"/>
          <w:sz w:val="24"/>
        </w:rPr>
        <w:t>项目名称</w:t>
      </w:r>
      <w:r>
        <w:rPr>
          <w:sz w:val="24"/>
        </w:rPr>
        <w:t xml:space="preserve">: </w:t>
      </w:r>
      <w:r>
        <w:rPr>
          <w:rFonts w:hint="eastAsia"/>
          <w:b/>
          <w:bCs/>
          <w:sz w:val="24"/>
          <w:szCs w:val="24"/>
          <w:u w:val="single"/>
        </w:rPr>
        <w:t>第五代电子电气架构开发项目</w:t>
      </w:r>
    </w:p>
    <w:p w14:paraId="4357BBED">
      <w:pPr>
        <w:spacing w:line="360" w:lineRule="auto"/>
        <w:rPr>
          <w:b/>
          <w:bCs/>
          <w:sz w:val="24"/>
        </w:rPr>
      </w:pPr>
      <w:r>
        <w:rPr>
          <w:rFonts w:hint="eastAsia"/>
          <w:b/>
          <w:bCs/>
          <w:sz w:val="24"/>
        </w:rPr>
        <w:t>中国重汽集团济南动力有限公司：</w:t>
      </w:r>
    </w:p>
    <w:p w14:paraId="17D146DF">
      <w:pPr>
        <w:spacing w:line="360" w:lineRule="auto"/>
        <w:ind w:firstLine="480" w:firstLineChars="200"/>
        <w:rPr>
          <w:sz w:val="24"/>
        </w:rPr>
      </w:pPr>
      <w:r>
        <w:rPr>
          <w:rFonts w:hint="eastAsia"/>
          <w:sz w:val="24"/>
        </w:rPr>
        <w:t>我代表</w:t>
      </w:r>
      <w:r>
        <w:rPr>
          <w:sz w:val="24"/>
        </w:rPr>
        <w:t>(</w:t>
      </w:r>
      <w:r>
        <w:rPr>
          <w:rFonts w:hint="eastAsia"/>
          <w:sz w:val="24"/>
        </w:rPr>
        <w:t>投标单位名称</w:t>
      </w:r>
      <w:r>
        <w:rPr>
          <w:sz w:val="24"/>
        </w:rPr>
        <w:t>)</w:t>
      </w:r>
      <w:r>
        <w:rPr>
          <w:rFonts w:hint="eastAsia"/>
          <w:sz w:val="24"/>
        </w:rPr>
        <w:t>为保证中标产品的质量特作如下承诺：</w:t>
      </w:r>
    </w:p>
    <w:p w14:paraId="52988F55">
      <w:pPr>
        <w:spacing w:line="360" w:lineRule="auto"/>
        <w:ind w:firstLine="480" w:firstLineChars="200"/>
        <w:rPr>
          <w:sz w:val="24"/>
          <w:u w:val="single"/>
        </w:rPr>
      </w:pPr>
      <w:r>
        <w:rPr>
          <w:sz w:val="24"/>
          <w:u w:val="single"/>
        </w:rPr>
        <w:t xml:space="preserve">                                                                       </w:t>
      </w:r>
    </w:p>
    <w:p w14:paraId="41BFA42B">
      <w:pPr>
        <w:spacing w:line="360" w:lineRule="auto"/>
        <w:ind w:firstLine="480" w:firstLineChars="200"/>
        <w:rPr>
          <w:sz w:val="24"/>
          <w:u w:val="single"/>
        </w:rPr>
      </w:pPr>
      <w:r>
        <w:rPr>
          <w:sz w:val="24"/>
          <w:u w:val="single"/>
        </w:rPr>
        <w:t xml:space="preserve">                                                                       </w:t>
      </w:r>
    </w:p>
    <w:p w14:paraId="7009DBDC">
      <w:pPr>
        <w:spacing w:line="360" w:lineRule="auto"/>
        <w:ind w:firstLine="480" w:firstLineChars="200"/>
        <w:rPr>
          <w:sz w:val="24"/>
          <w:u w:val="single"/>
        </w:rPr>
      </w:pPr>
      <w:r>
        <w:rPr>
          <w:sz w:val="24"/>
          <w:u w:val="single"/>
        </w:rPr>
        <w:t xml:space="preserve">                                                                       </w:t>
      </w:r>
    </w:p>
    <w:p w14:paraId="454489BF">
      <w:pPr>
        <w:spacing w:line="360" w:lineRule="auto"/>
        <w:ind w:firstLine="480" w:firstLineChars="200"/>
        <w:rPr>
          <w:sz w:val="24"/>
          <w:u w:val="single"/>
        </w:rPr>
      </w:pPr>
      <w:r>
        <w:rPr>
          <w:sz w:val="24"/>
          <w:u w:val="single"/>
        </w:rPr>
        <w:t xml:space="preserve">                                                                       </w:t>
      </w:r>
    </w:p>
    <w:p w14:paraId="716543EB">
      <w:pPr>
        <w:spacing w:line="360" w:lineRule="auto"/>
        <w:ind w:firstLine="480" w:firstLineChars="200"/>
        <w:rPr>
          <w:sz w:val="24"/>
          <w:u w:val="single"/>
        </w:rPr>
      </w:pPr>
      <w:r>
        <w:rPr>
          <w:sz w:val="24"/>
          <w:u w:val="single"/>
        </w:rPr>
        <w:t xml:space="preserve">                                                                       </w:t>
      </w:r>
    </w:p>
    <w:p w14:paraId="54EB7EEA">
      <w:pPr>
        <w:spacing w:line="360" w:lineRule="auto"/>
        <w:ind w:firstLine="480" w:firstLineChars="200"/>
        <w:rPr>
          <w:sz w:val="24"/>
          <w:u w:val="single"/>
        </w:rPr>
      </w:pPr>
      <w:r>
        <w:rPr>
          <w:sz w:val="24"/>
          <w:u w:val="single"/>
        </w:rPr>
        <w:t xml:space="preserve">                                                                       </w:t>
      </w:r>
    </w:p>
    <w:p w14:paraId="6970AA40">
      <w:pPr>
        <w:spacing w:line="360" w:lineRule="auto"/>
        <w:ind w:firstLine="480" w:firstLineChars="200"/>
        <w:rPr>
          <w:sz w:val="24"/>
          <w:u w:val="single"/>
        </w:rPr>
      </w:pPr>
      <w:r>
        <w:rPr>
          <w:sz w:val="24"/>
          <w:u w:val="single"/>
        </w:rPr>
        <w:t xml:space="preserve">                                                                       </w:t>
      </w:r>
    </w:p>
    <w:p w14:paraId="224051E3">
      <w:pPr>
        <w:spacing w:line="360" w:lineRule="auto"/>
        <w:ind w:firstLine="480" w:firstLineChars="200"/>
        <w:rPr>
          <w:sz w:val="24"/>
          <w:u w:val="single"/>
        </w:rPr>
      </w:pPr>
      <w:r>
        <w:rPr>
          <w:sz w:val="24"/>
          <w:u w:val="single"/>
        </w:rPr>
        <w:t xml:space="preserve">                                                                       </w:t>
      </w:r>
    </w:p>
    <w:p w14:paraId="189235E1">
      <w:pPr>
        <w:spacing w:line="360" w:lineRule="auto"/>
        <w:ind w:firstLine="480" w:firstLineChars="200"/>
        <w:rPr>
          <w:sz w:val="24"/>
          <w:u w:val="single"/>
        </w:rPr>
      </w:pPr>
      <w:r>
        <w:rPr>
          <w:sz w:val="24"/>
          <w:u w:val="single"/>
        </w:rPr>
        <w:t xml:space="preserve">                                                                       </w:t>
      </w:r>
    </w:p>
    <w:p w14:paraId="3C29A5FF">
      <w:pPr>
        <w:spacing w:line="360" w:lineRule="auto"/>
        <w:ind w:firstLine="480" w:firstLineChars="200"/>
        <w:rPr>
          <w:sz w:val="24"/>
          <w:u w:val="single"/>
        </w:rPr>
      </w:pPr>
      <w:r>
        <w:rPr>
          <w:sz w:val="24"/>
          <w:u w:val="single"/>
        </w:rPr>
        <w:t xml:space="preserve">                                                                       </w:t>
      </w:r>
    </w:p>
    <w:p w14:paraId="24D1F663">
      <w:pPr>
        <w:spacing w:line="360" w:lineRule="auto"/>
        <w:ind w:firstLine="480" w:firstLineChars="200"/>
        <w:rPr>
          <w:sz w:val="24"/>
          <w:u w:val="single"/>
        </w:rPr>
      </w:pPr>
      <w:r>
        <w:rPr>
          <w:sz w:val="24"/>
          <w:u w:val="single"/>
        </w:rPr>
        <w:t xml:space="preserve">                                                                       </w:t>
      </w:r>
    </w:p>
    <w:p w14:paraId="25E60A22">
      <w:pPr>
        <w:spacing w:line="360" w:lineRule="auto"/>
        <w:ind w:firstLine="480" w:firstLineChars="200"/>
        <w:rPr>
          <w:sz w:val="24"/>
          <w:u w:val="single"/>
        </w:rPr>
      </w:pPr>
      <w:r>
        <w:rPr>
          <w:sz w:val="24"/>
          <w:u w:val="single"/>
        </w:rPr>
        <w:t xml:space="preserve">                                                                       </w:t>
      </w:r>
    </w:p>
    <w:p w14:paraId="051F8FD9">
      <w:pPr>
        <w:spacing w:line="360" w:lineRule="auto"/>
        <w:ind w:firstLine="480" w:firstLineChars="200"/>
        <w:rPr>
          <w:sz w:val="24"/>
          <w:u w:val="single"/>
        </w:rPr>
      </w:pPr>
      <w:r>
        <w:rPr>
          <w:sz w:val="24"/>
          <w:u w:val="single"/>
        </w:rPr>
        <w:t xml:space="preserve">                                                                       </w:t>
      </w:r>
    </w:p>
    <w:p w14:paraId="26DE34FA">
      <w:pPr>
        <w:spacing w:line="360" w:lineRule="auto"/>
        <w:ind w:firstLine="480" w:firstLineChars="200"/>
        <w:rPr>
          <w:sz w:val="24"/>
          <w:u w:val="single"/>
        </w:rPr>
      </w:pPr>
      <w:r>
        <w:rPr>
          <w:sz w:val="24"/>
          <w:u w:val="single"/>
        </w:rPr>
        <w:t xml:space="preserve">                                                                       </w:t>
      </w:r>
    </w:p>
    <w:p w14:paraId="35A316B0">
      <w:pPr>
        <w:spacing w:line="360" w:lineRule="auto"/>
        <w:ind w:firstLine="480" w:firstLineChars="200"/>
        <w:rPr>
          <w:sz w:val="24"/>
          <w:u w:val="single"/>
        </w:rPr>
      </w:pPr>
      <w:r>
        <w:rPr>
          <w:sz w:val="24"/>
          <w:u w:val="single"/>
        </w:rPr>
        <w:t xml:space="preserve">                                                                       </w:t>
      </w:r>
    </w:p>
    <w:p w14:paraId="4CAA3CCC">
      <w:pPr>
        <w:spacing w:line="360" w:lineRule="auto"/>
        <w:ind w:firstLine="480" w:firstLineChars="200"/>
        <w:rPr>
          <w:sz w:val="24"/>
          <w:u w:val="single"/>
        </w:rPr>
      </w:pPr>
      <w:r>
        <w:rPr>
          <w:sz w:val="24"/>
          <w:u w:val="single"/>
        </w:rPr>
        <w:t xml:space="preserve">                                                                       </w:t>
      </w:r>
    </w:p>
    <w:p w14:paraId="39EB364D">
      <w:pPr>
        <w:spacing w:line="360" w:lineRule="auto"/>
        <w:ind w:firstLine="480" w:firstLineChars="200"/>
        <w:rPr>
          <w:sz w:val="24"/>
          <w:u w:val="single"/>
        </w:rPr>
      </w:pPr>
      <w:r>
        <w:rPr>
          <w:sz w:val="24"/>
          <w:u w:val="single"/>
        </w:rPr>
        <w:t xml:space="preserve">                                                                       </w:t>
      </w:r>
    </w:p>
    <w:p w14:paraId="0F8EF9CC">
      <w:pPr>
        <w:spacing w:line="360" w:lineRule="auto"/>
        <w:ind w:firstLine="480" w:firstLineChars="200"/>
        <w:rPr>
          <w:sz w:val="24"/>
          <w:u w:val="single"/>
        </w:rPr>
      </w:pPr>
      <w:r>
        <w:rPr>
          <w:sz w:val="24"/>
          <w:u w:val="single"/>
        </w:rPr>
        <w:t xml:space="preserve">                                                                       </w:t>
      </w:r>
    </w:p>
    <w:p w14:paraId="7B11C812">
      <w:pPr>
        <w:spacing w:line="360" w:lineRule="auto"/>
        <w:ind w:left="480"/>
        <w:rPr>
          <w:sz w:val="24"/>
        </w:rPr>
      </w:pPr>
      <w:r>
        <w:rPr>
          <w:sz w:val="24"/>
        </w:rPr>
        <w:t xml:space="preserve">                           </w:t>
      </w:r>
    </w:p>
    <w:p w14:paraId="743546E2">
      <w:pPr>
        <w:spacing w:line="660" w:lineRule="exact"/>
        <w:rPr>
          <w:sz w:val="24"/>
        </w:rPr>
      </w:pPr>
      <w:r>
        <w:rPr>
          <w:rFonts w:hint="eastAsia"/>
          <w:sz w:val="24"/>
        </w:rPr>
        <w:t>投标人：（盖章）</w:t>
      </w:r>
    </w:p>
    <w:p w14:paraId="3AED3F1E">
      <w:pPr>
        <w:spacing w:line="660" w:lineRule="exact"/>
        <w:rPr>
          <w:sz w:val="24"/>
        </w:rPr>
      </w:pPr>
      <w:r>
        <w:rPr>
          <w:rFonts w:hint="eastAsia"/>
          <w:sz w:val="24"/>
        </w:rPr>
        <w:t>法定代表人（委托代理人）：（签字）</w:t>
      </w:r>
    </w:p>
    <w:p w14:paraId="3A9B34D8">
      <w:pPr>
        <w:spacing w:line="660" w:lineRule="exact"/>
        <w:rPr>
          <w:sz w:val="24"/>
        </w:rPr>
      </w:pPr>
      <w:r>
        <w:rPr>
          <w:rFonts w:hint="eastAsia"/>
          <w:sz w:val="24"/>
        </w:rPr>
        <w:t>日</w:t>
      </w:r>
      <w:r>
        <w:rPr>
          <w:sz w:val="24"/>
        </w:rPr>
        <w:t xml:space="preserve">  </w:t>
      </w:r>
      <w:r>
        <w:rPr>
          <w:rFonts w:hint="eastAsia"/>
          <w:sz w:val="24"/>
        </w:rPr>
        <w:t>期：</w:t>
      </w:r>
      <w:r>
        <w:rPr>
          <w:sz w:val="24"/>
          <w:u w:val="single"/>
        </w:rPr>
        <w:t xml:space="preserve">       </w:t>
      </w:r>
      <w:r>
        <w:rPr>
          <w:rFonts w:hint="eastAsia"/>
          <w:sz w:val="24"/>
        </w:rPr>
        <w:t>年</w:t>
      </w:r>
      <w:r>
        <w:rPr>
          <w:sz w:val="24"/>
          <w:u w:val="single"/>
        </w:rPr>
        <w:t xml:space="preserve">    </w:t>
      </w:r>
      <w:r>
        <w:rPr>
          <w:rFonts w:hint="eastAsia"/>
          <w:sz w:val="24"/>
        </w:rPr>
        <w:t>月</w:t>
      </w:r>
      <w:r>
        <w:rPr>
          <w:sz w:val="24"/>
          <w:u w:val="single"/>
        </w:rPr>
        <w:t xml:space="preserve">    </w:t>
      </w:r>
      <w:r>
        <w:rPr>
          <w:rFonts w:hint="eastAsia"/>
          <w:sz w:val="24"/>
        </w:rPr>
        <w:t>日</w:t>
      </w:r>
    </w:p>
    <w:p w14:paraId="6F471F3A">
      <w:pPr>
        <w:pStyle w:val="4"/>
        <w:rPr>
          <w:rFonts w:ascii="Times New Roman" w:hAnsi="Times New Roman"/>
        </w:rPr>
      </w:pPr>
    </w:p>
    <w:p w14:paraId="1685EF55">
      <w:pPr>
        <w:pStyle w:val="4"/>
        <w:rPr>
          <w:rFonts w:ascii="Times New Roman" w:hAnsi="Times New Roman"/>
        </w:rPr>
      </w:pPr>
    </w:p>
    <w:p w14:paraId="2B3B3BB7">
      <w:pPr>
        <w:pStyle w:val="10"/>
        <w:numPr>
          <w:ilvl w:val="0"/>
          <w:numId w:val="0"/>
        </w:numPr>
        <w:rPr>
          <w:rFonts w:ascii="Times New Roman" w:hAnsi="Times New Roman" w:eastAsia="宋体" w:cs="宋体"/>
          <w:sz w:val="32"/>
          <w:szCs w:val="32"/>
        </w:rPr>
      </w:pPr>
      <w:r>
        <w:rPr>
          <w:rFonts w:hint="eastAsia" w:ascii="Times New Roman" w:hAnsi="Times New Roman" w:eastAsia="宋体" w:cs="宋体"/>
          <w:sz w:val="32"/>
          <w:szCs w:val="32"/>
        </w:rPr>
        <w:t>附件</w:t>
      </w:r>
      <w:r>
        <w:rPr>
          <w:rFonts w:ascii="Times New Roman" w:hAnsi="Times New Roman" w:eastAsia="宋体" w:cs="宋体"/>
          <w:sz w:val="32"/>
          <w:szCs w:val="32"/>
        </w:rPr>
        <w:t>6</w:t>
      </w:r>
      <w:r>
        <w:rPr>
          <w:rFonts w:hint="eastAsia" w:ascii="Times New Roman" w:hAnsi="Times New Roman" w:eastAsia="宋体" w:cs="宋体"/>
          <w:sz w:val="32"/>
          <w:szCs w:val="32"/>
        </w:rPr>
        <w:t xml:space="preserve"> 开标一览表</w:t>
      </w:r>
    </w:p>
    <w:p w14:paraId="1A6E98ED">
      <w:pPr>
        <w:spacing w:line="360" w:lineRule="auto"/>
        <w:jc w:val="center"/>
        <w:rPr>
          <w:rFonts w:cs="宋体"/>
          <w:b/>
          <w:bCs/>
          <w:sz w:val="32"/>
          <w:szCs w:val="32"/>
        </w:rPr>
      </w:pPr>
      <w:r>
        <w:rPr>
          <w:rFonts w:hint="eastAsia" w:cs="宋体"/>
          <w:b/>
          <w:bCs/>
          <w:sz w:val="32"/>
          <w:szCs w:val="32"/>
        </w:rPr>
        <w:t>开标一览表</w:t>
      </w:r>
    </w:p>
    <w:p w14:paraId="1FED6D7A">
      <w:pPr>
        <w:spacing w:line="360" w:lineRule="auto"/>
        <w:ind w:firstLine="480" w:firstLineChars="200"/>
        <w:rPr>
          <w:sz w:val="24"/>
          <w:szCs w:val="24"/>
        </w:rPr>
      </w:pPr>
      <w:r>
        <w:rPr>
          <w:rFonts w:hint="eastAsia"/>
          <w:sz w:val="24"/>
          <w:szCs w:val="24"/>
        </w:rPr>
        <w:t>项目名称：</w:t>
      </w:r>
      <w:r>
        <w:rPr>
          <w:rFonts w:hint="eastAsia"/>
          <w:sz w:val="24"/>
          <w:szCs w:val="24"/>
          <w:u w:val="single"/>
        </w:rPr>
        <w:t>第五代电子电气架构开发项目</w:t>
      </w:r>
      <w:r>
        <w:rPr>
          <w:sz w:val="24"/>
          <w:szCs w:val="24"/>
        </w:rPr>
        <w:t xml:space="preserve">                                                        </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0"/>
        <w:gridCol w:w="1515"/>
        <w:gridCol w:w="992"/>
        <w:gridCol w:w="2268"/>
        <w:gridCol w:w="1990"/>
        <w:gridCol w:w="1217"/>
      </w:tblGrid>
      <w:tr w14:paraId="63429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0" w:type="auto"/>
            <w:vAlign w:val="center"/>
          </w:tcPr>
          <w:p w14:paraId="728DAFB1">
            <w:pPr>
              <w:jc w:val="center"/>
              <w:rPr>
                <w:b/>
              </w:rPr>
            </w:pPr>
            <w:r>
              <w:rPr>
                <w:rFonts w:hint="eastAsia"/>
                <w:b/>
              </w:rPr>
              <w:t>序号</w:t>
            </w:r>
          </w:p>
        </w:tc>
        <w:tc>
          <w:tcPr>
            <w:tcW w:w="1515" w:type="dxa"/>
            <w:vAlign w:val="center"/>
          </w:tcPr>
          <w:p w14:paraId="409A195B">
            <w:pPr>
              <w:jc w:val="center"/>
              <w:rPr>
                <w:b/>
              </w:rPr>
            </w:pPr>
            <w:r>
              <w:rPr>
                <w:rFonts w:hint="eastAsia"/>
                <w:b/>
              </w:rPr>
              <w:t>货物名称</w:t>
            </w:r>
          </w:p>
        </w:tc>
        <w:tc>
          <w:tcPr>
            <w:tcW w:w="992" w:type="dxa"/>
            <w:vAlign w:val="center"/>
          </w:tcPr>
          <w:p w14:paraId="72CB7BDE">
            <w:pPr>
              <w:jc w:val="center"/>
              <w:rPr>
                <w:b/>
              </w:rPr>
            </w:pPr>
            <w:r>
              <w:rPr>
                <w:rFonts w:hint="eastAsia"/>
                <w:b/>
              </w:rPr>
              <w:t>数量</w:t>
            </w:r>
          </w:p>
        </w:tc>
        <w:tc>
          <w:tcPr>
            <w:tcW w:w="2268" w:type="dxa"/>
            <w:vAlign w:val="center"/>
          </w:tcPr>
          <w:p w14:paraId="035BDC41">
            <w:pPr>
              <w:jc w:val="center"/>
              <w:rPr>
                <w:b/>
              </w:rPr>
            </w:pPr>
            <w:r>
              <w:rPr>
                <w:rFonts w:hint="eastAsia"/>
                <w:b/>
              </w:rPr>
              <w:t>投标总价</w:t>
            </w:r>
            <w:r>
              <w:rPr>
                <w:rFonts w:hint="eastAsia" w:eastAsia="等线"/>
                <w:b/>
              </w:rPr>
              <w:t>（元）</w:t>
            </w:r>
          </w:p>
        </w:tc>
        <w:tc>
          <w:tcPr>
            <w:tcW w:w="1990" w:type="dxa"/>
            <w:vAlign w:val="center"/>
          </w:tcPr>
          <w:p w14:paraId="761D4C9A">
            <w:pPr>
              <w:jc w:val="center"/>
              <w:rPr>
                <w:b/>
              </w:rPr>
            </w:pPr>
            <w:r>
              <w:rPr>
                <w:rFonts w:hint="eastAsia"/>
                <w:b/>
              </w:rPr>
              <w:t>付款方式及比例如何响应</w:t>
            </w:r>
          </w:p>
        </w:tc>
        <w:tc>
          <w:tcPr>
            <w:tcW w:w="0" w:type="auto"/>
            <w:vAlign w:val="center"/>
          </w:tcPr>
          <w:p w14:paraId="5D10A97A">
            <w:pPr>
              <w:jc w:val="center"/>
              <w:rPr>
                <w:rFonts w:eastAsia="等线"/>
                <w:b/>
              </w:rPr>
            </w:pPr>
            <w:r>
              <w:rPr>
                <w:rFonts w:hint="eastAsia"/>
                <w:b/>
              </w:rPr>
              <w:t>商务条款是否偏离</w:t>
            </w:r>
          </w:p>
        </w:tc>
      </w:tr>
      <w:tr w14:paraId="471D43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60" w:hRule="atLeast"/>
          <w:jc w:val="center"/>
        </w:trPr>
        <w:tc>
          <w:tcPr>
            <w:tcW w:w="0" w:type="auto"/>
            <w:vAlign w:val="center"/>
          </w:tcPr>
          <w:p w14:paraId="0DDFD82F">
            <w:pPr>
              <w:jc w:val="center"/>
              <w:rPr>
                <w:b/>
              </w:rPr>
            </w:pPr>
            <w:r>
              <w:rPr>
                <w:rFonts w:hint="eastAsia"/>
                <w:b/>
              </w:rPr>
              <w:t>1</w:t>
            </w:r>
          </w:p>
        </w:tc>
        <w:tc>
          <w:tcPr>
            <w:tcW w:w="1515" w:type="dxa"/>
            <w:vAlign w:val="center"/>
          </w:tcPr>
          <w:p w14:paraId="5F754E13">
            <w:pPr>
              <w:jc w:val="center"/>
              <w:rPr>
                <w:b/>
                <w:szCs w:val="21"/>
              </w:rPr>
            </w:pPr>
            <w:r>
              <w:rPr>
                <w:rFonts w:hint="eastAsia"/>
                <w:b/>
                <w:szCs w:val="21"/>
              </w:rPr>
              <w:t>第五代电子电气架构</w:t>
            </w:r>
          </w:p>
        </w:tc>
        <w:tc>
          <w:tcPr>
            <w:tcW w:w="992" w:type="dxa"/>
            <w:vAlign w:val="center"/>
          </w:tcPr>
          <w:p w14:paraId="3241284A">
            <w:pPr>
              <w:jc w:val="center"/>
              <w:rPr>
                <w:b/>
              </w:rPr>
            </w:pPr>
            <w:r>
              <w:rPr>
                <w:rFonts w:hint="eastAsia"/>
                <w:b/>
              </w:rPr>
              <w:t>1</w:t>
            </w:r>
          </w:p>
        </w:tc>
        <w:tc>
          <w:tcPr>
            <w:tcW w:w="2268" w:type="dxa"/>
            <w:vAlign w:val="center"/>
          </w:tcPr>
          <w:p w14:paraId="08B35C41">
            <w:pPr>
              <w:jc w:val="left"/>
              <w:rPr>
                <w:rFonts w:eastAsia="等线"/>
                <w:b/>
              </w:rPr>
            </w:pPr>
            <w:r>
              <w:rPr>
                <w:rFonts w:hint="eastAsia" w:eastAsia="等线"/>
                <w:b/>
              </w:rPr>
              <w:t>不含税价：</w:t>
            </w:r>
          </w:p>
          <w:p w14:paraId="63E6D405">
            <w:pPr>
              <w:jc w:val="left"/>
              <w:rPr>
                <w:rFonts w:eastAsia="等线"/>
                <w:b/>
              </w:rPr>
            </w:pPr>
            <w:r>
              <w:rPr>
                <w:rFonts w:hint="eastAsia" w:eastAsia="等线"/>
                <w:b/>
              </w:rPr>
              <w:t>含税价格：</w:t>
            </w:r>
            <w:r>
              <w:rPr>
                <w:rFonts w:hint="eastAsia" w:eastAsia="等线"/>
                <w:b/>
                <w:u w:val="single"/>
              </w:rPr>
              <w:t xml:space="preserve">    （大写：    ）</w:t>
            </w:r>
          </w:p>
          <w:p w14:paraId="2960BCAD">
            <w:pPr>
              <w:jc w:val="left"/>
              <w:rPr>
                <w:b/>
              </w:rPr>
            </w:pPr>
            <w:r>
              <w:rPr>
                <w:rFonts w:hint="eastAsia" w:eastAsia="等线"/>
                <w:b/>
              </w:rPr>
              <w:t>税率：</w:t>
            </w:r>
          </w:p>
        </w:tc>
        <w:tc>
          <w:tcPr>
            <w:tcW w:w="1990" w:type="dxa"/>
            <w:vAlign w:val="center"/>
          </w:tcPr>
          <w:p w14:paraId="7F331229">
            <w:pPr>
              <w:jc w:val="center"/>
              <w:rPr>
                <w:b/>
              </w:rPr>
            </w:pPr>
          </w:p>
        </w:tc>
        <w:tc>
          <w:tcPr>
            <w:tcW w:w="0" w:type="auto"/>
            <w:vAlign w:val="center"/>
          </w:tcPr>
          <w:p w14:paraId="654C9C83">
            <w:pPr>
              <w:jc w:val="center"/>
              <w:rPr>
                <w:b/>
              </w:rPr>
            </w:pPr>
          </w:p>
        </w:tc>
      </w:tr>
    </w:tbl>
    <w:p w14:paraId="48C2C77D">
      <w:pPr>
        <w:rPr>
          <w:sz w:val="24"/>
          <w:szCs w:val="24"/>
        </w:rPr>
      </w:pPr>
    </w:p>
    <w:p w14:paraId="736BE6B1">
      <w:pPr>
        <w:spacing w:line="400" w:lineRule="exact"/>
        <w:rPr>
          <w:szCs w:val="21"/>
        </w:rPr>
      </w:pPr>
      <w:r>
        <w:rPr>
          <w:rFonts w:hint="eastAsia"/>
          <w:b/>
          <w:bCs/>
          <w:szCs w:val="21"/>
        </w:rPr>
        <w:t>注：</w:t>
      </w:r>
    </w:p>
    <w:p w14:paraId="0D7DFDCE">
      <w:pPr>
        <w:spacing w:line="520" w:lineRule="exact"/>
        <w:rPr>
          <w:b/>
          <w:bCs/>
          <w:szCs w:val="21"/>
        </w:rPr>
      </w:pPr>
      <w:r>
        <w:rPr>
          <w:b/>
          <w:bCs/>
          <w:szCs w:val="21"/>
        </w:rPr>
        <w:t>1</w:t>
      </w:r>
      <w:r>
        <w:rPr>
          <w:rFonts w:hint="eastAsia"/>
          <w:b/>
          <w:bCs/>
          <w:szCs w:val="21"/>
        </w:rPr>
        <w:t>.此表中的报价必须与相应的报价明细表中的报价一致。</w:t>
      </w:r>
    </w:p>
    <w:p w14:paraId="357E71B9">
      <w:pPr>
        <w:spacing w:line="300" w:lineRule="auto"/>
        <w:rPr>
          <w:rFonts w:cs="宋体"/>
          <w:b/>
        </w:rPr>
      </w:pPr>
      <w:r>
        <w:rPr>
          <w:rFonts w:hint="eastAsia" w:cs="宋体"/>
          <w:b/>
        </w:rPr>
        <w:t>2.需写明含税价、不含税价格、税率。</w:t>
      </w:r>
    </w:p>
    <w:p w14:paraId="4EDD8E4A">
      <w:pPr>
        <w:spacing w:line="300" w:lineRule="auto"/>
        <w:rPr>
          <w:rFonts w:cs="宋体"/>
          <w:b/>
        </w:rPr>
      </w:pPr>
      <w:r>
        <w:rPr>
          <w:rFonts w:hint="eastAsia" w:cs="宋体"/>
          <w:b/>
        </w:rPr>
        <w:t>3.投标总价包括设备费、调试费、备品备件、特殊工具、运杂费、装卸费、技术服务费、保险费及增值税和其它税费。</w:t>
      </w:r>
    </w:p>
    <w:p w14:paraId="24A87CAF">
      <w:pPr>
        <w:pStyle w:val="4"/>
        <w:rPr>
          <w:rFonts w:ascii="Times New Roman" w:hAnsi="Times New Roman"/>
          <w:b/>
          <w:bCs/>
          <w:szCs w:val="21"/>
        </w:rPr>
      </w:pPr>
    </w:p>
    <w:p w14:paraId="6EC40A35">
      <w:pPr>
        <w:pStyle w:val="4"/>
        <w:rPr>
          <w:rFonts w:ascii="Times New Roman" w:hAnsi="Times New Roman"/>
          <w:b/>
          <w:bCs/>
          <w:szCs w:val="21"/>
        </w:rPr>
      </w:pPr>
    </w:p>
    <w:p w14:paraId="71C87BC7">
      <w:pPr>
        <w:spacing w:line="660" w:lineRule="exact"/>
        <w:jc w:val="center"/>
        <w:rPr>
          <w:sz w:val="24"/>
        </w:rPr>
      </w:pPr>
      <w:r>
        <w:rPr>
          <w:rFonts w:hint="eastAsia"/>
          <w:sz w:val="24"/>
        </w:rPr>
        <w:t xml:space="preserve">                        投标人：（盖章）</w:t>
      </w:r>
    </w:p>
    <w:p w14:paraId="33416A1E">
      <w:pPr>
        <w:spacing w:line="660" w:lineRule="exact"/>
        <w:jc w:val="right"/>
        <w:rPr>
          <w:sz w:val="24"/>
        </w:rPr>
      </w:pPr>
      <w:r>
        <w:rPr>
          <w:rFonts w:hint="eastAsia"/>
          <w:sz w:val="24"/>
        </w:rPr>
        <w:t>法定代表人（委托代理人）：（签字）</w:t>
      </w:r>
    </w:p>
    <w:p w14:paraId="6F90DF3B">
      <w:pPr>
        <w:spacing w:line="660" w:lineRule="exact"/>
        <w:jc w:val="center"/>
        <w:rPr>
          <w:sz w:val="24"/>
        </w:rPr>
      </w:pPr>
      <w:r>
        <w:rPr>
          <w:rFonts w:hint="eastAsia"/>
          <w:sz w:val="24"/>
        </w:rPr>
        <w:t xml:space="preserve">                                     日</w:t>
      </w:r>
      <w:r>
        <w:rPr>
          <w:sz w:val="24"/>
        </w:rPr>
        <w:t xml:space="preserve">  </w:t>
      </w:r>
      <w:r>
        <w:rPr>
          <w:rFonts w:hint="eastAsia"/>
          <w:sz w:val="24"/>
        </w:rPr>
        <w:t>期：</w:t>
      </w:r>
      <w:r>
        <w:rPr>
          <w:sz w:val="24"/>
          <w:u w:val="single"/>
        </w:rPr>
        <w:t xml:space="preserve">       </w:t>
      </w:r>
      <w:r>
        <w:rPr>
          <w:rFonts w:hint="eastAsia"/>
          <w:sz w:val="24"/>
        </w:rPr>
        <w:t>年</w:t>
      </w:r>
      <w:r>
        <w:rPr>
          <w:sz w:val="24"/>
          <w:u w:val="single"/>
        </w:rPr>
        <w:t xml:space="preserve">    </w:t>
      </w:r>
      <w:r>
        <w:rPr>
          <w:rFonts w:hint="eastAsia"/>
          <w:sz w:val="24"/>
        </w:rPr>
        <w:t>月</w:t>
      </w:r>
      <w:r>
        <w:rPr>
          <w:sz w:val="24"/>
          <w:u w:val="single"/>
        </w:rPr>
        <w:t xml:space="preserve">    </w:t>
      </w:r>
      <w:r>
        <w:rPr>
          <w:rFonts w:hint="eastAsia"/>
          <w:sz w:val="24"/>
        </w:rPr>
        <w:t>日</w:t>
      </w:r>
    </w:p>
    <w:p w14:paraId="23D0CE93">
      <w:pPr>
        <w:pStyle w:val="11"/>
        <w:rPr>
          <w:rFonts w:ascii="Times New Roman" w:hAnsi="Times New Roman"/>
        </w:rPr>
      </w:pPr>
      <w:r>
        <w:rPr>
          <w:rFonts w:ascii="Times New Roman" w:hAnsi="Times New Roman"/>
        </w:rPr>
        <w:t xml:space="preserve"> </w:t>
      </w:r>
    </w:p>
    <w:p w14:paraId="1C91A5DC">
      <w:pPr>
        <w:pStyle w:val="11"/>
        <w:rPr>
          <w:rFonts w:ascii="Times New Roman" w:hAnsi="Times New Roman"/>
        </w:rPr>
      </w:pPr>
    </w:p>
    <w:p w14:paraId="1A94B534">
      <w:pPr>
        <w:pStyle w:val="11"/>
        <w:rPr>
          <w:rFonts w:ascii="Times New Roman" w:hAnsi="Times New Roman"/>
        </w:rPr>
      </w:pPr>
    </w:p>
    <w:p w14:paraId="55F83BEB">
      <w:pPr>
        <w:pStyle w:val="11"/>
        <w:rPr>
          <w:rFonts w:ascii="Times New Roman" w:hAnsi="Times New Roman"/>
        </w:rPr>
      </w:pPr>
    </w:p>
    <w:p w14:paraId="2F1F90C5">
      <w:pPr>
        <w:pStyle w:val="11"/>
        <w:rPr>
          <w:rFonts w:ascii="Times New Roman" w:hAnsi="Times New Roman"/>
        </w:rPr>
      </w:pPr>
    </w:p>
    <w:p w14:paraId="6901ACB5">
      <w:pPr>
        <w:pStyle w:val="11"/>
        <w:rPr>
          <w:rFonts w:ascii="Times New Roman" w:hAnsi="Times New Roman"/>
        </w:rPr>
      </w:pPr>
    </w:p>
    <w:p w14:paraId="004B7F1D">
      <w:pPr>
        <w:pStyle w:val="11"/>
        <w:rPr>
          <w:rFonts w:ascii="Times New Roman" w:hAnsi="Times New Roman"/>
        </w:rPr>
      </w:pPr>
    </w:p>
    <w:p w14:paraId="6B582977">
      <w:pPr>
        <w:pStyle w:val="11"/>
        <w:rPr>
          <w:rFonts w:ascii="Times New Roman" w:hAnsi="Times New Roman"/>
        </w:rPr>
      </w:pPr>
    </w:p>
    <w:p w14:paraId="303BA156">
      <w:pPr>
        <w:pStyle w:val="11"/>
        <w:rPr>
          <w:rFonts w:ascii="Times New Roman" w:hAnsi="Times New Roman"/>
        </w:rPr>
      </w:pPr>
    </w:p>
    <w:p w14:paraId="7AA91FB4">
      <w:pPr>
        <w:pStyle w:val="10"/>
        <w:numPr>
          <w:ilvl w:val="0"/>
          <w:numId w:val="0"/>
        </w:numPr>
        <w:rPr>
          <w:rFonts w:ascii="Times New Roman" w:hAnsi="Times New Roman" w:eastAsia="宋体" w:cs="宋体"/>
          <w:sz w:val="32"/>
          <w:szCs w:val="32"/>
        </w:rPr>
      </w:pPr>
      <w:r>
        <w:rPr>
          <w:rFonts w:hint="eastAsia" w:ascii="Times New Roman" w:hAnsi="Times New Roman" w:eastAsia="宋体" w:cs="宋体"/>
          <w:sz w:val="32"/>
          <w:szCs w:val="32"/>
        </w:rPr>
        <w:t>附件7 商务条款偏离表</w:t>
      </w:r>
    </w:p>
    <w:p w14:paraId="453236D3">
      <w:pPr>
        <w:spacing w:line="360" w:lineRule="auto"/>
        <w:jc w:val="center"/>
        <w:rPr>
          <w:rFonts w:cs="宋体"/>
          <w:b/>
          <w:bCs/>
          <w:sz w:val="32"/>
          <w:szCs w:val="32"/>
        </w:rPr>
      </w:pPr>
      <w:r>
        <w:rPr>
          <w:rFonts w:hint="eastAsia" w:cs="宋体"/>
          <w:b/>
          <w:bCs/>
          <w:sz w:val="32"/>
          <w:szCs w:val="32"/>
        </w:rPr>
        <w:t>商务条款偏离表</w:t>
      </w:r>
    </w:p>
    <w:tbl>
      <w:tblPr>
        <w:tblStyle w:val="7"/>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657D2D1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326E0F00">
            <w:pPr>
              <w:jc w:val="center"/>
              <w:rPr>
                <w:b/>
              </w:rPr>
            </w:pPr>
            <w:r>
              <w:rPr>
                <w:rFonts w:hint="eastAsia" w:cs="宋体"/>
                <w:b/>
                <w:bCs/>
                <w:sz w:val="24"/>
                <w:szCs w:val="24"/>
              </w:rPr>
              <w:t>第五代电子电气架构开发项目</w:t>
            </w:r>
          </w:p>
        </w:tc>
        <w:tc>
          <w:tcPr>
            <w:tcW w:w="2875" w:type="dxa"/>
            <w:tcBorders>
              <w:top w:val="single" w:color="auto" w:sz="4" w:space="0"/>
              <w:left w:val="single" w:color="auto" w:sz="4" w:space="0"/>
              <w:bottom w:val="single" w:color="auto" w:sz="4" w:space="0"/>
              <w:right w:val="single" w:color="auto" w:sz="4" w:space="0"/>
            </w:tcBorders>
            <w:vAlign w:val="center"/>
          </w:tcPr>
          <w:p w14:paraId="43423E61">
            <w:pPr>
              <w:jc w:val="center"/>
              <w:rPr>
                <w:b/>
              </w:rPr>
            </w:pPr>
            <w:r>
              <w:rPr>
                <w:rFonts w:hint="eastAsia" w:cs="宋体"/>
                <w:b/>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5F5FDEBC">
            <w:pPr>
              <w:jc w:val="center"/>
              <w:rPr>
                <w:b/>
              </w:rPr>
            </w:pPr>
            <w:r>
              <w:rPr>
                <w:rFonts w:hint="eastAsia" w:cs="宋体"/>
                <w:b/>
              </w:rPr>
              <w:t>响应规格</w:t>
            </w:r>
          </w:p>
        </w:tc>
        <w:tc>
          <w:tcPr>
            <w:tcW w:w="1645" w:type="dxa"/>
            <w:tcBorders>
              <w:top w:val="single" w:color="auto" w:sz="4" w:space="0"/>
              <w:left w:val="single" w:color="auto" w:sz="4" w:space="0"/>
              <w:bottom w:val="single" w:color="auto" w:sz="4" w:space="0"/>
            </w:tcBorders>
            <w:vAlign w:val="center"/>
          </w:tcPr>
          <w:p w14:paraId="7BF0C7C8">
            <w:pPr>
              <w:jc w:val="center"/>
              <w:rPr>
                <w:b/>
              </w:rPr>
            </w:pPr>
            <w:r>
              <w:rPr>
                <w:rFonts w:hint="eastAsia" w:cs="宋体"/>
                <w:b/>
              </w:rPr>
              <w:t>是否偏离</w:t>
            </w:r>
          </w:p>
          <w:p w14:paraId="5F2D3CAA">
            <w:pPr>
              <w:jc w:val="center"/>
              <w:rPr>
                <w:b/>
              </w:rPr>
            </w:pPr>
            <w:r>
              <w:rPr>
                <w:rFonts w:hint="eastAsia" w:cs="宋体"/>
                <w:b/>
              </w:rPr>
              <w:t>（提供说明）</w:t>
            </w:r>
          </w:p>
        </w:tc>
      </w:tr>
      <w:tr w14:paraId="704B9CC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0E376AFB">
            <w:pPr>
              <w:jc w:val="center"/>
              <w:rPr>
                <w:b/>
              </w:rPr>
            </w:pPr>
            <w:r>
              <w:rPr>
                <w:rFonts w:hint="eastAsia" w:eastAsia="黑体"/>
                <w:sz w:val="24"/>
                <w:szCs w:val="24"/>
              </w:rPr>
              <w:t>交货方式</w:t>
            </w:r>
          </w:p>
        </w:tc>
        <w:tc>
          <w:tcPr>
            <w:tcW w:w="2875" w:type="dxa"/>
            <w:tcBorders>
              <w:top w:val="single" w:color="auto" w:sz="4" w:space="0"/>
              <w:left w:val="single" w:color="auto" w:sz="4" w:space="0"/>
              <w:bottom w:val="single" w:color="auto" w:sz="4" w:space="0"/>
              <w:right w:val="single" w:color="auto" w:sz="4" w:space="0"/>
            </w:tcBorders>
            <w:vAlign w:val="center"/>
          </w:tcPr>
          <w:p w14:paraId="7F0FC552">
            <w:pPr>
              <w:jc w:val="center"/>
              <w:rPr>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B11C617">
            <w:pPr>
              <w:jc w:val="center"/>
              <w:rPr>
                <w:b/>
                <w:szCs w:val="21"/>
              </w:rPr>
            </w:pPr>
          </w:p>
        </w:tc>
        <w:tc>
          <w:tcPr>
            <w:tcW w:w="1645" w:type="dxa"/>
            <w:tcBorders>
              <w:top w:val="single" w:color="auto" w:sz="4" w:space="0"/>
              <w:left w:val="single" w:color="auto" w:sz="4" w:space="0"/>
              <w:bottom w:val="single" w:color="auto" w:sz="4" w:space="0"/>
            </w:tcBorders>
            <w:vAlign w:val="center"/>
          </w:tcPr>
          <w:p w14:paraId="13E91808">
            <w:pPr>
              <w:jc w:val="center"/>
              <w:rPr>
                <w:b/>
                <w:szCs w:val="21"/>
              </w:rPr>
            </w:pPr>
          </w:p>
        </w:tc>
      </w:tr>
      <w:tr w14:paraId="773260F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FCB89FE">
            <w:pPr>
              <w:jc w:val="center"/>
              <w:rPr>
                <w:b/>
              </w:rPr>
            </w:pPr>
            <w:r>
              <w:rPr>
                <w:rFonts w:hint="eastAsia" w:eastAsia="黑体"/>
                <w:sz w:val="24"/>
                <w:szCs w:val="24"/>
              </w:rPr>
              <w:t>付款方式</w:t>
            </w:r>
          </w:p>
        </w:tc>
        <w:tc>
          <w:tcPr>
            <w:tcW w:w="2875" w:type="dxa"/>
            <w:tcBorders>
              <w:top w:val="single" w:color="auto" w:sz="4" w:space="0"/>
              <w:left w:val="single" w:color="auto" w:sz="4" w:space="0"/>
              <w:bottom w:val="single" w:color="auto" w:sz="4" w:space="0"/>
              <w:right w:val="single" w:color="auto" w:sz="4" w:space="0"/>
            </w:tcBorders>
          </w:tcPr>
          <w:p w14:paraId="5E799230">
            <w:pPr>
              <w:jc w:val="center"/>
              <w:rPr>
                <w:b/>
                <w:szCs w:val="21"/>
              </w:rPr>
            </w:pPr>
          </w:p>
        </w:tc>
        <w:tc>
          <w:tcPr>
            <w:tcW w:w="2885" w:type="dxa"/>
            <w:tcBorders>
              <w:top w:val="single" w:color="auto" w:sz="4" w:space="0"/>
              <w:left w:val="single" w:color="auto" w:sz="4" w:space="0"/>
              <w:bottom w:val="single" w:color="auto" w:sz="4" w:space="0"/>
              <w:right w:val="single" w:color="auto" w:sz="4" w:space="0"/>
            </w:tcBorders>
          </w:tcPr>
          <w:p w14:paraId="78EA2F20">
            <w:pPr>
              <w:jc w:val="center"/>
              <w:rPr>
                <w:b/>
                <w:szCs w:val="21"/>
              </w:rPr>
            </w:pPr>
          </w:p>
        </w:tc>
        <w:tc>
          <w:tcPr>
            <w:tcW w:w="1645" w:type="dxa"/>
            <w:tcBorders>
              <w:top w:val="single" w:color="auto" w:sz="4" w:space="0"/>
              <w:left w:val="single" w:color="auto" w:sz="4" w:space="0"/>
              <w:bottom w:val="single" w:color="auto" w:sz="4" w:space="0"/>
            </w:tcBorders>
            <w:vAlign w:val="center"/>
          </w:tcPr>
          <w:p w14:paraId="4B1EC9D9">
            <w:pPr>
              <w:jc w:val="center"/>
              <w:rPr>
                <w:b/>
              </w:rPr>
            </w:pPr>
          </w:p>
        </w:tc>
      </w:tr>
      <w:tr w14:paraId="7B53C30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2BF13CF">
            <w:pPr>
              <w:jc w:val="center"/>
              <w:rPr>
                <w:rFonts w:eastAsia="黑体"/>
                <w:sz w:val="24"/>
                <w:szCs w:val="24"/>
              </w:rPr>
            </w:pPr>
            <w:r>
              <w:rPr>
                <w:rFonts w:hint="eastAsia" w:eastAsia="黑体"/>
                <w:sz w:val="24"/>
                <w:szCs w:val="24"/>
              </w:rPr>
              <w:t>服务内容</w:t>
            </w:r>
          </w:p>
        </w:tc>
        <w:tc>
          <w:tcPr>
            <w:tcW w:w="2875" w:type="dxa"/>
            <w:tcBorders>
              <w:top w:val="single" w:color="auto" w:sz="4" w:space="0"/>
              <w:left w:val="single" w:color="auto" w:sz="4" w:space="0"/>
              <w:bottom w:val="single" w:color="auto" w:sz="4" w:space="0"/>
              <w:right w:val="single" w:color="auto" w:sz="4" w:space="0"/>
            </w:tcBorders>
          </w:tcPr>
          <w:p w14:paraId="5767E701">
            <w:pPr>
              <w:jc w:val="center"/>
              <w:rPr>
                <w:b/>
                <w:szCs w:val="21"/>
              </w:rPr>
            </w:pPr>
          </w:p>
        </w:tc>
        <w:tc>
          <w:tcPr>
            <w:tcW w:w="2885" w:type="dxa"/>
            <w:tcBorders>
              <w:top w:val="single" w:color="auto" w:sz="4" w:space="0"/>
              <w:left w:val="single" w:color="auto" w:sz="4" w:space="0"/>
              <w:bottom w:val="single" w:color="auto" w:sz="4" w:space="0"/>
              <w:right w:val="single" w:color="auto" w:sz="4" w:space="0"/>
            </w:tcBorders>
          </w:tcPr>
          <w:p w14:paraId="48160667">
            <w:pPr>
              <w:jc w:val="center"/>
              <w:rPr>
                <w:b/>
                <w:szCs w:val="21"/>
              </w:rPr>
            </w:pPr>
          </w:p>
        </w:tc>
        <w:tc>
          <w:tcPr>
            <w:tcW w:w="1645" w:type="dxa"/>
            <w:tcBorders>
              <w:top w:val="single" w:color="auto" w:sz="4" w:space="0"/>
              <w:left w:val="single" w:color="auto" w:sz="4" w:space="0"/>
              <w:bottom w:val="single" w:color="auto" w:sz="4" w:space="0"/>
            </w:tcBorders>
            <w:vAlign w:val="center"/>
          </w:tcPr>
          <w:p w14:paraId="10006C9F">
            <w:pPr>
              <w:jc w:val="center"/>
              <w:rPr>
                <w:b/>
              </w:rPr>
            </w:pPr>
          </w:p>
        </w:tc>
      </w:tr>
    </w:tbl>
    <w:p w14:paraId="576D2D38">
      <w:pPr>
        <w:spacing w:line="360" w:lineRule="auto"/>
        <w:ind w:firstLine="480" w:firstLineChars="200"/>
        <w:rPr>
          <w:sz w:val="24"/>
          <w:szCs w:val="24"/>
        </w:rPr>
      </w:pPr>
      <w:r>
        <w:rPr>
          <w:rFonts w:hint="eastAsia"/>
          <w:sz w:val="24"/>
          <w:szCs w:val="24"/>
        </w:rPr>
        <w:t>投标人名称：</w:t>
      </w:r>
      <w:r>
        <w:rPr>
          <w:sz w:val="24"/>
          <w:szCs w:val="24"/>
        </w:rPr>
        <w:t xml:space="preserve">                   </w:t>
      </w:r>
      <w:r>
        <w:rPr>
          <w:rFonts w:hint="eastAsia"/>
          <w:sz w:val="24"/>
          <w:szCs w:val="24"/>
        </w:rPr>
        <w:t>授权代表签字：</w:t>
      </w:r>
      <w:r>
        <w:rPr>
          <w:sz w:val="24"/>
          <w:szCs w:val="24"/>
        </w:rPr>
        <w:t xml:space="preserve">            </w:t>
      </w:r>
      <w:r>
        <w:rPr>
          <w:rFonts w:hint="eastAsia"/>
          <w:sz w:val="24"/>
          <w:szCs w:val="24"/>
        </w:rPr>
        <w:t>日期：</w:t>
      </w:r>
    </w:p>
    <w:p w14:paraId="126CA32D">
      <w:pPr>
        <w:spacing w:line="360" w:lineRule="auto"/>
        <w:ind w:firstLine="480" w:firstLineChars="200"/>
        <w:rPr>
          <w:sz w:val="24"/>
          <w:szCs w:val="24"/>
        </w:rPr>
      </w:pPr>
      <w:r>
        <w:rPr>
          <w:rFonts w:hint="eastAsia"/>
          <w:sz w:val="24"/>
          <w:szCs w:val="24"/>
        </w:rPr>
        <w:t>注：为避免歧义，无偏离也应要提报该表，并注明“无”字。如无该表则即使在其它部分已反映，将也被视为“无偏离”。</w:t>
      </w:r>
    </w:p>
    <w:p w14:paraId="6CBCA30D">
      <w:pPr>
        <w:pStyle w:val="3"/>
        <w:rPr>
          <w:rFonts w:ascii="Times New Roman"/>
        </w:rPr>
      </w:pPr>
    </w:p>
    <w:p w14:paraId="1BC82249">
      <w:pPr>
        <w:pStyle w:val="11"/>
        <w:rPr>
          <w:rFonts w:ascii="Times New Roman" w:hAnsi="Times New Roman"/>
          <w:sz w:val="24"/>
        </w:rPr>
      </w:pPr>
    </w:p>
    <w:p w14:paraId="67D80809">
      <w:pPr>
        <w:pStyle w:val="11"/>
        <w:rPr>
          <w:rFonts w:ascii="Times New Roman" w:hAnsi="Times New Roman"/>
          <w:sz w:val="24"/>
        </w:rPr>
      </w:pPr>
    </w:p>
    <w:p w14:paraId="65B91FFA">
      <w:pPr>
        <w:pStyle w:val="11"/>
        <w:rPr>
          <w:rFonts w:ascii="Times New Roman" w:hAnsi="Times New Roman"/>
          <w:sz w:val="24"/>
        </w:rPr>
      </w:pPr>
    </w:p>
    <w:p w14:paraId="0A0CAA71">
      <w:pPr>
        <w:pStyle w:val="11"/>
        <w:rPr>
          <w:rFonts w:ascii="Times New Roman" w:hAnsi="Times New Roman"/>
          <w:sz w:val="24"/>
        </w:rPr>
      </w:pPr>
    </w:p>
    <w:p w14:paraId="22F364C1">
      <w:pPr>
        <w:pStyle w:val="11"/>
        <w:rPr>
          <w:rFonts w:ascii="Times New Roman" w:hAnsi="Times New Roman"/>
          <w:sz w:val="24"/>
        </w:rPr>
      </w:pPr>
    </w:p>
    <w:p w14:paraId="6E6D0053">
      <w:pPr>
        <w:pStyle w:val="11"/>
        <w:rPr>
          <w:rFonts w:ascii="Times New Roman" w:hAnsi="Times New Roman"/>
          <w:sz w:val="24"/>
        </w:rPr>
      </w:pPr>
    </w:p>
    <w:p w14:paraId="66B2638A">
      <w:pPr>
        <w:pStyle w:val="11"/>
        <w:rPr>
          <w:rFonts w:ascii="Times New Roman" w:hAnsi="Times New Roman"/>
          <w:sz w:val="24"/>
        </w:rPr>
      </w:pPr>
    </w:p>
    <w:p w14:paraId="64A19AD8">
      <w:pPr>
        <w:pStyle w:val="11"/>
        <w:rPr>
          <w:rFonts w:ascii="Times New Roman" w:hAnsi="Times New Roman"/>
          <w:sz w:val="24"/>
        </w:rPr>
      </w:pPr>
    </w:p>
    <w:p w14:paraId="26BE3806">
      <w:pPr>
        <w:pStyle w:val="11"/>
        <w:rPr>
          <w:rFonts w:ascii="Times New Roman" w:hAnsi="Times New Roman"/>
          <w:sz w:val="24"/>
        </w:rPr>
      </w:pPr>
    </w:p>
    <w:p w14:paraId="6A77F2B4">
      <w:pPr>
        <w:pStyle w:val="11"/>
        <w:rPr>
          <w:rFonts w:ascii="Times New Roman" w:hAnsi="Times New Roman"/>
          <w:sz w:val="24"/>
        </w:rPr>
      </w:pPr>
    </w:p>
    <w:p w14:paraId="16A6C9E5">
      <w:pPr>
        <w:pStyle w:val="11"/>
        <w:rPr>
          <w:rFonts w:ascii="Times New Roman" w:hAnsi="Times New Roman"/>
          <w:sz w:val="24"/>
        </w:rPr>
      </w:pPr>
    </w:p>
    <w:p w14:paraId="179C1C41">
      <w:pPr>
        <w:pStyle w:val="11"/>
        <w:rPr>
          <w:rFonts w:ascii="Times New Roman" w:hAnsi="Times New Roman"/>
          <w:sz w:val="24"/>
        </w:rPr>
      </w:pPr>
    </w:p>
    <w:p w14:paraId="5AF496B8">
      <w:pPr>
        <w:pStyle w:val="11"/>
        <w:rPr>
          <w:rFonts w:ascii="Times New Roman" w:hAnsi="Times New Roman"/>
          <w:sz w:val="24"/>
        </w:rPr>
      </w:pPr>
    </w:p>
    <w:p w14:paraId="7446F804">
      <w:pPr>
        <w:pStyle w:val="11"/>
        <w:rPr>
          <w:rFonts w:ascii="Times New Roman" w:hAnsi="Times New Roman"/>
          <w:sz w:val="24"/>
        </w:rPr>
      </w:pPr>
    </w:p>
    <w:p w14:paraId="61A5B639">
      <w:pPr>
        <w:pStyle w:val="11"/>
        <w:rPr>
          <w:rFonts w:ascii="Times New Roman" w:hAnsi="Times New Roman"/>
          <w:sz w:val="24"/>
        </w:rPr>
      </w:pPr>
    </w:p>
    <w:p w14:paraId="2D4CA3D1">
      <w:pPr>
        <w:pStyle w:val="11"/>
        <w:rPr>
          <w:rFonts w:ascii="Times New Roman" w:hAnsi="Times New Roman"/>
          <w:sz w:val="24"/>
        </w:rPr>
      </w:pPr>
    </w:p>
    <w:p w14:paraId="70354D1C">
      <w:pPr>
        <w:pStyle w:val="11"/>
        <w:rPr>
          <w:rFonts w:ascii="Times New Roman" w:hAnsi="Times New Roman"/>
          <w:sz w:val="24"/>
        </w:rPr>
      </w:pPr>
    </w:p>
    <w:p w14:paraId="47DC1040">
      <w:pPr>
        <w:pStyle w:val="10"/>
        <w:numPr>
          <w:ilvl w:val="0"/>
          <w:numId w:val="0"/>
        </w:numPr>
        <w:rPr>
          <w:rFonts w:ascii="Times New Roman" w:hAnsi="Times New Roman" w:eastAsia="宋体" w:cs="宋体"/>
          <w:sz w:val="32"/>
          <w:szCs w:val="32"/>
        </w:rPr>
      </w:pPr>
      <w:r>
        <w:rPr>
          <w:rFonts w:hint="eastAsia" w:ascii="Times New Roman" w:hAnsi="Times New Roman" w:eastAsia="宋体" w:cs="宋体"/>
          <w:sz w:val="32"/>
          <w:szCs w:val="32"/>
        </w:rPr>
        <w:t>附件8 分项报价表</w:t>
      </w:r>
    </w:p>
    <w:tbl>
      <w:tblPr>
        <w:tblStyle w:val="7"/>
        <w:tblW w:w="8562" w:type="dxa"/>
        <w:tblInd w:w="0" w:type="dxa"/>
        <w:tblLayout w:type="fixed"/>
        <w:tblCellMar>
          <w:top w:w="0" w:type="dxa"/>
          <w:left w:w="108" w:type="dxa"/>
          <w:bottom w:w="0" w:type="dxa"/>
          <w:right w:w="108" w:type="dxa"/>
        </w:tblCellMar>
      </w:tblPr>
      <w:tblGrid>
        <w:gridCol w:w="703"/>
        <w:gridCol w:w="1913"/>
        <w:gridCol w:w="2571"/>
        <w:gridCol w:w="2231"/>
        <w:gridCol w:w="1144"/>
      </w:tblGrid>
      <w:tr w14:paraId="597FCF9D">
        <w:tblPrEx>
          <w:tblCellMar>
            <w:top w:w="0" w:type="dxa"/>
            <w:left w:w="108" w:type="dxa"/>
            <w:bottom w:w="0" w:type="dxa"/>
            <w:right w:w="108" w:type="dxa"/>
          </w:tblCellMar>
        </w:tblPrEx>
        <w:trPr>
          <w:trHeight w:val="588" w:hRule="atLeast"/>
        </w:trPr>
        <w:tc>
          <w:tcPr>
            <w:tcW w:w="703" w:type="dxa"/>
            <w:tcBorders>
              <w:top w:val="single" w:color="000000" w:sz="4" w:space="0"/>
              <w:left w:val="single" w:color="000000" w:sz="4" w:space="0"/>
              <w:bottom w:val="single" w:color="000000" w:sz="4" w:space="0"/>
              <w:right w:val="single" w:color="000000" w:sz="4" w:space="0"/>
            </w:tcBorders>
            <w:vAlign w:val="center"/>
          </w:tcPr>
          <w:p w14:paraId="60684270">
            <w:pPr>
              <w:widowControl/>
              <w:jc w:val="center"/>
              <w:textAlignment w:val="center"/>
              <w:rPr>
                <w:rFonts w:cs="宋体"/>
                <w:sz w:val="24"/>
                <w:szCs w:val="24"/>
              </w:rPr>
            </w:pPr>
            <w:r>
              <w:rPr>
                <w:rFonts w:hint="eastAsia" w:cs="宋体"/>
                <w:kern w:val="0"/>
                <w:sz w:val="24"/>
                <w:szCs w:val="24"/>
                <w:lang w:bidi="ar"/>
              </w:rPr>
              <w:t>序号</w:t>
            </w:r>
          </w:p>
        </w:tc>
        <w:tc>
          <w:tcPr>
            <w:tcW w:w="1914" w:type="dxa"/>
            <w:tcBorders>
              <w:top w:val="single" w:color="000000" w:sz="4" w:space="0"/>
              <w:left w:val="single" w:color="000000" w:sz="4" w:space="0"/>
              <w:bottom w:val="single" w:color="000000" w:sz="4" w:space="0"/>
              <w:right w:val="single" w:color="000000" w:sz="4" w:space="0"/>
            </w:tcBorders>
            <w:vAlign w:val="center"/>
          </w:tcPr>
          <w:p w14:paraId="1AC99EB4">
            <w:pPr>
              <w:widowControl/>
              <w:jc w:val="center"/>
              <w:textAlignment w:val="center"/>
              <w:rPr>
                <w:rFonts w:cs="宋体"/>
                <w:sz w:val="24"/>
                <w:szCs w:val="24"/>
              </w:rPr>
            </w:pPr>
            <w:r>
              <w:rPr>
                <w:rFonts w:hint="eastAsia" w:cs="宋体"/>
                <w:kern w:val="0"/>
                <w:sz w:val="24"/>
                <w:szCs w:val="24"/>
                <w:lang w:bidi="ar"/>
              </w:rPr>
              <w:t>项目名称</w:t>
            </w:r>
          </w:p>
        </w:tc>
        <w:tc>
          <w:tcPr>
            <w:tcW w:w="2573" w:type="dxa"/>
            <w:tcBorders>
              <w:top w:val="single" w:color="000000" w:sz="4" w:space="0"/>
              <w:left w:val="single" w:color="000000" w:sz="4" w:space="0"/>
              <w:bottom w:val="single" w:color="000000" w:sz="4" w:space="0"/>
              <w:right w:val="single" w:color="000000" w:sz="4" w:space="0"/>
            </w:tcBorders>
            <w:noWrap/>
            <w:vAlign w:val="center"/>
          </w:tcPr>
          <w:p w14:paraId="43DA14F7">
            <w:pPr>
              <w:widowControl/>
              <w:jc w:val="center"/>
              <w:textAlignment w:val="center"/>
              <w:rPr>
                <w:rFonts w:cs="宋体"/>
                <w:sz w:val="24"/>
                <w:szCs w:val="24"/>
              </w:rPr>
            </w:pPr>
            <w:r>
              <w:rPr>
                <w:rFonts w:hint="eastAsia" w:cs="宋体"/>
                <w:kern w:val="0"/>
                <w:sz w:val="24"/>
                <w:szCs w:val="24"/>
                <w:lang w:bidi="ar"/>
              </w:rPr>
              <w:t>所含功能/内容</w:t>
            </w:r>
          </w:p>
        </w:tc>
        <w:tc>
          <w:tcPr>
            <w:tcW w:w="2227" w:type="dxa"/>
            <w:tcBorders>
              <w:top w:val="single" w:color="000000" w:sz="4" w:space="0"/>
              <w:left w:val="single" w:color="000000" w:sz="4" w:space="0"/>
              <w:bottom w:val="single" w:color="000000" w:sz="4" w:space="0"/>
              <w:right w:val="single" w:color="000000" w:sz="4" w:space="0"/>
            </w:tcBorders>
            <w:vAlign w:val="center"/>
          </w:tcPr>
          <w:p w14:paraId="20631CB4">
            <w:pPr>
              <w:widowControl/>
              <w:jc w:val="center"/>
              <w:textAlignment w:val="center"/>
              <w:rPr>
                <w:rFonts w:cs="宋体"/>
                <w:sz w:val="24"/>
                <w:szCs w:val="24"/>
              </w:rPr>
            </w:pPr>
            <w:r>
              <w:rPr>
                <w:rFonts w:hint="eastAsia" w:cs="宋体"/>
                <w:kern w:val="0"/>
                <w:sz w:val="24"/>
                <w:szCs w:val="24"/>
                <w:lang w:bidi="ar"/>
              </w:rPr>
              <w:t>未税单价（元）</w:t>
            </w:r>
          </w:p>
        </w:tc>
        <w:tc>
          <w:tcPr>
            <w:tcW w:w="1145" w:type="dxa"/>
            <w:tcBorders>
              <w:top w:val="single" w:color="000000" w:sz="4" w:space="0"/>
              <w:left w:val="single" w:color="000000" w:sz="4" w:space="0"/>
              <w:right w:val="single" w:color="000000" w:sz="4" w:space="0"/>
            </w:tcBorders>
            <w:vAlign w:val="center"/>
          </w:tcPr>
          <w:p w14:paraId="1550D81F">
            <w:pPr>
              <w:widowControl/>
              <w:jc w:val="center"/>
              <w:textAlignment w:val="center"/>
              <w:rPr>
                <w:rFonts w:cs="宋体"/>
                <w:kern w:val="0"/>
                <w:sz w:val="24"/>
                <w:szCs w:val="24"/>
                <w:lang w:bidi="ar"/>
              </w:rPr>
            </w:pPr>
            <w:r>
              <w:rPr>
                <w:rFonts w:hint="eastAsia" w:cs="宋体"/>
                <w:kern w:val="0"/>
                <w:sz w:val="24"/>
                <w:szCs w:val="24"/>
                <w:lang w:bidi="ar"/>
              </w:rPr>
              <w:t>小计</w:t>
            </w:r>
          </w:p>
        </w:tc>
      </w:tr>
      <w:tr w14:paraId="09282248">
        <w:tblPrEx>
          <w:tblCellMar>
            <w:top w:w="0" w:type="dxa"/>
            <w:left w:w="108" w:type="dxa"/>
            <w:bottom w:w="0" w:type="dxa"/>
            <w:right w:w="108" w:type="dxa"/>
          </w:tblCellMar>
        </w:tblPrEx>
        <w:trPr>
          <w:trHeight w:val="680" w:hRule="exact"/>
        </w:trPr>
        <w:tc>
          <w:tcPr>
            <w:tcW w:w="703" w:type="dxa"/>
            <w:tcBorders>
              <w:top w:val="single" w:color="000000" w:sz="4" w:space="0"/>
              <w:left w:val="single" w:color="000000" w:sz="4" w:space="0"/>
              <w:bottom w:val="single" w:color="000000" w:sz="4" w:space="0"/>
              <w:right w:val="single" w:color="000000" w:sz="4" w:space="0"/>
            </w:tcBorders>
          </w:tcPr>
          <w:p w14:paraId="174C9646">
            <w:pPr>
              <w:widowControl/>
              <w:jc w:val="center"/>
              <w:rPr>
                <w:sz w:val="32"/>
                <w:szCs w:val="32"/>
              </w:rPr>
            </w:pPr>
            <w:r>
              <w:rPr>
                <w:rFonts w:hint="eastAsia"/>
                <w:sz w:val="32"/>
                <w:szCs w:val="32"/>
              </w:rPr>
              <w:t>1</w:t>
            </w:r>
          </w:p>
        </w:tc>
        <w:tc>
          <w:tcPr>
            <w:tcW w:w="1914" w:type="dxa"/>
            <w:tcBorders>
              <w:top w:val="single" w:color="auto" w:sz="4" w:space="0"/>
              <w:left w:val="single" w:color="auto" w:sz="4" w:space="0"/>
              <w:bottom w:val="single" w:color="auto" w:sz="4" w:space="0"/>
              <w:right w:val="single" w:color="auto" w:sz="4" w:space="0"/>
            </w:tcBorders>
            <w:vAlign w:val="center"/>
          </w:tcPr>
          <w:p w14:paraId="702DC5E8">
            <w:pPr>
              <w:widowControl/>
              <w:jc w:val="center"/>
              <w:textAlignment w:val="center"/>
              <w:rPr>
                <w:rFonts w:cs="宋体"/>
                <w:kern w:val="0"/>
                <w:sz w:val="24"/>
                <w:szCs w:val="24"/>
                <w:lang w:bidi="ar"/>
              </w:rPr>
            </w:pPr>
          </w:p>
        </w:tc>
        <w:tc>
          <w:tcPr>
            <w:tcW w:w="2573" w:type="dxa"/>
            <w:tcBorders>
              <w:top w:val="single" w:color="000000" w:sz="4" w:space="0"/>
              <w:left w:val="single" w:color="auto" w:sz="4" w:space="0"/>
              <w:bottom w:val="single" w:color="000000" w:sz="4" w:space="0"/>
              <w:right w:val="single" w:color="000000" w:sz="4" w:space="0"/>
            </w:tcBorders>
            <w:noWrap/>
            <w:vAlign w:val="center"/>
          </w:tcPr>
          <w:p w14:paraId="270E4440">
            <w:pPr>
              <w:spacing w:line="360" w:lineRule="exact"/>
              <w:jc w:val="center"/>
              <w:rPr>
                <w:rFonts w:cs="宋体"/>
              </w:rPr>
            </w:pPr>
          </w:p>
        </w:tc>
        <w:tc>
          <w:tcPr>
            <w:tcW w:w="2227" w:type="dxa"/>
            <w:tcBorders>
              <w:top w:val="single" w:color="000000" w:sz="4" w:space="0"/>
              <w:left w:val="single" w:color="000000" w:sz="4" w:space="0"/>
              <w:bottom w:val="single" w:color="000000" w:sz="4" w:space="0"/>
              <w:right w:val="single" w:color="000000" w:sz="4" w:space="0"/>
            </w:tcBorders>
            <w:noWrap/>
            <w:vAlign w:val="center"/>
          </w:tcPr>
          <w:p w14:paraId="695D2589">
            <w:pPr>
              <w:jc w:val="center"/>
              <w:rPr>
                <w:rFonts w:cs="宋体"/>
                <w:sz w:val="24"/>
                <w:szCs w:val="24"/>
              </w:rPr>
            </w:pPr>
          </w:p>
        </w:tc>
        <w:tc>
          <w:tcPr>
            <w:tcW w:w="1145" w:type="dxa"/>
            <w:tcBorders>
              <w:top w:val="single" w:color="000000" w:sz="4" w:space="0"/>
              <w:left w:val="single" w:color="000000" w:sz="4" w:space="0"/>
              <w:bottom w:val="single" w:color="000000" w:sz="4" w:space="0"/>
              <w:right w:val="single" w:color="000000" w:sz="4" w:space="0"/>
            </w:tcBorders>
          </w:tcPr>
          <w:p w14:paraId="3575F441">
            <w:pPr>
              <w:jc w:val="center"/>
              <w:rPr>
                <w:rFonts w:cs="宋体"/>
                <w:sz w:val="24"/>
                <w:szCs w:val="24"/>
              </w:rPr>
            </w:pPr>
          </w:p>
        </w:tc>
      </w:tr>
      <w:tr w14:paraId="0916E2AE">
        <w:tblPrEx>
          <w:tblCellMar>
            <w:top w:w="0" w:type="dxa"/>
            <w:left w:w="108" w:type="dxa"/>
            <w:bottom w:w="0" w:type="dxa"/>
            <w:right w:w="108" w:type="dxa"/>
          </w:tblCellMar>
        </w:tblPrEx>
        <w:trPr>
          <w:trHeight w:val="680" w:hRule="exact"/>
        </w:trPr>
        <w:tc>
          <w:tcPr>
            <w:tcW w:w="703" w:type="dxa"/>
            <w:tcBorders>
              <w:top w:val="single" w:color="000000" w:sz="4" w:space="0"/>
              <w:left w:val="single" w:color="000000" w:sz="4" w:space="0"/>
              <w:bottom w:val="single" w:color="000000" w:sz="4" w:space="0"/>
              <w:right w:val="single" w:color="000000" w:sz="4" w:space="0"/>
            </w:tcBorders>
          </w:tcPr>
          <w:p w14:paraId="63B7CE44">
            <w:pPr>
              <w:widowControl/>
              <w:jc w:val="center"/>
              <w:rPr>
                <w:sz w:val="32"/>
                <w:szCs w:val="32"/>
              </w:rPr>
            </w:pPr>
            <w:r>
              <w:rPr>
                <w:rFonts w:hint="eastAsia"/>
                <w:sz w:val="32"/>
                <w:szCs w:val="32"/>
              </w:rPr>
              <w:t>2</w:t>
            </w:r>
          </w:p>
        </w:tc>
        <w:tc>
          <w:tcPr>
            <w:tcW w:w="1914" w:type="dxa"/>
            <w:tcBorders>
              <w:top w:val="nil"/>
              <w:left w:val="single" w:color="auto" w:sz="4" w:space="0"/>
              <w:bottom w:val="single" w:color="auto" w:sz="4" w:space="0"/>
              <w:right w:val="single" w:color="auto" w:sz="4" w:space="0"/>
            </w:tcBorders>
            <w:noWrap/>
            <w:vAlign w:val="center"/>
          </w:tcPr>
          <w:p w14:paraId="1D70E3B1">
            <w:pPr>
              <w:widowControl/>
              <w:jc w:val="center"/>
              <w:textAlignment w:val="center"/>
              <w:rPr>
                <w:rFonts w:cs="宋体"/>
                <w:kern w:val="0"/>
                <w:sz w:val="24"/>
                <w:szCs w:val="24"/>
                <w:lang w:bidi="ar"/>
              </w:rPr>
            </w:pPr>
          </w:p>
        </w:tc>
        <w:tc>
          <w:tcPr>
            <w:tcW w:w="2573" w:type="dxa"/>
            <w:tcBorders>
              <w:top w:val="single" w:color="000000" w:sz="4" w:space="0"/>
              <w:left w:val="single" w:color="auto" w:sz="4" w:space="0"/>
              <w:bottom w:val="single" w:color="000000" w:sz="4" w:space="0"/>
              <w:right w:val="single" w:color="000000" w:sz="4" w:space="0"/>
            </w:tcBorders>
            <w:noWrap/>
            <w:vAlign w:val="center"/>
          </w:tcPr>
          <w:p w14:paraId="0EDBC0BD">
            <w:pPr>
              <w:spacing w:line="360" w:lineRule="exact"/>
              <w:jc w:val="center"/>
              <w:rPr>
                <w:rFonts w:cs="宋体"/>
              </w:rPr>
            </w:pPr>
          </w:p>
        </w:tc>
        <w:tc>
          <w:tcPr>
            <w:tcW w:w="2227" w:type="dxa"/>
            <w:tcBorders>
              <w:top w:val="single" w:color="000000" w:sz="4" w:space="0"/>
              <w:left w:val="single" w:color="000000" w:sz="4" w:space="0"/>
              <w:bottom w:val="single" w:color="000000" w:sz="4" w:space="0"/>
              <w:right w:val="single" w:color="000000" w:sz="4" w:space="0"/>
            </w:tcBorders>
            <w:noWrap/>
            <w:vAlign w:val="center"/>
          </w:tcPr>
          <w:p w14:paraId="1F7DD86C">
            <w:pPr>
              <w:jc w:val="center"/>
              <w:rPr>
                <w:rFonts w:cs="宋体"/>
                <w:sz w:val="24"/>
                <w:szCs w:val="24"/>
              </w:rPr>
            </w:pPr>
          </w:p>
        </w:tc>
        <w:tc>
          <w:tcPr>
            <w:tcW w:w="1145" w:type="dxa"/>
            <w:tcBorders>
              <w:top w:val="single" w:color="000000" w:sz="4" w:space="0"/>
              <w:left w:val="single" w:color="000000" w:sz="4" w:space="0"/>
              <w:bottom w:val="single" w:color="000000" w:sz="4" w:space="0"/>
              <w:right w:val="single" w:color="000000" w:sz="4" w:space="0"/>
            </w:tcBorders>
          </w:tcPr>
          <w:p w14:paraId="39E45ED5">
            <w:pPr>
              <w:jc w:val="center"/>
              <w:rPr>
                <w:rFonts w:cs="宋体"/>
                <w:sz w:val="24"/>
                <w:szCs w:val="24"/>
              </w:rPr>
            </w:pPr>
          </w:p>
        </w:tc>
      </w:tr>
      <w:tr w14:paraId="330ACEFA">
        <w:tblPrEx>
          <w:tblCellMar>
            <w:top w:w="0" w:type="dxa"/>
            <w:left w:w="108" w:type="dxa"/>
            <w:bottom w:w="0" w:type="dxa"/>
            <w:right w:w="108" w:type="dxa"/>
          </w:tblCellMar>
        </w:tblPrEx>
        <w:trPr>
          <w:trHeight w:val="680" w:hRule="exact"/>
        </w:trPr>
        <w:tc>
          <w:tcPr>
            <w:tcW w:w="703" w:type="dxa"/>
            <w:tcBorders>
              <w:top w:val="single" w:color="000000" w:sz="4" w:space="0"/>
              <w:left w:val="single" w:color="000000" w:sz="4" w:space="0"/>
              <w:bottom w:val="single" w:color="000000" w:sz="4" w:space="0"/>
              <w:right w:val="single" w:color="000000" w:sz="4" w:space="0"/>
            </w:tcBorders>
          </w:tcPr>
          <w:p w14:paraId="4E02E3C2">
            <w:pPr>
              <w:widowControl/>
              <w:jc w:val="center"/>
              <w:rPr>
                <w:sz w:val="32"/>
                <w:szCs w:val="32"/>
              </w:rPr>
            </w:pPr>
            <w:r>
              <w:rPr>
                <w:rFonts w:hint="eastAsia"/>
                <w:sz w:val="32"/>
                <w:szCs w:val="32"/>
              </w:rPr>
              <w:t>3</w:t>
            </w:r>
          </w:p>
        </w:tc>
        <w:tc>
          <w:tcPr>
            <w:tcW w:w="1914" w:type="dxa"/>
            <w:tcBorders>
              <w:top w:val="nil"/>
              <w:left w:val="single" w:color="auto" w:sz="4" w:space="0"/>
              <w:bottom w:val="single" w:color="auto" w:sz="4" w:space="0"/>
              <w:right w:val="single" w:color="auto" w:sz="4" w:space="0"/>
            </w:tcBorders>
            <w:noWrap/>
            <w:vAlign w:val="center"/>
          </w:tcPr>
          <w:p w14:paraId="5FE86C4E">
            <w:pPr>
              <w:widowControl/>
              <w:jc w:val="center"/>
              <w:textAlignment w:val="center"/>
              <w:rPr>
                <w:rFonts w:cs="宋体"/>
                <w:kern w:val="0"/>
                <w:sz w:val="24"/>
                <w:szCs w:val="24"/>
                <w:lang w:bidi="ar"/>
              </w:rPr>
            </w:pPr>
          </w:p>
        </w:tc>
        <w:tc>
          <w:tcPr>
            <w:tcW w:w="2573" w:type="dxa"/>
            <w:tcBorders>
              <w:top w:val="single" w:color="000000" w:sz="4" w:space="0"/>
              <w:left w:val="single" w:color="auto" w:sz="4" w:space="0"/>
              <w:bottom w:val="single" w:color="000000" w:sz="4" w:space="0"/>
              <w:right w:val="single" w:color="000000" w:sz="4" w:space="0"/>
            </w:tcBorders>
            <w:noWrap/>
            <w:vAlign w:val="center"/>
          </w:tcPr>
          <w:p w14:paraId="728FDC93">
            <w:pPr>
              <w:spacing w:line="360" w:lineRule="exact"/>
              <w:jc w:val="center"/>
              <w:rPr>
                <w:rFonts w:cs="宋体"/>
              </w:rPr>
            </w:pPr>
          </w:p>
        </w:tc>
        <w:tc>
          <w:tcPr>
            <w:tcW w:w="2227" w:type="dxa"/>
            <w:tcBorders>
              <w:top w:val="single" w:color="000000" w:sz="4" w:space="0"/>
              <w:left w:val="single" w:color="000000" w:sz="4" w:space="0"/>
              <w:bottom w:val="single" w:color="000000" w:sz="4" w:space="0"/>
              <w:right w:val="single" w:color="000000" w:sz="4" w:space="0"/>
            </w:tcBorders>
            <w:noWrap/>
            <w:vAlign w:val="center"/>
          </w:tcPr>
          <w:p w14:paraId="140DF75B">
            <w:pPr>
              <w:jc w:val="center"/>
              <w:rPr>
                <w:rFonts w:cs="宋体"/>
                <w:sz w:val="24"/>
                <w:szCs w:val="24"/>
              </w:rPr>
            </w:pPr>
          </w:p>
        </w:tc>
        <w:tc>
          <w:tcPr>
            <w:tcW w:w="1145" w:type="dxa"/>
            <w:tcBorders>
              <w:top w:val="single" w:color="000000" w:sz="4" w:space="0"/>
              <w:left w:val="single" w:color="000000" w:sz="4" w:space="0"/>
              <w:bottom w:val="single" w:color="000000" w:sz="4" w:space="0"/>
              <w:right w:val="single" w:color="000000" w:sz="4" w:space="0"/>
            </w:tcBorders>
          </w:tcPr>
          <w:p w14:paraId="76D70C96">
            <w:pPr>
              <w:jc w:val="center"/>
              <w:rPr>
                <w:rFonts w:cs="宋体"/>
                <w:sz w:val="24"/>
                <w:szCs w:val="24"/>
              </w:rPr>
            </w:pPr>
          </w:p>
        </w:tc>
      </w:tr>
      <w:tr w14:paraId="53734FB8">
        <w:tblPrEx>
          <w:tblCellMar>
            <w:top w:w="0" w:type="dxa"/>
            <w:left w:w="108" w:type="dxa"/>
            <w:bottom w:w="0" w:type="dxa"/>
            <w:right w:w="108" w:type="dxa"/>
          </w:tblCellMar>
        </w:tblPrEx>
        <w:trPr>
          <w:trHeight w:val="680" w:hRule="exact"/>
        </w:trPr>
        <w:tc>
          <w:tcPr>
            <w:tcW w:w="703" w:type="dxa"/>
            <w:tcBorders>
              <w:top w:val="single" w:color="000000" w:sz="4" w:space="0"/>
              <w:left w:val="single" w:color="000000" w:sz="4" w:space="0"/>
              <w:bottom w:val="single" w:color="000000" w:sz="4" w:space="0"/>
              <w:right w:val="single" w:color="000000" w:sz="4" w:space="0"/>
            </w:tcBorders>
          </w:tcPr>
          <w:p w14:paraId="40B329A8">
            <w:pPr>
              <w:widowControl/>
              <w:jc w:val="center"/>
              <w:rPr>
                <w:sz w:val="32"/>
                <w:szCs w:val="32"/>
              </w:rPr>
            </w:pPr>
            <w:r>
              <w:rPr>
                <w:rFonts w:hint="eastAsia"/>
                <w:sz w:val="32"/>
                <w:szCs w:val="32"/>
              </w:rPr>
              <w:t>4</w:t>
            </w:r>
          </w:p>
        </w:tc>
        <w:tc>
          <w:tcPr>
            <w:tcW w:w="1914" w:type="dxa"/>
            <w:tcBorders>
              <w:top w:val="nil"/>
              <w:left w:val="single" w:color="auto" w:sz="4" w:space="0"/>
              <w:bottom w:val="single" w:color="auto" w:sz="4" w:space="0"/>
              <w:right w:val="single" w:color="auto" w:sz="4" w:space="0"/>
            </w:tcBorders>
            <w:noWrap/>
            <w:vAlign w:val="center"/>
          </w:tcPr>
          <w:p w14:paraId="3451EDE5">
            <w:pPr>
              <w:widowControl/>
              <w:jc w:val="center"/>
              <w:textAlignment w:val="center"/>
              <w:rPr>
                <w:rFonts w:cs="宋体"/>
                <w:kern w:val="0"/>
                <w:sz w:val="24"/>
                <w:szCs w:val="24"/>
                <w:lang w:bidi="ar"/>
              </w:rPr>
            </w:pPr>
          </w:p>
        </w:tc>
        <w:tc>
          <w:tcPr>
            <w:tcW w:w="2573" w:type="dxa"/>
            <w:tcBorders>
              <w:top w:val="single" w:color="000000" w:sz="4" w:space="0"/>
              <w:left w:val="single" w:color="auto" w:sz="4" w:space="0"/>
              <w:bottom w:val="single" w:color="000000" w:sz="4" w:space="0"/>
              <w:right w:val="single" w:color="000000" w:sz="4" w:space="0"/>
            </w:tcBorders>
            <w:noWrap/>
            <w:vAlign w:val="center"/>
          </w:tcPr>
          <w:p w14:paraId="46203831">
            <w:pPr>
              <w:spacing w:line="360" w:lineRule="exact"/>
              <w:jc w:val="center"/>
              <w:rPr>
                <w:rFonts w:cs="宋体"/>
              </w:rPr>
            </w:pPr>
          </w:p>
        </w:tc>
        <w:tc>
          <w:tcPr>
            <w:tcW w:w="2227" w:type="dxa"/>
            <w:tcBorders>
              <w:top w:val="single" w:color="000000" w:sz="4" w:space="0"/>
              <w:left w:val="single" w:color="000000" w:sz="4" w:space="0"/>
              <w:bottom w:val="single" w:color="000000" w:sz="4" w:space="0"/>
              <w:right w:val="single" w:color="000000" w:sz="4" w:space="0"/>
            </w:tcBorders>
            <w:noWrap/>
            <w:vAlign w:val="center"/>
          </w:tcPr>
          <w:p w14:paraId="5D188D03">
            <w:pPr>
              <w:jc w:val="center"/>
              <w:rPr>
                <w:rFonts w:cs="宋体"/>
                <w:sz w:val="24"/>
                <w:szCs w:val="24"/>
              </w:rPr>
            </w:pPr>
          </w:p>
        </w:tc>
        <w:tc>
          <w:tcPr>
            <w:tcW w:w="1145" w:type="dxa"/>
            <w:tcBorders>
              <w:top w:val="single" w:color="000000" w:sz="4" w:space="0"/>
              <w:left w:val="single" w:color="000000" w:sz="4" w:space="0"/>
              <w:bottom w:val="single" w:color="000000" w:sz="4" w:space="0"/>
              <w:right w:val="single" w:color="000000" w:sz="4" w:space="0"/>
            </w:tcBorders>
          </w:tcPr>
          <w:p w14:paraId="11E6846F">
            <w:pPr>
              <w:jc w:val="center"/>
              <w:rPr>
                <w:rFonts w:cs="宋体"/>
                <w:sz w:val="24"/>
                <w:szCs w:val="24"/>
              </w:rPr>
            </w:pPr>
          </w:p>
        </w:tc>
      </w:tr>
      <w:tr w14:paraId="2CF9D936">
        <w:tblPrEx>
          <w:tblCellMar>
            <w:top w:w="0" w:type="dxa"/>
            <w:left w:w="108" w:type="dxa"/>
            <w:bottom w:w="0" w:type="dxa"/>
            <w:right w:w="108" w:type="dxa"/>
          </w:tblCellMar>
        </w:tblPrEx>
        <w:trPr>
          <w:trHeight w:val="680" w:hRule="exact"/>
        </w:trPr>
        <w:tc>
          <w:tcPr>
            <w:tcW w:w="703" w:type="dxa"/>
            <w:tcBorders>
              <w:top w:val="single" w:color="000000" w:sz="4" w:space="0"/>
              <w:left w:val="single" w:color="000000" w:sz="4" w:space="0"/>
              <w:bottom w:val="single" w:color="000000" w:sz="4" w:space="0"/>
              <w:right w:val="single" w:color="000000" w:sz="4" w:space="0"/>
            </w:tcBorders>
          </w:tcPr>
          <w:p w14:paraId="09C624EE">
            <w:pPr>
              <w:widowControl/>
              <w:jc w:val="center"/>
              <w:rPr>
                <w:sz w:val="32"/>
                <w:szCs w:val="32"/>
              </w:rPr>
            </w:pPr>
            <w:r>
              <w:rPr>
                <w:rFonts w:hint="eastAsia"/>
                <w:sz w:val="32"/>
                <w:szCs w:val="32"/>
              </w:rPr>
              <w:t>5</w:t>
            </w:r>
          </w:p>
        </w:tc>
        <w:tc>
          <w:tcPr>
            <w:tcW w:w="1914" w:type="dxa"/>
            <w:tcBorders>
              <w:top w:val="nil"/>
              <w:left w:val="single" w:color="auto" w:sz="4" w:space="0"/>
              <w:bottom w:val="single" w:color="auto" w:sz="4" w:space="0"/>
              <w:right w:val="single" w:color="auto" w:sz="4" w:space="0"/>
            </w:tcBorders>
            <w:noWrap/>
            <w:vAlign w:val="center"/>
          </w:tcPr>
          <w:p w14:paraId="11838532">
            <w:pPr>
              <w:widowControl/>
              <w:jc w:val="center"/>
              <w:textAlignment w:val="center"/>
              <w:rPr>
                <w:rFonts w:cs="宋体"/>
                <w:kern w:val="0"/>
                <w:sz w:val="24"/>
                <w:szCs w:val="24"/>
                <w:lang w:bidi="ar"/>
              </w:rPr>
            </w:pPr>
          </w:p>
        </w:tc>
        <w:tc>
          <w:tcPr>
            <w:tcW w:w="2573" w:type="dxa"/>
            <w:tcBorders>
              <w:top w:val="single" w:color="000000" w:sz="4" w:space="0"/>
              <w:left w:val="single" w:color="auto" w:sz="4" w:space="0"/>
              <w:bottom w:val="single" w:color="000000" w:sz="4" w:space="0"/>
              <w:right w:val="single" w:color="000000" w:sz="4" w:space="0"/>
            </w:tcBorders>
            <w:noWrap/>
            <w:vAlign w:val="center"/>
          </w:tcPr>
          <w:p w14:paraId="7D99949F">
            <w:pPr>
              <w:spacing w:line="360" w:lineRule="exact"/>
              <w:jc w:val="center"/>
              <w:rPr>
                <w:rFonts w:cs="宋体"/>
              </w:rPr>
            </w:pPr>
          </w:p>
        </w:tc>
        <w:tc>
          <w:tcPr>
            <w:tcW w:w="2227" w:type="dxa"/>
            <w:tcBorders>
              <w:top w:val="single" w:color="000000" w:sz="4" w:space="0"/>
              <w:left w:val="single" w:color="000000" w:sz="4" w:space="0"/>
              <w:bottom w:val="single" w:color="000000" w:sz="4" w:space="0"/>
              <w:right w:val="single" w:color="000000" w:sz="4" w:space="0"/>
            </w:tcBorders>
            <w:noWrap/>
            <w:vAlign w:val="center"/>
          </w:tcPr>
          <w:p w14:paraId="07E78037">
            <w:pPr>
              <w:jc w:val="center"/>
              <w:rPr>
                <w:rFonts w:cs="宋体"/>
                <w:sz w:val="24"/>
                <w:szCs w:val="24"/>
              </w:rPr>
            </w:pPr>
          </w:p>
        </w:tc>
        <w:tc>
          <w:tcPr>
            <w:tcW w:w="1145" w:type="dxa"/>
            <w:tcBorders>
              <w:top w:val="single" w:color="000000" w:sz="4" w:space="0"/>
              <w:left w:val="single" w:color="000000" w:sz="4" w:space="0"/>
              <w:bottom w:val="single" w:color="000000" w:sz="4" w:space="0"/>
              <w:right w:val="single" w:color="000000" w:sz="4" w:space="0"/>
            </w:tcBorders>
          </w:tcPr>
          <w:p w14:paraId="572E798C">
            <w:pPr>
              <w:jc w:val="center"/>
              <w:rPr>
                <w:rFonts w:cs="宋体"/>
                <w:sz w:val="24"/>
                <w:szCs w:val="24"/>
              </w:rPr>
            </w:pPr>
          </w:p>
        </w:tc>
      </w:tr>
      <w:tr w14:paraId="77DF8AB2">
        <w:tblPrEx>
          <w:tblCellMar>
            <w:top w:w="0" w:type="dxa"/>
            <w:left w:w="108" w:type="dxa"/>
            <w:bottom w:w="0" w:type="dxa"/>
            <w:right w:w="108" w:type="dxa"/>
          </w:tblCellMar>
        </w:tblPrEx>
        <w:trPr>
          <w:trHeight w:val="680" w:hRule="exact"/>
        </w:trPr>
        <w:tc>
          <w:tcPr>
            <w:tcW w:w="703" w:type="dxa"/>
            <w:tcBorders>
              <w:top w:val="single" w:color="000000" w:sz="4" w:space="0"/>
              <w:left w:val="single" w:color="000000" w:sz="4" w:space="0"/>
              <w:bottom w:val="single" w:color="000000" w:sz="4" w:space="0"/>
              <w:right w:val="single" w:color="000000" w:sz="4" w:space="0"/>
            </w:tcBorders>
          </w:tcPr>
          <w:p w14:paraId="080EAEEF">
            <w:pPr>
              <w:widowControl/>
              <w:jc w:val="center"/>
              <w:rPr>
                <w:sz w:val="32"/>
                <w:szCs w:val="32"/>
              </w:rPr>
            </w:pPr>
            <w:r>
              <w:rPr>
                <w:rFonts w:hint="eastAsia"/>
                <w:sz w:val="32"/>
                <w:szCs w:val="32"/>
              </w:rPr>
              <w:t>6</w:t>
            </w:r>
          </w:p>
        </w:tc>
        <w:tc>
          <w:tcPr>
            <w:tcW w:w="1914" w:type="dxa"/>
            <w:tcBorders>
              <w:top w:val="nil"/>
              <w:left w:val="single" w:color="auto" w:sz="4" w:space="0"/>
              <w:bottom w:val="single" w:color="auto" w:sz="4" w:space="0"/>
              <w:right w:val="single" w:color="auto" w:sz="4" w:space="0"/>
            </w:tcBorders>
            <w:noWrap/>
            <w:vAlign w:val="center"/>
          </w:tcPr>
          <w:p w14:paraId="3659B0C9">
            <w:pPr>
              <w:widowControl/>
              <w:jc w:val="center"/>
              <w:textAlignment w:val="center"/>
              <w:rPr>
                <w:rFonts w:cs="宋体"/>
                <w:kern w:val="0"/>
                <w:sz w:val="24"/>
                <w:szCs w:val="24"/>
              </w:rPr>
            </w:pPr>
          </w:p>
        </w:tc>
        <w:tc>
          <w:tcPr>
            <w:tcW w:w="2573" w:type="dxa"/>
            <w:tcBorders>
              <w:top w:val="single" w:color="000000" w:sz="4" w:space="0"/>
              <w:left w:val="single" w:color="auto" w:sz="4" w:space="0"/>
              <w:bottom w:val="single" w:color="000000" w:sz="4" w:space="0"/>
              <w:right w:val="single" w:color="000000" w:sz="4" w:space="0"/>
            </w:tcBorders>
            <w:noWrap/>
            <w:vAlign w:val="center"/>
          </w:tcPr>
          <w:p w14:paraId="29DFDE12">
            <w:pPr>
              <w:spacing w:line="360" w:lineRule="exact"/>
              <w:jc w:val="center"/>
              <w:rPr>
                <w:rFonts w:cs="宋体"/>
              </w:rPr>
            </w:pPr>
          </w:p>
        </w:tc>
        <w:tc>
          <w:tcPr>
            <w:tcW w:w="2227" w:type="dxa"/>
            <w:tcBorders>
              <w:top w:val="single" w:color="000000" w:sz="4" w:space="0"/>
              <w:left w:val="single" w:color="000000" w:sz="4" w:space="0"/>
              <w:bottom w:val="single" w:color="000000" w:sz="4" w:space="0"/>
              <w:right w:val="single" w:color="000000" w:sz="4" w:space="0"/>
            </w:tcBorders>
            <w:noWrap/>
            <w:vAlign w:val="center"/>
          </w:tcPr>
          <w:p w14:paraId="0C572438">
            <w:pPr>
              <w:jc w:val="center"/>
              <w:rPr>
                <w:rFonts w:cs="宋体"/>
                <w:sz w:val="24"/>
                <w:szCs w:val="24"/>
              </w:rPr>
            </w:pPr>
          </w:p>
        </w:tc>
        <w:tc>
          <w:tcPr>
            <w:tcW w:w="1145" w:type="dxa"/>
            <w:tcBorders>
              <w:top w:val="single" w:color="000000" w:sz="4" w:space="0"/>
              <w:left w:val="single" w:color="000000" w:sz="4" w:space="0"/>
              <w:bottom w:val="single" w:color="000000" w:sz="4" w:space="0"/>
              <w:right w:val="single" w:color="000000" w:sz="4" w:space="0"/>
            </w:tcBorders>
          </w:tcPr>
          <w:p w14:paraId="06153D5B">
            <w:pPr>
              <w:jc w:val="center"/>
              <w:rPr>
                <w:rFonts w:cs="宋体"/>
                <w:sz w:val="24"/>
                <w:szCs w:val="24"/>
              </w:rPr>
            </w:pPr>
          </w:p>
        </w:tc>
      </w:tr>
      <w:tr w14:paraId="6CB44EC9">
        <w:tblPrEx>
          <w:tblCellMar>
            <w:top w:w="0" w:type="dxa"/>
            <w:left w:w="108" w:type="dxa"/>
            <w:bottom w:w="0" w:type="dxa"/>
            <w:right w:w="108" w:type="dxa"/>
          </w:tblCellMar>
        </w:tblPrEx>
        <w:trPr>
          <w:trHeight w:val="680" w:hRule="exact"/>
        </w:trPr>
        <w:tc>
          <w:tcPr>
            <w:tcW w:w="703" w:type="dxa"/>
            <w:tcBorders>
              <w:top w:val="single" w:color="000000" w:sz="4" w:space="0"/>
              <w:left w:val="single" w:color="000000" w:sz="4" w:space="0"/>
              <w:bottom w:val="single" w:color="000000" w:sz="4" w:space="0"/>
              <w:right w:val="single" w:color="000000" w:sz="4" w:space="0"/>
            </w:tcBorders>
          </w:tcPr>
          <w:p w14:paraId="55D8C92C">
            <w:pPr>
              <w:widowControl/>
              <w:jc w:val="center"/>
              <w:rPr>
                <w:sz w:val="32"/>
                <w:szCs w:val="32"/>
              </w:rPr>
            </w:pPr>
            <w:r>
              <w:rPr>
                <w:rFonts w:hint="eastAsia"/>
                <w:sz w:val="32"/>
                <w:szCs w:val="32"/>
              </w:rPr>
              <w:t>7</w:t>
            </w:r>
          </w:p>
        </w:tc>
        <w:tc>
          <w:tcPr>
            <w:tcW w:w="1914" w:type="dxa"/>
            <w:tcBorders>
              <w:top w:val="nil"/>
              <w:left w:val="single" w:color="auto" w:sz="4" w:space="0"/>
              <w:bottom w:val="single" w:color="auto" w:sz="4" w:space="0"/>
              <w:right w:val="single" w:color="auto" w:sz="4" w:space="0"/>
            </w:tcBorders>
            <w:noWrap/>
            <w:vAlign w:val="center"/>
          </w:tcPr>
          <w:p w14:paraId="78AA7639">
            <w:pPr>
              <w:widowControl/>
              <w:jc w:val="center"/>
              <w:textAlignment w:val="center"/>
              <w:rPr>
                <w:rFonts w:cs="宋体"/>
                <w:kern w:val="0"/>
                <w:sz w:val="24"/>
                <w:szCs w:val="24"/>
                <w:lang w:bidi="ar"/>
              </w:rPr>
            </w:pPr>
          </w:p>
        </w:tc>
        <w:tc>
          <w:tcPr>
            <w:tcW w:w="2573" w:type="dxa"/>
            <w:tcBorders>
              <w:top w:val="single" w:color="000000" w:sz="4" w:space="0"/>
              <w:left w:val="single" w:color="auto" w:sz="4" w:space="0"/>
              <w:bottom w:val="single" w:color="000000" w:sz="4" w:space="0"/>
              <w:right w:val="single" w:color="000000" w:sz="4" w:space="0"/>
            </w:tcBorders>
            <w:noWrap/>
            <w:vAlign w:val="center"/>
          </w:tcPr>
          <w:p w14:paraId="3E864F5C">
            <w:pPr>
              <w:spacing w:line="360" w:lineRule="exact"/>
              <w:jc w:val="center"/>
              <w:rPr>
                <w:rFonts w:cs="宋体"/>
              </w:rPr>
            </w:pPr>
          </w:p>
        </w:tc>
        <w:tc>
          <w:tcPr>
            <w:tcW w:w="2227" w:type="dxa"/>
            <w:tcBorders>
              <w:top w:val="single" w:color="000000" w:sz="4" w:space="0"/>
              <w:left w:val="single" w:color="000000" w:sz="4" w:space="0"/>
              <w:bottom w:val="single" w:color="000000" w:sz="4" w:space="0"/>
              <w:right w:val="single" w:color="000000" w:sz="4" w:space="0"/>
            </w:tcBorders>
            <w:noWrap/>
            <w:vAlign w:val="center"/>
          </w:tcPr>
          <w:p w14:paraId="419F5091">
            <w:pPr>
              <w:jc w:val="center"/>
              <w:rPr>
                <w:rFonts w:cs="宋体"/>
                <w:sz w:val="24"/>
                <w:szCs w:val="24"/>
              </w:rPr>
            </w:pPr>
          </w:p>
        </w:tc>
        <w:tc>
          <w:tcPr>
            <w:tcW w:w="1145" w:type="dxa"/>
            <w:tcBorders>
              <w:top w:val="single" w:color="000000" w:sz="4" w:space="0"/>
              <w:left w:val="single" w:color="000000" w:sz="4" w:space="0"/>
              <w:bottom w:val="single" w:color="000000" w:sz="4" w:space="0"/>
              <w:right w:val="single" w:color="000000" w:sz="4" w:space="0"/>
            </w:tcBorders>
          </w:tcPr>
          <w:p w14:paraId="17E2A3D8">
            <w:pPr>
              <w:jc w:val="center"/>
              <w:rPr>
                <w:rFonts w:cs="宋体"/>
                <w:sz w:val="24"/>
                <w:szCs w:val="24"/>
              </w:rPr>
            </w:pPr>
          </w:p>
        </w:tc>
      </w:tr>
      <w:tr w14:paraId="7B7997BE">
        <w:tblPrEx>
          <w:tblCellMar>
            <w:top w:w="0" w:type="dxa"/>
            <w:left w:w="108" w:type="dxa"/>
            <w:bottom w:w="0" w:type="dxa"/>
            <w:right w:w="108" w:type="dxa"/>
          </w:tblCellMar>
        </w:tblPrEx>
        <w:trPr>
          <w:trHeight w:val="680" w:hRule="exact"/>
        </w:trPr>
        <w:tc>
          <w:tcPr>
            <w:tcW w:w="2617" w:type="dxa"/>
            <w:gridSpan w:val="2"/>
            <w:tcBorders>
              <w:top w:val="single" w:color="000000" w:sz="4" w:space="0"/>
              <w:left w:val="single" w:color="000000" w:sz="4" w:space="0"/>
              <w:bottom w:val="single" w:color="000000" w:sz="4" w:space="0"/>
              <w:right w:val="single" w:color="auto" w:sz="4" w:space="0"/>
            </w:tcBorders>
            <w:vAlign w:val="center"/>
          </w:tcPr>
          <w:p w14:paraId="5C3F737F">
            <w:pPr>
              <w:spacing w:line="360" w:lineRule="exact"/>
              <w:jc w:val="center"/>
              <w:rPr>
                <w:rFonts w:cs="宋体"/>
              </w:rPr>
            </w:pPr>
            <w:r>
              <w:rPr>
                <w:rFonts w:hint="eastAsia"/>
                <w:sz w:val="32"/>
                <w:szCs w:val="32"/>
              </w:rPr>
              <w:t>合计</w:t>
            </w:r>
          </w:p>
        </w:tc>
        <w:tc>
          <w:tcPr>
            <w:tcW w:w="2570" w:type="dxa"/>
            <w:tcBorders>
              <w:top w:val="single" w:color="auto" w:sz="4" w:space="0"/>
              <w:bottom w:val="single" w:color="auto" w:sz="4" w:space="0"/>
              <w:right w:val="single" w:color="auto" w:sz="4" w:space="0"/>
            </w:tcBorders>
          </w:tcPr>
          <w:p w14:paraId="093EC05B">
            <w:pPr>
              <w:widowControl/>
              <w:jc w:val="left"/>
            </w:pPr>
          </w:p>
        </w:tc>
        <w:tc>
          <w:tcPr>
            <w:tcW w:w="2233" w:type="dxa"/>
            <w:tcBorders>
              <w:top w:val="single" w:color="auto" w:sz="4" w:space="0"/>
              <w:bottom w:val="single" w:color="auto" w:sz="4" w:space="0"/>
              <w:right w:val="single" w:color="auto" w:sz="4" w:space="0"/>
            </w:tcBorders>
          </w:tcPr>
          <w:p w14:paraId="47662824">
            <w:pPr>
              <w:widowControl/>
              <w:jc w:val="left"/>
            </w:pPr>
          </w:p>
        </w:tc>
        <w:tc>
          <w:tcPr>
            <w:tcW w:w="1142" w:type="dxa"/>
            <w:tcBorders>
              <w:top w:val="single" w:color="auto" w:sz="4" w:space="0"/>
              <w:bottom w:val="single" w:color="auto" w:sz="4" w:space="0"/>
              <w:right w:val="single" w:color="auto" w:sz="4" w:space="0"/>
            </w:tcBorders>
          </w:tcPr>
          <w:p w14:paraId="351ED90D">
            <w:pPr>
              <w:widowControl/>
              <w:jc w:val="left"/>
            </w:pPr>
          </w:p>
        </w:tc>
      </w:tr>
    </w:tbl>
    <w:p w14:paraId="02BF53EE">
      <w:pPr>
        <w:rPr>
          <w:sz w:val="24"/>
        </w:rPr>
      </w:pPr>
    </w:p>
    <w:p w14:paraId="01038757">
      <w:pPr>
        <w:rPr>
          <w:rFonts w:cs="宋体"/>
          <w:szCs w:val="21"/>
        </w:rPr>
      </w:pPr>
      <w:r>
        <w:rPr>
          <w:rFonts w:hint="eastAsia"/>
          <w:szCs w:val="21"/>
        </w:rPr>
        <w:t>备注：此分项方式供参考，至少包含上述分项，可以在每一项下层进一步展开进行分解报价</w:t>
      </w:r>
      <w:r>
        <w:rPr>
          <w:rFonts w:hint="eastAsia" w:cs="宋体"/>
          <w:szCs w:val="21"/>
        </w:rPr>
        <w:br w:type="page"/>
      </w:r>
    </w:p>
    <w:p w14:paraId="7F6BB8B8">
      <w:pPr>
        <w:pStyle w:val="4"/>
        <w:rPr>
          <w:rFonts w:ascii="Times New Roman" w:hAnsi="Times New Roman"/>
        </w:rPr>
      </w:pPr>
    </w:p>
    <w:p w14:paraId="629A70CF">
      <w:pPr>
        <w:pStyle w:val="10"/>
        <w:numPr>
          <w:ilvl w:val="0"/>
          <w:numId w:val="0"/>
        </w:numPr>
        <w:rPr>
          <w:rFonts w:ascii="Times New Roman" w:hAnsi="Times New Roman" w:eastAsia="宋体" w:cs="宋体"/>
          <w:sz w:val="32"/>
          <w:szCs w:val="32"/>
        </w:rPr>
      </w:pPr>
      <w:r>
        <w:rPr>
          <w:rFonts w:hint="eastAsia" w:ascii="Times New Roman" w:hAnsi="Times New Roman" w:eastAsia="宋体" w:cs="宋体"/>
          <w:sz w:val="32"/>
          <w:szCs w:val="32"/>
        </w:rPr>
        <w:t>附件9 SRM非生产供应商注册操作手册</w:t>
      </w:r>
    </w:p>
    <w:p w14:paraId="59E699AD">
      <w:pPr>
        <w:adjustRightInd w:val="0"/>
        <w:snapToGrid w:val="0"/>
        <w:jc w:val="left"/>
        <w:rPr>
          <w:rFonts w:cs="宋体"/>
          <w:sz w:val="24"/>
          <w:szCs w:val="24"/>
        </w:rPr>
      </w:pPr>
    </w:p>
    <w:p w14:paraId="7EA271F0">
      <w:pPr>
        <w:adjustRightInd w:val="0"/>
        <w:snapToGrid w:val="0"/>
        <w:spacing w:line="360" w:lineRule="auto"/>
        <w:jc w:val="left"/>
        <w:rPr>
          <w:rFonts w:cs="宋体"/>
          <w:sz w:val="24"/>
          <w:szCs w:val="24"/>
        </w:rPr>
      </w:pPr>
      <w:r>
        <w:rPr>
          <w:rFonts w:cs="宋体"/>
          <w:sz w:val="24"/>
          <w:szCs w:val="24"/>
        </w:rPr>
        <w:t>浏览器中输入地址;</w:t>
      </w:r>
    </w:p>
    <w:p w14:paraId="38F9FA33">
      <w:pPr>
        <w:adjustRightInd w:val="0"/>
        <w:snapToGrid w:val="0"/>
        <w:spacing w:line="360" w:lineRule="auto"/>
        <w:jc w:val="left"/>
        <w:rPr>
          <w:rFonts w:cs="宋体"/>
          <w:b/>
          <w:bCs/>
          <w:sz w:val="24"/>
          <w:szCs w:val="24"/>
        </w:rPr>
      </w:pPr>
      <w:r>
        <w:fldChar w:fldCharType="begin"/>
      </w:r>
      <w:r>
        <w:instrText xml:space="preserve"> HYPERLINK "http://ecaitong.sinotruk.com:8012/" \l "/login" \t "dlt" </w:instrText>
      </w:r>
      <w:r>
        <w:fldChar w:fldCharType="separate"/>
      </w:r>
      <w:r>
        <w:rPr>
          <w:rFonts w:cs="宋体"/>
          <w:sz w:val="24"/>
          <w:szCs w:val="24"/>
        </w:rPr>
        <w:t>http</w:t>
      </w:r>
      <w:r>
        <w:rPr>
          <w:rFonts w:hint="eastAsia" w:cs="宋体"/>
          <w:sz w:val="24"/>
          <w:szCs w:val="24"/>
        </w:rPr>
        <w:t>s</w:t>
      </w:r>
      <w:r>
        <w:rPr>
          <w:rFonts w:cs="宋体"/>
          <w:sz w:val="24"/>
          <w:szCs w:val="24"/>
        </w:rPr>
        <w:t>://ecaitong.sinotruk.com:8012/#/login</w:t>
      </w:r>
      <w:r>
        <w:rPr>
          <w:rFonts w:cs="宋体"/>
          <w:sz w:val="24"/>
          <w:szCs w:val="24"/>
        </w:rPr>
        <w:fldChar w:fldCharType="end"/>
      </w:r>
      <w:r>
        <w:rPr>
          <w:rFonts w:cs="宋体"/>
          <w:sz w:val="24"/>
          <w:szCs w:val="24"/>
        </w:rPr>
        <w:br w:type="textWrapping"/>
      </w:r>
      <w:r>
        <w:rPr>
          <w:rFonts w:hint="eastAsia" w:cs="宋体"/>
          <w:sz w:val="24"/>
          <w:szCs w:val="24"/>
        </w:rPr>
        <w:t>1.下载《供应商用户手册》</w:t>
      </w:r>
    </w:p>
    <w:p w14:paraId="690053A9">
      <w:r>
        <w:drawing>
          <wp:inline distT="0" distB="0" distL="114300" distR="114300">
            <wp:extent cx="5758815" cy="2764790"/>
            <wp:effectExtent l="0" t="0" r="1905" b="889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7"/>
                    <a:stretch>
                      <a:fillRect/>
                    </a:stretch>
                  </pic:blipFill>
                  <pic:spPr>
                    <a:xfrm>
                      <a:off x="0" y="0"/>
                      <a:ext cx="5758815" cy="2764790"/>
                    </a:xfrm>
                    <a:prstGeom prst="rect">
                      <a:avLst/>
                    </a:prstGeom>
                    <a:noFill/>
                    <a:ln>
                      <a:noFill/>
                    </a:ln>
                  </pic:spPr>
                </pic:pic>
              </a:graphicData>
            </a:graphic>
          </wp:inline>
        </w:drawing>
      </w:r>
    </w:p>
    <w:p w14:paraId="4C967221">
      <w:pPr>
        <w:adjustRightInd w:val="0"/>
        <w:snapToGrid w:val="0"/>
        <w:spacing w:before="312" w:beforeLines="100" w:after="156" w:afterLines="50" w:line="440" w:lineRule="exact"/>
        <w:jc w:val="left"/>
        <w:outlineLvl w:val="2"/>
        <w:rPr>
          <w:rFonts w:cs="宋体"/>
          <w:sz w:val="24"/>
          <w:szCs w:val="24"/>
        </w:rPr>
      </w:pPr>
      <w:r>
        <w:rPr>
          <w:rFonts w:hint="eastAsia" w:cs="宋体"/>
          <w:b/>
          <w:bCs/>
          <w:sz w:val="24"/>
          <w:szCs w:val="24"/>
        </w:rPr>
        <w:t>一、首次注册</w:t>
      </w:r>
    </w:p>
    <w:p w14:paraId="42A53FDE">
      <w:pPr>
        <w:adjustRightInd w:val="0"/>
        <w:snapToGrid w:val="0"/>
        <w:spacing w:line="360" w:lineRule="auto"/>
        <w:jc w:val="left"/>
        <w:rPr>
          <w:rFonts w:cs="宋体"/>
          <w:sz w:val="24"/>
          <w:szCs w:val="24"/>
        </w:rPr>
      </w:pPr>
      <w:r>
        <w:rPr>
          <w:rFonts w:cs="宋体"/>
          <w:sz w:val="24"/>
          <w:szCs w:val="24"/>
        </w:rPr>
        <w:t>1.点击立即注册</w:t>
      </w:r>
    </w:p>
    <w:p w14:paraId="5890065B">
      <w:pPr>
        <w:snapToGrid w:val="0"/>
        <w:spacing w:line="312" w:lineRule="auto"/>
      </w:pPr>
      <w:r>
        <w:drawing>
          <wp:inline distT="0" distB="0" distL="0" distR="0">
            <wp:extent cx="5760085" cy="2933065"/>
            <wp:effectExtent l="0" t="0" r="635" b="825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8" cstate="print"/>
                    <a:srcRect/>
                    <a:stretch>
                      <a:fillRect/>
                    </a:stretch>
                  </pic:blipFill>
                  <pic:spPr>
                    <a:xfrm>
                      <a:off x="0" y="0"/>
                      <a:ext cx="5760085" cy="2933065"/>
                    </a:xfrm>
                    <a:prstGeom prst="rect">
                      <a:avLst/>
                    </a:prstGeom>
                  </pic:spPr>
                </pic:pic>
              </a:graphicData>
            </a:graphic>
          </wp:inline>
        </w:drawing>
      </w:r>
    </w:p>
    <w:p w14:paraId="2850C1AD">
      <w:pPr>
        <w:spacing w:line="360" w:lineRule="auto"/>
        <w:rPr>
          <w:rFonts w:cs="宋体"/>
          <w:sz w:val="24"/>
          <w:szCs w:val="28"/>
        </w:rPr>
      </w:pPr>
      <w:r>
        <w:rPr>
          <w:rFonts w:hint="eastAsia" w:cs="宋体"/>
          <w:sz w:val="24"/>
          <w:szCs w:val="28"/>
        </w:rPr>
        <w:t>2.</w:t>
      </w:r>
      <w:r>
        <w:rPr>
          <w:rFonts w:cs="宋体"/>
          <w:sz w:val="24"/>
          <w:szCs w:val="28"/>
        </w:rPr>
        <w:t>填写手机号码（没有注册过的）</w:t>
      </w:r>
    </w:p>
    <w:p w14:paraId="3D22E3E9">
      <w:pPr>
        <w:snapToGrid w:val="0"/>
        <w:spacing w:line="312" w:lineRule="auto"/>
      </w:pPr>
      <w:r>
        <w:drawing>
          <wp:inline distT="0" distB="0" distL="0" distR="0">
            <wp:extent cx="5760085" cy="2766695"/>
            <wp:effectExtent l="0" t="0" r="635" b="698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9" cstate="print"/>
                    <a:srcRect/>
                    <a:stretch>
                      <a:fillRect/>
                    </a:stretch>
                  </pic:blipFill>
                  <pic:spPr>
                    <a:xfrm>
                      <a:off x="0" y="0"/>
                      <a:ext cx="5760085" cy="2766695"/>
                    </a:xfrm>
                    <a:prstGeom prst="rect">
                      <a:avLst/>
                    </a:prstGeom>
                  </pic:spPr>
                </pic:pic>
              </a:graphicData>
            </a:graphic>
          </wp:inline>
        </w:drawing>
      </w:r>
    </w:p>
    <w:p w14:paraId="7E8E4838">
      <w:pPr>
        <w:spacing w:line="360" w:lineRule="auto"/>
        <w:rPr>
          <w:rFonts w:cs="宋体"/>
          <w:sz w:val="24"/>
          <w:szCs w:val="28"/>
        </w:rPr>
      </w:pPr>
      <w:r>
        <w:rPr>
          <w:rFonts w:hint="eastAsia" w:cs="宋体"/>
          <w:sz w:val="24"/>
          <w:szCs w:val="28"/>
        </w:rPr>
        <w:t>3.</w:t>
      </w:r>
      <w:r>
        <w:rPr>
          <w:rFonts w:cs="宋体"/>
          <w:sz w:val="24"/>
          <w:szCs w:val="28"/>
        </w:rPr>
        <w:t>注册成功登录这个手机号码的账号进入系统，点击供应商注册</w:t>
      </w:r>
    </w:p>
    <w:p w14:paraId="33757FBC">
      <w:pPr>
        <w:snapToGrid w:val="0"/>
        <w:spacing w:line="312" w:lineRule="auto"/>
      </w:pPr>
      <w:r>
        <w:drawing>
          <wp:inline distT="0" distB="0" distL="0" distR="0">
            <wp:extent cx="5760085" cy="2869565"/>
            <wp:effectExtent l="0" t="0" r="635" b="1079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0" cstate="print"/>
                    <a:srcRect/>
                    <a:stretch>
                      <a:fillRect/>
                    </a:stretch>
                  </pic:blipFill>
                  <pic:spPr>
                    <a:xfrm>
                      <a:off x="0" y="0"/>
                      <a:ext cx="5760085" cy="2869565"/>
                    </a:xfrm>
                    <a:prstGeom prst="rect">
                      <a:avLst/>
                    </a:prstGeom>
                  </pic:spPr>
                </pic:pic>
              </a:graphicData>
            </a:graphic>
          </wp:inline>
        </w:drawing>
      </w:r>
    </w:p>
    <w:p w14:paraId="3DB21EA5">
      <w:pPr>
        <w:spacing w:line="360" w:lineRule="auto"/>
        <w:rPr>
          <w:rFonts w:cs="宋体"/>
          <w:sz w:val="24"/>
          <w:szCs w:val="28"/>
        </w:rPr>
      </w:pPr>
      <w:r>
        <w:rPr>
          <w:rFonts w:hint="eastAsia" w:cs="宋体"/>
          <w:sz w:val="24"/>
          <w:szCs w:val="28"/>
        </w:rPr>
        <w:t>4.</w:t>
      </w:r>
      <w:r>
        <w:rPr>
          <w:rFonts w:cs="宋体"/>
          <w:sz w:val="24"/>
          <w:szCs w:val="28"/>
        </w:rPr>
        <w:t>点击新增</w:t>
      </w:r>
    </w:p>
    <w:p w14:paraId="754E877D">
      <w:pPr>
        <w:snapToGrid w:val="0"/>
        <w:spacing w:line="312" w:lineRule="auto"/>
      </w:pPr>
      <w:r>
        <w:drawing>
          <wp:inline distT="0" distB="0" distL="0" distR="0">
            <wp:extent cx="5760085" cy="2853055"/>
            <wp:effectExtent l="0" t="0" r="635" b="1206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1" cstate="print"/>
                    <a:srcRect/>
                    <a:stretch>
                      <a:fillRect/>
                    </a:stretch>
                  </pic:blipFill>
                  <pic:spPr>
                    <a:xfrm>
                      <a:off x="0" y="0"/>
                      <a:ext cx="5760085" cy="2853055"/>
                    </a:xfrm>
                    <a:prstGeom prst="rect">
                      <a:avLst/>
                    </a:prstGeom>
                  </pic:spPr>
                </pic:pic>
              </a:graphicData>
            </a:graphic>
          </wp:inline>
        </w:drawing>
      </w:r>
    </w:p>
    <w:p w14:paraId="60B0C7A9">
      <w:pPr>
        <w:numPr>
          <w:ilvl w:val="0"/>
          <w:numId w:val="24"/>
        </w:numPr>
        <w:spacing w:line="360" w:lineRule="auto"/>
        <w:rPr>
          <w:rFonts w:cs="宋体"/>
        </w:rPr>
      </w:pPr>
      <w:r>
        <w:rPr>
          <w:rFonts w:cs="宋体"/>
          <w:sz w:val="24"/>
          <w:szCs w:val="28"/>
        </w:rPr>
        <w:t>按要求填写所有信息，注意非生产类要填写合作单位，最后提交审批</w:t>
      </w:r>
    </w:p>
    <w:p w14:paraId="78E884F8">
      <w:r>
        <w:drawing>
          <wp:inline distT="0" distB="0" distL="0" distR="0">
            <wp:extent cx="5760085" cy="2809875"/>
            <wp:effectExtent l="0" t="0" r="63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2" cstate="print"/>
                    <a:srcRect/>
                    <a:stretch>
                      <a:fillRect/>
                    </a:stretch>
                  </pic:blipFill>
                  <pic:spPr>
                    <a:xfrm>
                      <a:off x="0" y="0"/>
                      <a:ext cx="5760085" cy="2809875"/>
                    </a:xfrm>
                    <a:prstGeom prst="rect">
                      <a:avLst/>
                    </a:prstGeom>
                  </pic:spPr>
                </pic:pic>
              </a:graphicData>
            </a:graphic>
          </wp:inline>
        </w:drawing>
      </w:r>
    </w:p>
    <w:p w14:paraId="0B42117D">
      <w:pPr>
        <w:pStyle w:val="4"/>
        <w:rPr>
          <w:rFonts w:ascii="Times New Roman" w:hAnsi="Times New Roman"/>
        </w:rPr>
      </w:pPr>
    </w:p>
    <w:p w14:paraId="00A59166">
      <w:pPr>
        <w:rPr>
          <w:rFonts w:cs="宋体"/>
          <w:b/>
          <w:bCs/>
          <w:sz w:val="24"/>
          <w:szCs w:val="28"/>
        </w:rPr>
      </w:pPr>
      <w:r>
        <w:rPr>
          <w:rFonts w:hint="eastAsia" w:cs="宋体"/>
          <w:b/>
          <w:bCs/>
          <w:sz w:val="24"/>
          <w:szCs w:val="28"/>
        </w:rPr>
        <w:t>注：</w:t>
      </w:r>
    </w:p>
    <w:p w14:paraId="6AC7B73D">
      <w:pPr>
        <w:numPr>
          <w:ilvl w:val="0"/>
          <w:numId w:val="25"/>
        </w:numPr>
        <w:rPr>
          <w:b/>
          <w:bCs/>
        </w:rPr>
      </w:pPr>
      <w:r>
        <w:rPr>
          <w:rFonts w:hint="eastAsia"/>
          <w:b/>
          <w:bCs/>
        </w:rPr>
        <w:t>“项目名称”和“采购形式编号”见第一部分的“项目介绍”；</w:t>
      </w:r>
    </w:p>
    <w:p w14:paraId="0ACDA06B">
      <w:pPr>
        <w:numPr>
          <w:ilvl w:val="0"/>
          <w:numId w:val="25"/>
        </w:numPr>
      </w:pPr>
      <w:r>
        <w:rPr>
          <w:rFonts w:hint="eastAsia"/>
          <w:b/>
          <w:bCs/>
        </w:rPr>
        <w:t>基本信息完整填写，原则上要求供应商必须填写近三年财务指标情况；</w:t>
      </w:r>
    </w:p>
    <w:p w14:paraId="52DBD8DC">
      <w:pPr>
        <w:pStyle w:val="4"/>
        <w:numPr>
          <w:ilvl w:val="0"/>
          <w:numId w:val="25"/>
        </w:numPr>
        <w:rPr>
          <w:rFonts w:ascii="Times New Roman" w:hAnsi="Times New Roman"/>
          <w:b/>
          <w:bCs/>
        </w:rPr>
      </w:pPr>
      <w:r>
        <w:rPr>
          <w:rFonts w:hint="eastAsia" w:ascii="Times New Roman" w:hAnsi="Times New Roman"/>
          <w:b/>
          <w:bCs/>
        </w:rPr>
        <w:t>管理单位选择【直管单位】、意向配套单位选择【直管单位】，配套能力“供货类别”填“直管单位非生产招标 /  服务 / 合作开发”，业务主管部门选择“</w:t>
      </w:r>
      <w:r>
        <w:rPr>
          <w:rFonts w:hint="eastAsia" w:ascii="Times New Roman" w:hAnsi="Times New Roman"/>
          <w:b/>
          <w:bCs/>
          <w:lang w:val="en-US" w:eastAsia="zh-CN"/>
        </w:rPr>
        <w:t>汽车研究总院</w:t>
      </w:r>
      <w:r>
        <w:rPr>
          <w:rFonts w:hint="eastAsia" w:ascii="Times New Roman" w:hAnsi="Times New Roman"/>
          <w:b/>
          <w:bCs/>
        </w:rPr>
        <w:t>”。</w:t>
      </w:r>
    </w:p>
    <w:p w14:paraId="2E1B51C6">
      <w:pPr>
        <w:pStyle w:val="4"/>
        <w:rPr>
          <w:rFonts w:ascii="Times New Roman" w:hAnsi="Times New Roman"/>
          <w:b/>
          <w:bCs/>
        </w:rPr>
      </w:pPr>
    </w:p>
    <w:p w14:paraId="5927804F">
      <w:pPr>
        <w:adjustRightInd w:val="0"/>
        <w:snapToGrid w:val="0"/>
        <w:spacing w:before="312" w:beforeLines="100" w:after="156" w:afterLines="50" w:line="440" w:lineRule="exact"/>
        <w:jc w:val="left"/>
        <w:outlineLvl w:val="2"/>
        <w:rPr>
          <w:sz w:val="24"/>
          <w:szCs w:val="24"/>
        </w:rPr>
      </w:pPr>
      <w:r>
        <w:rPr>
          <w:rFonts w:hint="eastAsia"/>
          <w:b/>
          <w:bCs/>
          <w:sz w:val="24"/>
          <w:szCs w:val="24"/>
        </w:rPr>
        <w:t>二、维护近三年财务指标</w:t>
      </w:r>
    </w:p>
    <w:p w14:paraId="5B722B38">
      <w:pPr>
        <w:spacing w:line="360" w:lineRule="auto"/>
        <w:rPr>
          <w:rFonts w:cs="宋体"/>
          <w:sz w:val="24"/>
          <w:szCs w:val="28"/>
        </w:rPr>
      </w:pPr>
      <w:r>
        <w:rPr>
          <w:rFonts w:hint="eastAsia" w:cs="宋体"/>
          <w:sz w:val="24"/>
          <w:szCs w:val="28"/>
        </w:rPr>
        <w:t>1.供应商使用业务账号登录系统后，通过菜单路径：供应商中心→供应商变更→供应商财务数据变更管理，点击【发起变更】按钮，进入供应商财务数据变更填写界面。</w:t>
      </w:r>
    </w:p>
    <w:p w14:paraId="45F0D8FD">
      <w:pPr>
        <w:rPr>
          <w:rFonts w:cs="宋体"/>
          <w:b/>
          <w:bCs/>
          <w:sz w:val="24"/>
          <w:szCs w:val="24"/>
        </w:rPr>
      </w:pPr>
      <w: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3"/>
                    <a:stretch>
                      <a:fillRect/>
                    </a:stretch>
                  </pic:blipFill>
                  <pic:spPr>
                    <a:xfrm>
                      <a:off x="0" y="0"/>
                      <a:ext cx="5486400" cy="2661285"/>
                    </a:xfrm>
                    <a:prstGeom prst="rect">
                      <a:avLst/>
                    </a:prstGeom>
                    <a:noFill/>
                    <a:ln>
                      <a:noFill/>
                    </a:ln>
                  </pic:spPr>
                </pic:pic>
              </a:graphicData>
            </a:graphic>
          </wp:inline>
        </w:drawing>
      </w:r>
    </w:p>
    <w:p w14:paraId="43C12CFD">
      <w:pPr>
        <w:rPr>
          <w:rFonts w:cs="宋体"/>
          <w:sz w:val="32"/>
          <w:szCs w:val="32"/>
        </w:rPr>
      </w:pPr>
      <w:r>
        <w:rPr>
          <w:rFonts w:hint="eastAsia" w:cs="宋体"/>
          <w:sz w:val="32"/>
          <w:szCs w:val="32"/>
        </w:rPr>
        <w:br w:type="page"/>
      </w:r>
    </w:p>
    <w:p w14:paraId="64E7BFE6">
      <w:pPr>
        <w:pStyle w:val="10"/>
        <w:numPr>
          <w:ilvl w:val="0"/>
          <w:numId w:val="0"/>
        </w:numPr>
        <w:rPr>
          <w:rFonts w:ascii="Times New Roman" w:hAnsi="Times New Roman" w:eastAsia="宋体" w:cs="宋体"/>
          <w:sz w:val="32"/>
          <w:szCs w:val="32"/>
        </w:rPr>
      </w:pPr>
      <w:r>
        <w:rPr>
          <w:rFonts w:hint="eastAsia" w:ascii="Times New Roman" w:hAnsi="Times New Roman" w:eastAsia="宋体" w:cs="宋体"/>
          <w:sz w:val="32"/>
          <w:szCs w:val="32"/>
        </w:rPr>
        <w:t>附件10 SRM系统供应商用户手册</w:t>
      </w:r>
    </w:p>
    <w:p w14:paraId="29B9BA2A">
      <w:pPr>
        <w:spacing w:line="360" w:lineRule="auto"/>
        <w:rPr>
          <w:rStyle w:val="9"/>
          <w:rFonts w:cs="宋体"/>
          <w:color w:val="auto"/>
          <w:sz w:val="24"/>
          <w:szCs w:val="24"/>
        </w:rPr>
      </w:pPr>
      <w:r>
        <w:rPr>
          <w:rFonts w:hint="eastAsia" w:cs="宋体"/>
          <w:sz w:val="24"/>
          <w:szCs w:val="24"/>
        </w:rPr>
        <w:t>系统网址：</w:t>
      </w:r>
      <w:r>
        <w:fldChar w:fldCharType="begin"/>
      </w:r>
      <w:r>
        <w:instrText xml:space="preserve"> HYPERLINK "http://ecaitong.sinotruk.com:8012/" \t "dlt" </w:instrText>
      </w:r>
      <w:r>
        <w:fldChar w:fldCharType="separate"/>
      </w:r>
      <w:r>
        <w:rPr>
          <w:rStyle w:val="9"/>
          <w:rFonts w:hint="eastAsia" w:cs="宋体"/>
          <w:color w:val="auto"/>
          <w:sz w:val="24"/>
          <w:szCs w:val="24"/>
        </w:rPr>
        <w:t>https://ecaitong.sinotruk.com:8012/</w:t>
      </w:r>
      <w:r>
        <w:rPr>
          <w:rStyle w:val="9"/>
          <w:rFonts w:hint="eastAsia" w:cs="宋体"/>
          <w:color w:val="auto"/>
          <w:sz w:val="24"/>
          <w:szCs w:val="24"/>
        </w:rPr>
        <w:fldChar w:fldCharType="end"/>
      </w:r>
    </w:p>
    <w:p w14:paraId="5527AE67">
      <w:pPr>
        <w:spacing w:line="360" w:lineRule="auto"/>
        <w:rPr>
          <w:sz w:val="24"/>
          <w:szCs w:val="24"/>
        </w:rPr>
      </w:pPr>
      <w:r>
        <w:rPr>
          <w:sz w:val="24"/>
          <w:szCs w:val="24"/>
        </w:rPr>
        <w:t>用 户 名：gys+供应商代码（注意：注册完毕后，用户名不要用手机号登录）</w:t>
      </w:r>
    </w:p>
    <w:p w14:paraId="6E5A9AC1">
      <w:pPr>
        <w:pStyle w:val="3"/>
        <w:rPr>
          <w:rFonts w:ascii="Times New Roman"/>
        </w:rPr>
      </w:pPr>
      <w:r>
        <w:rPr>
          <w:rFonts w:hint="eastAsia" w:ascii="Times New Roman"/>
          <w:sz w:val="24"/>
        </w:rPr>
        <w:t>初始密码为scm@2022或@2023</w:t>
      </w:r>
    </w:p>
    <w:p w14:paraId="24EFC930">
      <w:pPr>
        <w:spacing w:line="360" w:lineRule="auto"/>
        <w:rPr>
          <w:rFonts w:cs="宋体"/>
          <w:b/>
          <w:bCs/>
          <w:sz w:val="24"/>
          <w:szCs w:val="24"/>
        </w:rPr>
      </w:pPr>
      <w:r>
        <w:rPr>
          <w:rFonts w:hint="eastAsia" w:cs="宋体"/>
          <w:b/>
          <w:bCs/>
          <w:sz w:val="24"/>
          <w:szCs w:val="24"/>
        </w:rPr>
        <w:t>1.供应商应标</w:t>
      </w:r>
    </w:p>
    <w:p w14:paraId="1E05FFA5">
      <w:pPr>
        <w:spacing w:line="360" w:lineRule="auto"/>
        <w:rPr>
          <w:rFonts w:cs="宋体"/>
          <w:sz w:val="24"/>
          <w:szCs w:val="24"/>
        </w:rPr>
      </w:pPr>
      <w:r>
        <w:rPr>
          <w:rFonts w:cs="宋体"/>
          <w:sz w:val="24"/>
          <w:szCs w:val="24"/>
        </w:rPr>
        <w:t>路径：招投标中心</w:t>
      </w:r>
      <w:r>
        <w:rPr>
          <w:rFonts w:hint="eastAsia" w:cs="宋体"/>
          <w:sz w:val="24"/>
          <w:szCs w:val="24"/>
        </w:rPr>
        <w:t>-</w:t>
      </w:r>
      <w:r>
        <w:rPr>
          <w:rFonts w:cs="宋体"/>
          <w:sz w:val="24"/>
          <w:szCs w:val="24"/>
        </w:rPr>
        <w:t>非生产类招投标</w:t>
      </w:r>
      <w:r>
        <w:rPr>
          <w:rFonts w:hint="eastAsia" w:cs="宋体"/>
          <w:sz w:val="24"/>
          <w:szCs w:val="24"/>
        </w:rPr>
        <w:t>-</w:t>
      </w:r>
      <w:r>
        <w:rPr>
          <w:rFonts w:cs="宋体"/>
          <w:sz w:val="24"/>
          <w:szCs w:val="24"/>
        </w:rPr>
        <w:t>供应商应标</w:t>
      </w:r>
    </w:p>
    <w:p w14:paraId="672D222C">
      <w:pPr>
        <w:spacing w:line="360" w:lineRule="auto"/>
        <w:rPr>
          <w:rFonts w:cs="宋体"/>
          <w:sz w:val="24"/>
          <w:szCs w:val="24"/>
        </w:rPr>
      </w:pPr>
      <w:r>
        <w:rPr>
          <w:rFonts w:cs="宋体"/>
          <w:sz w:val="24"/>
          <w:szCs w:val="24"/>
        </w:rPr>
        <w:t>点击应标，上传文件之后点击提交。</w:t>
      </w:r>
    </w:p>
    <w:p w14:paraId="4984EBE4">
      <w:r>
        <w:drawing>
          <wp:inline distT="0" distB="0" distL="0" distR="0">
            <wp:extent cx="5760085" cy="2269490"/>
            <wp:effectExtent l="0" t="0" r="635" b="127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4"/>
                    <a:stretch>
                      <a:fillRect/>
                    </a:stretch>
                  </pic:blipFill>
                  <pic:spPr>
                    <a:xfrm>
                      <a:off x="0" y="0"/>
                      <a:ext cx="5760085" cy="2269864"/>
                    </a:xfrm>
                    <a:prstGeom prst="rect">
                      <a:avLst/>
                    </a:prstGeom>
                  </pic:spPr>
                </pic:pic>
              </a:graphicData>
            </a:graphic>
          </wp:inline>
        </w:drawing>
      </w:r>
    </w:p>
    <w:p w14:paraId="0B5A77FA"/>
    <w:p w14:paraId="28B965BF">
      <w:pPr>
        <w:spacing w:line="360" w:lineRule="auto"/>
        <w:rPr>
          <w:rFonts w:cs="宋体"/>
          <w:b/>
          <w:bCs/>
          <w:sz w:val="24"/>
          <w:szCs w:val="24"/>
        </w:rPr>
      </w:pPr>
      <w:r>
        <w:rPr>
          <w:rFonts w:hint="eastAsia" w:cs="宋体"/>
          <w:b/>
          <w:bCs/>
          <w:sz w:val="24"/>
          <w:szCs w:val="24"/>
        </w:rPr>
        <w:t>2.供应商投标</w:t>
      </w:r>
    </w:p>
    <w:p w14:paraId="6B812581">
      <w:pPr>
        <w:spacing w:line="360" w:lineRule="auto"/>
        <w:rPr>
          <w:rFonts w:cs="宋体"/>
          <w:sz w:val="24"/>
          <w:szCs w:val="24"/>
        </w:rPr>
      </w:pPr>
      <w:r>
        <w:rPr>
          <w:rFonts w:cs="宋体"/>
          <w:sz w:val="24"/>
          <w:szCs w:val="24"/>
        </w:rPr>
        <w:t>路径：招投标中心</w:t>
      </w:r>
      <w:r>
        <w:rPr>
          <w:rFonts w:hint="eastAsia" w:cs="宋体"/>
          <w:sz w:val="24"/>
          <w:szCs w:val="24"/>
        </w:rPr>
        <w:t>-</w:t>
      </w:r>
      <w:r>
        <w:rPr>
          <w:rFonts w:cs="宋体"/>
          <w:sz w:val="24"/>
          <w:szCs w:val="24"/>
        </w:rPr>
        <w:t>非生产类招投标</w:t>
      </w:r>
      <w:r>
        <w:rPr>
          <w:rFonts w:hint="eastAsia" w:cs="宋体"/>
          <w:sz w:val="24"/>
          <w:szCs w:val="24"/>
        </w:rPr>
        <w:t>-</w:t>
      </w:r>
      <w:r>
        <w:rPr>
          <w:rFonts w:cs="宋体"/>
          <w:sz w:val="24"/>
          <w:szCs w:val="24"/>
        </w:rPr>
        <w:t>供应商投标</w:t>
      </w:r>
    </w:p>
    <w:p w14:paraId="5488ACE4">
      <w:pPr>
        <w:rPr>
          <w:rFonts w:cs="宋体"/>
        </w:rPr>
      </w:pPr>
      <w:r>
        <w:rPr>
          <w:rFonts w:cs="宋体"/>
        </w:rPr>
        <w:drawing>
          <wp:inline distT="0" distB="0" distL="0" distR="0">
            <wp:extent cx="5760085" cy="2125345"/>
            <wp:effectExtent l="0" t="0" r="63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5"/>
                    <a:stretch>
                      <a:fillRect/>
                    </a:stretch>
                  </pic:blipFill>
                  <pic:spPr>
                    <a:xfrm>
                      <a:off x="0" y="0"/>
                      <a:ext cx="5760085" cy="2125673"/>
                    </a:xfrm>
                    <a:prstGeom prst="rect">
                      <a:avLst/>
                    </a:prstGeom>
                  </pic:spPr>
                </pic:pic>
              </a:graphicData>
            </a:graphic>
          </wp:inline>
        </w:drawing>
      </w:r>
    </w:p>
    <w:p w14:paraId="1A5D7761">
      <w:pPr>
        <w:spacing w:line="360" w:lineRule="auto"/>
        <w:rPr>
          <w:rFonts w:cs="宋体"/>
          <w:sz w:val="24"/>
          <w:szCs w:val="28"/>
        </w:rPr>
      </w:pPr>
      <w:r>
        <w:rPr>
          <w:rFonts w:cs="宋体"/>
          <w:sz w:val="24"/>
          <w:szCs w:val="28"/>
        </w:rPr>
        <w:t>点击投标按钮，进入详情页，输入投标报价并上传相应的附件。</w:t>
      </w:r>
    </w:p>
    <w:p w14:paraId="0EB981D5">
      <w:pPr>
        <w:pStyle w:val="4"/>
        <w:rPr>
          <w:rFonts w:ascii="Times New Roman" w:hAnsi="Times New Roman"/>
          <w:b/>
          <w:bCs/>
        </w:rPr>
      </w:pPr>
      <w:r>
        <w:rPr>
          <w:rFonts w:hint="eastAsia" w:ascii="Times New Roman" w:hAnsi="Times New Roman" w:cs="宋体"/>
          <w:b/>
          <w:bCs/>
          <w:sz w:val="24"/>
          <w:szCs w:val="28"/>
        </w:rPr>
        <w:t>注意：系统内的投标报价单位为“万元”，如开标现场发现填错报价，即直接淘汰。</w:t>
      </w:r>
    </w:p>
    <w:p w14:paraId="7DB687B1">
      <w:pPr>
        <w:spacing w:before="280" w:after="290" w:line="372" w:lineRule="auto"/>
        <w:ind w:left="425" w:hanging="425"/>
        <w:rPr>
          <w:rFonts w:eastAsia="Arial" w:cs="Arial"/>
          <w:sz w:val="28"/>
        </w:rPr>
      </w:pPr>
      <w:r>
        <w:rPr>
          <w:rFonts w:eastAsia="Arial" w:cs="Arial"/>
          <w:sz w:val="28"/>
        </w:rPr>
        <w:drawing>
          <wp:inline distT="0" distB="0" distL="0" distR="0">
            <wp:extent cx="5490210" cy="2668905"/>
            <wp:effectExtent l="0" t="0" r="11430" b="1333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6"/>
                    <a:stretch>
                      <a:fillRect/>
                    </a:stretch>
                  </pic:blipFill>
                  <pic:spPr>
                    <a:xfrm>
                      <a:off x="0" y="0"/>
                      <a:ext cx="5490210" cy="2669498"/>
                    </a:xfrm>
                    <a:prstGeom prst="rect">
                      <a:avLst/>
                    </a:prstGeom>
                  </pic:spPr>
                </pic:pic>
              </a:graphicData>
            </a:graphic>
          </wp:inline>
        </w:drawing>
      </w:r>
    </w:p>
    <w:p w14:paraId="5E807DCC">
      <w:pPr>
        <w:spacing w:line="360" w:lineRule="auto"/>
        <w:rPr>
          <w:rFonts w:cs="宋体"/>
          <w:b/>
          <w:bCs/>
          <w:sz w:val="24"/>
          <w:szCs w:val="24"/>
        </w:rPr>
      </w:pPr>
      <w:r>
        <w:rPr>
          <w:rFonts w:hint="eastAsia" w:cs="宋体"/>
          <w:b/>
          <w:bCs/>
          <w:sz w:val="24"/>
          <w:szCs w:val="24"/>
        </w:rPr>
        <w:t>3.供应商技术标澄清函</w:t>
      </w:r>
    </w:p>
    <w:p w14:paraId="0266D58D">
      <w:pPr>
        <w:spacing w:line="360" w:lineRule="auto"/>
        <w:rPr>
          <w:rFonts w:cs="宋体"/>
          <w:sz w:val="24"/>
          <w:szCs w:val="24"/>
        </w:rPr>
      </w:pPr>
      <w:r>
        <w:rPr>
          <w:rFonts w:cs="宋体"/>
          <w:sz w:val="24"/>
          <w:szCs w:val="24"/>
        </w:rPr>
        <w:t>路径：招投标中心</w:t>
      </w:r>
      <w:r>
        <w:rPr>
          <w:rFonts w:hint="eastAsia" w:cs="宋体"/>
          <w:sz w:val="24"/>
          <w:szCs w:val="24"/>
        </w:rPr>
        <w:t>-</w:t>
      </w:r>
      <w:r>
        <w:rPr>
          <w:rFonts w:cs="宋体"/>
          <w:sz w:val="24"/>
          <w:szCs w:val="24"/>
        </w:rPr>
        <w:t>非生产类招投标</w:t>
      </w:r>
      <w:r>
        <w:rPr>
          <w:rFonts w:hint="eastAsia" w:cs="宋体"/>
          <w:sz w:val="24"/>
          <w:szCs w:val="24"/>
        </w:rPr>
        <w:t>-</w:t>
      </w:r>
      <w:r>
        <w:rPr>
          <w:rFonts w:cs="宋体"/>
          <w:sz w:val="24"/>
          <w:szCs w:val="24"/>
        </w:rPr>
        <w:t>供应商技术标澄清函</w:t>
      </w:r>
    </w:p>
    <w:p w14:paraId="3E1B3EEA">
      <w:pPr>
        <w:spacing w:line="360" w:lineRule="auto"/>
        <w:rPr>
          <w:rFonts w:cs="宋体"/>
          <w:sz w:val="24"/>
          <w:szCs w:val="24"/>
        </w:rPr>
      </w:pPr>
      <w:r>
        <w:rPr>
          <w:rFonts w:cs="宋体"/>
          <w:sz w:val="24"/>
          <w:szCs w:val="24"/>
        </w:rPr>
        <w:t>点击编辑按钮进入系统，上传技术标澄清函。</w:t>
      </w:r>
    </w:p>
    <w:p w14:paraId="364975CC">
      <w:pPr>
        <w:spacing w:line="360" w:lineRule="auto"/>
        <w:rPr>
          <w:rFonts w:eastAsia="Arial" w:cs="Arial"/>
          <w:sz w:val="28"/>
        </w:rPr>
      </w:pPr>
      <w:r>
        <w:rPr>
          <w:rFonts w:cs="宋体"/>
          <w:sz w:val="24"/>
          <w:szCs w:val="24"/>
        </w:rPr>
        <w:t>开标之后所有投标的供应商都可编辑提交，技术标入围之后</w:t>
      </w:r>
      <w:r>
        <w:rPr>
          <w:rFonts w:hint="eastAsia" w:cs="宋体"/>
          <w:sz w:val="24"/>
          <w:szCs w:val="24"/>
        </w:rPr>
        <w:t xml:space="preserve"> </w:t>
      </w:r>
      <w:r>
        <w:rPr>
          <w:rFonts w:cs="宋体"/>
          <w:sz w:val="24"/>
          <w:szCs w:val="24"/>
        </w:rPr>
        <w:t>都不可编辑</w:t>
      </w:r>
      <w:r>
        <w:rPr>
          <w:rFonts w:eastAsia="Arial" w:cs="Arial"/>
          <w:sz w:val="28"/>
        </w:rPr>
        <w:drawing>
          <wp:inline distT="0" distB="0" distL="0" distR="0">
            <wp:extent cx="5490210" cy="1992630"/>
            <wp:effectExtent l="0" t="0" r="11430" b="381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7"/>
                    <a:stretch>
                      <a:fillRect/>
                    </a:stretch>
                  </pic:blipFill>
                  <pic:spPr>
                    <a:xfrm>
                      <a:off x="0" y="0"/>
                      <a:ext cx="5490210" cy="1992743"/>
                    </a:xfrm>
                    <a:prstGeom prst="rect">
                      <a:avLst/>
                    </a:prstGeom>
                  </pic:spPr>
                </pic:pic>
              </a:graphicData>
            </a:graphic>
          </wp:inline>
        </w:drawing>
      </w:r>
    </w:p>
    <w:p w14:paraId="3B38D4F9">
      <w:pPr>
        <w:spacing w:line="360" w:lineRule="auto"/>
        <w:rPr>
          <w:rFonts w:cs="宋体"/>
          <w:b/>
          <w:bCs/>
          <w:sz w:val="24"/>
          <w:szCs w:val="24"/>
        </w:rPr>
      </w:pPr>
      <w:r>
        <w:rPr>
          <w:rFonts w:hint="eastAsia" w:cs="宋体"/>
          <w:b/>
          <w:bCs/>
          <w:sz w:val="24"/>
          <w:szCs w:val="24"/>
        </w:rPr>
        <w:t>4.供应商报价</w:t>
      </w:r>
    </w:p>
    <w:p w14:paraId="0E4F2156">
      <w:pPr>
        <w:spacing w:line="360" w:lineRule="auto"/>
        <w:rPr>
          <w:rFonts w:cs="宋体"/>
          <w:sz w:val="24"/>
          <w:szCs w:val="24"/>
        </w:rPr>
      </w:pPr>
      <w:r>
        <w:rPr>
          <w:rFonts w:cs="宋体"/>
          <w:sz w:val="24"/>
          <w:szCs w:val="24"/>
        </w:rPr>
        <w:t>路径：招投标中心</w:t>
      </w:r>
      <w:r>
        <w:rPr>
          <w:rFonts w:hint="eastAsia" w:cs="宋体"/>
          <w:sz w:val="24"/>
          <w:szCs w:val="24"/>
        </w:rPr>
        <w:t>-</w:t>
      </w:r>
      <w:r>
        <w:rPr>
          <w:rFonts w:cs="宋体"/>
          <w:sz w:val="24"/>
          <w:szCs w:val="24"/>
        </w:rPr>
        <w:t>非生产类招投标</w:t>
      </w:r>
      <w:r>
        <w:rPr>
          <w:rFonts w:hint="eastAsia" w:cs="宋体"/>
          <w:sz w:val="24"/>
          <w:szCs w:val="24"/>
        </w:rPr>
        <w:t>-</w:t>
      </w:r>
      <w:r>
        <w:rPr>
          <w:rFonts w:cs="宋体"/>
          <w:sz w:val="24"/>
          <w:szCs w:val="24"/>
        </w:rPr>
        <w:t>供应商报价</w:t>
      </w:r>
    </w:p>
    <w:p w14:paraId="0CBEA1A8">
      <w:pPr>
        <w:spacing w:line="360" w:lineRule="auto"/>
        <w:rPr>
          <w:rFonts w:cs="宋体"/>
          <w:sz w:val="24"/>
          <w:szCs w:val="24"/>
        </w:rPr>
      </w:pPr>
      <w:r>
        <w:rPr>
          <w:rFonts w:cs="宋体"/>
          <w:sz w:val="24"/>
          <w:szCs w:val="24"/>
        </w:rPr>
        <w:t>点击报价按钮进入报价详情界面，请在此轮报价起止时间内报价，否则无法报价。</w:t>
      </w:r>
    </w:p>
    <w:p w14:paraId="084C7377">
      <w:pPr>
        <w:spacing w:line="360" w:lineRule="auto"/>
        <w:rPr>
          <w:rFonts w:cs="宋体"/>
          <w:b/>
          <w:bCs/>
          <w:sz w:val="24"/>
          <w:szCs w:val="24"/>
        </w:rPr>
      </w:pPr>
      <w:r>
        <w:rPr>
          <w:rFonts w:hint="eastAsia" w:cs="宋体"/>
          <w:b/>
          <w:bCs/>
          <w:sz w:val="24"/>
          <w:szCs w:val="24"/>
        </w:rPr>
        <w:t>5.供应商澄清报价</w:t>
      </w:r>
    </w:p>
    <w:p w14:paraId="77F65001">
      <w:pPr>
        <w:spacing w:line="360" w:lineRule="auto"/>
        <w:rPr>
          <w:rFonts w:cs="宋体"/>
          <w:sz w:val="24"/>
          <w:szCs w:val="24"/>
        </w:rPr>
      </w:pPr>
      <w:r>
        <w:rPr>
          <w:rFonts w:cs="宋体"/>
          <w:sz w:val="24"/>
          <w:szCs w:val="24"/>
        </w:rPr>
        <w:t>路径：招投标中心</w:t>
      </w:r>
      <w:r>
        <w:rPr>
          <w:rFonts w:hint="eastAsia" w:cs="宋体"/>
          <w:sz w:val="24"/>
          <w:szCs w:val="24"/>
        </w:rPr>
        <w:t>-</w:t>
      </w:r>
      <w:r>
        <w:rPr>
          <w:rFonts w:cs="宋体"/>
          <w:sz w:val="24"/>
          <w:szCs w:val="24"/>
        </w:rPr>
        <w:t>非生产类招投标</w:t>
      </w:r>
      <w:r>
        <w:rPr>
          <w:rFonts w:hint="eastAsia" w:cs="宋体"/>
          <w:sz w:val="24"/>
          <w:szCs w:val="24"/>
        </w:rPr>
        <w:t>-</w:t>
      </w:r>
      <w:r>
        <w:rPr>
          <w:rFonts w:cs="宋体"/>
          <w:sz w:val="24"/>
          <w:szCs w:val="24"/>
        </w:rPr>
        <w:t>供应商澄清报价</w:t>
      </w:r>
    </w:p>
    <w:p w14:paraId="3F6823E9">
      <w:pPr>
        <w:spacing w:line="360" w:lineRule="auto"/>
        <w:rPr>
          <w:rFonts w:cs="宋体"/>
          <w:sz w:val="24"/>
          <w:szCs w:val="24"/>
        </w:rPr>
      </w:pPr>
      <w:r>
        <w:rPr>
          <w:rFonts w:cs="宋体"/>
          <w:sz w:val="24"/>
          <w:szCs w:val="24"/>
        </w:rPr>
        <w:t>招标发起人接收建议价的同时会给供应商发送澄清报价，供应商在此界面进行澄清报价，点击编辑按钮进入澄清报价详细界面，输入价格并上传澄清函，之后点击提交。</w:t>
      </w:r>
    </w:p>
    <w:p w14:paraId="19366AB4">
      <w:pPr>
        <w:spacing w:before="280" w:after="290" w:line="372" w:lineRule="auto"/>
        <w:ind w:left="425" w:hanging="425"/>
        <w:rPr>
          <w:rFonts w:eastAsia="Arial" w:cs="Arial"/>
          <w:sz w:val="28"/>
        </w:rPr>
      </w:pPr>
      <w:r>
        <w:rPr>
          <w:rFonts w:eastAsia="Arial" w:cs="Arial"/>
          <w:sz w:val="28"/>
        </w:rPr>
        <w:drawing>
          <wp:inline distT="0" distB="0" distL="0" distR="0">
            <wp:extent cx="5490210" cy="2544445"/>
            <wp:effectExtent l="0" t="0" r="11430" b="63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8"/>
                    <a:stretch>
                      <a:fillRect/>
                    </a:stretch>
                  </pic:blipFill>
                  <pic:spPr>
                    <a:xfrm>
                      <a:off x="0" y="0"/>
                      <a:ext cx="5490210" cy="2544669"/>
                    </a:xfrm>
                    <a:prstGeom prst="rect">
                      <a:avLst/>
                    </a:prstGeom>
                  </pic:spPr>
                </pic:pic>
              </a:graphicData>
            </a:graphic>
          </wp:inline>
        </w:drawing>
      </w:r>
    </w:p>
    <w:p w14:paraId="57A832B0">
      <w:pPr>
        <w:spacing w:line="360" w:lineRule="auto"/>
        <w:rPr>
          <w:rFonts w:cs="宋体"/>
          <w:b/>
          <w:bCs/>
          <w:sz w:val="24"/>
          <w:szCs w:val="24"/>
        </w:rPr>
      </w:pPr>
      <w:r>
        <w:rPr>
          <w:rFonts w:hint="eastAsia" w:cs="宋体"/>
          <w:b/>
          <w:bCs/>
          <w:sz w:val="24"/>
          <w:szCs w:val="24"/>
        </w:rPr>
        <w:t>6.供应商查看中标通知</w:t>
      </w:r>
    </w:p>
    <w:p w14:paraId="6AAD65B9">
      <w:pPr>
        <w:spacing w:line="360" w:lineRule="auto"/>
        <w:rPr>
          <w:rFonts w:cs="宋体"/>
          <w:sz w:val="24"/>
          <w:szCs w:val="24"/>
        </w:rPr>
      </w:pPr>
      <w:r>
        <w:rPr>
          <w:rFonts w:cs="宋体"/>
          <w:sz w:val="24"/>
          <w:szCs w:val="24"/>
        </w:rPr>
        <w:t>路径：招投标中心</w:t>
      </w:r>
      <w:r>
        <w:rPr>
          <w:rFonts w:hint="eastAsia" w:cs="宋体"/>
          <w:sz w:val="24"/>
          <w:szCs w:val="24"/>
        </w:rPr>
        <w:t>-</w:t>
      </w:r>
      <w:r>
        <w:rPr>
          <w:rFonts w:cs="宋体"/>
          <w:sz w:val="24"/>
          <w:szCs w:val="24"/>
        </w:rPr>
        <w:t>非生产类招投标</w:t>
      </w:r>
      <w:r>
        <w:rPr>
          <w:rFonts w:hint="eastAsia" w:cs="宋体"/>
          <w:sz w:val="24"/>
          <w:szCs w:val="24"/>
        </w:rPr>
        <w:t>-</w:t>
      </w:r>
      <w:r>
        <w:rPr>
          <w:rFonts w:cs="宋体"/>
          <w:sz w:val="24"/>
          <w:szCs w:val="24"/>
        </w:rPr>
        <w:t>中标项目</w:t>
      </w:r>
    </w:p>
    <w:p w14:paraId="1924579B">
      <w:pPr>
        <w:spacing w:line="360" w:lineRule="auto"/>
        <w:rPr>
          <w:rFonts w:cs="宋体"/>
          <w:sz w:val="24"/>
          <w:szCs w:val="24"/>
        </w:rPr>
      </w:pPr>
      <w:r>
        <w:rPr>
          <w:rFonts w:cs="宋体"/>
          <w:sz w:val="24"/>
          <w:szCs w:val="24"/>
        </w:rPr>
        <w:t>点击查看进入查看中标项目详情</w:t>
      </w:r>
    </w:p>
    <w:p w14:paraId="22419048">
      <w:r>
        <w:drawing>
          <wp:inline distT="0" distB="0" distL="0" distR="0">
            <wp:extent cx="5760085" cy="1956435"/>
            <wp:effectExtent l="0" t="0" r="635" b="952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9"/>
                    <a:stretch>
                      <a:fillRect/>
                    </a:stretch>
                  </pic:blipFill>
                  <pic:spPr>
                    <a:xfrm>
                      <a:off x="0" y="0"/>
                      <a:ext cx="5760085" cy="1956600"/>
                    </a:xfrm>
                    <a:prstGeom prst="rect">
                      <a:avLst/>
                    </a:prstGeom>
                  </pic:spPr>
                </pic:pic>
              </a:graphicData>
            </a:graphic>
          </wp:inline>
        </w:drawing>
      </w:r>
    </w:p>
    <w:p w14:paraId="6D46E5D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D693D3">
    <w:pPr>
      <w:pStyle w:val="5"/>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7FFAED6">
                          <w:pPr>
                            <w:pStyle w:val="5"/>
                          </w:pPr>
                          <w:r>
                            <w:fldChar w:fldCharType="begin"/>
                          </w:r>
                          <w:r>
                            <w:instrText xml:space="preserve"> PAGE  \* MERGEFORMAT </w:instrText>
                          </w:r>
                          <w:r>
                            <w:fldChar w:fldCharType="separate"/>
                          </w:r>
                          <w:r>
                            <w:t>31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47FFAED6">
                    <w:pPr>
                      <w:pStyle w:val="5"/>
                    </w:pPr>
                    <w:r>
                      <w:fldChar w:fldCharType="begin"/>
                    </w:r>
                    <w:r>
                      <w:instrText xml:space="preserve"> PAGE  \* MERGEFORMAT </w:instrText>
                    </w:r>
                    <w:r>
                      <w:fldChar w:fldCharType="separate"/>
                    </w:r>
                    <w:r>
                      <w:t>31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4483F6">
    <w:pPr>
      <w:pStyle w:val="5"/>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382A406">
                          <w:pPr>
                            <w:pStyle w:val="5"/>
                          </w:pPr>
                          <w:r>
                            <w:fldChar w:fldCharType="begin"/>
                          </w:r>
                          <w:r>
                            <w:instrText xml:space="preserve"> PAGE  \* MERGEFORMAT </w:instrText>
                          </w:r>
                          <w:r>
                            <w:fldChar w:fldCharType="separate"/>
                          </w:r>
                          <w:r>
                            <w:t>30</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4382A406">
                    <w:pPr>
                      <w:pStyle w:val="5"/>
                    </w:pPr>
                    <w:r>
                      <w:fldChar w:fldCharType="begin"/>
                    </w:r>
                    <w:r>
                      <w:instrText xml:space="preserve"> PAGE  \* MERGEFORMAT </w:instrText>
                    </w:r>
                    <w:r>
                      <w:fldChar w:fldCharType="separate"/>
                    </w:r>
                    <w:r>
                      <w:t>30</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D00D92">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firstLine="420"/>
      </w:pPr>
      <w:rPr>
        <w:rFonts w:hint="default"/>
        <w:b w:val="0"/>
        <w:bCs w:val="0"/>
        <w:color w:val="auto"/>
        <w:highlight w:val="none"/>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abstractNum w:abstractNumId="1">
    <w:nsid w:val="B20830A4"/>
    <w:multiLevelType w:val="multilevel"/>
    <w:tmpl w:val="B20830A4"/>
    <w:lvl w:ilvl="0" w:tentative="0">
      <w:start w:val="1"/>
      <w:numFmt w:val="decimal"/>
      <w:suff w:val="nothing"/>
      <w:lvlText w:val="%1."/>
      <w:lvlJc w:val="left"/>
      <w:pPr>
        <w:ind w:left="0" w:firstLine="0"/>
      </w:pPr>
      <w:rPr>
        <w:rFonts w:hint="default"/>
      </w:rPr>
    </w:lvl>
    <w:lvl w:ilvl="1" w:tentative="0">
      <w:start w:val="1"/>
      <w:numFmt w:val="decimal"/>
      <w:suff w:val="nothing"/>
      <w:lvlText w:val="%1.%2."/>
      <w:lvlJc w:val="left"/>
      <w:pPr>
        <w:ind w:left="0" w:firstLine="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
    <w:nsid w:val="B862383A"/>
    <w:multiLevelType w:val="multilevel"/>
    <w:tmpl w:val="B862383A"/>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firstLine="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
    <w:nsid w:val="B9F08EBE"/>
    <w:multiLevelType w:val="multilevel"/>
    <w:tmpl w:val="B9F08EBE"/>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firstLine="0"/>
      </w:pPr>
      <w:rPr>
        <w:rFonts w:hint="default"/>
      </w:rPr>
    </w:lvl>
    <w:lvl w:ilvl="2" w:tentative="0">
      <w:start w:val="1"/>
      <w:numFmt w:val="decimal"/>
      <w:suff w:val="nothing"/>
      <w:lvlText w:val="%1.%2.%3."/>
      <w:lvlJc w:val="left"/>
      <w:pPr>
        <w:ind w:left="0" w:firstLine="0"/>
      </w:pPr>
      <w:rPr>
        <w:rFonts w:hint="default"/>
        <w:highlight w:val="none"/>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4">
    <w:nsid w:val="BF782878"/>
    <w:multiLevelType w:val="multilevel"/>
    <w:tmpl w:val="BF782878"/>
    <w:lvl w:ilvl="0" w:tentative="0">
      <w:start w:val="1"/>
      <w:numFmt w:val="chineseCountingThousand"/>
      <w:pStyle w:val="10"/>
      <w:suff w:val="nothing"/>
      <w:lvlText w:val="%1、"/>
      <w:lvlJc w:val="left"/>
      <w:pPr>
        <w:ind w:left="0" w:firstLine="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5">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firstLine="420"/>
      </w:pPr>
      <w:rPr>
        <w:rFonts w:hint="default"/>
        <w:b w:val="0"/>
        <w:bCs w:val="0"/>
        <w:color w:val="auto"/>
        <w:highlight w:val="none"/>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abstractNum w:abstractNumId="6">
    <w:nsid w:val="D05F1A21"/>
    <w:multiLevelType w:val="multilevel"/>
    <w:tmpl w:val="D05F1A21"/>
    <w:lvl w:ilvl="0" w:tentative="0">
      <w:start w:val="1"/>
      <w:numFmt w:val="decimal"/>
      <w:suff w:val="nothing"/>
      <w:lvlText w:val="%1."/>
      <w:lvlJc w:val="left"/>
      <w:pPr>
        <w:ind w:left="0" w:firstLine="0"/>
      </w:pPr>
      <w:rPr>
        <w:rFonts w:hint="default"/>
      </w:rPr>
    </w:lvl>
    <w:lvl w:ilvl="1" w:tentative="0">
      <w:start w:val="1"/>
      <w:numFmt w:val="decimal"/>
      <w:suff w:val="nothing"/>
      <w:lvlText w:val="%1.%2."/>
      <w:lvlJc w:val="left"/>
      <w:pPr>
        <w:ind w:left="0" w:firstLine="0"/>
      </w:pPr>
      <w:rPr>
        <w:rFonts w:hint="default"/>
        <w:b w:val="0"/>
        <w:bCs w:val="0"/>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7">
    <w:nsid w:val="D87ECBDD"/>
    <w:multiLevelType w:val="multilevel"/>
    <w:tmpl w:val="D87ECBDD"/>
    <w:lvl w:ilvl="0" w:tentative="0">
      <w:start w:val="1"/>
      <w:numFmt w:val="decimal"/>
      <w:suff w:val="nothing"/>
      <w:lvlText w:val="%1."/>
      <w:lvlJc w:val="left"/>
      <w:pPr>
        <w:ind w:left="0" w:firstLine="0"/>
      </w:pPr>
      <w:rPr>
        <w:rFonts w:hint="default"/>
      </w:rPr>
    </w:lvl>
    <w:lvl w:ilvl="1" w:tentative="0">
      <w:start w:val="1"/>
      <w:numFmt w:val="decimal"/>
      <w:suff w:val="nothing"/>
      <w:lvlText w:val="%1.%2."/>
      <w:lvlJc w:val="left"/>
      <w:pPr>
        <w:ind w:left="0" w:firstLine="0"/>
      </w:pPr>
      <w:rPr>
        <w:rFonts w:hint="default"/>
      </w:rPr>
    </w:lvl>
    <w:lvl w:ilvl="2" w:tentative="0">
      <w:start w:val="1"/>
      <w:numFmt w:val="decimal"/>
      <w:suff w:val="nothing"/>
      <w:lvlText w:val="%1.%2.%3."/>
      <w:lvlJc w:val="left"/>
      <w:pPr>
        <w:ind w:left="0" w:firstLine="0"/>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8">
    <w:nsid w:val="E1864EA1"/>
    <w:multiLevelType w:val="singleLevel"/>
    <w:tmpl w:val="E1864EA1"/>
    <w:lvl w:ilvl="0" w:tentative="0">
      <w:start w:val="1"/>
      <w:numFmt w:val="bullet"/>
      <w:lvlText w:val=""/>
      <w:lvlJc w:val="left"/>
      <w:pPr>
        <w:ind w:left="420" w:hanging="420"/>
      </w:pPr>
      <w:rPr>
        <w:rFonts w:hint="default" w:ascii="Wingdings" w:hAnsi="Wingdings"/>
      </w:rPr>
    </w:lvl>
  </w:abstractNum>
  <w:abstractNum w:abstractNumId="9">
    <w:nsid w:val="E8D42257"/>
    <w:multiLevelType w:val="singleLevel"/>
    <w:tmpl w:val="E8D42257"/>
    <w:lvl w:ilvl="0" w:tentative="0">
      <w:start w:val="1"/>
      <w:numFmt w:val="decimal"/>
      <w:lvlText w:val="%1."/>
      <w:lvlJc w:val="left"/>
      <w:pPr>
        <w:tabs>
          <w:tab w:val="left" w:pos="312"/>
        </w:tabs>
      </w:pPr>
    </w:lvl>
  </w:abstractNum>
  <w:abstractNum w:abstractNumId="10">
    <w:nsid w:val="F40E5138"/>
    <w:multiLevelType w:val="singleLevel"/>
    <w:tmpl w:val="F40E5138"/>
    <w:lvl w:ilvl="0" w:tentative="0">
      <w:start w:val="1"/>
      <w:numFmt w:val="bullet"/>
      <w:suff w:val="nothing"/>
      <w:lvlText w:val=""/>
      <w:lvlJc w:val="left"/>
      <w:pPr>
        <w:ind w:left="0" w:firstLine="0"/>
      </w:pPr>
      <w:rPr>
        <w:rFonts w:hint="default" w:ascii="Wingdings" w:hAnsi="Wingdings"/>
      </w:rPr>
    </w:lvl>
  </w:abstractNum>
  <w:abstractNum w:abstractNumId="11">
    <w:nsid w:val="00000003"/>
    <w:multiLevelType w:val="singleLevel"/>
    <w:tmpl w:val="00000003"/>
    <w:lvl w:ilvl="0" w:tentative="0">
      <w:start w:val="5"/>
      <w:numFmt w:val="decimal"/>
      <w:lvlText w:val="%1."/>
      <w:lvlJc w:val="left"/>
      <w:pPr>
        <w:tabs>
          <w:tab w:val="left" w:pos="312"/>
        </w:tabs>
      </w:pPr>
    </w:lvl>
  </w:abstractNum>
  <w:abstractNum w:abstractNumId="12">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13">
    <w:nsid w:val="11906048"/>
    <w:multiLevelType w:val="multilevel"/>
    <w:tmpl w:val="11906048"/>
    <w:lvl w:ilvl="0" w:tentative="0">
      <w:start w:val="1"/>
      <w:numFmt w:val="decimal"/>
      <w:suff w:val="nothing"/>
      <w:lvlText w:val="%1."/>
      <w:lvlJc w:val="left"/>
      <w:pPr>
        <w:ind w:left="0" w:firstLine="0"/>
      </w:pPr>
      <w:rPr>
        <w:rFonts w:hint="default"/>
      </w:rPr>
    </w:lvl>
    <w:lvl w:ilvl="1" w:tentative="0">
      <w:start w:val="1"/>
      <w:numFmt w:val="decimal"/>
      <w:suff w:val="space"/>
      <w:lvlText w:val="(%2)"/>
      <w:lvlJc w:val="left"/>
      <w:pPr>
        <w:ind w:left="0" w:firstLine="420"/>
      </w:pPr>
      <w:rPr>
        <w:rFonts w:hint="default"/>
        <w:highlight w:val="none"/>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abstractNum w:abstractNumId="14">
    <w:nsid w:val="13C67257"/>
    <w:multiLevelType w:val="multilevel"/>
    <w:tmpl w:val="13C67257"/>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840" w:hanging="420"/>
      </w:pPr>
      <w:rPr>
        <w:rFonts w:hint="default"/>
        <w:b w:val="0"/>
        <w:bCs w:val="0"/>
        <w:color w:val="auto"/>
        <w:highlight w:val="none"/>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abstractNum w:abstractNumId="15">
    <w:nsid w:val="199F58C0"/>
    <w:multiLevelType w:val="multilevel"/>
    <w:tmpl w:val="199F58C0"/>
    <w:lvl w:ilvl="0" w:tentative="0">
      <w:start w:val="1"/>
      <w:numFmt w:val="decimal"/>
      <w:suff w:val="nothing"/>
      <w:lvlText w:val="%1."/>
      <w:lvlJc w:val="left"/>
      <w:pPr>
        <w:ind w:left="0" w:firstLine="0"/>
      </w:pPr>
      <w:rPr>
        <w:rFonts w:hint="default"/>
      </w:rPr>
    </w:lvl>
    <w:lvl w:ilvl="1" w:tentative="0">
      <w:start w:val="1"/>
      <w:numFmt w:val="decimal"/>
      <w:suff w:val="nothing"/>
      <w:lvlText w:val="%1.%2."/>
      <w:lvlJc w:val="left"/>
      <w:pPr>
        <w:ind w:left="0" w:firstLine="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16">
    <w:nsid w:val="2B8672BE"/>
    <w:multiLevelType w:val="singleLevel"/>
    <w:tmpl w:val="2B8672BE"/>
    <w:lvl w:ilvl="0" w:tentative="0">
      <w:start w:val="1"/>
      <w:numFmt w:val="decimal"/>
      <w:lvlText w:val="%1."/>
      <w:lvlJc w:val="left"/>
      <w:pPr>
        <w:ind w:left="425" w:hanging="425"/>
      </w:pPr>
      <w:rPr>
        <w:rFonts w:hint="default"/>
      </w:rPr>
    </w:lvl>
  </w:abstractNum>
  <w:abstractNum w:abstractNumId="17">
    <w:nsid w:val="3DA58DF5"/>
    <w:multiLevelType w:val="multilevel"/>
    <w:tmpl w:val="3DA58DF5"/>
    <w:lvl w:ilvl="0" w:tentative="0">
      <w:start w:val="1"/>
      <w:numFmt w:val="decimal"/>
      <w:lvlText w:val="%1."/>
      <w:lvlJc w:val="left"/>
      <w:pPr>
        <w:ind w:left="425" w:hanging="425"/>
      </w:pPr>
      <w:rPr>
        <w:rFonts w:hint="default"/>
        <w:b w:val="0"/>
        <w:bCs w:val="0"/>
      </w:rPr>
    </w:lvl>
    <w:lvl w:ilvl="1" w:tentative="0">
      <w:start w:val="1"/>
      <w:numFmt w:val="decimal"/>
      <w:suff w:val="nothing"/>
      <w:lvlText w:val="%1.%2."/>
      <w:lvlJc w:val="left"/>
      <w:pPr>
        <w:ind w:left="0" w:firstLine="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18">
    <w:nsid w:val="58A803A7"/>
    <w:multiLevelType w:val="singleLevel"/>
    <w:tmpl w:val="58A803A7"/>
    <w:lvl w:ilvl="0" w:tentative="0">
      <w:start w:val="1"/>
      <w:numFmt w:val="decimal"/>
      <w:suff w:val="nothing"/>
      <w:lvlText w:val="%1."/>
      <w:lvlJc w:val="left"/>
      <w:pPr>
        <w:ind w:left="454" w:hanging="454"/>
      </w:pPr>
      <w:rPr>
        <w:rFonts w:hint="default"/>
      </w:rPr>
    </w:lvl>
  </w:abstractNum>
  <w:abstractNum w:abstractNumId="19">
    <w:nsid w:val="5A6836EF"/>
    <w:multiLevelType w:val="singleLevel"/>
    <w:tmpl w:val="5A6836EF"/>
    <w:lvl w:ilvl="0" w:tentative="0">
      <w:start w:val="1"/>
      <w:numFmt w:val="decimal"/>
      <w:suff w:val="nothing"/>
      <w:lvlText w:val="%1."/>
      <w:lvlJc w:val="left"/>
      <w:pPr>
        <w:ind w:left="0" w:firstLine="0"/>
      </w:pPr>
    </w:lvl>
  </w:abstractNum>
  <w:abstractNum w:abstractNumId="20">
    <w:nsid w:val="5ADE8BC4"/>
    <w:multiLevelType w:val="singleLevel"/>
    <w:tmpl w:val="5ADE8BC4"/>
    <w:lvl w:ilvl="0" w:tentative="0">
      <w:start w:val="1"/>
      <w:numFmt w:val="decimal"/>
      <w:suff w:val="nothing"/>
      <w:lvlText w:val="%1"/>
      <w:lvlJc w:val="left"/>
      <w:pPr>
        <w:ind w:left="425" w:hanging="425"/>
      </w:pPr>
      <w:rPr>
        <w:rFonts w:hint="default"/>
      </w:rPr>
    </w:lvl>
  </w:abstractNum>
  <w:abstractNum w:abstractNumId="21">
    <w:nsid w:val="5B6F7349"/>
    <w:multiLevelType w:val="multilevel"/>
    <w:tmpl w:val="5B6F7349"/>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firstLine="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2">
    <w:nsid w:val="5EEE3A7E"/>
    <w:multiLevelType w:val="multilevel"/>
    <w:tmpl w:val="5EEE3A7E"/>
    <w:lvl w:ilvl="0" w:tentative="0">
      <w:start w:val="1"/>
      <w:numFmt w:val="bullet"/>
      <w:suff w:val="nothing"/>
      <w:lvlText w:val=""/>
      <w:lvlJc w:val="left"/>
      <w:pPr>
        <w:ind w:left="0" w:firstLine="0"/>
      </w:pPr>
      <w:rPr>
        <w:rFonts w:hint="default" w:ascii="Wingdings" w:hAnsi="Wingdings"/>
        <w:color w:val="auto"/>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23">
    <w:nsid w:val="656A6EAE"/>
    <w:multiLevelType w:val="multilevel"/>
    <w:tmpl w:val="656A6EAE"/>
    <w:lvl w:ilvl="0" w:tentative="0">
      <w:start w:val="1"/>
      <w:numFmt w:val="chineseCountingThousand"/>
      <w:suff w:val="nothing"/>
      <w:lvlText w:val="%1、"/>
      <w:lvlJc w:val="left"/>
      <w:pPr>
        <w:ind w:left="420"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987"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4">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firstLine="420"/>
      </w:pPr>
      <w:rPr>
        <w:rFonts w:hint="default"/>
        <w:b w:val="0"/>
        <w:bCs w:val="0"/>
        <w:color w:val="auto"/>
        <w:highlight w:val="none"/>
      </w:rPr>
    </w:lvl>
    <w:lvl w:ilvl="2" w:tentative="0">
      <w:start w:val="1"/>
      <w:numFmt w:val="decimalEnclosedCircleChinese"/>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Letter"/>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Roman"/>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num w:numId="1">
    <w:abstractNumId w:val="4"/>
  </w:num>
  <w:num w:numId="2">
    <w:abstractNumId w:val="18"/>
  </w:num>
  <w:num w:numId="3">
    <w:abstractNumId w:val="14"/>
  </w:num>
  <w:num w:numId="4">
    <w:abstractNumId w:val="23"/>
  </w:num>
  <w:num w:numId="5">
    <w:abstractNumId w:val="13"/>
  </w:num>
  <w:num w:numId="6">
    <w:abstractNumId w:val="8"/>
  </w:num>
  <w:num w:numId="7">
    <w:abstractNumId w:val="24"/>
  </w:num>
  <w:num w:numId="8">
    <w:abstractNumId w:val="0"/>
  </w:num>
  <w:num w:numId="9">
    <w:abstractNumId w:val="5"/>
  </w:num>
  <w:num w:numId="10">
    <w:abstractNumId w:val="6"/>
  </w:num>
  <w:num w:numId="11">
    <w:abstractNumId w:val="3"/>
  </w:num>
  <w:num w:numId="12">
    <w:abstractNumId w:val="12"/>
  </w:num>
  <w:num w:numId="13">
    <w:abstractNumId w:val="15"/>
  </w:num>
  <w:num w:numId="14">
    <w:abstractNumId w:val="2"/>
  </w:num>
  <w:num w:numId="15">
    <w:abstractNumId w:val="22"/>
  </w:num>
  <w:num w:numId="16">
    <w:abstractNumId w:val="7"/>
  </w:num>
  <w:num w:numId="17">
    <w:abstractNumId w:val="21"/>
  </w:num>
  <w:num w:numId="18">
    <w:abstractNumId w:val="10"/>
  </w:num>
  <w:num w:numId="19">
    <w:abstractNumId w:val="1"/>
  </w:num>
  <w:num w:numId="20">
    <w:abstractNumId w:val="17"/>
  </w:num>
  <w:num w:numId="21">
    <w:abstractNumId w:val="19"/>
  </w:num>
  <w:num w:numId="22">
    <w:abstractNumId w:val="16"/>
  </w:num>
  <w:num w:numId="23">
    <w:abstractNumId w:val="20"/>
  </w:num>
  <w:num w:numId="24">
    <w:abstractNumId w:val="11"/>
  </w:num>
  <w:num w:numId="2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DB5263"/>
    <w:rsid w:val="11CF1B15"/>
    <w:rsid w:val="215950FE"/>
    <w:rsid w:val="2ECD18B8"/>
    <w:rsid w:val="523B56F1"/>
    <w:rsid w:val="624262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99"/>
    <w:rPr>
      <w:rFonts w:ascii="仿宋_GB2312" w:eastAsia="仿宋_GB2312"/>
      <w:sz w:val="32"/>
    </w:rPr>
  </w:style>
  <w:style w:type="paragraph" w:styleId="4">
    <w:name w:val="Plain Text"/>
    <w:basedOn w:val="1"/>
    <w:qFormat/>
    <w:uiPriority w:val="0"/>
    <w:rPr>
      <w:rFonts w:ascii="宋体" w:hAnsi="Courier New"/>
    </w:rPr>
  </w:style>
  <w:style w:type="paragraph" w:styleId="5">
    <w:name w:val="footer"/>
    <w:basedOn w:val="1"/>
    <w:qFormat/>
    <w:uiPriority w:val="99"/>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styleId="9">
    <w:name w:val="Hyperlink"/>
    <w:basedOn w:val="8"/>
    <w:qFormat/>
    <w:uiPriority w:val="99"/>
    <w:rPr>
      <w:rFonts w:cs="Times New Roman"/>
      <w:color w:val="1F4F88"/>
      <w:u w:val="none"/>
    </w:rPr>
  </w:style>
  <w:style w:type="paragraph" w:customStyle="1" w:styleId="10">
    <w:name w:val="一级标题"/>
    <w:basedOn w:val="4"/>
    <w:qFormat/>
    <w:uiPriority w:val="0"/>
    <w:pPr>
      <w:numPr>
        <w:ilvl w:val="0"/>
        <w:numId w:val="1"/>
      </w:numPr>
      <w:spacing w:line="360" w:lineRule="auto"/>
      <w:outlineLvl w:val="1"/>
    </w:pPr>
    <w:rPr>
      <w:rFonts w:ascii="黑体" w:eastAsia="黑体"/>
      <w:b/>
      <w:bCs/>
      <w:sz w:val="28"/>
    </w:rPr>
  </w:style>
  <w:style w:type="paragraph" w:customStyle="1" w:styleId="11">
    <w:name w:val="标书正文"/>
    <w:basedOn w:val="4"/>
    <w:qFormat/>
    <w:uiPriority w:val="9"/>
    <w:pPr>
      <w:spacing w:line="360" w:lineRule="auto"/>
      <w:jc w:val="left"/>
    </w:p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3.png"/><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27</Pages>
  <Words>11273</Words>
  <Characters>11793</Characters>
  <Lines>0</Lines>
  <Paragraphs>0</Paragraphs>
  <TotalTime>0</TotalTime>
  <ScaleCrop>false</ScaleCrop>
  <LinksUpToDate>false</LinksUpToDate>
  <CharactersWithSpaces>14575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2026-06-01T02:39:00Z</dcterms:created>
  <dc:creator>Lenovo</dc:creator>
  <cp:lastModifiedBy>王瑄</cp:lastModifiedBy>
  <dcterms:modified xsi:type="dcterms:W3CDTF">2026-06-01T06:32:30Z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eyJoZGlkIjoiZWQxZjNmOWI4MjYxMjE3YWYxMWY4NzIzOWZkNTY1ZGEiLCJ1c2VySWQiOiIxNzY1MTE0NzEzIn0=</vt:lpwstr>
  </property>
  <property fmtid="{D5CDD505-2E9C-101B-9397-08002B2CF9AE}" pid="4" name="ICV">
    <vt:lpwstr>14FBFE3445694C1A87C9690A12F539A9_12</vt:lpwstr>
  </property>
</Properties>
</file>