
<file path=[Content_Types].xml><?xml version="1.0" encoding="utf-8"?>
<Types xmlns="http://schemas.openxmlformats.org/package/2006/content-types">
  <Default Extension="png" ContentType="image/png"/>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758F453">
      <w:pPr>
        <w:pStyle w:val="2"/>
        <w:spacing w:line="360" w:lineRule="auto"/>
        <w:jc w:val="center"/>
      </w:pPr>
    </w:p>
    <w:p w14:paraId="4AA1DF3B">
      <w:pPr>
        <w:pStyle w:val="2"/>
        <w:spacing w:line="360" w:lineRule="auto"/>
        <w:jc w:val="center"/>
        <w:rPr>
          <w:rFonts w:ascii="黑体" w:eastAsia="黑体"/>
          <w:b/>
          <w:bCs/>
          <w:sz w:val="36"/>
          <w:szCs w:val="36"/>
        </w:rPr>
      </w:pPr>
      <w:r>
        <w:rPr>
          <w:rFonts w:hint="eastAsia" w:ascii="黑体" w:eastAsia="黑体"/>
          <w:b/>
          <w:bCs/>
          <w:sz w:val="36"/>
          <w:szCs w:val="36"/>
        </w:rPr>
        <w:t xml:space="preserve"> 招标公告</w:t>
      </w:r>
    </w:p>
    <w:p w14:paraId="3EFDB46C">
      <w:pPr>
        <w:pStyle w:val="2"/>
        <w:spacing w:line="360" w:lineRule="auto"/>
        <w:rPr>
          <w:rFonts w:ascii="黑体" w:eastAsia="黑体"/>
          <w:b/>
          <w:bCs/>
          <w:sz w:val="28"/>
        </w:rPr>
      </w:pPr>
      <w:r>
        <w:rPr>
          <w:rFonts w:hint="eastAsia" w:ascii="黑体" w:eastAsia="黑体"/>
          <w:b/>
          <w:bCs/>
          <w:sz w:val="28"/>
        </w:rPr>
        <w:t>一、项目名称</w:t>
      </w:r>
    </w:p>
    <w:p w14:paraId="25FF72D8">
      <w:pPr>
        <w:pStyle w:val="2"/>
        <w:spacing w:line="360" w:lineRule="auto"/>
        <w:ind w:firstLine="420" w:firstLineChars="200"/>
      </w:pPr>
      <w:r>
        <w:rPr>
          <w:rFonts w:hint="eastAsia"/>
        </w:rPr>
        <w:t>项目名称：</w:t>
      </w:r>
      <w:bookmarkStart w:id="0" w:name="OLE_LINK1"/>
      <w:r>
        <w:rPr>
          <w:rFonts w:hint="eastAsia"/>
        </w:rPr>
        <w:t>移动源环保门禁系统运维服务</w:t>
      </w:r>
    </w:p>
    <w:p w14:paraId="53E5999D">
      <w:pPr>
        <w:pStyle w:val="2"/>
        <w:spacing w:line="360" w:lineRule="auto"/>
        <w:ind w:firstLine="422" w:firstLineChars="200"/>
        <w:rPr>
          <w:rFonts w:hint="eastAsia"/>
          <w:lang w:val="en-US" w:eastAsia="zh-CN"/>
        </w:rPr>
      </w:pPr>
      <w:r>
        <w:rPr>
          <w:rFonts w:hint="eastAsia" w:ascii="黑体" w:hAnsi="黑体" w:eastAsia="黑体"/>
          <w:b/>
          <w:bCs/>
          <w:shd w:val="clear" w:color="auto" w:fill="FFFFFF"/>
        </w:rPr>
        <w:t>项目编号：ZBGL2026050028</w:t>
      </w:r>
    </w:p>
    <w:bookmarkEnd w:id="0"/>
    <w:p w14:paraId="2A431160">
      <w:pPr>
        <w:pStyle w:val="2"/>
        <w:spacing w:line="360" w:lineRule="auto"/>
        <w:rPr>
          <w:rFonts w:ascii="黑体" w:eastAsia="黑体"/>
          <w:b/>
          <w:bCs/>
          <w:sz w:val="28"/>
        </w:rPr>
      </w:pPr>
      <w:r>
        <w:rPr>
          <w:rFonts w:hint="eastAsia" w:ascii="黑体" w:eastAsia="黑体"/>
          <w:b/>
          <w:bCs/>
          <w:sz w:val="28"/>
        </w:rPr>
        <w:t>二、招标内容</w:t>
      </w:r>
    </w:p>
    <w:p w14:paraId="69FE5495">
      <w:pPr>
        <w:pStyle w:val="2"/>
        <w:spacing w:line="360" w:lineRule="auto"/>
        <w:ind w:firstLine="525" w:firstLineChars="250"/>
      </w:pPr>
      <w:r>
        <w:rPr>
          <w:rFonts w:hint="eastAsia"/>
        </w:rPr>
        <w:t>（1）招标内容：移动源管理的环保门禁规范化管理</w:t>
      </w:r>
      <w:r>
        <w:rPr>
          <w:rFonts w:hint="eastAsia"/>
          <w:lang w:val="en-US" w:eastAsia="zh-CN"/>
        </w:rPr>
        <w:t>系统运维服务</w:t>
      </w:r>
      <w:r>
        <w:rPr>
          <w:rFonts w:hint="eastAsia"/>
        </w:rPr>
        <w:t>。需满足《重点行业移动源监管与核查技术指南》(HJ1321-2023)标准要求及中国重型汽车集团数据、网络等信息安全要求。</w:t>
      </w:r>
    </w:p>
    <w:p w14:paraId="5B9A0364">
      <w:pPr>
        <w:pStyle w:val="2"/>
        <w:spacing w:line="360" w:lineRule="auto"/>
        <w:ind w:firstLine="525" w:firstLineChars="250"/>
        <w:rPr>
          <w:rFonts w:hint="eastAsia" w:hAnsi="宋体"/>
          <w:szCs w:val="21"/>
        </w:rPr>
      </w:pPr>
      <w:r>
        <w:rPr>
          <w:rFonts w:hint="eastAsia"/>
        </w:rPr>
        <w:t>（2）招标方情况介绍：</w:t>
      </w:r>
    </w:p>
    <w:p w14:paraId="3E80EAFF">
      <w:pPr>
        <w:rPr>
          <w:rFonts w:hint="eastAsia" w:ascii="宋体" w:hAnsi="宋体"/>
          <w:szCs w:val="21"/>
        </w:rPr>
      </w:pPr>
      <w:r>
        <w:rPr>
          <w:rFonts w:hint="eastAsia" w:ascii="宋体" w:hAnsi="宋体"/>
          <w:szCs w:val="21"/>
        </w:rPr>
        <w:t>物流门数量如下：</w:t>
      </w:r>
    </w:p>
    <w:tbl>
      <w:tblPr>
        <w:tblStyle w:val="12"/>
        <w:tblW w:w="4998" w:type="pct"/>
        <w:tblInd w:w="0" w:type="dxa"/>
        <w:tblLayout w:type="autofit"/>
        <w:tblCellMar>
          <w:top w:w="0" w:type="dxa"/>
          <w:left w:w="108" w:type="dxa"/>
          <w:bottom w:w="0" w:type="dxa"/>
          <w:right w:w="108" w:type="dxa"/>
        </w:tblCellMar>
      </w:tblPr>
      <w:tblGrid>
        <w:gridCol w:w="709"/>
        <w:gridCol w:w="2398"/>
        <w:gridCol w:w="1316"/>
        <w:gridCol w:w="2306"/>
        <w:gridCol w:w="1796"/>
      </w:tblGrid>
      <w:tr w14:paraId="193D2D3C">
        <w:tblPrEx>
          <w:tblCellMar>
            <w:top w:w="0" w:type="dxa"/>
            <w:left w:w="108" w:type="dxa"/>
            <w:bottom w:w="0" w:type="dxa"/>
            <w:right w:w="108" w:type="dxa"/>
          </w:tblCellMar>
        </w:tblPrEx>
        <w:trPr>
          <w:trHeight w:val="90" w:hRule="atLeast"/>
        </w:trPr>
        <w:tc>
          <w:tcPr>
            <w:tcW w:w="494" w:type="pct"/>
            <w:tcBorders>
              <w:top w:val="single" w:color="000000" w:sz="4" w:space="0"/>
              <w:left w:val="single" w:color="000000" w:sz="4" w:space="0"/>
              <w:bottom w:val="single" w:color="000000" w:sz="4" w:space="0"/>
              <w:right w:val="single" w:color="000000" w:sz="4" w:space="0"/>
            </w:tcBorders>
            <w:noWrap/>
            <w:vAlign w:val="center"/>
          </w:tcPr>
          <w:p w14:paraId="72C4000A">
            <w:pPr>
              <w:widowControl/>
              <w:jc w:val="center"/>
              <w:textAlignment w:val="center"/>
              <w:rPr>
                <w:rFonts w:hint="eastAsia" w:ascii="仿宋_GB2312" w:hAnsi="宋体" w:eastAsia="仿宋_GB2312" w:cs="仿宋_GB2312"/>
                <w:color w:val="000000"/>
                <w:sz w:val="22"/>
                <w:szCs w:val="22"/>
              </w:rPr>
            </w:pPr>
            <w:r>
              <w:rPr>
                <w:rFonts w:hint="eastAsia" w:ascii="仿宋_GB2312" w:hAnsi="宋体" w:eastAsia="仿宋_GB2312" w:cs="仿宋_GB2312"/>
                <w:color w:val="000000"/>
                <w:kern w:val="0"/>
                <w:sz w:val="22"/>
                <w:szCs w:val="22"/>
                <w:lang w:bidi="ar"/>
              </w:rPr>
              <w:t>序号</w:t>
            </w:r>
          </w:p>
        </w:tc>
        <w:tc>
          <w:tcPr>
            <w:tcW w:w="1484" w:type="pct"/>
            <w:tcBorders>
              <w:top w:val="single" w:color="000000" w:sz="4" w:space="0"/>
              <w:left w:val="single" w:color="000000" w:sz="4" w:space="0"/>
              <w:bottom w:val="single" w:color="000000" w:sz="4" w:space="0"/>
              <w:right w:val="single" w:color="000000" w:sz="4" w:space="0"/>
            </w:tcBorders>
            <w:noWrap/>
            <w:vAlign w:val="center"/>
          </w:tcPr>
          <w:p w14:paraId="644283CE">
            <w:pPr>
              <w:widowControl/>
              <w:jc w:val="center"/>
              <w:textAlignment w:val="center"/>
              <w:rPr>
                <w:rFonts w:hint="eastAsia" w:ascii="仿宋_GB2312" w:hAnsi="宋体" w:eastAsia="仿宋_GB2312" w:cs="仿宋_GB2312"/>
                <w:color w:val="000000"/>
                <w:sz w:val="22"/>
                <w:szCs w:val="22"/>
              </w:rPr>
            </w:pPr>
            <w:r>
              <w:rPr>
                <w:rFonts w:hint="eastAsia" w:ascii="仿宋_GB2312" w:hAnsi="宋体" w:eastAsia="仿宋_GB2312" w:cs="仿宋_GB2312"/>
                <w:color w:val="000000"/>
                <w:kern w:val="0"/>
                <w:sz w:val="22"/>
                <w:szCs w:val="22"/>
                <w:lang w:bidi="ar"/>
              </w:rPr>
              <w:t>单位名称</w:t>
            </w:r>
          </w:p>
        </w:tc>
        <w:tc>
          <w:tcPr>
            <w:tcW w:w="757" w:type="pct"/>
            <w:tcBorders>
              <w:top w:val="single" w:color="000000" w:sz="4" w:space="0"/>
              <w:left w:val="single" w:color="000000" w:sz="4" w:space="0"/>
              <w:bottom w:val="single" w:color="000000" w:sz="4" w:space="0"/>
              <w:right w:val="single" w:color="000000" w:sz="4" w:space="0"/>
            </w:tcBorders>
            <w:noWrap/>
            <w:vAlign w:val="center"/>
          </w:tcPr>
          <w:p w14:paraId="66C75F8F">
            <w:pPr>
              <w:widowControl/>
              <w:jc w:val="center"/>
              <w:textAlignment w:val="center"/>
              <w:rPr>
                <w:rFonts w:hint="eastAsia" w:ascii="仿宋_GB2312" w:hAnsi="宋体" w:eastAsia="仿宋_GB2312" w:cs="仿宋_GB2312"/>
                <w:color w:val="000000"/>
                <w:sz w:val="22"/>
                <w:szCs w:val="22"/>
              </w:rPr>
            </w:pPr>
            <w:r>
              <w:rPr>
                <w:rFonts w:hint="eastAsia" w:ascii="仿宋_GB2312" w:hAnsi="宋体" w:eastAsia="仿宋_GB2312" w:cs="仿宋_GB2312"/>
                <w:color w:val="000000"/>
                <w:kern w:val="0"/>
                <w:sz w:val="22"/>
                <w:szCs w:val="22"/>
                <w:lang w:bidi="ar"/>
              </w:rPr>
              <w:t>物流门数量</w:t>
            </w:r>
          </w:p>
        </w:tc>
        <w:tc>
          <w:tcPr>
            <w:tcW w:w="1131" w:type="pct"/>
            <w:tcBorders>
              <w:top w:val="single" w:color="000000" w:sz="4" w:space="0"/>
              <w:left w:val="single" w:color="000000" w:sz="4" w:space="0"/>
              <w:bottom w:val="single" w:color="000000" w:sz="4" w:space="0"/>
              <w:right w:val="single" w:color="000000" w:sz="4" w:space="0"/>
            </w:tcBorders>
            <w:noWrap/>
            <w:vAlign w:val="center"/>
          </w:tcPr>
          <w:p w14:paraId="09A9D61B">
            <w:pPr>
              <w:widowControl/>
              <w:jc w:val="center"/>
              <w:textAlignment w:val="center"/>
              <w:rPr>
                <w:rFonts w:hint="default" w:ascii="仿宋_GB2312" w:hAnsi="宋体" w:eastAsia="仿宋_GB2312" w:cs="仿宋_GB2312"/>
                <w:color w:val="000000"/>
                <w:sz w:val="22"/>
                <w:szCs w:val="22"/>
                <w:lang w:val="en-US" w:eastAsia="zh-CN"/>
              </w:rPr>
            </w:pPr>
            <w:r>
              <w:rPr>
                <w:rFonts w:hint="eastAsia" w:ascii="仿宋_GB2312" w:hAnsi="宋体" w:eastAsia="仿宋_GB2312" w:cs="仿宋_GB2312"/>
                <w:color w:val="000000"/>
                <w:sz w:val="22"/>
                <w:szCs w:val="22"/>
                <w:lang w:val="en-US" w:eastAsia="zh-CN"/>
              </w:rPr>
              <w:t>服务期限</w:t>
            </w:r>
          </w:p>
        </w:tc>
        <w:tc>
          <w:tcPr>
            <w:tcW w:w="1131" w:type="pct"/>
            <w:tcBorders>
              <w:top w:val="single" w:color="000000" w:sz="4" w:space="0"/>
              <w:left w:val="single" w:color="000000" w:sz="4" w:space="0"/>
              <w:bottom w:val="single" w:color="000000" w:sz="4" w:space="0"/>
              <w:right w:val="single" w:color="000000" w:sz="4" w:space="0"/>
            </w:tcBorders>
            <w:noWrap/>
            <w:vAlign w:val="center"/>
          </w:tcPr>
          <w:p w14:paraId="6DBE1470">
            <w:pPr>
              <w:widowControl/>
              <w:jc w:val="center"/>
              <w:textAlignment w:val="center"/>
              <w:rPr>
                <w:rFonts w:hint="eastAsia" w:ascii="仿宋_GB2312" w:hAnsi="宋体" w:eastAsia="仿宋_GB2312" w:cs="仿宋_GB2312"/>
                <w:color w:val="000000"/>
                <w:kern w:val="0"/>
                <w:sz w:val="22"/>
                <w:szCs w:val="22"/>
                <w:lang w:bidi="ar"/>
              </w:rPr>
            </w:pPr>
            <w:r>
              <w:rPr>
                <w:rFonts w:hint="eastAsia" w:ascii="仿宋_GB2312" w:hAnsi="宋体" w:eastAsia="仿宋_GB2312" w:cs="仿宋_GB2312"/>
                <w:color w:val="000000"/>
                <w:kern w:val="0"/>
                <w:sz w:val="22"/>
                <w:szCs w:val="22"/>
                <w:lang w:bidi="ar"/>
              </w:rPr>
              <w:t>备注</w:t>
            </w:r>
          </w:p>
        </w:tc>
      </w:tr>
      <w:tr w14:paraId="51104188">
        <w:tblPrEx>
          <w:tblCellMar>
            <w:top w:w="0" w:type="dxa"/>
            <w:left w:w="108" w:type="dxa"/>
            <w:bottom w:w="0" w:type="dxa"/>
            <w:right w:w="108" w:type="dxa"/>
          </w:tblCellMar>
        </w:tblPrEx>
        <w:trPr>
          <w:trHeight w:val="280" w:hRule="atLeast"/>
        </w:trPr>
        <w:tc>
          <w:tcPr>
            <w:tcW w:w="494" w:type="pct"/>
            <w:tcBorders>
              <w:top w:val="single" w:color="000000" w:sz="4" w:space="0"/>
              <w:left w:val="single" w:color="000000" w:sz="4" w:space="0"/>
              <w:bottom w:val="single" w:color="000000" w:sz="4" w:space="0"/>
              <w:right w:val="single" w:color="000000" w:sz="4" w:space="0"/>
            </w:tcBorders>
            <w:noWrap/>
            <w:vAlign w:val="center"/>
          </w:tcPr>
          <w:p w14:paraId="111A5CF8">
            <w:pPr>
              <w:widowControl/>
              <w:jc w:val="center"/>
              <w:textAlignment w:val="center"/>
              <w:rPr>
                <w:rFonts w:hint="eastAsia" w:ascii="仿宋_GB2312" w:hAnsi="宋体" w:eastAsia="仿宋_GB2312" w:cs="仿宋_GB2312"/>
                <w:color w:val="000000"/>
                <w:sz w:val="22"/>
                <w:szCs w:val="22"/>
              </w:rPr>
            </w:pPr>
            <w:r>
              <w:rPr>
                <w:rFonts w:hint="eastAsia" w:ascii="仿宋_GB2312" w:hAnsi="宋体" w:eastAsia="仿宋_GB2312" w:cs="仿宋_GB2312"/>
                <w:color w:val="000000"/>
                <w:kern w:val="0"/>
                <w:sz w:val="22"/>
                <w:szCs w:val="22"/>
                <w:lang w:bidi="ar"/>
              </w:rPr>
              <w:t>1</w:t>
            </w:r>
          </w:p>
        </w:tc>
        <w:tc>
          <w:tcPr>
            <w:tcW w:w="1484" w:type="pct"/>
            <w:tcBorders>
              <w:top w:val="single" w:color="000000" w:sz="4" w:space="0"/>
              <w:left w:val="single" w:color="000000" w:sz="4" w:space="0"/>
              <w:bottom w:val="single" w:color="000000" w:sz="4" w:space="0"/>
              <w:right w:val="single" w:color="000000" w:sz="4" w:space="0"/>
            </w:tcBorders>
            <w:noWrap/>
            <w:vAlign w:val="center"/>
          </w:tcPr>
          <w:p w14:paraId="3B6D502A">
            <w:pPr>
              <w:widowControl/>
              <w:jc w:val="center"/>
              <w:textAlignment w:val="center"/>
              <w:rPr>
                <w:rFonts w:hint="default" w:ascii="仿宋_GB2312" w:hAnsi="宋体" w:eastAsia="仿宋_GB2312" w:cs="仿宋_GB2312"/>
                <w:color w:val="000000"/>
                <w:sz w:val="22"/>
                <w:szCs w:val="22"/>
                <w:lang w:val="en-US" w:eastAsia="zh-CN"/>
              </w:rPr>
            </w:pPr>
            <w:r>
              <w:rPr>
                <w:rFonts w:hint="eastAsia" w:ascii="仿宋_GB2312" w:hAnsi="宋体" w:eastAsia="仿宋_GB2312" w:cs="仿宋_GB2312"/>
                <w:color w:val="000000"/>
                <w:sz w:val="22"/>
                <w:szCs w:val="22"/>
                <w:lang w:val="en-US" w:eastAsia="zh-CN"/>
              </w:rPr>
              <w:t>济宁商用车</w:t>
            </w:r>
          </w:p>
        </w:tc>
        <w:tc>
          <w:tcPr>
            <w:tcW w:w="757" w:type="pct"/>
            <w:tcBorders>
              <w:top w:val="single" w:color="000000" w:sz="4" w:space="0"/>
              <w:left w:val="single" w:color="000000" w:sz="4" w:space="0"/>
              <w:bottom w:val="single" w:color="000000" w:sz="4" w:space="0"/>
              <w:right w:val="single" w:color="000000" w:sz="4" w:space="0"/>
            </w:tcBorders>
            <w:noWrap/>
            <w:vAlign w:val="center"/>
          </w:tcPr>
          <w:p w14:paraId="6BA92C54">
            <w:pPr>
              <w:widowControl/>
              <w:jc w:val="center"/>
              <w:textAlignment w:val="center"/>
              <w:rPr>
                <w:rFonts w:hint="eastAsia" w:ascii="仿宋_GB2312" w:hAnsi="宋体" w:eastAsia="仿宋_GB2312" w:cs="仿宋_GB2312"/>
                <w:color w:val="000000"/>
                <w:sz w:val="22"/>
                <w:szCs w:val="22"/>
                <w:lang w:eastAsia="zh-CN"/>
              </w:rPr>
            </w:pPr>
            <w:r>
              <w:rPr>
                <w:rFonts w:hint="eastAsia" w:ascii="仿宋_GB2312" w:hAnsi="宋体" w:eastAsia="仿宋_GB2312" w:cs="仿宋_GB2312"/>
                <w:color w:val="000000"/>
                <w:kern w:val="0"/>
                <w:sz w:val="22"/>
                <w:szCs w:val="22"/>
                <w:lang w:val="en-US" w:eastAsia="zh-CN" w:bidi="ar"/>
              </w:rPr>
              <w:t>1</w:t>
            </w:r>
          </w:p>
        </w:tc>
        <w:tc>
          <w:tcPr>
            <w:tcW w:w="1131" w:type="pct"/>
            <w:tcBorders>
              <w:top w:val="single" w:color="000000" w:sz="4" w:space="0"/>
              <w:left w:val="single" w:color="000000" w:sz="4" w:space="0"/>
              <w:bottom w:val="single" w:color="000000" w:sz="4" w:space="0"/>
              <w:right w:val="single" w:color="000000" w:sz="4" w:space="0"/>
            </w:tcBorders>
            <w:noWrap/>
            <w:vAlign w:val="center"/>
          </w:tcPr>
          <w:p w14:paraId="541680E2">
            <w:pPr>
              <w:widowControl/>
              <w:jc w:val="center"/>
              <w:textAlignment w:val="center"/>
              <w:rPr>
                <w:rFonts w:hint="eastAsia" w:ascii="仿宋_GB2312" w:hAnsi="宋体" w:eastAsia="仿宋_GB2312" w:cs="仿宋_GB2312"/>
                <w:color w:val="000000"/>
                <w:sz w:val="22"/>
                <w:szCs w:val="22"/>
                <w:lang w:val="en-US" w:eastAsia="zh-CN"/>
              </w:rPr>
            </w:pPr>
            <w:r>
              <w:rPr>
                <w:rFonts w:hint="eastAsia" w:ascii="仿宋_GB2312" w:hAnsi="宋体" w:eastAsia="仿宋_GB2312" w:cs="仿宋_GB2312"/>
                <w:color w:val="000000"/>
                <w:sz w:val="22"/>
                <w:szCs w:val="22"/>
                <w:lang w:val="en-US" w:eastAsia="zh-CN"/>
              </w:rPr>
              <w:t>2年</w:t>
            </w:r>
          </w:p>
          <w:p w14:paraId="707BA158">
            <w:pPr>
              <w:pStyle w:val="4"/>
              <w:rPr>
                <w:rFonts w:hint="default"/>
                <w:lang w:val="en-US" w:eastAsia="zh-CN"/>
              </w:rPr>
            </w:pPr>
            <w:r>
              <w:rPr>
                <w:rFonts w:hint="eastAsia" w:ascii="仿宋_GB2312" w:hAnsi="宋体" w:eastAsia="仿宋_GB2312" w:cs="仿宋_GB2312"/>
                <w:color w:val="000000"/>
                <w:sz w:val="22"/>
                <w:szCs w:val="22"/>
                <w:lang w:val="en-US" w:eastAsia="zh-CN"/>
              </w:rPr>
              <w:t>2026.6.30-2028.6.30</w:t>
            </w:r>
          </w:p>
        </w:tc>
        <w:tc>
          <w:tcPr>
            <w:tcW w:w="1131" w:type="pct"/>
            <w:tcBorders>
              <w:top w:val="single" w:color="000000" w:sz="4" w:space="0"/>
              <w:left w:val="single" w:color="000000" w:sz="4" w:space="0"/>
              <w:bottom w:val="single" w:color="000000" w:sz="4" w:space="0"/>
              <w:right w:val="single" w:color="000000" w:sz="4" w:space="0"/>
            </w:tcBorders>
            <w:noWrap/>
            <w:vAlign w:val="center"/>
          </w:tcPr>
          <w:p w14:paraId="2CDB17DD">
            <w:pPr>
              <w:widowControl/>
              <w:jc w:val="center"/>
              <w:textAlignment w:val="center"/>
              <w:rPr>
                <w:rFonts w:hint="eastAsia" w:ascii="仿宋_GB2312" w:hAnsi="宋体" w:eastAsia="仿宋_GB2312" w:cs="仿宋_GB2312"/>
                <w:color w:val="000000"/>
                <w:kern w:val="0"/>
                <w:sz w:val="22"/>
                <w:szCs w:val="22"/>
                <w:lang w:val="en-US" w:eastAsia="zh-CN" w:bidi="ar"/>
              </w:rPr>
            </w:pPr>
            <w:r>
              <w:rPr>
                <w:rFonts w:hint="eastAsia" w:ascii="仿宋_GB2312" w:hAnsi="宋体" w:eastAsia="仿宋_GB2312" w:cs="仿宋_GB2312"/>
                <w:color w:val="000000"/>
                <w:kern w:val="0"/>
                <w:sz w:val="22"/>
                <w:szCs w:val="22"/>
                <w:lang w:val="en-US" w:eastAsia="zh-CN" w:bidi="ar"/>
              </w:rPr>
              <w:t>东门</w:t>
            </w:r>
          </w:p>
        </w:tc>
      </w:tr>
    </w:tbl>
    <w:p w14:paraId="5EA3977E">
      <w:pPr>
        <w:rPr>
          <w:rFonts w:hint="eastAsia" w:ascii="宋体" w:hAnsi="宋体"/>
          <w:szCs w:val="21"/>
        </w:rPr>
      </w:pPr>
    </w:p>
    <w:p w14:paraId="44F7AEBD">
      <w:pPr>
        <w:rPr>
          <w:rFonts w:hint="eastAsia" w:ascii="宋体" w:hAnsi="宋体"/>
          <w:szCs w:val="21"/>
        </w:rPr>
      </w:pPr>
      <w:r>
        <w:rPr>
          <w:rFonts w:hint="eastAsia" w:ascii="宋体" w:hAnsi="宋体"/>
          <w:szCs w:val="21"/>
        </w:rPr>
        <w:t>招标内容清单</w:t>
      </w:r>
    </w:p>
    <w:tbl>
      <w:tblPr>
        <w:tblStyle w:val="12"/>
        <w:tblW w:w="4597" w:type="pct"/>
        <w:tblInd w:w="0" w:type="dxa"/>
        <w:tblLayout w:type="fixed"/>
        <w:tblCellMar>
          <w:top w:w="0" w:type="dxa"/>
          <w:left w:w="108" w:type="dxa"/>
          <w:bottom w:w="0" w:type="dxa"/>
          <w:right w:w="108" w:type="dxa"/>
        </w:tblCellMar>
      </w:tblPr>
      <w:tblGrid>
        <w:gridCol w:w="379"/>
        <w:gridCol w:w="625"/>
        <w:gridCol w:w="3794"/>
        <w:gridCol w:w="460"/>
        <w:gridCol w:w="1148"/>
        <w:gridCol w:w="1144"/>
        <w:gridCol w:w="290"/>
      </w:tblGrid>
      <w:tr w14:paraId="1DE14B7B">
        <w:tblPrEx>
          <w:tblCellMar>
            <w:top w:w="0" w:type="dxa"/>
            <w:left w:w="108" w:type="dxa"/>
            <w:bottom w:w="0" w:type="dxa"/>
            <w:right w:w="108" w:type="dxa"/>
          </w:tblCellMar>
        </w:tblPrEx>
        <w:trPr>
          <w:trHeight w:val="280"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6CF76D10">
            <w:pPr>
              <w:widowControl/>
              <w:jc w:val="center"/>
              <w:textAlignment w:val="center"/>
              <w:rPr>
                <w:rFonts w:hint="eastAsia" w:ascii="仿宋_GB2312" w:hAnsi="宋体" w:eastAsia="仿宋_GB2312" w:cs="仿宋_GB2312"/>
                <w:b/>
                <w:bCs/>
                <w:color w:val="000000"/>
                <w:sz w:val="22"/>
                <w:szCs w:val="22"/>
              </w:rPr>
            </w:pPr>
            <w:r>
              <w:rPr>
                <w:rFonts w:hint="eastAsia" w:ascii="仿宋_GB2312" w:hAnsi="宋体" w:eastAsia="仿宋_GB2312" w:cs="仿宋_GB2312"/>
                <w:b/>
                <w:bCs/>
                <w:color w:val="000000"/>
                <w:kern w:val="0"/>
                <w:sz w:val="22"/>
                <w:szCs w:val="22"/>
                <w:lang w:bidi="ar"/>
              </w:rPr>
              <w:t>序号</w:t>
            </w:r>
          </w:p>
        </w:tc>
        <w:tc>
          <w:tcPr>
            <w:tcW w:w="398" w:type="pct"/>
            <w:tcBorders>
              <w:top w:val="single" w:color="000000" w:sz="4" w:space="0"/>
              <w:left w:val="single" w:color="000000" w:sz="4" w:space="0"/>
              <w:bottom w:val="single" w:color="000000" w:sz="4" w:space="0"/>
              <w:right w:val="single" w:color="000000" w:sz="4" w:space="0"/>
            </w:tcBorders>
            <w:noWrap/>
            <w:vAlign w:val="center"/>
          </w:tcPr>
          <w:p w14:paraId="6B1FE7EF">
            <w:pPr>
              <w:widowControl/>
              <w:jc w:val="center"/>
              <w:textAlignment w:val="center"/>
              <w:rPr>
                <w:rFonts w:hint="eastAsia" w:ascii="仿宋_GB2312" w:hAnsi="宋体" w:eastAsia="仿宋_GB2312" w:cs="仿宋_GB2312"/>
                <w:b/>
                <w:bCs/>
                <w:color w:val="000000"/>
                <w:sz w:val="22"/>
                <w:szCs w:val="22"/>
              </w:rPr>
            </w:pPr>
            <w:r>
              <w:rPr>
                <w:rFonts w:hint="eastAsia" w:ascii="仿宋_GB2312" w:hAnsi="宋体" w:eastAsia="仿宋_GB2312" w:cs="仿宋_GB2312"/>
                <w:b/>
                <w:bCs/>
                <w:color w:val="000000"/>
                <w:kern w:val="0"/>
                <w:sz w:val="22"/>
                <w:szCs w:val="22"/>
                <w:lang w:bidi="ar"/>
              </w:rPr>
              <w:t>产品名称</w:t>
            </w:r>
          </w:p>
        </w:tc>
        <w:tc>
          <w:tcPr>
            <w:tcW w:w="2419" w:type="pct"/>
            <w:tcBorders>
              <w:top w:val="single" w:color="000000" w:sz="4" w:space="0"/>
              <w:left w:val="single" w:color="000000" w:sz="4" w:space="0"/>
              <w:bottom w:val="single" w:color="000000" w:sz="4" w:space="0"/>
              <w:right w:val="single" w:color="000000" w:sz="4" w:space="0"/>
            </w:tcBorders>
            <w:noWrap/>
            <w:vAlign w:val="center"/>
          </w:tcPr>
          <w:p w14:paraId="4211B608">
            <w:pPr>
              <w:widowControl/>
              <w:jc w:val="center"/>
              <w:textAlignment w:val="center"/>
              <w:rPr>
                <w:rFonts w:hint="eastAsia" w:ascii="仿宋_GB2312" w:hAnsi="宋体" w:eastAsia="仿宋_GB2312" w:cs="仿宋_GB2312"/>
                <w:b/>
                <w:bCs/>
                <w:color w:val="000000"/>
                <w:sz w:val="22"/>
                <w:szCs w:val="22"/>
              </w:rPr>
            </w:pPr>
            <w:r>
              <w:rPr>
                <w:rFonts w:hint="eastAsia" w:ascii="仿宋_GB2312" w:hAnsi="宋体" w:eastAsia="仿宋_GB2312" w:cs="仿宋_GB2312"/>
                <w:b/>
                <w:bCs/>
                <w:color w:val="000000"/>
                <w:kern w:val="0"/>
                <w:sz w:val="22"/>
                <w:szCs w:val="22"/>
                <w:lang w:bidi="ar"/>
              </w:rPr>
              <w:t>产品描述</w:t>
            </w:r>
          </w:p>
        </w:tc>
        <w:tc>
          <w:tcPr>
            <w:tcW w:w="293" w:type="pct"/>
            <w:tcBorders>
              <w:top w:val="single" w:color="000000" w:sz="4" w:space="0"/>
              <w:left w:val="single" w:color="000000" w:sz="4" w:space="0"/>
              <w:bottom w:val="single" w:color="000000" w:sz="4" w:space="0"/>
              <w:right w:val="single" w:color="000000" w:sz="4" w:space="0"/>
            </w:tcBorders>
            <w:noWrap/>
            <w:vAlign w:val="center"/>
          </w:tcPr>
          <w:p w14:paraId="3C8134A3">
            <w:pPr>
              <w:widowControl/>
              <w:jc w:val="center"/>
              <w:textAlignment w:val="center"/>
              <w:rPr>
                <w:rFonts w:hint="default" w:ascii="仿宋_GB2312" w:hAnsi="宋体" w:eastAsia="仿宋_GB2312" w:cs="仿宋_GB2312"/>
                <w:b/>
                <w:bCs/>
                <w:color w:val="000000"/>
                <w:sz w:val="22"/>
                <w:szCs w:val="22"/>
                <w:lang w:val="en-US" w:eastAsia="zh-CN"/>
              </w:rPr>
            </w:pPr>
            <w:r>
              <w:rPr>
                <w:rFonts w:hint="eastAsia" w:ascii="仿宋_GB2312" w:hAnsi="宋体" w:eastAsia="仿宋_GB2312" w:cs="仿宋_GB2312"/>
                <w:b/>
                <w:bCs/>
                <w:color w:val="000000"/>
                <w:sz w:val="22"/>
                <w:szCs w:val="22"/>
                <w:lang w:val="en-US" w:eastAsia="zh-CN"/>
              </w:rPr>
              <w:t>服务期</w:t>
            </w:r>
          </w:p>
        </w:tc>
        <w:tc>
          <w:tcPr>
            <w:tcW w:w="732" w:type="pct"/>
            <w:tcBorders>
              <w:top w:val="single" w:color="000000" w:sz="4" w:space="0"/>
              <w:left w:val="single" w:color="000000" w:sz="4" w:space="0"/>
              <w:bottom w:val="single" w:color="000000" w:sz="4" w:space="0"/>
              <w:right w:val="single" w:color="000000" w:sz="4" w:space="0"/>
            </w:tcBorders>
            <w:noWrap/>
            <w:vAlign w:val="center"/>
          </w:tcPr>
          <w:p w14:paraId="2F9DB968">
            <w:pPr>
              <w:widowControl/>
              <w:jc w:val="center"/>
              <w:textAlignment w:val="center"/>
              <w:rPr>
                <w:rFonts w:hint="eastAsia" w:ascii="仿宋_GB2312" w:hAnsi="宋体" w:eastAsia="仿宋_GB2312" w:cs="仿宋_GB2312"/>
                <w:b/>
                <w:bCs/>
                <w:color w:val="000000"/>
                <w:sz w:val="22"/>
                <w:szCs w:val="22"/>
              </w:rPr>
            </w:pPr>
            <w:r>
              <w:rPr>
                <w:rFonts w:hint="eastAsia" w:ascii="仿宋_GB2312" w:hAnsi="宋体" w:eastAsia="仿宋_GB2312" w:cs="仿宋_GB2312"/>
                <w:b/>
                <w:bCs/>
                <w:color w:val="000000"/>
                <w:kern w:val="0"/>
                <w:sz w:val="22"/>
                <w:szCs w:val="22"/>
                <w:lang w:bidi="ar"/>
              </w:rPr>
              <w:t>单价（单位：元，含税）税率：</w:t>
            </w:r>
          </w:p>
        </w:tc>
        <w:tc>
          <w:tcPr>
            <w:tcW w:w="729" w:type="pct"/>
            <w:tcBorders>
              <w:top w:val="single" w:color="000000" w:sz="4" w:space="0"/>
              <w:left w:val="single" w:color="000000" w:sz="4" w:space="0"/>
              <w:bottom w:val="single" w:color="000000" w:sz="4" w:space="0"/>
              <w:right w:val="single" w:color="000000" w:sz="4" w:space="0"/>
            </w:tcBorders>
            <w:noWrap/>
            <w:vAlign w:val="center"/>
          </w:tcPr>
          <w:p w14:paraId="50DEA418">
            <w:pPr>
              <w:widowControl/>
              <w:jc w:val="center"/>
              <w:textAlignment w:val="center"/>
              <w:rPr>
                <w:rFonts w:hint="eastAsia" w:ascii="仿宋_GB2312" w:hAnsi="宋体" w:eastAsia="仿宋_GB2312" w:cs="仿宋_GB2312"/>
                <w:b/>
                <w:bCs/>
                <w:color w:val="000000"/>
                <w:sz w:val="22"/>
                <w:szCs w:val="22"/>
              </w:rPr>
            </w:pPr>
            <w:r>
              <w:rPr>
                <w:rFonts w:hint="eastAsia" w:ascii="仿宋_GB2312" w:hAnsi="宋体" w:eastAsia="仿宋_GB2312" w:cs="仿宋_GB2312"/>
                <w:b/>
                <w:bCs/>
                <w:color w:val="000000"/>
                <w:kern w:val="0"/>
                <w:sz w:val="22"/>
                <w:szCs w:val="22"/>
                <w:lang w:bidi="ar"/>
              </w:rPr>
              <w:t>总价（单位：元，含税）税率：</w:t>
            </w:r>
          </w:p>
        </w:tc>
        <w:tc>
          <w:tcPr>
            <w:tcW w:w="185" w:type="pct"/>
            <w:tcBorders>
              <w:top w:val="single" w:color="000000" w:sz="4" w:space="0"/>
              <w:left w:val="single" w:color="000000" w:sz="4" w:space="0"/>
              <w:bottom w:val="single" w:color="000000" w:sz="4" w:space="0"/>
              <w:right w:val="single" w:color="000000" w:sz="4" w:space="0"/>
            </w:tcBorders>
            <w:vAlign w:val="center"/>
          </w:tcPr>
          <w:p w14:paraId="084A1A58">
            <w:pPr>
              <w:widowControl/>
              <w:jc w:val="center"/>
              <w:textAlignment w:val="center"/>
              <w:rPr>
                <w:rFonts w:hint="eastAsia" w:ascii="仿宋_GB2312" w:hAnsi="宋体" w:eastAsia="仿宋_GB2312" w:cs="仿宋_GB2312"/>
                <w:b/>
                <w:bCs/>
                <w:color w:val="000000"/>
                <w:sz w:val="22"/>
                <w:szCs w:val="22"/>
              </w:rPr>
            </w:pPr>
            <w:r>
              <w:rPr>
                <w:rFonts w:hint="eastAsia" w:ascii="仿宋_GB2312" w:hAnsi="宋体" w:eastAsia="仿宋_GB2312" w:cs="仿宋_GB2312"/>
                <w:b/>
                <w:bCs/>
                <w:color w:val="000000"/>
                <w:kern w:val="0"/>
                <w:sz w:val="22"/>
                <w:szCs w:val="22"/>
                <w:lang w:bidi="ar"/>
              </w:rPr>
              <w:t>备注</w:t>
            </w:r>
          </w:p>
        </w:tc>
      </w:tr>
      <w:tr w14:paraId="4C73B8AB">
        <w:tblPrEx>
          <w:tblCellMar>
            <w:top w:w="0" w:type="dxa"/>
            <w:left w:w="108" w:type="dxa"/>
            <w:bottom w:w="0" w:type="dxa"/>
            <w:right w:w="108" w:type="dxa"/>
          </w:tblCellMar>
        </w:tblPrEx>
        <w:trPr>
          <w:trHeight w:val="325"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67197949">
            <w:pPr>
              <w:widowControl/>
              <w:jc w:val="center"/>
              <w:textAlignment w:val="center"/>
              <w:rPr>
                <w:rFonts w:hint="eastAsia" w:ascii="仿宋_GB2312" w:hAnsi="宋体" w:eastAsia="仿宋_GB2312" w:cs="仿宋_GB2312"/>
                <w:color w:val="000000"/>
                <w:sz w:val="22"/>
                <w:szCs w:val="22"/>
              </w:rPr>
            </w:pPr>
            <w:r>
              <w:rPr>
                <w:rFonts w:hint="eastAsia" w:ascii="仿宋_GB2312" w:hAnsi="宋体" w:eastAsia="仿宋_GB2312" w:cs="仿宋_GB2312"/>
                <w:color w:val="000000"/>
                <w:kern w:val="0"/>
                <w:sz w:val="22"/>
                <w:szCs w:val="22"/>
                <w:lang w:bidi="ar"/>
              </w:rPr>
              <w:t>1</w:t>
            </w:r>
          </w:p>
        </w:tc>
        <w:tc>
          <w:tcPr>
            <w:tcW w:w="398" w:type="pct"/>
            <w:tcBorders>
              <w:top w:val="single" w:color="000000" w:sz="4" w:space="0"/>
              <w:left w:val="single" w:color="000000" w:sz="4" w:space="0"/>
              <w:bottom w:val="single" w:color="000000" w:sz="4" w:space="0"/>
              <w:right w:val="single" w:color="000000" w:sz="4" w:space="0"/>
            </w:tcBorders>
            <w:vAlign w:val="center"/>
          </w:tcPr>
          <w:p w14:paraId="574EC9EC">
            <w:pPr>
              <w:widowControl/>
              <w:jc w:val="center"/>
              <w:textAlignment w:val="center"/>
              <w:rPr>
                <w:rFonts w:hint="eastAsia" w:ascii="仿宋_GB2312" w:hAnsi="宋体" w:eastAsia="仿宋_GB2312" w:cs="仿宋_GB2312"/>
                <w:color w:val="000000"/>
                <w:sz w:val="20"/>
              </w:rPr>
            </w:pPr>
            <w:r>
              <w:rPr>
                <w:rFonts w:hint="eastAsia" w:ascii="仿宋_GB2312" w:hAnsi="宋体" w:eastAsia="仿宋_GB2312" w:cs="仿宋_GB2312"/>
                <w:color w:val="000000"/>
                <w:kern w:val="0"/>
                <w:sz w:val="20"/>
                <w:bdr w:val="single" w:color="000000" w:sz="4" w:space="0"/>
                <w:lang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9050" cy="95250"/>
                  <wp:effectExtent l="0" t="0" r="0" b="0"/>
                  <wp:wrapNone/>
                  <wp:docPr id="4" name="图片_10"/>
                  <wp:cNvGraphicFramePr/>
                  <a:graphic xmlns:a="http://schemas.openxmlformats.org/drawingml/2006/main">
                    <a:graphicData uri="http://schemas.openxmlformats.org/drawingml/2006/picture">
                      <pic:pic xmlns:pic="http://schemas.openxmlformats.org/drawingml/2006/picture">
                        <pic:nvPicPr>
                          <pic:cNvPr id="4" name="图片_10"/>
                          <pic:cNvPicPr/>
                        </pic:nvPicPr>
                        <pic:blipFill>
                          <a:blip r:embed="rId7"/>
                          <a:stretch>
                            <a:fillRect/>
                          </a:stretch>
                        </pic:blipFill>
                        <pic:spPr>
                          <a:xfrm>
                            <a:off x="0" y="0"/>
                            <a:ext cx="19050" cy="95250"/>
                          </a:xfrm>
                          <a:prstGeom prst="rect">
                            <a:avLst/>
                          </a:prstGeom>
                          <a:noFill/>
                          <a:ln>
                            <a:noFill/>
                          </a:ln>
                        </pic:spPr>
                      </pic:pic>
                    </a:graphicData>
                  </a:graphic>
                </wp:anchor>
              </w:drawing>
            </w:r>
            <w:r>
              <w:rPr>
                <w:rFonts w:hint="eastAsia" w:ascii="仿宋_GB2312" w:hAnsi="宋体" w:eastAsia="仿宋_GB2312" w:cs="仿宋_GB2312"/>
                <w:color w:val="000000"/>
                <w:kern w:val="0"/>
                <w:sz w:val="20"/>
                <w:lang w:bidi="ar"/>
              </w:rPr>
              <w:t>环保门禁及视频监控系统软件</w:t>
            </w:r>
          </w:p>
        </w:tc>
        <w:tc>
          <w:tcPr>
            <w:tcW w:w="2419" w:type="pct"/>
            <w:tcBorders>
              <w:top w:val="single" w:color="000000" w:sz="4" w:space="0"/>
              <w:left w:val="single" w:color="000000" w:sz="4" w:space="0"/>
              <w:bottom w:val="single" w:color="000000" w:sz="4" w:space="0"/>
              <w:right w:val="nil"/>
            </w:tcBorders>
            <w:vAlign w:val="center"/>
          </w:tcPr>
          <w:p w14:paraId="04A54BDD">
            <w:pPr>
              <w:widowControl/>
              <w:jc w:val="center"/>
              <w:textAlignment w:val="center"/>
              <w:rPr>
                <w:rFonts w:hint="eastAsia" w:ascii="仿宋_GB2312" w:hAnsi="宋体" w:eastAsia="仿宋_GB2312" w:cs="仿宋_GB2312"/>
                <w:b/>
                <w:bCs/>
                <w:color w:val="000000"/>
                <w:kern w:val="0"/>
                <w:sz w:val="20"/>
                <w:lang w:bidi="ar"/>
              </w:rPr>
            </w:pPr>
            <w:r>
              <w:rPr>
                <w:rFonts w:hint="eastAsia" w:ascii="仿宋_GB2312" w:hAnsi="宋体" w:eastAsia="仿宋_GB2312" w:cs="仿宋_GB2312"/>
                <w:b/>
                <w:bCs/>
                <w:color w:val="000000"/>
                <w:kern w:val="0"/>
                <w:sz w:val="20"/>
                <w:lang w:bidi="ar"/>
              </w:rPr>
              <w:t>需满</w:t>
            </w:r>
            <w:r>
              <w:rPr>
                <w:rFonts w:hint="eastAsia" w:ascii="仿宋_GB2312" w:hAnsi="宋体" w:eastAsia="仿宋_GB2312" w:cs="仿宋_GB2312"/>
                <w:b/>
                <w:bCs/>
                <w:color w:val="000000"/>
                <w:kern w:val="0"/>
                <w:sz w:val="20"/>
                <w:lang w:val="en-US" w:eastAsia="zh-CN" w:bidi="ar"/>
              </w:rPr>
              <w:t>济宁地区</w:t>
            </w:r>
            <w:r>
              <w:rPr>
                <w:rFonts w:hint="eastAsia" w:ascii="仿宋_GB2312" w:hAnsi="宋体" w:eastAsia="仿宋_GB2312" w:cs="仿宋_GB2312"/>
                <w:b/>
                <w:bCs/>
                <w:color w:val="000000"/>
                <w:kern w:val="0"/>
                <w:sz w:val="20"/>
                <w:lang w:bidi="ar"/>
              </w:rPr>
              <w:t>特殊情况使用需求</w:t>
            </w:r>
          </w:p>
          <w:p w14:paraId="545C0AB1">
            <w:pPr>
              <w:widowControl/>
              <w:jc w:val="center"/>
              <w:textAlignment w:val="center"/>
              <w:rPr>
                <w:rFonts w:hint="eastAsia" w:ascii="仿宋_GB2312" w:hAnsi="宋体" w:eastAsia="仿宋_GB2312" w:cs="仿宋_GB2312"/>
                <w:color w:val="000000"/>
                <w:kern w:val="0"/>
                <w:sz w:val="20"/>
                <w:lang w:bidi="ar"/>
              </w:rPr>
            </w:pPr>
            <w:r>
              <w:rPr>
                <w:rFonts w:hint="eastAsia" w:ascii="仿宋_GB2312" w:hAnsi="宋体" w:eastAsia="仿宋_GB2312" w:cs="仿宋_GB2312"/>
                <w:color w:val="000000"/>
                <w:kern w:val="0"/>
                <w:sz w:val="20"/>
                <w:lang w:val="en-US" w:eastAsia="zh-CN" w:bidi="ar"/>
              </w:rPr>
              <w:t>对门禁系统进行运维，确保系统</w:t>
            </w:r>
            <w:r>
              <w:rPr>
                <w:rFonts w:hint="eastAsia" w:ascii="仿宋_GB2312" w:hAnsi="宋体" w:eastAsia="仿宋_GB2312" w:cs="仿宋_GB2312"/>
                <w:color w:val="000000"/>
                <w:kern w:val="0"/>
                <w:sz w:val="20"/>
                <w:lang w:bidi="ar"/>
              </w:rPr>
              <w:t>功能满足《重点行业移动源监管与核查技术指南》(HJ1321-2023)标准要求，包括企业信息管理、视频监控管理、道闸管理(对道闸信息进行维护管理的功能，内容应该至少包括出入口名称、出入口类型、出入编号、道闸名称、道闸编号、道闸类型、视频监控点位等信息。)、车辆进出厂二维码登记、车辆信息管理(车辆信息采集、审核与校验功能，并建立车辆信息台账)、告警信息管理、运输管理、进出厂电子台账功能、统计汇总报表等，同时与《</w:t>
            </w:r>
            <w:r>
              <w:rPr>
                <w:rFonts w:hint="eastAsia" w:ascii="仿宋_GB2312" w:hAnsi="宋体" w:eastAsia="仿宋_GB2312" w:cs="仿宋_GB2312"/>
                <w:color w:val="000000"/>
                <w:kern w:val="0"/>
                <w:sz w:val="20"/>
                <w:lang w:val="en-US" w:eastAsia="zh-CN" w:bidi="ar"/>
              </w:rPr>
              <w:t>济宁</w:t>
            </w:r>
            <w:r>
              <w:rPr>
                <w:rFonts w:hint="eastAsia" w:ascii="仿宋_GB2312" w:hAnsi="宋体" w:eastAsia="仿宋_GB2312" w:cs="仿宋_GB2312"/>
                <w:color w:val="000000"/>
                <w:kern w:val="0"/>
                <w:sz w:val="20"/>
                <w:lang w:bidi="ar"/>
              </w:rPr>
              <w:t>市重点企业出入车辆管控系统》对接，自动完成数据上报数据下发自动识别车辆排放标准并预警。具备接收排放超标车辆名单、管控策略，并根据下发信息识别和判定进出厂车辆是否属于排放超标车辆或符合管控策略，并控制道闸放行和禁行。适配原有门禁及视频监控硬件设备</w:t>
            </w:r>
          </w:p>
        </w:tc>
        <w:tc>
          <w:tcPr>
            <w:tcW w:w="293" w:type="pct"/>
            <w:tcBorders>
              <w:top w:val="single" w:color="000000" w:sz="4" w:space="0"/>
              <w:left w:val="single" w:color="000000" w:sz="4" w:space="0"/>
              <w:bottom w:val="single" w:color="000000" w:sz="4" w:space="0"/>
              <w:right w:val="nil"/>
            </w:tcBorders>
            <w:noWrap/>
            <w:vAlign w:val="center"/>
          </w:tcPr>
          <w:p w14:paraId="6A1304FC">
            <w:pPr>
              <w:widowControl/>
              <w:jc w:val="center"/>
              <w:textAlignment w:val="center"/>
              <w:rPr>
                <w:rFonts w:hint="default" w:ascii="仿宋_GB2312" w:hAnsi="宋体" w:eastAsia="仿宋_GB2312" w:cs="仿宋_GB2312"/>
                <w:color w:val="000000"/>
                <w:sz w:val="22"/>
                <w:szCs w:val="22"/>
                <w:lang w:val="en-US" w:eastAsia="zh-CN"/>
              </w:rPr>
            </w:pPr>
            <w:r>
              <w:rPr>
                <w:rFonts w:hint="eastAsia" w:ascii="仿宋_GB2312" w:hAnsi="宋体" w:eastAsia="仿宋_GB2312" w:cs="仿宋_GB2312"/>
                <w:color w:val="000000"/>
                <w:kern w:val="0"/>
                <w:sz w:val="22"/>
                <w:szCs w:val="22"/>
                <w:lang w:val="en-US" w:eastAsia="zh-CN" w:bidi="ar"/>
              </w:rPr>
              <w:t>2年</w:t>
            </w:r>
          </w:p>
        </w:tc>
        <w:tc>
          <w:tcPr>
            <w:tcW w:w="732" w:type="pct"/>
            <w:tcBorders>
              <w:top w:val="single" w:color="000000" w:sz="4" w:space="0"/>
              <w:left w:val="single" w:color="000000" w:sz="4" w:space="0"/>
              <w:bottom w:val="single" w:color="000000" w:sz="4" w:space="0"/>
              <w:right w:val="nil"/>
            </w:tcBorders>
            <w:noWrap/>
            <w:vAlign w:val="center"/>
          </w:tcPr>
          <w:p w14:paraId="52A586FC">
            <w:pPr>
              <w:widowControl/>
              <w:jc w:val="center"/>
              <w:textAlignment w:val="center"/>
              <w:rPr>
                <w:rFonts w:hint="eastAsia" w:ascii="仿宋_GB2312" w:hAnsi="宋体" w:eastAsia="仿宋_GB2312" w:cs="仿宋_GB2312"/>
                <w:color w:val="000000"/>
                <w:sz w:val="22"/>
                <w:szCs w:val="22"/>
              </w:rPr>
            </w:pPr>
          </w:p>
        </w:tc>
        <w:tc>
          <w:tcPr>
            <w:tcW w:w="729" w:type="pct"/>
            <w:tcBorders>
              <w:top w:val="single" w:color="000000" w:sz="4" w:space="0"/>
              <w:left w:val="single" w:color="000000" w:sz="4" w:space="0"/>
              <w:bottom w:val="single" w:color="000000" w:sz="4" w:space="0"/>
              <w:right w:val="nil"/>
            </w:tcBorders>
            <w:noWrap/>
            <w:vAlign w:val="center"/>
          </w:tcPr>
          <w:p w14:paraId="33384E16">
            <w:pPr>
              <w:widowControl/>
              <w:jc w:val="center"/>
              <w:textAlignment w:val="center"/>
              <w:rPr>
                <w:rFonts w:hint="eastAsia" w:ascii="仿宋_GB2312" w:hAnsi="宋体" w:eastAsia="仿宋_GB2312" w:cs="仿宋_GB2312"/>
                <w:color w:val="000000"/>
                <w:sz w:val="22"/>
                <w:szCs w:val="22"/>
              </w:rPr>
            </w:pPr>
          </w:p>
        </w:tc>
        <w:tc>
          <w:tcPr>
            <w:tcW w:w="185" w:type="pct"/>
            <w:tcBorders>
              <w:top w:val="single" w:color="000000" w:sz="4" w:space="0"/>
              <w:left w:val="single" w:color="000000" w:sz="4" w:space="0"/>
              <w:bottom w:val="single" w:color="000000" w:sz="4" w:space="0"/>
              <w:right w:val="single" w:color="000000" w:sz="4" w:space="0"/>
            </w:tcBorders>
            <w:noWrap/>
            <w:vAlign w:val="center"/>
          </w:tcPr>
          <w:p w14:paraId="121861FC">
            <w:pPr>
              <w:jc w:val="center"/>
              <w:rPr>
                <w:rFonts w:hint="eastAsia" w:ascii="仿宋_GB2312" w:hAnsi="宋体" w:eastAsia="仿宋_GB2312" w:cs="仿宋_GB2312"/>
                <w:color w:val="000000"/>
                <w:sz w:val="20"/>
              </w:rPr>
            </w:pPr>
          </w:p>
        </w:tc>
      </w:tr>
    </w:tbl>
    <w:p w14:paraId="7B447775">
      <w:pPr>
        <w:pStyle w:val="2"/>
        <w:spacing w:line="360" w:lineRule="auto"/>
        <w:ind w:firstLine="525" w:firstLineChars="250"/>
        <w:rPr>
          <w:rFonts w:hint="eastAsia" w:hAnsi="宋体"/>
          <w:szCs w:val="21"/>
        </w:rPr>
      </w:pPr>
      <w:r>
        <w:rPr>
          <w:rFonts w:hint="eastAsia"/>
        </w:rPr>
        <w:t>（3）</w:t>
      </w:r>
      <w:r>
        <w:rPr>
          <w:rFonts w:hint="eastAsia"/>
          <w:lang w:val="en-US" w:eastAsia="zh-CN"/>
        </w:rPr>
        <w:t>资质</w:t>
      </w:r>
      <w:r>
        <w:rPr>
          <w:rFonts w:hint="eastAsia"/>
        </w:rPr>
        <w:t>要求：</w:t>
      </w:r>
    </w:p>
    <w:p w14:paraId="0CA7CBF4">
      <w:pPr>
        <w:ind w:firstLine="420" w:firstLineChars="200"/>
        <w:jc w:val="left"/>
        <w:rPr>
          <w:rFonts w:hint="eastAsia" w:ascii="宋体" w:hAnsi="宋体"/>
          <w:szCs w:val="21"/>
        </w:rPr>
      </w:pPr>
      <w:r>
        <w:rPr>
          <w:rFonts w:hint="eastAsia" w:ascii="宋体" w:hAnsi="宋体"/>
          <w:szCs w:val="21"/>
        </w:rPr>
        <w:t>1.投标人提供的方案需完全覆盖本项目所需功能和质量，并满足《重点行业移动源监管与核查技术指南》(HJ1321-2023)标准要求。若后续出现材料、设备等缺失问题，所缺部分由投标人负责免费提供。</w:t>
      </w:r>
    </w:p>
    <w:p w14:paraId="1C47FA47">
      <w:pPr>
        <w:ind w:firstLine="420" w:firstLineChars="200"/>
        <w:jc w:val="left"/>
        <w:rPr>
          <w:rFonts w:hint="eastAsia" w:ascii="宋体" w:hAnsi="宋体"/>
          <w:szCs w:val="21"/>
        </w:rPr>
      </w:pPr>
      <w:r>
        <w:rPr>
          <w:rFonts w:hint="eastAsia" w:ascii="宋体" w:hAnsi="宋体"/>
          <w:szCs w:val="21"/>
        </w:rPr>
        <w:t>2.本项目需符合招标方数据及网络等信息化安全条件，不违反招标方的有关规定。系统架构设计应具备良好的扩展性，以便未来根据招标方企业发展和业务需求的变化，能够方便地进行功能升级和设备扩展。供方应按照招标方的要求进行系统对接；首先，系统需免费提供二次开发接口，可供其他系统调用；其次，在与其他系统对接过程中，供方需承诺提供强技术支持，可以按照要求以各种方式与招标方的内部系统对接，例如可与地磅称重系统或后续智慧园区系统进行数据对接</w:t>
      </w:r>
      <w:r>
        <w:rPr>
          <w:rFonts w:hint="eastAsia" w:ascii="宋体" w:hAnsi="宋体"/>
          <w:szCs w:val="21"/>
          <w:lang w:eastAsia="zh-CN"/>
        </w:rPr>
        <w:t>，</w:t>
      </w:r>
      <w:r>
        <w:rPr>
          <w:rFonts w:hint="eastAsia" w:ascii="宋体" w:hAnsi="宋体"/>
          <w:szCs w:val="21"/>
          <w:lang w:val="en-US" w:eastAsia="zh-CN"/>
        </w:rPr>
        <w:t>为后期与智慧园区共同具备一个平台管理权限（单一或批量对权限的增删改查）、报表等功能提供接口支持</w:t>
      </w:r>
      <w:r>
        <w:rPr>
          <w:rFonts w:hint="eastAsia" w:ascii="宋体" w:hAnsi="宋体"/>
          <w:szCs w:val="21"/>
        </w:rPr>
        <w:t>；最后，如果在客观条件下，招标方的内部系统不能与环保门禁系统对接，供方承诺通过增加相关设备来满足环保门禁的合规要求</w:t>
      </w:r>
      <w:r>
        <w:rPr>
          <w:rFonts w:hint="eastAsia" w:ascii="宋体" w:hAnsi="宋体"/>
          <w:szCs w:val="21"/>
          <w:lang w:eastAsia="zh-CN"/>
        </w:rPr>
        <w:t>；</w:t>
      </w:r>
      <w:r>
        <w:rPr>
          <w:rFonts w:hint="eastAsia" w:ascii="宋体" w:hAnsi="宋体"/>
          <w:szCs w:val="21"/>
          <w:lang w:val="en-US" w:eastAsia="zh-CN"/>
        </w:rPr>
        <w:t>若出现</w:t>
      </w:r>
      <w:r>
        <w:rPr>
          <w:rFonts w:hint="eastAsia" w:ascii="宋体" w:hAnsi="宋体"/>
          <w:szCs w:val="21"/>
        </w:rPr>
        <w:t>更换道闸</w:t>
      </w:r>
      <w:r>
        <w:rPr>
          <w:rFonts w:hint="eastAsia" w:ascii="宋体" w:hAnsi="宋体"/>
          <w:szCs w:val="21"/>
          <w:lang w:val="en-US" w:eastAsia="zh-CN"/>
        </w:rPr>
        <w:t>的情况</w:t>
      </w:r>
      <w:r>
        <w:rPr>
          <w:rFonts w:hint="eastAsia" w:ascii="宋体" w:hAnsi="宋体"/>
          <w:szCs w:val="21"/>
        </w:rPr>
        <w:t>，</w:t>
      </w:r>
      <w:r>
        <w:rPr>
          <w:rFonts w:hint="eastAsia" w:ascii="宋体" w:hAnsi="宋体"/>
          <w:szCs w:val="21"/>
          <w:lang w:val="en-US" w:eastAsia="zh-CN"/>
        </w:rPr>
        <w:t>供方</w:t>
      </w:r>
      <w:r>
        <w:rPr>
          <w:rFonts w:hint="eastAsia" w:ascii="宋体" w:hAnsi="宋体"/>
          <w:szCs w:val="21"/>
        </w:rPr>
        <w:t>应负责各单位将原设备中相关权限导入新设备，确保车辆正常进出。</w:t>
      </w:r>
    </w:p>
    <w:p w14:paraId="105936D5">
      <w:pPr>
        <w:pStyle w:val="2"/>
        <w:spacing w:line="360" w:lineRule="auto"/>
        <w:rPr>
          <w:b/>
        </w:rPr>
      </w:pPr>
    </w:p>
    <w:p w14:paraId="49995654">
      <w:pPr>
        <w:pStyle w:val="2"/>
        <w:spacing w:line="360" w:lineRule="auto"/>
        <w:rPr>
          <w:rFonts w:ascii="黑体" w:eastAsia="黑体"/>
          <w:b/>
          <w:bCs/>
          <w:sz w:val="28"/>
        </w:rPr>
      </w:pPr>
      <w:r>
        <w:rPr>
          <w:rFonts w:hint="eastAsia" w:ascii="黑体" w:eastAsia="黑体"/>
          <w:b/>
          <w:bCs/>
          <w:sz w:val="28"/>
        </w:rPr>
        <w:t>三、招标形式</w:t>
      </w:r>
    </w:p>
    <w:p w14:paraId="1A91C343">
      <w:pPr>
        <w:pStyle w:val="2"/>
        <w:spacing w:line="360" w:lineRule="auto"/>
        <w:ind w:firstLine="525" w:firstLineChars="250"/>
      </w:pPr>
      <w:r>
        <w:rPr>
          <w:rFonts w:hint="eastAsia"/>
        </w:rPr>
        <w:t xml:space="preserve"> 公开招标</w:t>
      </w:r>
    </w:p>
    <w:p w14:paraId="64FCA6A6">
      <w:pPr>
        <w:pStyle w:val="2"/>
        <w:spacing w:line="360" w:lineRule="auto"/>
        <w:rPr>
          <w:rFonts w:ascii="黑体" w:eastAsia="黑体"/>
          <w:b/>
          <w:bCs/>
          <w:sz w:val="28"/>
        </w:rPr>
      </w:pPr>
      <w:bookmarkStart w:id="1" w:name="_GoBack"/>
      <w:r>
        <w:rPr>
          <w:rFonts w:hint="eastAsia" w:ascii="黑体" w:eastAsia="黑体"/>
          <w:b/>
          <w:bCs/>
          <w:sz w:val="28"/>
        </w:rPr>
        <w:t>四、招标议程</w:t>
      </w:r>
    </w:p>
    <w:p w14:paraId="4B9208D1">
      <w:pPr>
        <w:pStyle w:val="2"/>
        <w:spacing w:line="360" w:lineRule="auto"/>
        <w:ind w:firstLine="422" w:firstLineChars="200"/>
      </w:pPr>
      <w:r>
        <w:rPr>
          <w:rFonts w:hint="eastAsia"/>
          <w:b/>
        </w:rPr>
        <w:t>1. 发标时间：</w:t>
      </w:r>
      <w:r>
        <w:rPr>
          <w:rFonts w:hint="eastAsia"/>
        </w:rPr>
        <w:t xml:space="preserve"> </w:t>
      </w:r>
      <w:r>
        <w:rPr>
          <w:rFonts w:hint="eastAsia"/>
          <w:shd w:val="clear" w:color="auto" w:fill="FFFF00"/>
        </w:rPr>
        <w:t>202</w:t>
      </w:r>
      <w:r>
        <w:rPr>
          <w:rFonts w:hint="eastAsia"/>
          <w:shd w:val="clear" w:color="auto" w:fill="FFFF00"/>
          <w:lang w:val="en-US" w:eastAsia="zh-CN"/>
        </w:rPr>
        <w:t>6</w:t>
      </w:r>
      <w:r>
        <w:rPr>
          <w:rFonts w:hint="eastAsia"/>
          <w:shd w:val="clear" w:color="auto" w:fill="FFFF00"/>
        </w:rPr>
        <w:t>年</w:t>
      </w:r>
      <w:r>
        <w:rPr>
          <w:rFonts w:hint="eastAsia"/>
          <w:shd w:val="clear" w:color="auto" w:fill="FFFF00"/>
          <w:lang w:val="en-US" w:eastAsia="zh-CN"/>
        </w:rPr>
        <w:t>6</w:t>
      </w:r>
      <w:r>
        <w:rPr>
          <w:rFonts w:hint="eastAsia"/>
          <w:shd w:val="clear" w:color="auto" w:fill="FFFF00"/>
        </w:rPr>
        <w:t>月</w:t>
      </w:r>
      <w:r>
        <w:rPr>
          <w:rFonts w:hint="eastAsia"/>
          <w:shd w:val="clear" w:color="auto" w:fill="FFFF00"/>
          <w:lang w:val="en-US" w:eastAsia="zh-CN"/>
        </w:rPr>
        <w:t>1</w:t>
      </w:r>
      <w:r>
        <w:rPr>
          <w:rFonts w:hint="eastAsia"/>
          <w:shd w:val="clear" w:color="auto" w:fill="FFFF00"/>
        </w:rPr>
        <w:t>日</w:t>
      </w:r>
      <w:r>
        <w:rPr>
          <w:rFonts w:hint="eastAsia"/>
        </w:rPr>
        <w:t>。</w:t>
      </w:r>
    </w:p>
    <w:p w14:paraId="3C6923F3">
      <w:pPr>
        <w:pStyle w:val="2"/>
        <w:spacing w:line="360" w:lineRule="auto"/>
        <w:ind w:firstLine="420" w:firstLineChars="200"/>
      </w:pPr>
      <w:r>
        <w:rPr>
          <w:rFonts w:hint="eastAsia"/>
        </w:rPr>
        <w:t>方式：招标人在上述时间范围内，在特定网站发布本项目招标公告及招标文件电子版。招标人不对投标人能否通过相关网站正确或及时获取招标文件负责。</w:t>
      </w:r>
    </w:p>
    <w:p w14:paraId="199276FF">
      <w:pPr>
        <w:pStyle w:val="2"/>
        <w:spacing w:line="360" w:lineRule="auto"/>
        <w:ind w:firstLine="422" w:firstLineChars="200"/>
        <w:rPr>
          <w:rFonts w:hint="eastAsia" w:eastAsia="宋体"/>
          <w:b/>
          <w:lang w:eastAsia="zh-CN"/>
        </w:rPr>
      </w:pPr>
      <w:r>
        <w:rPr>
          <w:rFonts w:hint="eastAsia"/>
          <w:b/>
        </w:rPr>
        <w:t xml:space="preserve">2. </w:t>
      </w:r>
      <w:r>
        <w:rPr>
          <w:rFonts w:hint="eastAsia"/>
          <w:b/>
          <w:lang w:val="en-US" w:eastAsia="zh-CN"/>
        </w:rPr>
        <w:t>应</w:t>
      </w:r>
      <w:r>
        <w:rPr>
          <w:rFonts w:hint="eastAsia"/>
          <w:b/>
        </w:rPr>
        <w:t>标报名截止时间</w:t>
      </w:r>
      <w:r>
        <w:rPr>
          <w:rFonts w:hint="eastAsia"/>
          <w:b/>
          <w:lang w:eastAsia="zh-CN"/>
        </w:rPr>
        <w:t>：</w:t>
      </w:r>
      <w:r>
        <w:rPr>
          <w:rFonts w:hint="eastAsia"/>
          <w:shd w:val="clear" w:color="auto" w:fill="FFFF00"/>
        </w:rPr>
        <w:t>202</w:t>
      </w:r>
      <w:r>
        <w:rPr>
          <w:rFonts w:hint="eastAsia"/>
          <w:shd w:val="clear" w:color="auto" w:fill="FFFF00"/>
          <w:lang w:val="en-US" w:eastAsia="zh-CN"/>
        </w:rPr>
        <w:t>6</w:t>
      </w:r>
      <w:r>
        <w:rPr>
          <w:rFonts w:hint="eastAsia"/>
          <w:shd w:val="clear" w:color="auto" w:fill="FFFF00"/>
        </w:rPr>
        <w:t>年</w:t>
      </w:r>
      <w:r>
        <w:rPr>
          <w:rFonts w:hint="eastAsia"/>
          <w:shd w:val="clear" w:color="auto" w:fill="FFFF00"/>
          <w:lang w:val="en-US" w:eastAsia="zh-CN"/>
        </w:rPr>
        <w:t>6</w:t>
      </w:r>
      <w:r>
        <w:rPr>
          <w:rFonts w:hint="eastAsia"/>
          <w:shd w:val="clear" w:color="auto" w:fill="FFFF00"/>
        </w:rPr>
        <w:t>月</w:t>
      </w:r>
      <w:r>
        <w:rPr>
          <w:rFonts w:hint="eastAsia"/>
          <w:shd w:val="clear" w:color="auto" w:fill="FFFF00"/>
          <w:lang w:val="en-US" w:eastAsia="zh-CN"/>
        </w:rPr>
        <w:t>7</w:t>
      </w:r>
      <w:r>
        <w:rPr>
          <w:rFonts w:hint="eastAsia"/>
          <w:shd w:val="clear" w:color="auto" w:fill="FFFF00"/>
        </w:rPr>
        <w:t>日下午</w:t>
      </w:r>
      <w:r>
        <w:rPr>
          <w:rFonts w:hint="eastAsia"/>
          <w:shd w:val="clear" w:color="auto" w:fill="FFFF00"/>
          <w:lang w:val="en-US" w:eastAsia="zh-CN"/>
        </w:rPr>
        <w:t>17:00</w:t>
      </w:r>
      <w:r>
        <w:rPr>
          <w:rFonts w:hint="eastAsia"/>
          <w:shd w:val="clear" w:color="auto" w:fill="FFFF00"/>
        </w:rPr>
        <w:t>点前</w:t>
      </w:r>
      <w:r>
        <w:rPr>
          <w:rFonts w:hint="eastAsia"/>
        </w:rPr>
        <w:t>，逾期不受理</w:t>
      </w:r>
    </w:p>
    <w:p w14:paraId="2894FBF1">
      <w:pPr>
        <w:pStyle w:val="2"/>
        <w:spacing w:line="360" w:lineRule="auto"/>
        <w:ind w:firstLine="422" w:firstLineChars="200"/>
      </w:pPr>
      <w:r>
        <w:rPr>
          <w:rFonts w:hint="eastAsia"/>
          <w:b/>
        </w:rPr>
        <w:t>投标报名截止时间：</w:t>
      </w:r>
      <w:r>
        <w:rPr>
          <w:rFonts w:hint="eastAsia"/>
          <w:shd w:val="clear" w:color="auto" w:fill="FFFF00"/>
        </w:rPr>
        <w:t>202</w:t>
      </w:r>
      <w:r>
        <w:rPr>
          <w:rFonts w:hint="eastAsia"/>
          <w:shd w:val="clear" w:color="auto" w:fill="FFFF00"/>
          <w:lang w:val="en-US" w:eastAsia="zh-CN"/>
        </w:rPr>
        <w:t>6</w:t>
      </w:r>
      <w:r>
        <w:rPr>
          <w:rFonts w:hint="eastAsia"/>
          <w:shd w:val="clear" w:color="auto" w:fill="FFFF00"/>
        </w:rPr>
        <w:t>年</w:t>
      </w:r>
      <w:r>
        <w:rPr>
          <w:rFonts w:hint="eastAsia"/>
          <w:shd w:val="clear" w:color="auto" w:fill="FFFF00"/>
          <w:lang w:val="en-US" w:eastAsia="zh-CN"/>
        </w:rPr>
        <w:t>6</w:t>
      </w:r>
      <w:r>
        <w:rPr>
          <w:rFonts w:hint="eastAsia"/>
          <w:shd w:val="clear" w:color="auto" w:fill="FFFF00"/>
        </w:rPr>
        <w:t>月</w:t>
      </w:r>
      <w:r>
        <w:rPr>
          <w:rFonts w:hint="eastAsia"/>
          <w:shd w:val="clear" w:color="auto" w:fill="FFFF00"/>
          <w:lang w:val="en-US" w:eastAsia="zh-CN"/>
        </w:rPr>
        <w:t>14</w:t>
      </w:r>
      <w:r>
        <w:rPr>
          <w:rFonts w:hint="eastAsia"/>
          <w:shd w:val="clear" w:color="auto" w:fill="FFFF00"/>
        </w:rPr>
        <w:t>日下午</w:t>
      </w:r>
      <w:r>
        <w:rPr>
          <w:rFonts w:hint="eastAsia"/>
          <w:shd w:val="clear" w:color="auto" w:fill="FFFF00"/>
          <w:lang w:val="en-US" w:eastAsia="zh-CN"/>
        </w:rPr>
        <w:t>17:00</w:t>
      </w:r>
      <w:r>
        <w:rPr>
          <w:rFonts w:hint="eastAsia"/>
          <w:shd w:val="clear" w:color="auto" w:fill="FFFF00"/>
        </w:rPr>
        <w:t>点前</w:t>
      </w:r>
      <w:r>
        <w:rPr>
          <w:rFonts w:hint="eastAsia"/>
        </w:rPr>
        <w:t>，逾期不受理。</w:t>
      </w:r>
    </w:p>
    <w:p w14:paraId="76921E25">
      <w:pPr>
        <w:pStyle w:val="2"/>
        <w:spacing w:line="360" w:lineRule="auto"/>
        <w:ind w:firstLine="420" w:firstLineChars="200"/>
      </w:pPr>
      <w:r>
        <w:rPr>
          <w:rFonts w:hint="eastAsia"/>
        </w:rPr>
        <w:t>e采通平台：本项目招标工作的所有过程均须在中国重汽e采通上完成，包括报名、资质审核、招标、应标、评标、审批等环节。中国重汽E采通中链接为（http://ecaitong.sinotruk.com:8012）。未在中国重汽E采通进行注册的供方，注册时，业务主管部门选择“安全环保，类别选择“环保“，投标人须在</w:t>
      </w:r>
      <w:r>
        <w:rPr>
          <w:rFonts w:hint="eastAsia"/>
          <w:shd w:val="clear" w:color="auto" w:fill="FFFF00"/>
        </w:rPr>
        <w:t>202</w:t>
      </w:r>
      <w:r>
        <w:rPr>
          <w:rFonts w:hint="eastAsia"/>
          <w:shd w:val="clear" w:color="auto" w:fill="FFFF00"/>
          <w:lang w:val="en-US" w:eastAsia="zh-CN"/>
        </w:rPr>
        <w:t>6</w:t>
      </w:r>
      <w:r>
        <w:rPr>
          <w:rFonts w:hint="eastAsia"/>
          <w:shd w:val="clear" w:color="auto" w:fill="FFFF00"/>
        </w:rPr>
        <w:t>年</w:t>
      </w:r>
      <w:r>
        <w:rPr>
          <w:rFonts w:hint="eastAsia"/>
          <w:shd w:val="clear" w:color="auto" w:fill="FFFF00"/>
          <w:lang w:val="en-US" w:eastAsia="zh-CN"/>
        </w:rPr>
        <w:t>6</w:t>
      </w:r>
      <w:r>
        <w:rPr>
          <w:rFonts w:hint="eastAsia"/>
          <w:shd w:val="clear" w:color="auto" w:fill="FFFF00"/>
        </w:rPr>
        <w:t>月</w:t>
      </w:r>
      <w:r>
        <w:rPr>
          <w:rFonts w:hint="eastAsia"/>
          <w:shd w:val="clear" w:color="auto" w:fill="FFFF00"/>
          <w:lang w:val="en-US" w:eastAsia="zh-CN"/>
        </w:rPr>
        <w:t>7</w:t>
      </w:r>
      <w:r>
        <w:rPr>
          <w:rFonts w:hint="eastAsia"/>
          <w:shd w:val="clear" w:color="auto" w:fill="FFFF00"/>
        </w:rPr>
        <w:t>日下午</w:t>
      </w:r>
      <w:r>
        <w:rPr>
          <w:rFonts w:hint="eastAsia"/>
          <w:shd w:val="clear" w:color="auto" w:fill="FFFF00"/>
          <w:lang w:val="en-US" w:eastAsia="zh-CN"/>
        </w:rPr>
        <w:t>17:00</w:t>
      </w:r>
      <w:r>
        <w:rPr>
          <w:rFonts w:hint="eastAsia"/>
          <w:shd w:val="clear" w:color="auto" w:fill="FFFF00"/>
        </w:rPr>
        <w:t>点前</w:t>
      </w:r>
      <w:r>
        <w:rPr>
          <w:rFonts w:hint="eastAsia"/>
        </w:rPr>
        <w:t>应标前完成供应商信息注册及应标（建议尽早开展注册工作，操作手册见附件</w:t>
      </w:r>
      <w:r>
        <w:rPr>
          <w:rFonts w:hint="eastAsia"/>
          <w:lang w:val="en-US" w:eastAsia="zh-CN"/>
        </w:rPr>
        <w:t>6</w:t>
      </w:r>
      <w:r>
        <w:rPr>
          <w:rFonts w:hint="eastAsia"/>
        </w:rPr>
        <w:t>）；完成应标后，需看标书文件并上传相关文档（操作手册见附件</w:t>
      </w:r>
      <w:r>
        <w:rPr>
          <w:rFonts w:hint="eastAsia"/>
          <w:lang w:val="en-US" w:eastAsia="zh-CN"/>
        </w:rPr>
        <w:t>6</w:t>
      </w:r>
      <w:r>
        <w:rPr>
          <w:rFonts w:hint="eastAsia"/>
        </w:rPr>
        <w:t>）。</w:t>
      </w:r>
    </w:p>
    <w:p w14:paraId="5E9B6A39">
      <w:pPr>
        <w:pStyle w:val="2"/>
        <w:spacing w:line="360" w:lineRule="auto"/>
        <w:ind w:firstLine="420" w:firstLineChars="200"/>
      </w:pPr>
      <w:r>
        <w:rPr>
          <w:rFonts w:hint="eastAsia"/>
        </w:rPr>
        <w:t>投标人应自备电脑（笔记本）进行流程操作，注意应标、投标、开标、再次报价时间开始、截止节点，如错过时间节点将无法进行招投标流程节点的操作，进入商务标后按招标方要求在重汽e采通进行价格报价和逐轮报价，商务标中还需提供开标一览表。</w:t>
      </w:r>
    </w:p>
    <w:p w14:paraId="0B47056C">
      <w:pPr>
        <w:pStyle w:val="2"/>
        <w:spacing w:line="360" w:lineRule="auto"/>
        <w:ind w:firstLine="420" w:firstLineChars="200"/>
      </w:pPr>
      <w:r>
        <w:rPr>
          <w:rFonts w:hint="eastAsia"/>
        </w:rPr>
        <w:t>招标完成后以上所提供的所有材料投标方将纸制版（加盖公章）及电子标书（U盘）、及线上招标的所有的澄清资料送到招标人处进行备案。</w:t>
      </w:r>
    </w:p>
    <w:p w14:paraId="3EA7A540">
      <w:pPr>
        <w:pStyle w:val="2"/>
        <w:spacing w:line="360" w:lineRule="auto"/>
        <w:ind w:firstLine="422" w:firstLineChars="200"/>
      </w:pPr>
      <w:r>
        <w:rPr>
          <w:rFonts w:hint="eastAsia"/>
          <w:b/>
        </w:rPr>
        <w:t>3.答疑时间：</w:t>
      </w:r>
      <w:r>
        <w:rPr>
          <w:rFonts w:hint="eastAsia"/>
        </w:rPr>
        <w:t>截止至</w:t>
      </w:r>
      <w:r>
        <w:rPr>
          <w:rFonts w:hint="eastAsia"/>
          <w:shd w:val="clear" w:color="auto" w:fill="FFFF00"/>
        </w:rPr>
        <w:t>202</w:t>
      </w:r>
      <w:r>
        <w:rPr>
          <w:rFonts w:hint="eastAsia"/>
          <w:shd w:val="clear" w:color="auto" w:fill="FFFF00"/>
          <w:lang w:val="en-US" w:eastAsia="zh-CN"/>
        </w:rPr>
        <w:t>6</w:t>
      </w:r>
      <w:r>
        <w:rPr>
          <w:rFonts w:hint="eastAsia"/>
          <w:shd w:val="clear" w:color="auto" w:fill="FFFF00"/>
        </w:rPr>
        <w:t>年</w:t>
      </w:r>
      <w:r>
        <w:rPr>
          <w:rFonts w:hint="eastAsia"/>
          <w:shd w:val="clear" w:color="auto" w:fill="FFFF00"/>
          <w:lang w:val="en-US" w:eastAsia="zh-CN"/>
        </w:rPr>
        <w:t>6</w:t>
      </w:r>
      <w:r>
        <w:rPr>
          <w:rFonts w:hint="eastAsia"/>
          <w:shd w:val="clear" w:color="auto" w:fill="FFFF00"/>
        </w:rPr>
        <w:t>月</w:t>
      </w:r>
      <w:r>
        <w:rPr>
          <w:rFonts w:hint="eastAsia"/>
          <w:shd w:val="clear" w:color="auto" w:fill="FFFF00"/>
          <w:lang w:val="en-US" w:eastAsia="zh-CN"/>
        </w:rPr>
        <w:t>7</w:t>
      </w:r>
      <w:r>
        <w:rPr>
          <w:rFonts w:hint="eastAsia"/>
          <w:shd w:val="clear" w:color="auto" w:fill="FFFF00"/>
        </w:rPr>
        <w:t>日下午17点</w:t>
      </w:r>
      <w:r>
        <w:rPr>
          <w:rFonts w:hint="eastAsia"/>
        </w:rPr>
        <w:t>前，逾期不受理。</w:t>
      </w:r>
    </w:p>
    <w:p w14:paraId="407B57C0">
      <w:pPr>
        <w:pStyle w:val="2"/>
        <w:spacing w:line="360" w:lineRule="auto"/>
        <w:ind w:firstLine="405"/>
      </w:pPr>
      <w:r>
        <w:rPr>
          <w:rFonts w:hint="eastAsia"/>
        </w:rPr>
        <w:t>答疑方式：现场（或电话）答疑。</w:t>
      </w:r>
    </w:p>
    <w:p w14:paraId="56E22FE0">
      <w:pPr>
        <w:pStyle w:val="2"/>
        <w:spacing w:line="360" w:lineRule="auto"/>
        <w:ind w:firstLine="420" w:firstLineChars="200"/>
        <w:rPr>
          <w:rFonts w:hint="default" w:eastAsia="宋体"/>
          <w:lang w:val="en-US" w:eastAsia="zh-CN"/>
        </w:rPr>
      </w:pPr>
      <w:r>
        <w:rPr>
          <w:rFonts w:hint="eastAsia"/>
        </w:rPr>
        <w:t>联系人：</w:t>
      </w:r>
      <w:r>
        <w:rPr>
          <w:rFonts w:hint="eastAsia"/>
          <w:lang w:val="en-US" w:eastAsia="zh-CN"/>
        </w:rPr>
        <w:t>李绍静</w:t>
      </w:r>
    </w:p>
    <w:p w14:paraId="3E537705">
      <w:pPr>
        <w:pStyle w:val="2"/>
        <w:spacing w:line="360" w:lineRule="auto"/>
        <w:ind w:firstLine="420" w:firstLineChars="200"/>
        <w:rPr>
          <w:rFonts w:hint="default" w:eastAsia="宋体"/>
          <w:lang w:val="en-US" w:eastAsia="zh-CN"/>
        </w:rPr>
      </w:pPr>
      <w:r>
        <w:rPr>
          <w:rFonts w:hint="eastAsia"/>
        </w:rPr>
        <w:t>电话：</w:t>
      </w:r>
      <w:r>
        <w:rPr>
          <w:rFonts w:hint="eastAsia"/>
          <w:lang w:val="en-US" w:eastAsia="zh-CN"/>
        </w:rPr>
        <w:t>15898649456</w:t>
      </w:r>
    </w:p>
    <w:p w14:paraId="2309E212">
      <w:pPr>
        <w:pStyle w:val="2"/>
        <w:spacing w:line="360" w:lineRule="auto"/>
        <w:ind w:firstLine="422" w:firstLineChars="200"/>
        <w:rPr>
          <w:rFonts w:hint="default" w:eastAsia="宋体"/>
          <w:lang w:val="en-US" w:eastAsia="zh-CN"/>
        </w:rPr>
      </w:pPr>
      <w:r>
        <w:rPr>
          <w:rFonts w:hint="eastAsia"/>
          <w:b/>
        </w:rPr>
        <w:t>4.开标时间：</w:t>
      </w:r>
      <w:r>
        <w:rPr>
          <w:rFonts w:hint="eastAsia"/>
          <w:shd w:val="clear" w:color="auto" w:fill="FFFF00"/>
        </w:rPr>
        <w:t>202</w:t>
      </w:r>
      <w:r>
        <w:rPr>
          <w:rFonts w:hint="eastAsia"/>
          <w:shd w:val="clear" w:color="auto" w:fill="FFFF00"/>
          <w:lang w:val="en-US" w:eastAsia="zh-CN"/>
        </w:rPr>
        <w:t>6</w:t>
      </w:r>
      <w:r>
        <w:rPr>
          <w:rFonts w:hint="eastAsia"/>
          <w:shd w:val="clear" w:color="auto" w:fill="FFFF00"/>
        </w:rPr>
        <w:t>年</w:t>
      </w:r>
      <w:r>
        <w:rPr>
          <w:rFonts w:hint="eastAsia"/>
          <w:shd w:val="clear" w:color="auto" w:fill="FFFF00"/>
          <w:lang w:val="en-US" w:eastAsia="zh-CN"/>
        </w:rPr>
        <w:t>6</w:t>
      </w:r>
      <w:r>
        <w:rPr>
          <w:rFonts w:hint="eastAsia"/>
          <w:shd w:val="clear" w:color="auto" w:fill="FFFF00"/>
        </w:rPr>
        <w:t>月</w:t>
      </w:r>
      <w:r>
        <w:rPr>
          <w:rFonts w:hint="eastAsia"/>
          <w:shd w:val="clear" w:color="auto" w:fill="FFFF00"/>
          <w:lang w:val="en-US" w:eastAsia="zh-CN"/>
        </w:rPr>
        <w:t>16</w:t>
      </w:r>
      <w:r>
        <w:rPr>
          <w:rFonts w:hint="eastAsia"/>
          <w:shd w:val="clear" w:color="auto" w:fill="FFFF00"/>
        </w:rPr>
        <w:t>日</w:t>
      </w:r>
      <w:r>
        <w:rPr>
          <w:rFonts w:hint="eastAsia"/>
          <w:shd w:val="clear" w:color="auto" w:fill="FFFF00"/>
          <w:lang w:val="en-US" w:eastAsia="zh-CN"/>
        </w:rPr>
        <w:t>上午9</w:t>
      </w:r>
      <w:r>
        <w:rPr>
          <w:rFonts w:hint="eastAsia"/>
          <w:shd w:val="clear" w:color="auto" w:fill="FFFF00"/>
        </w:rPr>
        <w:t>时</w:t>
      </w:r>
      <w:r>
        <w:rPr>
          <w:rFonts w:hint="eastAsia"/>
          <w:shd w:val="clear" w:color="auto" w:fill="FFFF00"/>
          <w:lang w:eastAsia="zh-CN"/>
        </w:rPr>
        <w:t>（</w:t>
      </w:r>
      <w:r>
        <w:rPr>
          <w:rFonts w:hint="eastAsia"/>
          <w:shd w:val="clear" w:color="auto" w:fill="FFFF00"/>
          <w:lang w:val="en-US" w:eastAsia="zh-CN"/>
        </w:rPr>
        <w:t>如有变动，另行通知）</w:t>
      </w:r>
    </w:p>
    <w:p w14:paraId="4D328B8E">
      <w:pPr>
        <w:pStyle w:val="2"/>
        <w:spacing w:line="360" w:lineRule="auto"/>
        <w:ind w:firstLine="422" w:firstLineChars="200"/>
        <w:rPr>
          <w:b/>
        </w:rPr>
      </w:pPr>
      <w:r>
        <w:rPr>
          <w:rFonts w:hint="eastAsia"/>
          <w:b/>
        </w:rPr>
        <w:t>5.开标地点：</w:t>
      </w:r>
      <w:r>
        <w:rPr>
          <w:rFonts w:hint="eastAsia"/>
        </w:rPr>
        <w:t>中</w:t>
      </w:r>
      <w:r>
        <w:rPr>
          <w:rFonts w:hint="eastAsia"/>
          <w:lang w:val="en-US" w:eastAsia="zh-CN"/>
        </w:rPr>
        <w:t>国重汽集团济宁商用车有限公司</w:t>
      </w:r>
      <w:r>
        <w:rPr>
          <w:rFonts w:hint="eastAsia"/>
        </w:rPr>
        <w:t>。</w:t>
      </w:r>
      <w:r>
        <w:t xml:space="preserve">             </w:t>
      </w:r>
    </w:p>
    <w:bookmarkEnd w:id="1"/>
    <w:p w14:paraId="27209736">
      <w:pPr>
        <w:pStyle w:val="2"/>
        <w:spacing w:line="360" w:lineRule="auto"/>
        <w:ind w:firstLine="422" w:firstLineChars="200"/>
        <w:rPr>
          <w:b/>
        </w:rPr>
      </w:pPr>
      <w:r>
        <w:rPr>
          <w:rFonts w:hint="eastAsia"/>
          <w:b/>
        </w:rPr>
        <w:t>6.开标现场资质审验。</w:t>
      </w:r>
    </w:p>
    <w:p w14:paraId="2855B72E">
      <w:pPr>
        <w:pStyle w:val="2"/>
        <w:spacing w:line="360" w:lineRule="auto"/>
        <w:ind w:firstLine="420" w:firstLineChars="200"/>
      </w:pPr>
      <w:r>
        <w:rPr>
          <w:rFonts w:hint="eastAsia"/>
        </w:rPr>
        <w:t>需提交的材料要求：详见本招标书“第二章 招标人须知”之“二、投标响应文件”之“1.</w:t>
      </w:r>
      <w:r>
        <w:rPr>
          <w:rFonts w:hint="eastAsia" w:hAnsi="宋体"/>
        </w:rPr>
        <w:t>⑴</w:t>
      </w:r>
      <w:r>
        <w:rPr>
          <w:rFonts w:hint="eastAsia"/>
        </w:rPr>
        <w:t xml:space="preserve"> 资质文件”所列示条目及要求。</w:t>
      </w:r>
    </w:p>
    <w:p w14:paraId="7B611AE7">
      <w:pPr>
        <w:pStyle w:val="2"/>
        <w:spacing w:line="360" w:lineRule="auto"/>
        <w:ind w:firstLine="422" w:firstLineChars="200"/>
        <w:rPr>
          <w:b/>
        </w:rPr>
      </w:pPr>
      <w:r>
        <w:rPr>
          <w:rFonts w:hint="eastAsia"/>
          <w:b/>
        </w:rPr>
        <w:t>7. 评标：</w:t>
      </w:r>
    </w:p>
    <w:p w14:paraId="5751FCCA">
      <w:pPr>
        <w:pStyle w:val="2"/>
        <w:spacing w:line="360" w:lineRule="auto"/>
        <w:ind w:firstLine="420" w:firstLineChars="200"/>
      </w:pPr>
      <w:r>
        <w:rPr>
          <w:rFonts w:hint="eastAsia"/>
        </w:rPr>
        <w:t>需提供的材料：</w:t>
      </w:r>
    </w:p>
    <w:p w14:paraId="7F5BA85F">
      <w:pPr>
        <w:pStyle w:val="2"/>
        <w:spacing w:line="360" w:lineRule="auto"/>
        <w:ind w:firstLine="420" w:firstLineChars="200"/>
      </w:pPr>
      <w:r>
        <w:rPr>
          <w:rFonts w:hint="eastAsia"/>
        </w:rPr>
        <w:t>（1）开标一览表；</w:t>
      </w:r>
    </w:p>
    <w:p w14:paraId="7A57404A">
      <w:pPr>
        <w:pStyle w:val="2"/>
        <w:spacing w:line="360" w:lineRule="auto"/>
        <w:ind w:firstLine="420" w:firstLineChars="200"/>
      </w:pPr>
      <w:r>
        <w:rPr>
          <w:rFonts w:hint="eastAsia"/>
        </w:rPr>
        <w:t>（2）标书；</w:t>
      </w:r>
    </w:p>
    <w:p w14:paraId="004A59C9">
      <w:pPr>
        <w:pStyle w:val="2"/>
        <w:spacing w:line="360" w:lineRule="auto"/>
        <w:ind w:firstLine="420" w:firstLineChars="200"/>
      </w:pPr>
      <w:r>
        <w:rPr>
          <w:rFonts w:hint="eastAsia"/>
        </w:rPr>
        <w:t>（3）有统一社会信用代码的</w:t>
      </w:r>
      <w:r>
        <w:rPr>
          <w:rFonts w:hint="eastAsia" w:hAnsi="宋体"/>
        </w:rPr>
        <w:t>新版</w:t>
      </w:r>
      <w:r>
        <w:rPr>
          <w:rFonts w:hint="eastAsia"/>
        </w:rPr>
        <w:t>营业执照副本原件</w:t>
      </w:r>
      <w:r>
        <w:rPr>
          <w:rFonts w:hint="eastAsia"/>
          <w:szCs w:val="21"/>
        </w:rPr>
        <w:t>或加盖公章的复印件</w:t>
      </w:r>
      <w:r>
        <w:rPr>
          <w:rFonts w:hint="eastAsia"/>
        </w:rPr>
        <w:t>；</w:t>
      </w:r>
    </w:p>
    <w:p w14:paraId="3F633415">
      <w:pPr>
        <w:pStyle w:val="2"/>
        <w:spacing w:line="360" w:lineRule="auto"/>
        <w:ind w:firstLine="420" w:firstLineChars="200"/>
      </w:pPr>
      <w:r>
        <w:rPr>
          <w:rFonts w:hint="eastAsia"/>
        </w:rPr>
        <w:t>（4）投标单位的法定代表人或授权代表的身份证原件；</w:t>
      </w:r>
    </w:p>
    <w:p w14:paraId="5BD1EF15">
      <w:pPr>
        <w:pStyle w:val="2"/>
        <w:spacing w:line="360" w:lineRule="auto"/>
        <w:ind w:firstLine="422" w:firstLineChars="200"/>
      </w:pPr>
      <w:r>
        <w:rPr>
          <w:rFonts w:hint="eastAsia"/>
          <w:b/>
        </w:rPr>
        <w:t>说明：</w:t>
      </w:r>
      <w:r>
        <w:rPr>
          <w:rFonts w:hint="eastAsia"/>
        </w:rPr>
        <w:t>投标人需按本招标书之“第三章 投标文件编制”之相关要求对上述投标文件进行编制密封，并于评标开始时向评标工作小组当面提交。</w:t>
      </w:r>
    </w:p>
    <w:p w14:paraId="1FCDDE9C">
      <w:pPr>
        <w:pStyle w:val="2"/>
        <w:spacing w:line="360" w:lineRule="auto"/>
        <w:ind w:firstLine="422" w:firstLineChars="200"/>
        <w:rPr>
          <w:b/>
        </w:rPr>
      </w:pPr>
      <w:r>
        <w:rPr>
          <w:rFonts w:hint="eastAsia"/>
          <w:b/>
        </w:rPr>
        <w:t>8.联 系 人：</w:t>
      </w:r>
    </w:p>
    <w:p w14:paraId="37E1C251">
      <w:pPr>
        <w:pStyle w:val="2"/>
        <w:spacing w:line="360" w:lineRule="auto"/>
        <w:ind w:firstLine="420" w:firstLineChars="200"/>
        <w:rPr>
          <w:bCs/>
        </w:rPr>
      </w:pPr>
      <w:r>
        <w:rPr>
          <w:rFonts w:hint="eastAsia"/>
          <w:lang w:val="en-US" w:eastAsia="zh-CN"/>
        </w:rPr>
        <w:t>李绍静</w:t>
      </w:r>
      <w:r>
        <w:rPr>
          <w:rFonts w:hint="eastAsia"/>
          <w:bCs/>
        </w:rPr>
        <w:t xml:space="preserve"> </w:t>
      </w:r>
      <w:r>
        <w:rPr>
          <w:bCs/>
        </w:rPr>
        <w:t xml:space="preserve">   </w:t>
      </w:r>
      <w:r>
        <w:rPr>
          <w:rFonts w:hint="eastAsia"/>
          <w:bCs/>
        </w:rPr>
        <w:t>联系电话：</w:t>
      </w:r>
      <w:r>
        <w:rPr>
          <w:rFonts w:hint="eastAsia"/>
          <w:lang w:val="en-US" w:eastAsia="zh-CN"/>
        </w:rPr>
        <w:t>15898649456</w:t>
      </w:r>
    </w:p>
    <w:p w14:paraId="6AE86761">
      <w:pPr>
        <w:pStyle w:val="2"/>
        <w:spacing w:line="360" w:lineRule="auto"/>
        <w:ind w:firstLine="420" w:firstLineChars="200"/>
        <w:rPr>
          <w:bCs/>
        </w:rPr>
      </w:pPr>
    </w:p>
    <w:p w14:paraId="70D2D8CA">
      <w:pPr>
        <w:pStyle w:val="2"/>
        <w:spacing w:line="360" w:lineRule="auto"/>
        <w:ind w:firstLine="420" w:firstLineChars="200"/>
        <w:rPr>
          <w:bCs/>
        </w:rPr>
      </w:pPr>
    </w:p>
    <w:p w14:paraId="63D3B498">
      <w:pPr>
        <w:pStyle w:val="2"/>
        <w:spacing w:line="360" w:lineRule="auto"/>
        <w:ind w:firstLine="420" w:firstLineChars="200"/>
        <w:rPr>
          <w:bCs/>
        </w:rPr>
      </w:pPr>
    </w:p>
    <w:p w14:paraId="4BC404C2">
      <w:pPr>
        <w:pStyle w:val="2"/>
        <w:spacing w:line="360" w:lineRule="auto"/>
        <w:ind w:firstLine="420" w:firstLineChars="200"/>
        <w:rPr>
          <w:bCs/>
        </w:rPr>
      </w:pPr>
    </w:p>
    <w:p w14:paraId="39F762A4">
      <w:pPr>
        <w:pStyle w:val="2"/>
        <w:spacing w:line="360" w:lineRule="auto"/>
        <w:ind w:firstLine="420" w:firstLineChars="200"/>
        <w:rPr>
          <w:bCs/>
        </w:rPr>
      </w:pPr>
    </w:p>
    <w:p w14:paraId="628FF116">
      <w:pPr>
        <w:pStyle w:val="2"/>
        <w:spacing w:line="360" w:lineRule="auto"/>
        <w:ind w:firstLine="420" w:firstLineChars="200"/>
        <w:rPr>
          <w:bCs/>
        </w:rPr>
      </w:pPr>
    </w:p>
    <w:p w14:paraId="4720CC15">
      <w:pPr>
        <w:pStyle w:val="2"/>
        <w:spacing w:line="360" w:lineRule="auto"/>
        <w:ind w:firstLine="420" w:firstLineChars="200"/>
        <w:rPr>
          <w:bCs/>
        </w:rPr>
      </w:pPr>
    </w:p>
    <w:p w14:paraId="4604BE2E">
      <w:pPr>
        <w:pStyle w:val="2"/>
        <w:spacing w:line="360" w:lineRule="auto"/>
        <w:ind w:firstLine="420" w:firstLineChars="200"/>
        <w:rPr>
          <w:bCs/>
        </w:rPr>
      </w:pPr>
    </w:p>
    <w:p w14:paraId="134C21CB"/>
    <w:sectPr>
      <w:headerReference r:id="rId3" w:type="default"/>
      <w:footerReference r:id="rId4" w:type="default"/>
      <w:footerReference r:id="rId5" w:type="even"/>
      <w:pgSz w:w="11906" w:h="16838"/>
      <w:pgMar w:top="794" w:right="1797" w:bottom="794" w:left="1797"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KSOFF9CBECC6">
    <w:panose1 w:val="02010609060101010101"/>
    <w:charset w:val="86"/>
    <w:family w:val="auto"/>
    <w:pitch w:val="default"/>
    <w:sig w:usb0="00000001" w:usb1="00000000" w:usb2="00000000" w:usb3="00000000" w:csb0="00040001" w:csb1="00000000"/>
  </w:font>
  <w:font w:name="KSOFE44F942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3A184B">
    <w:pPr>
      <w:pStyle w:val="7"/>
      <w:framePr w:wrap="around" w:vAnchor="text" w:hAnchor="margin" w:xAlign="center" w:y="1"/>
      <w:rPr>
        <w:rStyle w:val="14"/>
      </w:rPr>
    </w:pPr>
    <w:r>
      <w:fldChar w:fldCharType="begin"/>
    </w:r>
    <w:r>
      <w:rPr>
        <w:rStyle w:val="14"/>
      </w:rPr>
      <w:instrText xml:space="preserve">PAGE  </w:instrText>
    </w:r>
    <w:r>
      <w:fldChar w:fldCharType="separate"/>
    </w:r>
    <w:r>
      <w:rPr>
        <w:rStyle w:val="14"/>
      </w:rPr>
      <w:t>- 4 -</w:t>
    </w:r>
    <w:r>
      <w:fldChar w:fldCharType="end"/>
    </w:r>
  </w:p>
  <w:p w14:paraId="04C2C1E7">
    <w:pPr>
      <w:pStyle w:val="7"/>
    </w:pPr>
  </w:p>
  <w:p w14:paraId="3E95676D">
    <w:pPr>
      <w:pStyle w:val="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2EA4B6">
    <w:pPr>
      <w:pStyle w:val="7"/>
      <w:framePr w:wrap="around" w:vAnchor="text" w:hAnchor="margin" w:xAlign="center" w:y="1"/>
      <w:rPr>
        <w:rStyle w:val="14"/>
      </w:rPr>
    </w:pPr>
    <w:r>
      <w:fldChar w:fldCharType="begin"/>
    </w:r>
    <w:r>
      <w:rPr>
        <w:rStyle w:val="14"/>
      </w:rPr>
      <w:instrText xml:space="preserve">PAGE  </w:instrText>
    </w:r>
    <w:r>
      <w:fldChar w:fldCharType="end"/>
    </w:r>
  </w:p>
  <w:p w14:paraId="3C71D3F3">
    <w:pPr>
      <w:pStyle w:val="7"/>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9E26F4">
    <w:pPr>
      <w:pStyle w:val="8"/>
      <w:rPr>
        <w:rFonts w:ascii="楷体_GB2312" w:eastAsia="楷体_GB2312"/>
        <w:sz w:val="28"/>
        <w:szCs w:val="28"/>
      </w:rPr>
    </w:pPr>
    <w:r>
      <w:drawing>
        <wp:anchor distT="0" distB="0" distL="114300" distR="114300" simplePos="0" relativeHeight="251659264" behindDoc="0" locked="0" layoutInCell="1" allowOverlap="1">
          <wp:simplePos x="0" y="0"/>
          <wp:positionH relativeFrom="column">
            <wp:posOffset>-205105</wp:posOffset>
          </wp:positionH>
          <wp:positionV relativeFrom="paragraph">
            <wp:posOffset>-218440</wp:posOffset>
          </wp:positionV>
          <wp:extent cx="1257300" cy="398145"/>
          <wp:effectExtent l="0" t="0" r="0" b="8255"/>
          <wp:wrapSquare wrapText="bothSides"/>
          <wp:docPr id="9"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33"/>
                  <pic:cNvPicPr>
                    <a:picLocks noChangeAspect="1"/>
                  </pic:cNvPicPr>
                </pic:nvPicPr>
                <pic:blipFill>
                  <a:blip r:embed="rId1"/>
                  <a:stretch>
                    <a:fillRect/>
                  </a:stretch>
                </pic:blipFill>
                <pic:spPr>
                  <a:xfrm>
                    <a:off x="0" y="0"/>
                    <a:ext cx="1257300" cy="398145"/>
                  </a:xfrm>
                  <a:prstGeom prst="rect">
                    <a:avLst/>
                  </a:prstGeom>
                  <a:solidFill>
                    <a:srgbClr val="FFCC99"/>
                  </a:solidFill>
                  <a:ln>
                    <a:noFill/>
                  </a:ln>
                </pic:spPr>
              </pic:pic>
            </a:graphicData>
          </a:graphic>
        </wp:anchor>
      </w:drawing>
    </w:r>
    <w:r>
      <w:rPr>
        <w:rFonts w:hint="eastAsia"/>
      </w:rPr>
      <w:t>　　　　　　　　　　　　　　　　　　　　　　　　　　　　　　　　　　</w:t>
    </w:r>
    <w:r>
      <w:rPr>
        <w:rFonts w:hint="eastAsia" w:ascii="楷体_GB2312" w:eastAsia="楷体_GB2312"/>
      </w:rPr>
      <w:t>　　</w:t>
    </w:r>
    <w:r>
      <w:rPr>
        <w:rFonts w:hint="eastAsia" w:ascii="楷体_GB2312" w:eastAsia="楷体_GB2312"/>
        <w:sz w:val="28"/>
        <w:szCs w:val="28"/>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6882CE3"/>
    <w:multiLevelType w:val="multilevel"/>
    <w:tmpl w:val="06882CE3"/>
    <w:lvl w:ilvl="0" w:tentative="0">
      <w:start w:val="1"/>
      <w:numFmt w:val="decimal"/>
      <w:pStyle w:val="23"/>
      <w:suff w:val="nothing"/>
      <w:lvlText w:val="（%1）"/>
      <w:lvlJc w:val="left"/>
      <w:pPr>
        <w:ind w:left="1270" w:hanging="420"/>
      </w:pPr>
      <w:rPr>
        <w:b w:val="0"/>
        <w:bCs w:val="0"/>
        <w:i w:val="0"/>
        <w:iCs w:val="0"/>
        <w:caps w:val="0"/>
        <w:smallCaps w:val="0"/>
        <w:strike w:val="0"/>
        <w:dstrike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
    <w:nsid w:val="56D20133"/>
    <w:multiLevelType w:val="multilevel"/>
    <w:tmpl w:val="56D20133"/>
    <w:lvl w:ilvl="0" w:tentative="0">
      <w:start w:val="1"/>
      <w:numFmt w:val="chineseCountingThousand"/>
      <w:pStyle w:val="22"/>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
    <w:nsid w:val="656A6EAE"/>
    <w:multiLevelType w:val="multilevel"/>
    <w:tmpl w:val="656A6EAE"/>
    <w:lvl w:ilvl="0" w:tentative="0">
      <w:start w:val="1"/>
      <w:numFmt w:val="chineseCountingThousand"/>
      <w:pStyle w:val="20"/>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4A87"/>
    <w:rsid w:val="002D2936"/>
    <w:rsid w:val="00394A87"/>
    <w:rsid w:val="003C495B"/>
    <w:rsid w:val="0054091C"/>
    <w:rsid w:val="006B07B9"/>
    <w:rsid w:val="00832983"/>
    <w:rsid w:val="00945702"/>
    <w:rsid w:val="00E4483A"/>
    <w:rsid w:val="00F95115"/>
    <w:rsid w:val="113357C4"/>
    <w:rsid w:val="193E423E"/>
    <w:rsid w:val="279F712B"/>
    <w:rsid w:val="2FCA31B3"/>
    <w:rsid w:val="38481119"/>
    <w:rsid w:val="3B981C76"/>
    <w:rsid w:val="3C2F4ACA"/>
    <w:rsid w:val="478A52AA"/>
    <w:rsid w:val="49197A9B"/>
    <w:rsid w:val="4CDE27F3"/>
    <w:rsid w:val="4FEA274C"/>
    <w:rsid w:val="586967D6"/>
    <w:rsid w:val="588322F1"/>
    <w:rsid w:val="5AFA5E4B"/>
    <w:rsid w:val="5BFC76FF"/>
    <w:rsid w:val="65E27B39"/>
    <w:rsid w:val="69BC7560"/>
    <w:rsid w:val="70691651"/>
    <w:rsid w:val="70E933F0"/>
    <w:rsid w:val="756756A7"/>
    <w:rsid w:val="77432326"/>
    <w:rsid w:val="78C601E0"/>
    <w:rsid w:val="78DB1A01"/>
    <w:rsid w:val="7B046B22"/>
    <w:rsid w:val="7C5232B5"/>
    <w:rsid w:val="7FC27C5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iPriority="99"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4"/>
    <w:basedOn w:val="1"/>
    <w:next w:val="1"/>
    <w:qFormat/>
    <w:uiPriority w:val="0"/>
    <w:pPr>
      <w:keepNext/>
      <w:keepLines/>
      <w:spacing w:before="280" w:after="290" w:line="376" w:lineRule="auto"/>
      <w:outlineLvl w:val="3"/>
    </w:pPr>
    <w:rPr>
      <w:rFonts w:ascii="Cambria" w:hAnsi="Cambria"/>
      <w:b/>
      <w:bCs/>
      <w:sz w:val="28"/>
      <w:szCs w:val="28"/>
    </w:rPr>
  </w:style>
  <w:style w:type="character" w:default="1" w:styleId="13">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2">
    <w:name w:val="Plain Text"/>
    <w:basedOn w:val="1"/>
    <w:qFormat/>
    <w:uiPriority w:val="0"/>
    <w:rPr>
      <w:rFonts w:ascii="宋体" w:hAnsi="Courier New"/>
    </w:rPr>
  </w:style>
  <w:style w:type="paragraph" w:styleId="4">
    <w:name w:val="Body Text"/>
    <w:basedOn w:val="1"/>
    <w:next w:val="5"/>
    <w:semiHidden/>
    <w:unhideWhenUsed/>
    <w:qFormat/>
    <w:uiPriority w:val="99"/>
    <w:pPr>
      <w:spacing w:after="120"/>
    </w:pPr>
  </w:style>
  <w:style w:type="paragraph" w:customStyle="1" w:styleId="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styleId="6">
    <w:name w:val="Body Text Indent"/>
    <w:basedOn w:val="1"/>
    <w:unhideWhenUsed/>
    <w:qFormat/>
    <w:uiPriority w:val="99"/>
    <w:pPr>
      <w:spacing w:after="120"/>
      <w:ind w:left="420" w:leftChars="200"/>
    </w:pPr>
    <w:rPr>
      <w:rFonts w:ascii="Calibri" w:hAnsi="Calibri"/>
      <w:szCs w:val="22"/>
    </w:rPr>
  </w:style>
  <w:style w:type="paragraph" w:styleId="7">
    <w:name w:val="footer"/>
    <w:basedOn w:val="1"/>
    <w:qFormat/>
    <w:uiPriority w:val="99"/>
    <w:pPr>
      <w:tabs>
        <w:tab w:val="center" w:pos="4153"/>
        <w:tab w:val="right" w:pos="8306"/>
      </w:tabs>
      <w:snapToGrid w:val="0"/>
      <w:jc w:val="left"/>
    </w:pPr>
    <w:rPr>
      <w:sz w:val="18"/>
      <w:szCs w:val="18"/>
    </w:rPr>
  </w:style>
  <w:style w:type="paragraph" w:styleId="8">
    <w:name w:val="header"/>
    <w:basedOn w:val="1"/>
    <w:qFormat/>
    <w:uiPriority w:val="99"/>
    <w:pPr>
      <w:pBdr>
        <w:bottom w:val="single" w:color="auto" w:sz="6" w:space="1"/>
      </w:pBdr>
      <w:tabs>
        <w:tab w:val="center" w:pos="4153"/>
        <w:tab w:val="right" w:pos="8306"/>
      </w:tabs>
      <w:snapToGrid w:val="0"/>
      <w:jc w:val="center"/>
    </w:pPr>
    <w:rPr>
      <w:sz w:val="18"/>
      <w:szCs w:val="18"/>
    </w:rPr>
  </w:style>
  <w:style w:type="paragraph" w:styleId="9">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10">
    <w:name w:val="Normal (Web)"/>
    <w:basedOn w:val="1"/>
    <w:unhideWhenUsed/>
    <w:qFormat/>
    <w:uiPriority w:val="99"/>
    <w:pPr>
      <w:widowControl/>
      <w:spacing w:before="75" w:after="75"/>
      <w:jc w:val="left"/>
    </w:pPr>
    <w:rPr>
      <w:rFonts w:ascii="宋体" w:hAnsi="宋体" w:cs="宋体"/>
      <w:kern w:val="0"/>
      <w:sz w:val="24"/>
      <w:szCs w:val="24"/>
    </w:rPr>
  </w:style>
  <w:style w:type="paragraph" w:styleId="11">
    <w:name w:val="Body Text First Indent 2"/>
    <w:basedOn w:val="6"/>
    <w:next w:val="1"/>
    <w:unhideWhenUsed/>
    <w:qFormat/>
    <w:uiPriority w:val="99"/>
    <w:pPr>
      <w:ind w:firstLine="420"/>
    </w:pPr>
  </w:style>
  <w:style w:type="character" w:styleId="14">
    <w:name w:val="page number"/>
    <w:qFormat/>
    <w:uiPriority w:val="0"/>
  </w:style>
  <w:style w:type="character" w:styleId="15">
    <w:name w:val="Hyperlink"/>
    <w:semiHidden/>
    <w:qFormat/>
    <w:uiPriority w:val="99"/>
    <w:rPr>
      <w:rFonts w:cs="Times New Roman"/>
      <w:color w:val="1F4F88"/>
      <w:u w:val="none"/>
    </w:rPr>
  </w:style>
  <w:style w:type="paragraph" w:customStyle="1" w:styleId="16">
    <w:name w:val="标书表格"/>
    <w:basedOn w:val="1"/>
    <w:qFormat/>
    <w:uiPriority w:val="0"/>
    <w:pPr>
      <w:jc w:val="center"/>
    </w:pPr>
    <w:rPr>
      <w:b/>
    </w:rPr>
  </w:style>
  <w:style w:type="paragraph" w:customStyle="1" w:styleId="17">
    <w:name w:val="列出段落2"/>
    <w:basedOn w:val="1"/>
    <w:qFormat/>
    <w:uiPriority w:val="99"/>
    <w:pPr>
      <w:ind w:firstLine="420" w:firstLineChars="200"/>
    </w:pPr>
  </w:style>
  <w:style w:type="character" w:customStyle="1" w:styleId="18">
    <w:name w:val="font71"/>
    <w:basedOn w:val="13"/>
    <w:qFormat/>
    <w:uiPriority w:val="0"/>
    <w:rPr>
      <w:rFonts w:hint="eastAsia" w:ascii="宋体" w:hAnsi="宋体" w:eastAsia="宋体" w:cs="宋体"/>
      <w:color w:val="000000"/>
      <w:sz w:val="20"/>
      <w:szCs w:val="20"/>
      <w:u w:val="none"/>
    </w:rPr>
  </w:style>
  <w:style w:type="character" w:customStyle="1" w:styleId="19">
    <w:name w:val="font91"/>
    <w:basedOn w:val="13"/>
    <w:qFormat/>
    <w:uiPriority w:val="0"/>
    <w:rPr>
      <w:rFonts w:hint="default" w:ascii="Times New Roman" w:hAnsi="Times New Roman" w:cs="Times New Roman"/>
      <w:color w:val="000000"/>
      <w:sz w:val="20"/>
      <w:szCs w:val="20"/>
      <w:u w:val="none"/>
    </w:rPr>
  </w:style>
  <w:style w:type="paragraph" w:customStyle="1" w:styleId="20">
    <w:name w:val="一级标题"/>
    <w:basedOn w:val="2"/>
    <w:qFormat/>
    <w:uiPriority w:val="1"/>
    <w:pPr>
      <w:numPr>
        <w:ilvl w:val="0"/>
        <w:numId w:val="1"/>
      </w:numPr>
      <w:spacing w:line="360" w:lineRule="auto"/>
      <w:ind w:left="420"/>
      <w:outlineLvl w:val="1"/>
    </w:pPr>
    <w:rPr>
      <w:rFonts w:ascii="黑体" w:eastAsia="黑体"/>
      <w:b/>
      <w:bCs/>
      <w:sz w:val="28"/>
    </w:rPr>
  </w:style>
  <w:style w:type="paragraph" w:customStyle="1" w:styleId="21">
    <w:name w:val="标书正文"/>
    <w:basedOn w:val="2"/>
    <w:qFormat/>
    <w:uiPriority w:val="9"/>
    <w:pPr>
      <w:spacing w:line="360" w:lineRule="auto"/>
      <w:jc w:val="left"/>
    </w:pPr>
  </w:style>
  <w:style w:type="paragraph" w:customStyle="1" w:styleId="22">
    <w:name w:val="（二）级标题"/>
    <w:basedOn w:val="2"/>
    <w:qFormat/>
    <w:uiPriority w:val="2"/>
    <w:pPr>
      <w:numPr>
        <w:ilvl w:val="0"/>
        <w:numId w:val="2"/>
      </w:numPr>
      <w:spacing w:line="360" w:lineRule="auto"/>
      <w:outlineLvl w:val="2"/>
    </w:pPr>
    <w:rPr>
      <w:b/>
    </w:rPr>
  </w:style>
  <w:style w:type="paragraph" w:customStyle="1" w:styleId="23">
    <w:name w:val="（4）级标题"/>
    <w:basedOn w:val="2"/>
    <w:qFormat/>
    <w:uiPriority w:val="8"/>
    <w:pPr>
      <w:numPr>
        <w:ilvl w:val="0"/>
        <w:numId w:val="3"/>
      </w:numPr>
      <w:spacing w:line="360" w:lineRule="auto"/>
      <w:outlineLvl w:val="4"/>
    </w:p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image" Target="../NUL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1878</Words>
  <Characters>2045</Characters>
  <Lines>114</Lines>
  <Paragraphs>32</Paragraphs>
  <TotalTime>11</TotalTime>
  <ScaleCrop>false</ScaleCrop>
  <LinksUpToDate>false</LinksUpToDate>
  <CharactersWithSpaces>2073</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2025-07-21T02:31:00Z</dcterms:created>
  <dc:creator>Lenovo</dc:creator>
  <cp:lastModifiedBy> 旺仔柚子茶  </cp:lastModifiedBy>
  <dcterms:modified xsi:type="dcterms:W3CDTF">2026-06-01T00:27:49Z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eyJoZGlkIjoiZThhM2I3NDg4NGZhMzIxOTM2M2JkMDcxYmFmNDA2ODUiLCJ1c2VySWQiOiIyODM0OTA2MzEifQ==</vt:lpwstr>
  </property>
  <property fmtid="{D5CDD505-2E9C-101B-9397-08002B2CF9AE}" pid="4" name="ICV">
    <vt:lpwstr>417D40C30462471BAE71DC45F9110D30_13</vt:lpwstr>
  </property>
</Properties>
</file>