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25D70">
      <w:pPr>
        <w:pStyle w:val="6"/>
        <w:widowControl/>
        <w:jc w:val="center"/>
        <w:rPr>
          <w:rFonts w:hint="eastAsia" w:cs="宋体"/>
          <w:i w:val="0"/>
          <w:iCs/>
          <w:sz w:val="32"/>
          <w:szCs w:val="32"/>
          <w:lang w:val="en-US" w:eastAsia="zh-CN"/>
        </w:rPr>
      </w:pPr>
      <w:bookmarkStart w:id="0" w:name="_Toc12866"/>
      <w:r>
        <w:rPr>
          <w:rFonts w:hint="eastAsia" w:cs="宋体"/>
          <w:i w:val="0"/>
          <w:iCs/>
          <w:sz w:val="32"/>
          <w:szCs w:val="32"/>
          <w:lang w:val="en-US" w:eastAsia="zh-CN"/>
        </w:rPr>
        <w:t>新能源产品试验检测中心（二期）项目高压细水雾系统设计施工一体化工程</w:t>
      </w:r>
    </w:p>
    <w:p w14:paraId="30B9B168">
      <w:pPr>
        <w:pStyle w:val="6"/>
        <w:widowControl/>
        <w:jc w:val="center"/>
        <w:rPr>
          <w:i w:val="0"/>
          <w:iCs/>
          <w:sz w:val="32"/>
          <w:szCs w:val="32"/>
          <w:lang w:val="en-US"/>
        </w:rPr>
      </w:pPr>
      <w:r>
        <w:rPr>
          <w:rFonts w:hint="eastAsia" w:cs="宋体"/>
          <w:i w:val="0"/>
          <w:iCs/>
          <w:sz w:val="32"/>
          <w:szCs w:val="32"/>
          <w:lang w:val="en-US" w:eastAsia="zh-CN"/>
        </w:rPr>
        <w:t>招标公告</w:t>
      </w:r>
      <w:bookmarkEnd w:id="0"/>
    </w:p>
    <w:p w14:paraId="2538CB01">
      <w:pPr>
        <w:pStyle w:val="6"/>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ZBGL2026040348</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rPr>
      </w:pPr>
    </w:p>
    <w:p w14:paraId="38C4E671">
      <w:pPr>
        <w:rPr>
          <w:rFonts w:hint="eastAsia" w:asciiTheme="majorEastAsia" w:hAnsiTheme="majorEastAsia" w:eastAsiaTheme="majorEastAsia" w:cstheme="majorEastAsia"/>
          <w:b/>
          <w:bCs/>
          <w:sz w:val="24"/>
          <w:szCs w:val="24"/>
        </w:rPr>
      </w:pPr>
    </w:p>
    <w:tbl>
      <w:tblPr>
        <w:tblStyle w:val="16"/>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2026-6-9</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2026-6-15 </w:t>
            </w:r>
          </w:p>
        </w:tc>
      </w:tr>
    </w:tbl>
    <w:p w14:paraId="40D0D37B">
      <w:pPr>
        <w:rPr>
          <w:rFonts w:hint="eastAsia" w:asciiTheme="majorEastAsia" w:hAnsiTheme="majorEastAsia" w:eastAsiaTheme="majorEastAsia" w:cstheme="majorEastAsia"/>
          <w:b/>
          <w:bCs/>
          <w:sz w:val="24"/>
          <w:szCs w:val="24"/>
        </w:rPr>
      </w:pPr>
    </w:p>
    <w:p w14:paraId="3B47EF56">
      <w:pPr>
        <w:numPr>
          <w:ilvl w:val="0"/>
          <w:numId w:val="2"/>
        </w:num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19BFAB64">
      <w:pPr>
        <w:widowControl/>
        <w:spacing w:line="360" w:lineRule="auto"/>
        <w:jc w:val="left"/>
        <w:rPr>
          <w:rFonts w:ascii="宋体" w:hAnsi="宋体" w:cs="宋体"/>
          <w:b/>
          <w:kern w:val="0"/>
          <w:sz w:val="24"/>
          <w:lang w:bidi="en-US"/>
        </w:rPr>
      </w:pPr>
      <w:r>
        <w:rPr>
          <w:rFonts w:hint="eastAsia" w:ascii="宋体" w:hAnsi="宋体" w:cs="宋体"/>
          <w:b/>
          <w:kern w:val="0"/>
          <w:sz w:val="24"/>
          <w:lang w:bidi="en-US"/>
        </w:rPr>
        <w:t>1.招标条件</w:t>
      </w:r>
    </w:p>
    <w:p w14:paraId="3CD30120">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u w:val="single"/>
          <w:lang w:bidi="en-US"/>
        </w:rPr>
        <w:t>中国重汽集团济南动力有限公司</w:t>
      </w:r>
      <w:r>
        <w:rPr>
          <w:rFonts w:hint="eastAsia" w:ascii="宋体" w:hAnsi="宋体" w:cs="宋体"/>
          <w:kern w:val="0"/>
          <w:sz w:val="24"/>
          <w:lang w:bidi="en-US"/>
        </w:rPr>
        <w:t>针对</w:t>
      </w:r>
      <w:r>
        <w:rPr>
          <w:rFonts w:hint="eastAsia" w:ascii="宋体" w:hAnsi="宋体" w:cs="宋体"/>
          <w:kern w:val="0"/>
          <w:sz w:val="24"/>
          <w:u w:val="single"/>
          <w:lang w:eastAsia="zh-CN" w:bidi="en-US"/>
        </w:rPr>
        <w:t>新能源产品试验检测中心（二期）项目</w:t>
      </w:r>
      <w:r>
        <w:rPr>
          <w:rFonts w:hint="eastAsia" w:ascii="宋体" w:hAnsi="宋体" w:cs="宋体"/>
          <w:kern w:val="0"/>
          <w:sz w:val="24"/>
          <w:u w:val="single"/>
          <w:lang w:bidi="en-US"/>
        </w:rPr>
        <w:t>高压细水雾系统设计施工一体化工程</w:t>
      </w:r>
      <w:r>
        <w:rPr>
          <w:rFonts w:hint="eastAsia" w:ascii="宋体" w:hAnsi="宋体" w:cs="宋体"/>
          <w:kern w:val="0"/>
          <w:sz w:val="24"/>
          <w:lang w:bidi="en-US"/>
        </w:rPr>
        <w:t>项目，以公开招标的方式组织招标。本项目业主为</w:t>
      </w:r>
      <w:r>
        <w:rPr>
          <w:rFonts w:hint="eastAsia" w:ascii="宋体" w:hAnsi="宋体" w:cs="宋体"/>
          <w:kern w:val="0"/>
          <w:sz w:val="24"/>
          <w:u w:val="single"/>
          <w:lang w:bidi="en-US"/>
        </w:rPr>
        <w:t>中国重汽集团济南动力有限公司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14:paraId="34C9B263">
      <w:pPr>
        <w:widowControl/>
        <w:spacing w:line="360" w:lineRule="auto"/>
        <w:jc w:val="left"/>
        <w:rPr>
          <w:rFonts w:ascii="宋体" w:hAnsi="宋体" w:cs="宋体"/>
          <w:kern w:val="0"/>
          <w:sz w:val="24"/>
          <w:lang w:bidi="en-US"/>
        </w:rPr>
      </w:pPr>
      <w:r>
        <w:rPr>
          <w:rFonts w:hint="eastAsia" w:ascii="宋体" w:hAnsi="宋体" w:cs="宋体"/>
          <w:b/>
          <w:bCs/>
          <w:kern w:val="0"/>
          <w:sz w:val="24"/>
          <w:lang w:bidi="en-US"/>
        </w:rPr>
        <w:t>2.项目概况与招标范围</w:t>
      </w:r>
    </w:p>
    <w:p w14:paraId="12886F84">
      <w:pPr>
        <w:widowControl/>
        <w:spacing w:line="360" w:lineRule="auto"/>
        <w:ind w:firstLine="480" w:firstLineChars="200"/>
        <w:jc w:val="left"/>
        <w:rPr>
          <w:rFonts w:ascii="宋体" w:hAnsi="宋体" w:cs="宋体"/>
          <w:kern w:val="0"/>
          <w:sz w:val="24"/>
          <w:lang w:bidi="en-US"/>
        </w:rPr>
      </w:pPr>
      <w:bookmarkStart w:id="2" w:name="_Toc152045514"/>
      <w:bookmarkEnd w:id="2"/>
      <w:bookmarkStart w:id="3" w:name="_Toc152042290"/>
      <w:bookmarkEnd w:id="3"/>
      <w:bookmarkStart w:id="4" w:name="_Toc144974482"/>
      <w:bookmarkEnd w:id="4"/>
      <w:bookmarkStart w:id="5" w:name="_Toc285809451"/>
      <w:bookmarkEnd w:id="5"/>
      <w:bookmarkStart w:id="6" w:name="_Toc179632530"/>
      <w:bookmarkEnd w:id="6"/>
      <w:r>
        <w:rPr>
          <w:rFonts w:hint="eastAsia" w:ascii="宋体" w:hAnsi="宋体" w:cs="宋体"/>
          <w:kern w:val="0"/>
          <w:sz w:val="24"/>
          <w:lang w:bidi="en-US"/>
        </w:rPr>
        <w:t>2.1工程名称：</w:t>
      </w:r>
      <w:r>
        <w:rPr>
          <w:rFonts w:hint="eastAsia" w:ascii="宋体" w:hAnsi="宋体" w:cs="宋体"/>
          <w:kern w:val="0"/>
          <w:sz w:val="24"/>
          <w:u w:val="single"/>
          <w:lang w:eastAsia="zh-CN" w:bidi="en-US"/>
        </w:rPr>
        <w:t>新能源产品试验检测中心（二期）项目</w:t>
      </w:r>
      <w:r>
        <w:rPr>
          <w:rFonts w:hint="eastAsia" w:ascii="宋体" w:hAnsi="宋体" w:cs="宋体"/>
          <w:kern w:val="0"/>
          <w:sz w:val="24"/>
          <w:u w:val="single"/>
          <w:lang w:bidi="en-US"/>
        </w:rPr>
        <w:t>高压细水雾系统设计施工一体化工程</w:t>
      </w:r>
      <w:r>
        <w:rPr>
          <w:rFonts w:hint="eastAsia" w:ascii="宋体" w:hAnsi="宋体" w:cs="宋体"/>
          <w:kern w:val="0"/>
          <w:sz w:val="24"/>
          <w:lang w:bidi="en-US"/>
        </w:rPr>
        <w:t>；</w:t>
      </w:r>
    </w:p>
    <w:p w14:paraId="7879BB79">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2.2工程地点：</w:t>
      </w:r>
      <w:r>
        <w:rPr>
          <w:rStyle w:val="34"/>
          <w:rFonts w:hint="eastAsia" w:ascii="宋体" w:hAnsi="宋体"/>
          <w:sz w:val="24"/>
          <w:u w:val="single"/>
        </w:rPr>
        <w:t>济南市莱芜区</w:t>
      </w:r>
      <w:r>
        <w:rPr>
          <w:rFonts w:hint="eastAsia" w:ascii="宋体" w:hAnsi="宋体" w:cs="宋体"/>
          <w:kern w:val="0"/>
          <w:sz w:val="24"/>
        </w:rPr>
        <w:t>；</w:t>
      </w:r>
    </w:p>
    <w:p w14:paraId="03699D3D">
      <w:pPr>
        <w:widowControl/>
        <w:spacing w:line="360" w:lineRule="auto"/>
        <w:ind w:firstLine="480" w:firstLineChars="200"/>
        <w:jc w:val="left"/>
        <w:rPr>
          <w:rFonts w:ascii="宋体" w:cs="宋体"/>
          <w:sz w:val="24"/>
          <w:highlight w:val="none"/>
          <w:u w:val="single"/>
        </w:rPr>
      </w:pPr>
      <w:r>
        <w:rPr>
          <w:rFonts w:hint="eastAsia" w:ascii="宋体" w:hAnsi="宋体" w:cs="宋体"/>
          <w:kern w:val="0"/>
          <w:sz w:val="24"/>
          <w:szCs w:val="21"/>
          <w:lang w:bidi="en-US"/>
        </w:rPr>
        <w:t>2.3工程概况：</w:t>
      </w:r>
      <w:bookmarkStart w:id="7" w:name="_Toc4808"/>
      <w:r>
        <w:rPr>
          <w:rFonts w:hint="eastAsia" w:ascii="宋体" w:hAnsi="宋体" w:cs="宋体"/>
          <w:kern w:val="0"/>
          <w:sz w:val="24"/>
          <w:szCs w:val="21"/>
          <w:highlight w:val="none"/>
          <w:u w:val="single"/>
          <w:lang w:eastAsia="zh-CN" w:bidi="en-US"/>
        </w:rPr>
        <w:t>中国重汽新能源产品试验检测中心项目（二期）</w:t>
      </w:r>
      <w:r>
        <w:rPr>
          <w:rFonts w:hint="eastAsia" w:ascii="宋体" w:hAnsi="宋体" w:cs="宋体"/>
          <w:kern w:val="0"/>
          <w:sz w:val="24"/>
          <w:szCs w:val="21"/>
          <w:highlight w:val="none"/>
          <w:u w:val="single"/>
          <w:lang w:val="en-US" w:eastAsia="zh-CN" w:bidi="en-US"/>
        </w:rPr>
        <w:t>包括</w:t>
      </w:r>
      <w:r>
        <w:rPr>
          <w:rFonts w:hint="eastAsia" w:ascii="宋体" w:hAnsi="宋体" w:cs="宋体"/>
          <w:kern w:val="0"/>
          <w:sz w:val="24"/>
          <w:szCs w:val="21"/>
          <w:highlight w:val="none"/>
          <w:u w:val="single"/>
          <w:lang w:eastAsia="zh-CN" w:bidi="en-US"/>
        </w:rPr>
        <w:t>：一号试验室（即2#动力总成试验室）、二号试验室（即新能源对标拆解中心）、五号试验室（即材料试验室）、六号试验室（即1#动力总成试验室）、七号试验室（即3#动力总成试验室及餐厅）、八号试验室（即EMC试验室（二期））、十三号试验室（即3#新能源试验室）、仓库一（即周转仓库）、仓库二（即危化品仓库）、动力站房（二期）、新能源车模拟涉水池及浸水池、污水处理站、道路管网</w:t>
      </w:r>
      <w:r>
        <w:rPr>
          <w:rFonts w:hint="eastAsia" w:ascii="宋体" w:cs="宋体"/>
          <w:sz w:val="24"/>
          <w:u w:val="single"/>
        </w:rPr>
        <w:t>等配套设施</w:t>
      </w:r>
      <w:r>
        <w:rPr>
          <w:rFonts w:hint="eastAsia" w:ascii="宋体" w:cs="宋体"/>
          <w:sz w:val="24"/>
        </w:rPr>
        <w:t>。</w:t>
      </w:r>
      <w:bookmarkEnd w:id="7"/>
    </w:p>
    <w:p w14:paraId="5C1D63C8">
      <w:pPr>
        <w:widowControl/>
        <w:spacing w:line="360" w:lineRule="auto"/>
        <w:ind w:firstLine="480" w:firstLineChars="200"/>
        <w:jc w:val="left"/>
        <w:rPr>
          <w:rFonts w:ascii="宋体" w:cs="宋体"/>
          <w:sz w:val="24"/>
          <w:highlight w:val="none"/>
          <w:u w:val="single"/>
        </w:rPr>
      </w:pPr>
      <w:r>
        <w:rPr>
          <w:rFonts w:hint="eastAsia" w:ascii="宋体" w:cs="宋体"/>
          <w:sz w:val="24"/>
          <w:highlight w:val="none"/>
        </w:rPr>
        <w:t>2.4资金来源：</w:t>
      </w:r>
      <w:r>
        <w:rPr>
          <w:rFonts w:hint="eastAsia" w:ascii="宋体" w:cs="宋体"/>
          <w:sz w:val="24"/>
          <w:highlight w:val="none"/>
          <w:u w:val="single"/>
        </w:rPr>
        <w:t>企业自筹，已落实</w:t>
      </w:r>
      <w:r>
        <w:rPr>
          <w:rFonts w:hint="eastAsia" w:ascii="宋体" w:cs="宋体"/>
          <w:sz w:val="24"/>
          <w:highlight w:val="none"/>
        </w:rPr>
        <w:t>；</w:t>
      </w:r>
    </w:p>
    <w:p w14:paraId="0FE47E4F">
      <w:pPr>
        <w:widowControl/>
        <w:spacing w:line="360" w:lineRule="auto"/>
        <w:ind w:firstLine="480" w:firstLineChars="200"/>
        <w:jc w:val="left"/>
        <w:rPr>
          <w:rFonts w:ascii="宋体" w:cs="宋体"/>
          <w:sz w:val="24"/>
          <w:highlight w:val="none"/>
          <w:u w:val="single"/>
        </w:rPr>
      </w:pPr>
      <w:r>
        <w:rPr>
          <w:rFonts w:hint="eastAsia" w:ascii="宋体" w:cs="宋体"/>
          <w:sz w:val="24"/>
          <w:highlight w:val="none"/>
        </w:rPr>
        <w:t>2.5工期要求：</w:t>
      </w:r>
      <w:r>
        <w:rPr>
          <w:rFonts w:hint="eastAsia" w:ascii="宋体" w:cs="宋体"/>
          <w:sz w:val="24"/>
          <w:highlight w:val="none"/>
          <w:u w:val="single"/>
        </w:rPr>
        <w:t>除整车环境仓</w:t>
      </w:r>
      <w:r>
        <w:rPr>
          <w:rFonts w:hint="eastAsia" w:ascii="宋体" w:cs="宋体"/>
          <w:sz w:val="24"/>
          <w:highlight w:val="none"/>
          <w:u w:val="single"/>
          <w:lang w:val="en-US" w:eastAsia="zh-CN"/>
        </w:rPr>
        <w:t>外，</w:t>
      </w:r>
      <w:r>
        <w:rPr>
          <w:rFonts w:hint="eastAsia" w:ascii="宋体" w:cs="宋体"/>
          <w:sz w:val="24"/>
          <w:highlight w:val="none"/>
          <w:u w:val="single"/>
        </w:rPr>
        <w:t>计划202</w:t>
      </w:r>
      <w:r>
        <w:rPr>
          <w:rFonts w:hint="eastAsia" w:ascii="宋体" w:cs="宋体"/>
          <w:sz w:val="24"/>
          <w:highlight w:val="none"/>
          <w:u w:val="single"/>
          <w:lang w:val="en-US" w:eastAsia="zh-CN"/>
        </w:rPr>
        <w:t>6</w:t>
      </w:r>
      <w:r>
        <w:rPr>
          <w:rFonts w:hint="eastAsia" w:ascii="宋体" w:cs="宋体"/>
          <w:sz w:val="24"/>
          <w:highlight w:val="none"/>
          <w:u w:val="single"/>
        </w:rPr>
        <w:t>年</w:t>
      </w:r>
      <w:r>
        <w:rPr>
          <w:rFonts w:hint="eastAsia" w:ascii="宋体" w:cs="宋体"/>
          <w:sz w:val="24"/>
          <w:highlight w:val="none"/>
          <w:u w:val="single"/>
          <w:lang w:val="en-US" w:eastAsia="zh-CN"/>
        </w:rPr>
        <w:t>7</w:t>
      </w:r>
      <w:r>
        <w:rPr>
          <w:rFonts w:hint="eastAsia" w:ascii="宋体" w:cs="宋体"/>
          <w:sz w:val="24"/>
          <w:highlight w:val="none"/>
          <w:u w:val="single"/>
        </w:rPr>
        <w:t>月</w:t>
      </w:r>
      <w:r>
        <w:rPr>
          <w:rFonts w:hint="eastAsia" w:ascii="宋体" w:cs="宋体"/>
          <w:sz w:val="24"/>
          <w:highlight w:val="none"/>
          <w:u w:val="single"/>
          <w:lang w:val="en-US" w:eastAsia="zh-CN"/>
        </w:rPr>
        <w:t>15</w:t>
      </w:r>
      <w:r>
        <w:rPr>
          <w:rFonts w:hint="eastAsia" w:ascii="宋体" w:cs="宋体"/>
          <w:sz w:val="24"/>
          <w:highlight w:val="none"/>
          <w:u w:val="single"/>
        </w:rPr>
        <w:t>日交付（暂定，具体以招标文件为准）</w:t>
      </w:r>
      <w:r>
        <w:rPr>
          <w:rFonts w:hint="eastAsia" w:ascii="宋体" w:cs="宋体"/>
          <w:sz w:val="24"/>
          <w:highlight w:val="none"/>
        </w:rPr>
        <w:t>；</w:t>
      </w:r>
    </w:p>
    <w:p w14:paraId="700AC30B">
      <w:pPr>
        <w:autoSpaceDN w:val="0"/>
        <w:spacing w:line="360" w:lineRule="auto"/>
        <w:ind w:firstLine="480" w:firstLineChars="200"/>
        <w:rPr>
          <w:rFonts w:hint="eastAsia" w:ascii="宋体" w:eastAsia="宋体" w:cs="宋体"/>
          <w:sz w:val="24"/>
          <w:highlight w:val="green"/>
          <w:u w:val="single"/>
        </w:rPr>
      </w:pPr>
      <w:r>
        <w:rPr>
          <w:rFonts w:hint="eastAsia" w:ascii="宋体" w:cs="宋体"/>
          <w:sz w:val="24"/>
        </w:rPr>
        <w:t>2.6招标范围：</w:t>
      </w:r>
      <w:r>
        <w:rPr>
          <w:rFonts w:hint="eastAsia" w:ascii="宋体" w:eastAsia="宋体" w:cs="宋体"/>
          <w:sz w:val="24"/>
          <w:u w:val="single"/>
        </w:rPr>
        <w:t>本次招标范围为</w:t>
      </w:r>
      <w:r>
        <w:rPr>
          <w:rFonts w:hint="eastAsia" w:ascii="宋体" w:eastAsia="宋体" w:cs="宋体"/>
          <w:sz w:val="24"/>
          <w:u w:val="single"/>
          <w:lang w:eastAsia="zh-CN"/>
        </w:rPr>
        <w:t>新能源产品试验检测中心（二期）项目</w:t>
      </w:r>
      <w:r>
        <w:rPr>
          <w:rFonts w:hint="eastAsia" w:ascii="宋体" w:eastAsia="宋体" w:cs="宋体"/>
          <w:sz w:val="24"/>
          <w:u w:val="single"/>
        </w:rPr>
        <w:t>高压细水雾系统深化设计及施工，交钥匙工程</w:t>
      </w:r>
      <w:r>
        <w:rPr>
          <w:rFonts w:hint="eastAsia" w:ascii="宋体" w:eastAsia="宋体" w:cs="宋体"/>
          <w:sz w:val="24"/>
          <w:highlight w:val="none"/>
          <w:u w:val="single"/>
        </w:rPr>
        <w:t>。包含3#新能源试验室、EMC（二期）试验室、整车试验室整车环境仓（二期）</w:t>
      </w:r>
      <w:r>
        <w:rPr>
          <w:rFonts w:hint="eastAsia" w:ascii="宋体" w:cs="宋体"/>
          <w:sz w:val="24"/>
          <w:highlight w:val="none"/>
          <w:u w:val="single"/>
          <w:lang w:val="en-US" w:eastAsia="zh-CN"/>
        </w:rPr>
        <w:t>以及配套外网</w:t>
      </w:r>
      <w:r>
        <w:rPr>
          <w:rFonts w:hint="eastAsia" w:ascii="宋体" w:eastAsia="宋体" w:cs="宋体"/>
          <w:sz w:val="24"/>
          <w:highlight w:val="none"/>
          <w:u w:val="single"/>
        </w:rPr>
        <w:t>的高压细水雾系统组件（喷头、室内外管道、桥架、管线、区域控制阀、各类阀门、附件等）、火灾自动报警系统（现有系统品牌为Kidde）所含全部内容的设计、采购</w:t>
      </w:r>
      <w:r>
        <w:rPr>
          <w:rFonts w:hint="eastAsia" w:ascii="宋体" w:eastAsia="宋体" w:cs="宋体"/>
          <w:sz w:val="24"/>
          <w:highlight w:val="none"/>
          <w:u w:val="single"/>
          <w:lang w:eastAsia="zh-CN"/>
        </w:rPr>
        <w:t>、</w:t>
      </w:r>
      <w:r>
        <w:rPr>
          <w:rFonts w:hint="eastAsia" w:ascii="宋体" w:eastAsia="宋体" w:cs="宋体"/>
          <w:sz w:val="24"/>
          <w:highlight w:val="none"/>
          <w:u w:val="single"/>
        </w:rPr>
        <w:t>供货、运输、定点卸货、搬运、安装、施工及调试</w:t>
      </w:r>
      <w:r>
        <w:rPr>
          <w:rFonts w:hint="eastAsia" w:ascii="宋体" w:eastAsia="宋体" w:cs="宋体"/>
          <w:sz w:val="24"/>
          <w:highlight w:val="none"/>
          <w:u w:val="single"/>
          <w:lang w:val="en-US" w:eastAsia="zh-CN"/>
        </w:rPr>
        <w:t>检验（包括系统本身及与厂区消防联动系统的调试</w:t>
      </w:r>
      <w:r>
        <w:rPr>
          <w:rFonts w:hint="eastAsia" w:ascii="宋体" w:cs="宋体"/>
          <w:sz w:val="24"/>
          <w:highlight w:val="none"/>
          <w:u w:val="single"/>
          <w:lang w:val="en-US" w:eastAsia="zh-CN"/>
        </w:rPr>
        <w:t>、满足与原有系统兼容性</w:t>
      </w:r>
      <w:r>
        <w:rPr>
          <w:rFonts w:hint="eastAsia" w:ascii="宋体" w:eastAsia="宋体" w:cs="宋体"/>
          <w:sz w:val="24"/>
          <w:highlight w:val="none"/>
          <w:u w:val="single"/>
          <w:lang w:val="en-US" w:eastAsia="zh-CN"/>
        </w:rPr>
        <w:t>）</w:t>
      </w:r>
      <w:r>
        <w:rPr>
          <w:rFonts w:hint="eastAsia" w:ascii="宋体" w:eastAsia="宋体" w:cs="宋体"/>
          <w:sz w:val="24"/>
          <w:highlight w:val="none"/>
          <w:u w:val="single"/>
        </w:rPr>
        <w:t>、验收、技术服务、质量保修、配合项目整体消防验收等，接入一期现有细水雾系统。技术要求</w:t>
      </w:r>
      <w:r>
        <w:rPr>
          <w:rFonts w:hint="eastAsia" w:ascii="宋体" w:cs="宋体"/>
          <w:sz w:val="24"/>
          <w:highlight w:val="none"/>
          <w:u w:val="single"/>
          <w:lang w:val="en-US" w:eastAsia="zh-CN"/>
        </w:rPr>
        <w:t>详见</w:t>
      </w:r>
      <w:r>
        <w:rPr>
          <w:rFonts w:hint="eastAsia" w:ascii="宋体" w:eastAsia="宋体" w:cs="宋体"/>
          <w:sz w:val="24"/>
          <w:highlight w:val="none"/>
          <w:u w:val="single"/>
        </w:rPr>
        <w:t>招标文件</w:t>
      </w:r>
      <w:r>
        <w:rPr>
          <w:rFonts w:hint="eastAsia" w:ascii="宋体" w:cs="宋体"/>
          <w:sz w:val="24"/>
          <w:highlight w:val="none"/>
          <w:u w:val="single"/>
          <w:lang w:eastAsia="zh-CN"/>
        </w:rPr>
        <w:t>。</w:t>
      </w:r>
    </w:p>
    <w:p w14:paraId="6C7312E9">
      <w:pPr>
        <w:widowControl/>
        <w:spacing w:line="360" w:lineRule="auto"/>
        <w:ind w:firstLine="480" w:firstLineChars="200"/>
        <w:jc w:val="left"/>
        <w:rPr>
          <w:rFonts w:hint="default"/>
          <w:lang w:val="en-US" w:eastAsia="zh-CN"/>
        </w:rPr>
      </w:pPr>
      <w:bookmarkStart w:id="8" w:name="_Toc11961"/>
      <w:bookmarkStart w:id="9" w:name="_Toc13054"/>
      <w:r>
        <w:rPr>
          <w:rFonts w:hint="eastAsia" w:ascii="宋体" w:hAnsi="Times New Roman" w:eastAsia="宋体" w:cs="宋体"/>
          <w:b w:val="0"/>
          <w:bCs w:val="0"/>
          <w:kern w:val="2"/>
          <w:sz w:val="24"/>
          <w:szCs w:val="24"/>
          <w:u w:val="single"/>
          <w:lang w:val="en-US" w:eastAsia="zh-CN" w:bidi="ar-SA"/>
        </w:rPr>
        <w:t>所有投标均以人民币含税报价，税率为9%。</w:t>
      </w:r>
      <w:bookmarkEnd w:id="8"/>
      <w:r>
        <w:rPr>
          <w:rFonts w:hint="eastAsia" w:ascii="宋体" w:hAnsi="Times New Roman" w:eastAsia="宋体" w:cs="宋体"/>
          <w:b w:val="0"/>
          <w:bCs w:val="0"/>
          <w:kern w:val="2"/>
          <w:sz w:val="24"/>
          <w:szCs w:val="24"/>
          <w:u w:val="single"/>
          <w:lang w:val="en-US" w:eastAsia="zh-CN" w:bidi="ar-SA"/>
        </w:rPr>
        <w:t>具体详见工程量清单，据实结算。</w:t>
      </w:r>
      <w:bookmarkEnd w:id="9"/>
    </w:p>
    <w:p w14:paraId="17BEFBE1">
      <w:pPr>
        <w:widowControl/>
        <w:spacing w:line="360" w:lineRule="auto"/>
        <w:ind w:firstLine="480" w:firstLineChars="200"/>
        <w:jc w:val="left"/>
        <w:rPr>
          <w:rFonts w:ascii="宋体" w:hAnsi="宋体" w:cs="宋体"/>
          <w:kern w:val="0"/>
          <w:sz w:val="24"/>
          <w:u w:val="single"/>
          <w:lang w:bidi="en-US"/>
        </w:rPr>
      </w:pPr>
      <w:r>
        <w:rPr>
          <w:rFonts w:hint="eastAsia" w:ascii="宋体" w:hAnsi="宋体" w:cs="宋体"/>
          <w:kern w:val="0"/>
          <w:sz w:val="24"/>
          <w:lang w:bidi="en-US"/>
        </w:rPr>
        <w:t>2.7本工程共分：</w:t>
      </w:r>
      <w:r>
        <w:rPr>
          <w:rFonts w:hint="eastAsia" w:ascii="宋体" w:hAnsi="宋体" w:cs="宋体"/>
          <w:kern w:val="0"/>
          <w:sz w:val="24"/>
          <w:u w:val="single"/>
          <w:lang w:bidi="en-US"/>
        </w:rPr>
        <w:t>一个标段</w:t>
      </w:r>
      <w:r>
        <w:rPr>
          <w:rFonts w:hint="eastAsia" w:ascii="宋体" w:hAnsi="宋体" w:cs="宋体"/>
          <w:kern w:val="0"/>
          <w:sz w:val="24"/>
          <w:lang w:bidi="en-US"/>
        </w:rPr>
        <w:t>。</w:t>
      </w:r>
    </w:p>
    <w:p w14:paraId="02D7CFB0">
      <w:pPr>
        <w:autoSpaceDN w:val="0"/>
        <w:spacing w:line="420" w:lineRule="exact"/>
        <w:ind w:firstLine="480" w:firstLineChars="200"/>
        <w:rPr>
          <w:rFonts w:hint="eastAsia" w:ascii="宋体" w:hAnsi="Times New Roman" w:eastAsia="宋体" w:cs="宋体"/>
          <w:b w:val="0"/>
          <w:bCs w:val="0"/>
          <w:kern w:val="2"/>
          <w:sz w:val="24"/>
          <w:szCs w:val="24"/>
          <w:u w:val="single"/>
          <w:lang w:val="en-US" w:eastAsia="zh-CN" w:bidi="ar-SA"/>
        </w:rPr>
      </w:pPr>
      <w:r>
        <w:rPr>
          <w:rFonts w:hint="eastAsia" w:ascii="宋体" w:cs="宋体"/>
          <w:sz w:val="24"/>
          <w:szCs w:val="24"/>
          <w:lang w:val="en-US" w:eastAsia="zh-CN" w:bidi="ar"/>
        </w:rPr>
        <w:t xml:space="preserve">2.8 </w:t>
      </w:r>
      <w:r>
        <w:rPr>
          <w:rFonts w:hint="eastAsia" w:ascii="宋体" w:hAnsi="Times New Roman" w:eastAsia="宋体" w:cs="宋体"/>
          <w:b w:val="0"/>
          <w:bCs w:val="0"/>
          <w:kern w:val="2"/>
          <w:sz w:val="24"/>
          <w:szCs w:val="24"/>
          <w:u w:val="single"/>
          <w:lang w:val="en-US" w:eastAsia="zh-CN" w:bidi="ar-SA"/>
        </w:rPr>
        <w:t>所供货物符合国家及行业颁发的最新相关规范标准，达到招标人的要求并通过验收及交接。</w:t>
      </w:r>
    </w:p>
    <w:p w14:paraId="3BF0666F">
      <w:pPr>
        <w:numPr>
          <w:ilvl w:val="0"/>
          <w:numId w:val="0"/>
        </w:numPr>
        <w:rPr>
          <w:rFonts w:hint="eastAsia" w:asciiTheme="majorEastAsia" w:hAnsiTheme="majorEastAsia" w:eastAsiaTheme="majorEastAsia" w:cstheme="majorEastAsia"/>
          <w:b/>
          <w:bCs/>
          <w:sz w:val="24"/>
          <w:szCs w:val="24"/>
        </w:rPr>
      </w:pPr>
    </w:p>
    <w:p w14:paraId="7A1685D8">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二、项目基本情况  </w:t>
      </w:r>
    </w:p>
    <w:p w14:paraId="3A25D878">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新能源产品试验检测中心（二期）项目高压细水雾系统设计施工一体化工程</w:t>
      </w:r>
    </w:p>
    <w:p w14:paraId="3B4F423A">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固定资产</w:t>
      </w:r>
    </w:p>
    <w:p w14:paraId="56C59FDB">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14:paraId="0F94CFE6">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14:paraId="5AA3851E">
      <w:pPr>
        <w:pStyle w:val="15"/>
        <w:widowControl w:val="0"/>
        <w:autoSpaceDN w:val="0"/>
        <w:spacing w:before="0" w:beforeAutospacing="0" w:after="120" w:afterAutospacing="0" w:line="360" w:lineRule="auto"/>
        <w:ind w:firstLine="480" w:firstLineChars="200"/>
        <w:rPr>
          <w:rFonts w:hint="eastAsia"/>
          <w:kern w:val="2"/>
          <w:sz w:val="24"/>
          <w:szCs w:val="24"/>
          <w:highlight w:val="none"/>
          <w:shd w:val="clear" w:color="auto" w:fill="FFFFFF"/>
          <w:lang w:bidi="ar"/>
        </w:rPr>
      </w:pPr>
      <w:r>
        <w:rPr>
          <w:rFonts w:hint="eastAsia"/>
          <w:kern w:val="2"/>
          <w:sz w:val="24"/>
          <w:szCs w:val="24"/>
          <w:shd w:val="clear" w:color="auto" w:fill="FFFFFF"/>
          <w:lang w:bidi="ar"/>
        </w:rPr>
        <w:t>1投标人必须是在中华人民共和国境内注册的独立法人机构，具有独立承担民事责任能力，成立满3年（以营业执照成立日期到开标当日满3年为准），注册资本金不低于500万元，</w:t>
      </w:r>
      <w:r>
        <w:rPr>
          <w:rFonts w:hint="eastAsia"/>
          <w:kern w:val="2"/>
          <w:sz w:val="24"/>
          <w:szCs w:val="24"/>
          <w:lang w:bidi="ar"/>
        </w:rPr>
        <w:t>具有</w:t>
      </w:r>
      <w:r>
        <w:rPr>
          <w:rFonts w:hint="eastAsia"/>
          <w:kern w:val="2"/>
          <w:sz w:val="24"/>
          <w:szCs w:val="24"/>
          <w:highlight w:val="none"/>
          <w:lang w:bidi="ar"/>
        </w:rPr>
        <w:t>完成本项目的相关资质、同类产品业绩以及设计、供货、安装及售后服务的能力</w:t>
      </w:r>
      <w:r>
        <w:rPr>
          <w:rFonts w:hint="eastAsia"/>
          <w:kern w:val="2"/>
          <w:sz w:val="24"/>
          <w:szCs w:val="24"/>
          <w:highlight w:val="none"/>
          <w:shd w:val="clear" w:color="auto" w:fill="FFFFFF"/>
          <w:lang w:bidi="ar"/>
        </w:rPr>
        <w:t>。</w:t>
      </w:r>
    </w:p>
    <w:p w14:paraId="46F18330">
      <w:pPr>
        <w:pStyle w:val="15"/>
        <w:widowControl w:val="0"/>
        <w:autoSpaceDN w:val="0"/>
        <w:spacing w:before="0" w:beforeAutospacing="0" w:after="120" w:afterAutospacing="0" w:line="360" w:lineRule="auto"/>
        <w:ind w:firstLine="480" w:firstLineChars="200"/>
        <w:rPr>
          <w:rFonts w:hint="eastAsia" w:eastAsia="宋体"/>
          <w:sz w:val="24"/>
          <w:szCs w:val="24"/>
          <w:highlight w:val="none"/>
          <w:lang w:eastAsia="zh-CN" w:bidi="ar"/>
        </w:rPr>
      </w:pPr>
      <w:r>
        <w:rPr>
          <w:rFonts w:hint="eastAsia"/>
          <w:kern w:val="2"/>
          <w:sz w:val="24"/>
          <w:szCs w:val="24"/>
          <w:highlight w:val="none"/>
          <w:shd w:val="clear" w:color="auto" w:fill="FFFFFF"/>
          <w:lang w:bidi="ar"/>
        </w:rPr>
        <w:t>2投标人资</w:t>
      </w:r>
      <w:r>
        <w:rPr>
          <w:rFonts w:hint="eastAsia"/>
          <w:kern w:val="2"/>
          <w:sz w:val="24"/>
          <w:szCs w:val="24"/>
          <w:shd w:val="clear" w:color="auto" w:fill="FFFFFF"/>
          <w:lang w:bidi="ar"/>
        </w:rPr>
        <w:t>质要求：</w:t>
      </w:r>
      <w:r>
        <w:rPr>
          <w:rFonts w:hint="eastAsia"/>
          <w:kern w:val="2"/>
          <w:sz w:val="24"/>
          <w:szCs w:val="24"/>
          <w:shd w:val="clear" w:color="auto" w:fill="FFFFFF"/>
          <w:lang w:val="en-US" w:eastAsia="zh-CN" w:bidi="ar"/>
        </w:rPr>
        <w:t>具备</w:t>
      </w:r>
      <w:r>
        <w:rPr>
          <w:rFonts w:hint="eastAsia"/>
          <w:kern w:val="2"/>
          <w:sz w:val="24"/>
          <w:szCs w:val="24"/>
          <w:shd w:val="clear" w:color="auto" w:fill="FFFFFF"/>
          <w:lang w:bidi="ar"/>
        </w:rPr>
        <w:t>建筑工程施工总承包三级及以上</w:t>
      </w:r>
      <w:r>
        <w:rPr>
          <w:rFonts w:hint="eastAsia"/>
          <w:kern w:val="2"/>
          <w:sz w:val="24"/>
          <w:szCs w:val="24"/>
          <w:shd w:val="clear" w:color="auto" w:fill="FFFFFF"/>
          <w:lang w:val="en-US" w:eastAsia="zh-CN" w:bidi="ar"/>
        </w:rPr>
        <w:t>或</w:t>
      </w:r>
      <w:r>
        <w:rPr>
          <w:rFonts w:hint="eastAsia"/>
          <w:kern w:val="2"/>
          <w:sz w:val="24"/>
          <w:szCs w:val="24"/>
          <w:shd w:val="clear" w:color="auto" w:fill="FFFFFF"/>
          <w:lang w:bidi="ar"/>
        </w:rPr>
        <w:t>消防设施工程专业承包</w:t>
      </w:r>
      <w:r>
        <w:rPr>
          <w:rFonts w:hint="eastAsia"/>
          <w:kern w:val="2"/>
          <w:sz w:val="24"/>
          <w:szCs w:val="24"/>
          <w:shd w:val="clear" w:color="auto" w:fill="FFFFFF"/>
          <w:lang w:val="en-US" w:eastAsia="zh-CN" w:bidi="ar"/>
        </w:rPr>
        <w:t>二</w:t>
      </w:r>
      <w:r>
        <w:rPr>
          <w:rFonts w:hint="eastAsia"/>
          <w:kern w:val="2"/>
          <w:sz w:val="24"/>
          <w:szCs w:val="24"/>
          <w:shd w:val="clear" w:color="auto" w:fill="FFFFFF"/>
          <w:lang w:bidi="ar"/>
        </w:rPr>
        <w:t>级或建筑机电安装工程专业承包三级及以上资质，并具有有效的安全生产许可证；若</w:t>
      </w:r>
      <w:r>
        <w:rPr>
          <w:rFonts w:hint="eastAsia"/>
          <w:kern w:val="2"/>
          <w:sz w:val="24"/>
          <w:szCs w:val="24"/>
          <w:shd w:val="clear" w:color="auto" w:fill="FFFFFF"/>
          <w:lang w:val="en-US" w:eastAsia="zh-CN" w:bidi="ar"/>
        </w:rPr>
        <w:t>投标单位</w:t>
      </w:r>
      <w:r>
        <w:rPr>
          <w:rFonts w:hint="eastAsia"/>
          <w:kern w:val="2"/>
          <w:sz w:val="24"/>
          <w:szCs w:val="24"/>
          <w:shd w:val="clear" w:color="auto" w:fill="FFFFFF"/>
          <w:lang w:bidi="ar"/>
        </w:rPr>
        <w:t>不具备设计能力，需委托持有</w:t>
      </w:r>
      <w:r>
        <w:rPr>
          <w:rFonts w:hint="eastAsia"/>
          <w:kern w:val="2"/>
          <w:sz w:val="24"/>
          <w:szCs w:val="24"/>
          <w:shd w:val="clear" w:color="auto" w:fill="FFFFFF"/>
          <w:lang w:val="en-US" w:eastAsia="zh-CN" w:bidi="ar"/>
        </w:rPr>
        <w:t>相应</w:t>
      </w:r>
      <w:r>
        <w:rPr>
          <w:rFonts w:hint="eastAsia"/>
          <w:kern w:val="2"/>
          <w:sz w:val="24"/>
          <w:szCs w:val="24"/>
          <w:shd w:val="clear" w:color="auto" w:fill="FFFFFF"/>
          <w:lang w:bidi="ar"/>
        </w:rPr>
        <w:t>设计资质的单位</w:t>
      </w:r>
      <w:r>
        <w:rPr>
          <w:rFonts w:hint="eastAsia"/>
          <w:kern w:val="2"/>
          <w:sz w:val="24"/>
          <w:szCs w:val="24"/>
          <w:shd w:val="clear" w:color="auto" w:fill="FFFFFF"/>
          <w:lang w:val="en-US" w:eastAsia="zh-CN" w:bidi="ar"/>
        </w:rPr>
        <w:t>进</w:t>
      </w:r>
      <w:r>
        <w:rPr>
          <w:rFonts w:hint="eastAsia" w:ascii="宋体" w:hAnsi="宋体" w:cs="Times New Roman"/>
          <w:i w:val="0"/>
          <w:iCs w:val="0"/>
          <w:caps w:val="0"/>
          <w:spacing w:val="0"/>
          <w:kern w:val="0"/>
          <w:sz w:val="24"/>
          <w:szCs w:val="24"/>
          <w:highlight w:val="none"/>
          <w:shd w:val="clear"/>
          <w:lang w:val="en-US" w:eastAsia="zh-CN" w:bidi="en-US"/>
        </w:rPr>
        <w:t>行施工图</w:t>
      </w:r>
      <w:r>
        <w:rPr>
          <w:rFonts w:hint="eastAsia" w:ascii="宋体" w:hAnsi="宋体" w:eastAsia="宋体" w:cs="Times New Roman"/>
          <w:i w:val="0"/>
          <w:iCs w:val="0"/>
          <w:caps w:val="0"/>
          <w:color w:val="auto"/>
          <w:spacing w:val="0"/>
          <w:kern w:val="0"/>
          <w:sz w:val="24"/>
          <w:szCs w:val="24"/>
          <w:highlight w:val="none"/>
          <w:shd w:val="clear" w:fill="auto"/>
          <w:lang w:bidi="en-US"/>
        </w:rPr>
        <w:t>设计</w:t>
      </w:r>
      <w:r>
        <w:rPr>
          <w:rFonts w:hint="eastAsia" w:ascii="宋体" w:hAnsi="宋体" w:eastAsia="宋体" w:cs="Times New Roman"/>
          <w:i w:val="0"/>
          <w:iCs w:val="0"/>
          <w:caps w:val="0"/>
          <w:color w:val="auto"/>
          <w:spacing w:val="0"/>
          <w:kern w:val="0"/>
          <w:sz w:val="24"/>
          <w:szCs w:val="24"/>
          <w:highlight w:val="none"/>
          <w:shd w:val="clear" w:fill="auto"/>
          <w:lang w:eastAsia="zh-CN" w:bidi="en-US"/>
        </w:rPr>
        <w:t>。</w:t>
      </w:r>
    </w:p>
    <w:p w14:paraId="2AD55CD3">
      <w:pPr>
        <w:pStyle w:val="15"/>
        <w:widowControl w:val="0"/>
        <w:autoSpaceDN w:val="0"/>
        <w:spacing w:before="0" w:beforeAutospacing="0" w:after="120" w:afterAutospacing="0" w:line="360" w:lineRule="auto"/>
        <w:ind w:firstLine="480" w:firstLineChars="200"/>
        <w:rPr>
          <w:rFonts w:hint="default" w:eastAsia="宋体"/>
          <w:sz w:val="24"/>
          <w:szCs w:val="24"/>
          <w:highlight w:val="none"/>
          <w:lang w:val="en-US" w:eastAsia="zh-CN" w:bidi="ar"/>
        </w:rPr>
      </w:pPr>
      <w:r>
        <w:rPr>
          <w:rFonts w:hint="eastAsia"/>
          <w:sz w:val="24"/>
          <w:szCs w:val="24"/>
          <w:highlight w:val="none"/>
          <w:lang w:val="en-US" w:eastAsia="zh-CN" w:bidi="ar"/>
        </w:rPr>
        <w:t>3投标的高压细水雾系统必须具有中国国家强制性3C认证，还应通过美国FM或德国VDS系统认证。</w:t>
      </w:r>
    </w:p>
    <w:p w14:paraId="13A53EEB">
      <w:pPr>
        <w:pStyle w:val="15"/>
        <w:widowControl w:val="0"/>
        <w:autoSpaceDN w:val="0"/>
        <w:spacing w:before="0" w:beforeAutospacing="0" w:after="120" w:afterAutospacing="0" w:line="360" w:lineRule="auto"/>
        <w:ind w:firstLine="480" w:firstLineChars="200"/>
        <w:rPr>
          <w:sz w:val="24"/>
          <w:szCs w:val="24"/>
          <w:lang w:bidi="ar"/>
        </w:rPr>
      </w:pPr>
      <w:r>
        <w:rPr>
          <w:rFonts w:hint="eastAsia"/>
          <w:sz w:val="24"/>
          <w:szCs w:val="24"/>
          <w:lang w:val="en-US" w:eastAsia="zh-CN" w:bidi="ar"/>
        </w:rPr>
        <w:t>4</w:t>
      </w:r>
      <w:r>
        <w:rPr>
          <w:rFonts w:hint="eastAsia"/>
          <w:sz w:val="24"/>
          <w:szCs w:val="24"/>
          <w:lang w:bidi="ar"/>
        </w:rPr>
        <w:t>投标人拟派项目负责人要求：须具备机电工程专业二级注册建造师证书，具有有效的安全考核合格B证且不得担任其他在施建设工程项目的项目经理。</w:t>
      </w:r>
    </w:p>
    <w:p w14:paraId="6AA60318">
      <w:pPr>
        <w:tabs>
          <w:tab w:val="right" w:pos="8787"/>
        </w:tabs>
        <w:spacing w:line="360" w:lineRule="auto"/>
        <w:ind w:firstLine="480" w:firstLineChars="200"/>
        <w:jc w:val="left"/>
        <w:rPr>
          <w:rFonts w:hint="eastAsia" w:ascii="宋体" w:hAnsi="宋体" w:eastAsia="宋体" w:cs="宋体"/>
          <w:sz w:val="24"/>
          <w:szCs w:val="24"/>
          <w:shd w:val="clear" w:color="auto" w:fill="FFFFFF"/>
          <w:lang w:bidi="ar"/>
        </w:rPr>
      </w:pPr>
      <w:r>
        <w:rPr>
          <w:rFonts w:hint="eastAsia" w:ascii="宋体" w:hAnsi="宋体" w:cs="宋体"/>
          <w:sz w:val="24"/>
          <w:szCs w:val="24"/>
          <w:lang w:val="en-US" w:eastAsia="zh-CN" w:bidi="ar"/>
        </w:rPr>
        <w:t>5</w:t>
      </w:r>
      <w:r>
        <w:rPr>
          <w:rFonts w:hint="eastAsia" w:ascii="宋体" w:hAnsi="宋体" w:eastAsia="宋体" w:cs="宋体"/>
          <w:sz w:val="24"/>
          <w:szCs w:val="24"/>
          <w:lang w:bidi="ar"/>
        </w:rPr>
        <w:t>自202</w:t>
      </w:r>
      <w:r>
        <w:rPr>
          <w:rFonts w:hint="eastAsia" w:ascii="宋体" w:hAnsi="宋体" w:cs="宋体"/>
          <w:sz w:val="24"/>
          <w:szCs w:val="24"/>
          <w:lang w:val="en-US" w:eastAsia="zh-CN" w:bidi="ar"/>
        </w:rPr>
        <w:t>3</w:t>
      </w:r>
      <w:r>
        <w:rPr>
          <w:rFonts w:hint="eastAsia" w:ascii="宋体" w:hAnsi="宋体" w:eastAsia="宋体" w:cs="宋体"/>
          <w:sz w:val="24"/>
          <w:szCs w:val="24"/>
          <w:lang w:bidi="ar"/>
        </w:rPr>
        <w:t>年1月1日以来不少于3项且单项合同额不低于</w:t>
      </w:r>
      <w:r>
        <w:rPr>
          <w:rFonts w:hint="eastAsia" w:ascii="宋体" w:hAnsi="宋体" w:cs="宋体"/>
          <w:sz w:val="24"/>
          <w:szCs w:val="24"/>
          <w:lang w:val="en-US" w:eastAsia="zh-CN" w:bidi="ar"/>
        </w:rPr>
        <w:t>2</w:t>
      </w:r>
      <w:r>
        <w:rPr>
          <w:rFonts w:hint="eastAsia" w:ascii="宋体" w:hAnsi="宋体" w:eastAsia="宋体" w:cs="宋体"/>
          <w:sz w:val="24"/>
          <w:szCs w:val="24"/>
          <w:lang w:bidi="ar"/>
        </w:rPr>
        <w:t>00万元的</w:t>
      </w:r>
      <w:r>
        <w:rPr>
          <w:rFonts w:hint="eastAsia" w:ascii="宋体" w:hAnsi="宋体" w:cs="宋体"/>
          <w:sz w:val="24"/>
          <w:szCs w:val="24"/>
          <w:lang w:val="en-US" w:eastAsia="zh-CN" w:bidi="ar"/>
        </w:rPr>
        <w:t>消防工程</w:t>
      </w:r>
      <w:r>
        <w:rPr>
          <w:rFonts w:hint="eastAsia" w:ascii="宋体" w:hAnsi="宋体" w:eastAsia="宋体" w:cs="宋体"/>
          <w:sz w:val="24"/>
          <w:szCs w:val="24"/>
          <w:lang w:val="en-US" w:eastAsia="zh-CN" w:bidi="ar"/>
        </w:rPr>
        <w:t>施工</w:t>
      </w:r>
      <w:r>
        <w:rPr>
          <w:rFonts w:hint="eastAsia" w:ascii="宋体" w:hAnsi="宋体" w:eastAsia="宋体" w:cs="宋体"/>
          <w:sz w:val="24"/>
          <w:szCs w:val="24"/>
          <w:lang w:bidi="ar"/>
        </w:rPr>
        <w:t>业绩（以合同签订时间为准）；</w:t>
      </w:r>
    </w:p>
    <w:p w14:paraId="30FD9BD2">
      <w:pPr>
        <w:tabs>
          <w:tab w:val="right" w:pos="8787"/>
        </w:tabs>
        <w:spacing w:line="360" w:lineRule="auto"/>
        <w:ind w:firstLine="480" w:firstLineChars="200"/>
        <w:jc w:val="left"/>
        <w:rPr>
          <w:rFonts w:hint="eastAsia" w:ascii="宋体" w:hAnsi="宋体" w:eastAsia="宋体" w:cs="宋体"/>
          <w:sz w:val="24"/>
          <w:szCs w:val="24"/>
          <w:lang w:bidi="ar"/>
        </w:rPr>
      </w:pPr>
      <w:r>
        <w:rPr>
          <w:rFonts w:hint="eastAsia" w:ascii="宋体" w:hAnsi="宋体" w:cs="宋体"/>
          <w:sz w:val="24"/>
          <w:szCs w:val="24"/>
          <w:lang w:val="en-US" w:eastAsia="zh-CN" w:bidi="ar"/>
        </w:rPr>
        <w:t>6</w:t>
      </w:r>
      <w:r>
        <w:rPr>
          <w:rFonts w:hint="eastAsia" w:ascii="宋体" w:hAnsi="宋体" w:eastAsia="宋体" w:cs="宋体"/>
          <w:sz w:val="24"/>
          <w:szCs w:val="24"/>
          <w:lang w:bidi="ar"/>
        </w:rPr>
        <w:t>财务要求：近三年财务状况良好（近三年指2023、2024、2025年，要求包含企业最近半年完税证明、信用证明材料（中国人民银行征信报告）；年度纳税信用评价信息；企业对外担保说明）；</w:t>
      </w:r>
    </w:p>
    <w:p w14:paraId="6DCA5C5B">
      <w:pPr>
        <w:tabs>
          <w:tab w:val="right" w:pos="8787"/>
        </w:tabs>
        <w:spacing w:line="360" w:lineRule="auto"/>
        <w:ind w:firstLine="480" w:firstLineChars="200"/>
        <w:jc w:val="left"/>
        <w:rPr>
          <w:rFonts w:hint="eastAsia" w:ascii="宋体" w:hAnsi="宋体" w:eastAsia="宋体" w:cs="宋体"/>
          <w:sz w:val="24"/>
          <w:szCs w:val="24"/>
          <w:lang w:bidi="ar"/>
        </w:rPr>
      </w:pPr>
      <w:r>
        <w:rPr>
          <w:rFonts w:hint="eastAsia" w:ascii="宋体" w:hAnsi="宋体" w:cs="宋体"/>
          <w:sz w:val="24"/>
          <w:szCs w:val="24"/>
          <w:lang w:val="en-US" w:eastAsia="zh-CN" w:bidi="ar"/>
        </w:rPr>
        <w:t>7</w:t>
      </w:r>
      <w:r>
        <w:rPr>
          <w:rFonts w:hint="eastAsia" w:ascii="宋体" w:hAnsi="宋体" w:eastAsia="宋体" w:cs="宋体"/>
          <w:sz w:val="24"/>
          <w:szCs w:val="24"/>
          <w:lang w:bidi="ar"/>
        </w:rPr>
        <w:t>信誉要求：公司信誉良好，无行政处罚及失信记录等信息，无与本项目有关的违法违规等不良行为，无招标违规、谎报年度报告信息、提供虚假资质资料等行为或其他行政处罚记录；</w:t>
      </w:r>
    </w:p>
    <w:p w14:paraId="1D3BAD6E">
      <w:pPr>
        <w:tabs>
          <w:tab w:val="right" w:pos="8787"/>
        </w:tabs>
        <w:spacing w:line="360" w:lineRule="auto"/>
        <w:ind w:firstLine="480" w:firstLineChars="200"/>
        <w:jc w:val="left"/>
        <w:rPr>
          <w:rFonts w:hint="eastAsia" w:ascii="宋体" w:hAnsi="宋体" w:eastAsia="宋体" w:cs="宋体"/>
          <w:sz w:val="24"/>
          <w:szCs w:val="24"/>
          <w:lang w:bidi="ar"/>
        </w:rPr>
      </w:pPr>
      <w:r>
        <w:rPr>
          <w:rFonts w:hint="eastAsia" w:ascii="宋体" w:hAnsi="宋体" w:cs="宋体"/>
          <w:sz w:val="24"/>
          <w:szCs w:val="24"/>
          <w:lang w:val="en-US" w:eastAsia="zh-CN" w:bidi="ar"/>
        </w:rPr>
        <w:t>8</w:t>
      </w:r>
      <w:r>
        <w:rPr>
          <w:rFonts w:hint="eastAsia" w:ascii="宋体" w:hAnsi="宋体" w:eastAsia="宋体" w:cs="宋体"/>
          <w:sz w:val="24"/>
          <w:szCs w:val="24"/>
          <w:lang w:bidi="ar"/>
        </w:rPr>
        <w:t>单位负责人为同一人或者存在控股、管理关系的不同投标人，不得同时报名参加本次招标活动，否则须另提供上级单位对本项目投标的授权。</w:t>
      </w:r>
    </w:p>
    <w:p w14:paraId="4037D819">
      <w:pPr>
        <w:tabs>
          <w:tab w:val="right" w:pos="8787"/>
        </w:tabs>
        <w:spacing w:line="360" w:lineRule="auto"/>
        <w:ind w:firstLine="480" w:firstLineChars="200"/>
        <w:jc w:val="left"/>
        <w:rPr>
          <w:rFonts w:hint="eastAsia" w:ascii="宋体" w:hAnsi="宋体" w:eastAsia="宋体" w:cs="宋体"/>
          <w:sz w:val="24"/>
          <w:szCs w:val="24"/>
          <w:lang w:bidi="ar"/>
        </w:rPr>
      </w:pPr>
      <w:r>
        <w:rPr>
          <w:rFonts w:hint="eastAsia" w:ascii="宋体" w:hAnsi="宋体" w:cs="宋体"/>
          <w:sz w:val="24"/>
          <w:szCs w:val="24"/>
          <w:lang w:val="en-US" w:eastAsia="zh-CN" w:bidi="ar"/>
        </w:rPr>
        <w:t>9</w:t>
      </w:r>
      <w:r>
        <w:rPr>
          <w:rFonts w:hint="eastAsia" w:ascii="宋体" w:hAnsi="宋体" w:eastAsia="宋体" w:cs="宋体"/>
          <w:sz w:val="24"/>
          <w:szCs w:val="24"/>
          <w:lang w:bidi="ar"/>
        </w:rPr>
        <w:t>投标人没有被我公司列入黑名单；</w:t>
      </w:r>
    </w:p>
    <w:p w14:paraId="1F7DB586">
      <w:pPr>
        <w:tabs>
          <w:tab w:val="right" w:pos="8787"/>
        </w:tabs>
        <w:spacing w:line="360" w:lineRule="auto"/>
        <w:ind w:firstLine="480" w:firstLineChars="200"/>
        <w:jc w:val="left"/>
        <w:rPr>
          <w:rFonts w:hint="eastAsia" w:ascii="宋体" w:hAnsi="宋体" w:eastAsia="宋体" w:cs="宋体"/>
          <w:sz w:val="24"/>
          <w:szCs w:val="24"/>
          <w:lang w:bidi="ar"/>
        </w:rPr>
      </w:pPr>
      <w:r>
        <w:rPr>
          <w:rFonts w:hint="eastAsia" w:ascii="宋体" w:hAnsi="宋体" w:cs="宋体"/>
          <w:sz w:val="24"/>
          <w:szCs w:val="24"/>
          <w:lang w:val="en-US" w:eastAsia="zh-CN" w:bidi="ar"/>
        </w:rPr>
        <w:t>10</w:t>
      </w:r>
      <w:r>
        <w:rPr>
          <w:rFonts w:hint="eastAsia" w:ascii="宋体" w:hAnsi="宋体" w:eastAsia="宋体" w:cs="宋体"/>
          <w:sz w:val="24"/>
          <w:szCs w:val="24"/>
          <w:lang w:bidi="ar"/>
        </w:rPr>
        <w:t>投标人的直接或间接股东、法定代表人、董事、监事、高管非重汽员工及其亲属。</w:t>
      </w:r>
    </w:p>
    <w:p w14:paraId="61B44FF9">
      <w:pPr>
        <w:pStyle w:val="10"/>
        <w:ind w:firstLine="480" w:firstLineChars="200"/>
        <w:rPr>
          <w:rFonts w:hint="eastAsia" w:asciiTheme="majorEastAsia" w:hAnsiTheme="majorEastAsia" w:eastAsiaTheme="majorEastAsia" w:cstheme="majorEastAsia"/>
          <w:b/>
          <w:bCs/>
          <w:sz w:val="24"/>
          <w:szCs w:val="24"/>
          <w:lang w:val="en-US" w:eastAsia="zh-CN"/>
        </w:rPr>
      </w:pPr>
      <w:r>
        <w:rPr>
          <w:rFonts w:hint="eastAsia" w:ascii="宋体" w:hAnsi="宋体" w:cs="宋体"/>
          <w:sz w:val="24"/>
          <w:szCs w:val="24"/>
          <w:lang w:val="en-US" w:eastAsia="zh-CN" w:bidi="ar"/>
        </w:rPr>
        <w:t>11</w:t>
      </w:r>
      <w:r>
        <w:rPr>
          <w:rFonts w:hint="eastAsia" w:ascii="宋体" w:hAnsi="宋体" w:eastAsia="宋体" w:cs="宋体"/>
          <w:sz w:val="24"/>
          <w:szCs w:val="24"/>
          <w:lang w:bidi="ar"/>
        </w:rPr>
        <w:t>法律法规对合格投标人的其他要求、规定。</w:t>
      </w:r>
    </w:p>
    <w:p w14:paraId="5D40E464">
      <w:pPr>
        <w:pStyle w:val="10"/>
        <w:ind w:firstLine="482" w:firstLineChars="200"/>
        <w:rPr>
          <w:rFonts w:hint="eastAsia" w:ascii="宋体" w:hAnsi="宋体" w:eastAsia="宋体" w:cs="宋体"/>
          <w:b/>
          <w:bCs/>
          <w:sz w:val="24"/>
          <w:szCs w:val="24"/>
        </w:rPr>
      </w:pPr>
      <w:bookmarkStart w:id="10" w:name="_Toc212369516"/>
    </w:p>
    <w:p w14:paraId="34E4A994">
      <w:pPr>
        <w:numPr>
          <w:ilvl w:val="0"/>
          <w:numId w:val="0"/>
        </w:numPr>
        <w:rPr>
          <w:rFonts w:hint="eastAsia" w:ascii="宋体" w:hAnsi="宋体"/>
          <w:b/>
          <w:bCs/>
          <w:sz w:val="24"/>
          <w:szCs w:val="24"/>
        </w:rPr>
      </w:pPr>
      <w:r>
        <w:rPr>
          <w:rFonts w:hint="eastAsia" w:ascii="宋体" w:hAnsi="宋体"/>
          <w:b/>
          <w:bCs/>
          <w:sz w:val="24"/>
          <w:szCs w:val="24"/>
          <w:highlight w:val="yellow"/>
        </w:rPr>
        <w:t>资格证明文件</w:t>
      </w:r>
      <w:bookmarkEnd w:id="10"/>
    </w:p>
    <w:p w14:paraId="49193D55">
      <w:pPr>
        <w:widowControl/>
        <w:numPr>
          <w:ilvl w:val="0"/>
          <w:numId w:val="3"/>
        </w:numPr>
        <w:spacing w:line="360" w:lineRule="auto"/>
        <w:rPr>
          <w:kern w:val="0"/>
          <w:sz w:val="24"/>
          <w:szCs w:val="21"/>
          <w:lang w:bidi="en-US"/>
        </w:rPr>
      </w:pPr>
      <w:r>
        <w:rPr>
          <w:rFonts w:hint="eastAsia"/>
          <w:kern w:val="0"/>
          <w:sz w:val="24"/>
          <w:szCs w:val="21"/>
          <w:lang w:bidi="en-US"/>
        </w:rPr>
        <w:t>XXX公司XXX项目投标信息明细表（详见本公告附件1，</w:t>
      </w:r>
      <w:r>
        <w:rPr>
          <w:rFonts w:hint="eastAsia"/>
          <w:b/>
          <w:bCs/>
          <w:kern w:val="0"/>
          <w:sz w:val="24"/>
          <w:szCs w:val="21"/>
          <w:lang w:bidi="en-US"/>
        </w:rPr>
        <w:t>注意要求附件1同时提供一份EXCEL格式，与上述PDF扫描件同时提交</w:t>
      </w:r>
      <w:r>
        <w:rPr>
          <w:rFonts w:hint="eastAsia"/>
          <w:kern w:val="0"/>
          <w:sz w:val="24"/>
          <w:szCs w:val="21"/>
          <w:lang w:bidi="en-US"/>
        </w:rPr>
        <w:t>）</w:t>
      </w:r>
    </w:p>
    <w:p w14:paraId="0915537C">
      <w:pPr>
        <w:widowControl/>
        <w:numPr>
          <w:ilvl w:val="0"/>
          <w:numId w:val="3"/>
        </w:numPr>
        <w:spacing w:line="360" w:lineRule="auto"/>
        <w:rPr>
          <w:kern w:val="0"/>
          <w:sz w:val="24"/>
          <w:szCs w:val="21"/>
          <w:lang w:bidi="en-US"/>
        </w:rPr>
      </w:pPr>
      <w:r>
        <w:rPr>
          <w:rFonts w:hint="eastAsia"/>
          <w:kern w:val="0"/>
          <w:sz w:val="24"/>
          <w:szCs w:val="21"/>
          <w:lang w:bidi="en-US"/>
        </w:rPr>
        <w:t>投标方营业执照、资质证书</w:t>
      </w:r>
    </w:p>
    <w:p w14:paraId="6DAD8D1B">
      <w:pPr>
        <w:widowControl/>
        <w:numPr>
          <w:ilvl w:val="0"/>
          <w:numId w:val="3"/>
        </w:numPr>
        <w:spacing w:line="360" w:lineRule="auto"/>
        <w:rPr>
          <w:kern w:val="0"/>
          <w:sz w:val="24"/>
          <w:szCs w:val="21"/>
          <w:lang w:bidi="en-US"/>
        </w:rPr>
      </w:pPr>
      <w:r>
        <w:rPr>
          <w:rFonts w:hint="eastAsia"/>
          <w:kern w:val="0"/>
          <w:sz w:val="24"/>
          <w:szCs w:val="21"/>
          <w:lang w:bidi="en-US"/>
        </w:rPr>
        <w:t>安全生产许可证；</w:t>
      </w:r>
    </w:p>
    <w:p w14:paraId="4E351637">
      <w:pPr>
        <w:widowControl/>
        <w:numPr>
          <w:ilvl w:val="0"/>
          <w:numId w:val="3"/>
        </w:numPr>
        <w:spacing w:line="360" w:lineRule="auto"/>
        <w:rPr>
          <w:kern w:val="0"/>
          <w:sz w:val="24"/>
          <w:szCs w:val="21"/>
          <w:lang w:bidi="en-US"/>
        </w:rPr>
      </w:pPr>
      <w:r>
        <w:rPr>
          <w:rFonts w:hint="eastAsia"/>
          <w:kern w:val="0"/>
          <w:sz w:val="24"/>
          <w:szCs w:val="21"/>
          <w:lang w:bidi="en-US"/>
        </w:rPr>
        <w:t>信用中国，</w:t>
      </w:r>
      <w:r>
        <w:rPr>
          <w:rFonts w:hint="eastAsia" w:ascii="宋体" w:cs="宋体"/>
          <w:sz w:val="24"/>
          <w:lang w:bidi="ar"/>
        </w:rPr>
        <w:t>“中国执行信息公开网”截图</w:t>
      </w:r>
      <w:r>
        <w:rPr>
          <w:rFonts w:hint="eastAsia"/>
          <w:kern w:val="0"/>
          <w:sz w:val="24"/>
          <w:szCs w:val="21"/>
          <w:lang w:bidi="en-US"/>
        </w:rPr>
        <w:t>；</w:t>
      </w:r>
    </w:p>
    <w:p w14:paraId="049045EE">
      <w:pPr>
        <w:widowControl/>
        <w:numPr>
          <w:ilvl w:val="0"/>
          <w:numId w:val="3"/>
        </w:numPr>
        <w:spacing w:line="360" w:lineRule="auto"/>
        <w:jc w:val="left"/>
      </w:pPr>
      <w:r>
        <w:rPr>
          <w:rFonts w:hint="eastAsia" w:ascii="宋体" w:cs="宋体"/>
          <w:sz w:val="24"/>
          <w:lang w:bidi="ar"/>
        </w:rPr>
        <w:t>投标单位资产情况汇总表，按照下述表格内容及顺序如实填写。填写的依据为经审计事务所审计并盖章的企业财务审计报告等相关资料，并将对应年度（202</w:t>
      </w:r>
      <w:r>
        <w:rPr>
          <w:rFonts w:hint="eastAsia" w:ascii="宋体" w:cs="宋体"/>
          <w:sz w:val="24"/>
          <w:lang w:val="en-US" w:eastAsia="zh-CN" w:bidi="ar"/>
        </w:rPr>
        <w:t>3</w:t>
      </w:r>
      <w:r>
        <w:rPr>
          <w:rFonts w:hint="eastAsia" w:ascii="宋体" w:cs="宋体"/>
          <w:sz w:val="24"/>
          <w:lang w:bidi="ar"/>
        </w:rPr>
        <w:t>-202</w:t>
      </w:r>
      <w:r>
        <w:rPr>
          <w:rFonts w:hint="eastAsia" w:ascii="宋体" w:cs="宋体"/>
          <w:sz w:val="24"/>
          <w:lang w:val="en-US" w:eastAsia="zh-CN" w:bidi="ar"/>
        </w:rPr>
        <w:t>5</w:t>
      </w:r>
      <w:r>
        <w:rPr>
          <w:rFonts w:hint="eastAsia" w:ascii="宋体" w:cs="宋体"/>
          <w:sz w:val="24"/>
          <w:lang w:bidi="ar"/>
        </w:rPr>
        <w:t>年，提供最近三年报告）企业财务审计报告扫描件附后，</w:t>
      </w:r>
      <w:r>
        <w:rPr>
          <w:rFonts w:hint="eastAsia" w:ascii="宋体" w:hAnsi="宋体"/>
          <w:kern w:val="0"/>
          <w:sz w:val="24"/>
          <w:lang w:bidi="en-US"/>
        </w:rPr>
        <w:t>还应包含</w:t>
      </w:r>
      <w:r>
        <w:rPr>
          <w:rFonts w:hint="eastAsia" w:ascii="宋体" w:hAnsi="宋体"/>
          <w:b/>
          <w:bCs/>
          <w:kern w:val="0"/>
          <w:sz w:val="24"/>
          <w:lang w:bidi="en-US"/>
        </w:rPr>
        <w:t>企业最近半年完税证明、信用证明材料</w:t>
      </w:r>
      <w:r>
        <w:rPr>
          <w:rFonts w:hint="eastAsia" w:ascii="宋体" w:hAnsi="宋体"/>
          <w:kern w:val="0"/>
          <w:sz w:val="24"/>
          <w:lang w:bidi="en-US"/>
        </w:rPr>
        <w:t>（中国人民银行征信报告）；</w:t>
      </w:r>
      <w:r>
        <w:rPr>
          <w:rFonts w:hint="eastAsia" w:ascii="宋体" w:hAnsi="宋体"/>
          <w:b/>
          <w:bCs/>
          <w:kern w:val="0"/>
          <w:sz w:val="24"/>
          <w:lang w:bidi="en-US"/>
        </w:rPr>
        <w:t>年度纳税信用评价信息</w:t>
      </w:r>
      <w:r>
        <w:rPr>
          <w:rFonts w:hint="eastAsia"/>
          <w:kern w:val="0"/>
          <w:sz w:val="24"/>
          <w:szCs w:val="21"/>
          <w:lang w:bidi="en-US"/>
        </w:rPr>
        <w:t>（可从电子税务局查询截图，需加盖公章）</w:t>
      </w:r>
      <w:r>
        <w:rPr>
          <w:rFonts w:hint="eastAsia" w:ascii="宋体" w:hAnsi="宋体"/>
          <w:kern w:val="0"/>
          <w:sz w:val="24"/>
          <w:lang w:bidi="en-US"/>
        </w:rPr>
        <w:t>；</w:t>
      </w:r>
      <w:r>
        <w:rPr>
          <w:rFonts w:hint="eastAsia" w:ascii="宋体" w:hAnsi="宋体"/>
          <w:b/>
          <w:bCs/>
          <w:kern w:val="0"/>
          <w:sz w:val="24"/>
          <w:lang w:bidi="en-US"/>
        </w:rPr>
        <w:t>企业对外担保说明</w:t>
      </w:r>
      <w:r>
        <w:rPr>
          <w:rFonts w:hint="eastAsia"/>
          <w:kern w:val="0"/>
          <w:sz w:val="24"/>
          <w:szCs w:val="21"/>
          <w:lang w:bidi="en-US"/>
        </w:rPr>
        <w:t>（写明贵单位对外有无对外担保和质押业务，需加盖公章）</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tbl>
      <w:tblPr>
        <w:tblStyle w:val="16"/>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26"/>
        <w:gridCol w:w="2295"/>
        <w:gridCol w:w="2283"/>
        <w:gridCol w:w="2283"/>
      </w:tblGrid>
      <w:tr w14:paraId="5891E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9287" w:type="dxa"/>
            <w:gridSpan w:val="4"/>
            <w:vAlign w:val="center"/>
          </w:tcPr>
          <w:p w14:paraId="605AAE36">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投标单位资产情况汇总表</w:t>
            </w:r>
          </w:p>
        </w:tc>
      </w:tr>
      <w:tr w14:paraId="26941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48414993">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注册资金（万元）</w:t>
            </w:r>
          </w:p>
        </w:tc>
        <w:tc>
          <w:tcPr>
            <w:tcW w:w="6861" w:type="dxa"/>
            <w:gridSpan w:val="3"/>
          </w:tcPr>
          <w:p w14:paraId="42534401">
            <w:pPr>
              <w:keepNext w:val="0"/>
              <w:keepLines w:val="0"/>
              <w:suppressLineNumbers w:val="0"/>
              <w:spacing w:before="0" w:beforeAutospacing="0" w:after="0" w:afterAutospacing="0" w:line="360" w:lineRule="auto"/>
              <w:ind w:left="0" w:right="0"/>
              <w:jc w:val="center"/>
              <w:rPr>
                <w:rStyle w:val="34"/>
                <w:rFonts w:hint="default" w:ascii="宋体"/>
              </w:rPr>
            </w:pPr>
          </w:p>
        </w:tc>
      </w:tr>
      <w:tr w14:paraId="100FA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43216AD5">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实收资金（万元）</w:t>
            </w:r>
          </w:p>
        </w:tc>
        <w:tc>
          <w:tcPr>
            <w:tcW w:w="6861" w:type="dxa"/>
            <w:gridSpan w:val="3"/>
          </w:tcPr>
          <w:p w14:paraId="4186F780">
            <w:pPr>
              <w:keepNext w:val="0"/>
              <w:keepLines w:val="0"/>
              <w:suppressLineNumbers w:val="0"/>
              <w:spacing w:before="0" w:beforeAutospacing="0" w:after="0" w:afterAutospacing="0" w:line="360" w:lineRule="auto"/>
              <w:ind w:left="0" w:right="0"/>
              <w:jc w:val="center"/>
              <w:rPr>
                <w:rStyle w:val="34"/>
                <w:rFonts w:hint="default" w:ascii="宋体"/>
              </w:rPr>
            </w:pPr>
          </w:p>
        </w:tc>
      </w:tr>
      <w:tr w14:paraId="6936C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8FA6287">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年度资产情况</w:t>
            </w:r>
          </w:p>
        </w:tc>
        <w:tc>
          <w:tcPr>
            <w:tcW w:w="2295" w:type="dxa"/>
          </w:tcPr>
          <w:p w14:paraId="604E12BD">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lang w:val="en-US" w:eastAsia="zh-CN"/>
              </w:rPr>
              <w:t>2023</w:t>
            </w:r>
            <w:r>
              <w:rPr>
                <w:rStyle w:val="34"/>
                <w:rFonts w:hint="eastAsia" w:ascii="宋体"/>
              </w:rPr>
              <w:t>年</w:t>
            </w:r>
          </w:p>
        </w:tc>
        <w:tc>
          <w:tcPr>
            <w:tcW w:w="2283" w:type="dxa"/>
          </w:tcPr>
          <w:p w14:paraId="7758CC68">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lang w:val="en-US" w:eastAsia="zh-CN"/>
              </w:rPr>
              <w:t>2024</w:t>
            </w:r>
            <w:r>
              <w:rPr>
                <w:rStyle w:val="34"/>
                <w:rFonts w:hint="eastAsia" w:ascii="宋体"/>
              </w:rPr>
              <w:t>年</w:t>
            </w:r>
          </w:p>
        </w:tc>
        <w:tc>
          <w:tcPr>
            <w:tcW w:w="2283" w:type="dxa"/>
          </w:tcPr>
          <w:p w14:paraId="6B51F9E4">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lang w:val="en-US" w:eastAsia="zh-CN"/>
              </w:rPr>
              <w:t>2025</w:t>
            </w:r>
            <w:r>
              <w:rPr>
                <w:rStyle w:val="34"/>
                <w:rFonts w:hint="eastAsia" w:ascii="宋体"/>
              </w:rPr>
              <w:t>年</w:t>
            </w:r>
          </w:p>
        </w:tc>
      </w:tr>
      <w:tr w14:paraId="7C811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27F7A0BE">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流动资产（万元）</w:t>
            </w:r>
          </w:p>
        </w:tc>
        <w:tc>
          <w:tcPr>
            <w:tcW w:w="2295" w:type="dxa"/>
          </w:tcPr>
          <w:p w14:paraId="13510DC7">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7D52EFE6">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3BB965A0">
            <w:pPr>
              <w:keepNext w:val="0"/>
              <w:keepLines w:val="0"/>
              <w:suppressLineNumbers w:val="0"/>
              <w:spacing w:before="0" w:beforeAutospacing="0" w:after="0" w:afterAutospacing="0" w:line="360" w:lineRule="auto"/>
              <w:ind w:left="0" w:right="0"/>
              <w:jc w:val="center"/>
              <w:rPr>
                <w:rStyle w:val="34"/>
                <w:rFonts w:hint="default" w:ascii="宋体"/>
              </w:rPr>
            </w:pPr>
          </w:p>
        </w:tc>
      </w:tr>
      <w:tr w14:paraId="2A19F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B032683">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非流动资产（万元）</w:t>
            </w:r>
          </w:p>
        </w:tc>
        <w:tc>
          <w:tcPr>
            <w:tcW w:w="2295" w:type="dxa"/>
          </w:tcPr>
          <w:p w14:paraId="3FF4BAC8">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20525627">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1E2513AC">
            <w:pPr>
              <w:keepNext w:val="0"/>
              <w:keepLines w:val="0"/>
              <w:suppressLineNumbers w:val="0"/>
              <w:spacing w:before="0" w:beforeAutospacing="0" w:after="0" w:afterAutospacing="0" w:line="360" w:lineRule="auto"/>
              <w:ind w:left="0" w:right="0"/>
              <w:jc w:val="center"/>
              <w:rPr>
                <w:rStyle w:val="34"/>
                <w:rFonts w:hint="default" w:ascii="宋体"/>
              </w:rPr>
            </w:pPr>
          </w:p>
        </w:tc>
      </w:tr>
      <w:tr w14:paraId="75511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32812B6B">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营业收入（万元）</w:t>
            </w:r>
          </w:p>
        </w:tc>
        <w:tc>
          <w:tcPr>
            <w:tcW w:w="2295" w:type="dxa"/>
          </w:tcPr>
          <w:p w14:paraId="3DFBD9AD">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4432B9E3">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4F62481D">
            <w:pPr>
              <w:keepNext w:val="0"/>
              <w:keepLines w:val="0"/>
              <w:suppressLineNumbers w:val="0"/>
              <w:spacing w:before="0" w:beforeAutospacing="0" w:after="0" w:afterAutospacing="0" w:line="360" w:lineRule="auto"/>
              <w:ind w:left="0" w:right="0"/>
              <w:jc w:val="center"/>
              <w:rPr>
                <w:rStyle w:val="34"/>
                <w:rFonts w:hint="default" w:ascii="宋体"/>
              </w:rPr>
            </w:pPr>
          </w:p>
        </w:tc>
      </w:tr>
      <w:tr w14:paraId="0FC37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CE512E2">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年底资产总值（万元）</w:t>
            </w:r>
          </w:p>
        </w:tc>
        <w:tc>
          <w:tcPr>
            <w:tcW w:w="2295" w:type="dxa"/>
          </w:tcPr>
          <w:p w14:paraId="2705D734">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7B95D771">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6C29FE73">
            <w:pPr>
              <w:keepNext w:val="0"/>
              <w:keepLines w:val="0"/>
              <w:suppressLineNumbers w:val="0"/>
              <w:spacing w:before="0" w:beforeAutospacing="0" w:after="0" w:afterAutospacing="0" w:line="360" w:lineRule="auto"/>
              <w:ind w:left="0" w:right="0"/>
              <w:jc w:val="center"/>
              <w:rPr>
                <w:rStyle w:val="34"/>
                <w:rFonts w:hint="default" w:ascii="宋体"/>
              </w:rPr>
            </w:pPr>
          </w:p>
        </w:tc>
      </w:tr>
      <w:tr w14:paraId="6A217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5CF9DDE6">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年底负债总值（万元）</w:t>
            </w:r>
          </w:p>
        </w:tc>
        <w:tc>
          <w:tcPr>
            <w:tcW w:w="2295" w:type="dxa"/>
          </w:tcPr>
          <w:p w14:paraId="4B0397D8">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7C97F7AB">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6F1E4F1A">
            <w:pPr>
              <w:keepNext w:val="0"/>
              <w:keepLines w:val="0"/>
              <w:suppressLineNumbers w:val="0"/>
              <w:spacing w:before="0" w:beforeAutospacing="0" w:after="0" w:afterAutospacing="0" w:line="360" w:lineRule="auto"/>
              <w:ind w:left="0" w:right="0"/>
              <w:jc w:val="center"/>
              <w:rPr>
                <w:rStyle w:val="34"/>
                <w:rFonts w:hint="default" w:ascii="宋体"/>
              </w:rPr>
            </w:pPr>
          </w:p>
        </w:tc>
      </w:tr>
      <w:tr w14:paraId="20C3C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2005117E">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资产负债率（</w:t>
            </w:r>
            <w:r>
              <w:rPr>
                <w:rStyle w:val="34"/>
                <w:rFonts w:hint="eastAsia" w:ascii="宋体"/>
                <w:u w:val="single"/>
              </w:rPr>
              <w:t xml:space="preserve">  </w:t>
            </w:r>
            <w:r>
              <w:rPr>
                <w:rStyle w:val="34"/>
                <w:rFonts w:hint="eastAsia" w:ascii="宋体"/>
              </w:rPr>
              <w:t>%）</w:t>
            </w:r>
          </w:p>
        </w:tc>
        <w:tc>
          <w:tcPr>
            <w:tcW w:w="2295" w:type="dxa"/>
          </w:tcPr>
          <w:p w14:paraId="59D59249">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77658D26">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61398051">
            <w:pPr>
              <w:keepNext w:val="0"/>
              <w:keepLines w:val="0"/>
              <w:suppressLineNumbers w:val="0"/>
              <w:spacing w:before="0" w:beforeAutospacing="0" w:after="0" w:afterAutospacing="0" w:line="360" w:lineRule="auto"/>
              <w:ind w:left="0" w:right="0"/>
              <w:jc w:val="center"/>
              <w:rPr>
                <w:rStyle w:val="34"/>
                <w:rFonts w:hint="default" w:ascii="宋体"/>
              </w:rPr>
            </w:pPr>
          </w:p>
        </w:tc>
      </w:tr>
      <w:tr w14:paraId="40993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401C6C1F">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净利润（万元）</w:t>
            </w:r>
          </w:p>
        </w:tc>
        <w:tc>
          <w:tcPr>
            <w:tcW w:w="2295" w:type="dxa"/>
          </w:tcPr>
          <w:p w14:paraId="5DFD30C5">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3C4BE586">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2A501879">
            <w:pPr>
              <w:keepNext w:val="0"/>
              <w:keepLines w:val="0"/>
              <w:suppressLineNumbers w:val="0"/>
              <w:spacing w:before="0" w:beforeAutospacing="0" w:after="0" w:afterAutospacing="0" w:line="360" w:lineRule="auto"/>
              <w:ind w:left="0" w:right="0"/>
              <w:jc w:val="center"/>
              <w:rPr>
                <w:rStyle w:val="34"/>
                <w:rFonts w:hint="default" w:ascii="宋体"/>
              </w:rPr>
            </w:pPr>
          </w:p>
        </w:tc>
      </w:tr>
      <w:tr w14:paraId="61593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039ED4BE">
            <w:pPr>
              <w:keepNext w:val="0"/>
              <w:keepLines w:val="0"/>
              <w:suppressLineNumbers w:val="0"/>
              <w:spacing w:before="0" w:beforeAutospacing="0" w:after="0" w:afterAutospacing="0" w:line="360" w:lineRule="auto"/>
              <w:ind w:left="0" w:right="0"/>
              <w:jc w:val="center"/>
              <w:rPr>
                <w:rStyle w:val="34"/>
                <w:rFonts w:hint="default" w:ascii="宋体"/>
              </w:rPr>
            </w:pPr>
            <w:r>
              <w:rPr>
                <w:rStyle w:val="34"/>
                <w:rFonts w:hint="eastAsia" w:ascii="宋体"/>
              </w:rPr>
              <w:t>未分配利润（万元）</w:t>
            </w:r>
          </w:p>
        </w:tc>
        <w:tc>
          <w:tcPr>
            <w:tcW w:w="2295" w:type="dxa"/>
          </w:tcPr>
          <w:p w14:paraId="4E7C236E">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1F06BBD2">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3F73A6A7">
            <w:pPr>
              <w:keepNext w:val="0"/>
              <w:keepLines w:val="0"/>
              <w:suppressLineNumbers w:val="0"/>
              <w:spacing w:before="0" w:beforeAutospacing="0" w:after="0" w:afterAutospacing="0" w:line="360" w:lineRule="auto"/>
              <w:ind w:left="0" w:right="0"/>
              <w:jc w:val="center"/>
              <w:rPr>
                <w:rStyle w:val="34"/>
                <w:rFonts w:hint="default" w:ascii="宋体"/>
              </w:rPr>
            </w:pPr>
          </w:p>
        </w:tc>
      </w:tr>
      <w:tr w14:paraId="70166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623BB73D">
            <w:pPr>
              <w:keepNext w:val="0"/>
              <w:keepLines w:val="0"/>
              <w:suppressLineNumbers w:val="0"/>
              <w:spacing w:before="0" w:beforeAutospacing="0" w:after="0" w:afterAutospacing="0" w:line="360" w:lineRule="auto"/>
              <w:ind w:left="0" w:right="0"/>
              <w:jc w:val="center"/>
              <w:rPr>
                <w:rFonts w:hint="default" w:ascii="宋体"/>
              </w:rPr>
            </w:pPr>
            <w:r>
              <w:rPr>
                <w:rStyle w:val="34"/>
                <w:rFonts w:hint="eastAsia" w:ascii="宋体"/>
              </w:rPr>
              <w:t>营运资金</w:t>
            </w:r>
          </w:p>
        </w:tc>
        <w:tc>
          <w:tcPr>
            <w:tcW w:w="2295" w:type="dxa"/>
          </w:tcPr>
          <w:p w14:paraId="3C762BC4">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58F775A2">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64C8A468">
            <w:pPr>
              <w:keepNext w:val="0"/>
              <w:keepLines w:val="0"/>
              <w:suppressLineNumbers w:val="0"/>
              <w:spacing w:before="0" w:beforeAutospacing="0" w:after="0" w:afterAutospacing="0" w:line="360" w:lineRule="auto"/>
              <w:ind w:left="0" w:right="0"/>
              <w:jc w:val="center"/>
              <w:rPr>
                <w:rStyle w:val="34"/>
                <w:rFonts w:hint="default" w:ascii="宋体"/>
              </w:rPr>
            </w:pPr>
          </w:p>
        </w:tc>
      </w:tr>
      <w:tr w14:paraId="39810E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26" w:type="dxa"/>
          </w:tcPr>
          <w:p w14:paraId="28EF672E">
            <w:pPr>
              <w:keepNext w:val="0"/>
              <w:keepLines w:val="0"/>
              <w:suppressLineNumbers w:val="0"/>
              <w:spacing w:before="0" w:beforeAutospacing="0" w:after="0" w:afterAutospacing="0" w:line="360" w:lineRule="auto"/>
              <w:ind w:left="0" w:right="0"/>
              <w:jc w:val="center"/>
              <w:rPr>
                <w:rFonts w:hint="default" w:ascii="宋体"/>
              </w:rPr>
            </w:pPr>
            <w:r>
              <w:rPr>
                <w:rStyle w:val="34"/>
                <w:rFonts w:hint="eastAsia" w:ascii="宋体"/>
                <w:sz w:val="20"/>
                <w:szCs w:val="20"/>
              </w:rPr>
              <w:t>（本年营业收入-上年营业收入）÷上年营业收入</w:t>
            </w:r>
          </w:p>
        </w:tc>
        <w:tc>
          <w:tcPr>
            <w:tcW w:w="2295" w:type="dxa"/>
          </w:tcPr>
          <w:p w14:paraId="679CF291">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26E3D67B">
            <w:pPr>
              <w:keepNext w:val="0"/>
              <w:keepLines w:val="0"/>
              <w:suppressLineNumbers w:val="0"/>
              <w:spacing w:before="0" w:beforeAutospacing="0" w:after="0" w:afterAutospacing="0" w:line="360" w:lineRule="auto"/>
              <w:ind w:left="0" w:right="0"/>
              <w:jc w:val="center"/>
              <w:rPr>
                <w:rStyle w:val="34"/>
                <w:rFonts w:hint="default" w:ascii="宋体"/>
              </w:rPr>
            </w:pPr>
          </w:p>
        </w:tc>
        <w:tc>
          <w:tcPr>
            <w:tcW w:w="2283" w:type="dxa"/>
          </w:tcPr>
          <w:p w14:paraId="1D8E628B">
            <w:pPr>
              <w:keepNext w:val="0"/>
              <w:keepLines w:val="0"/>
              <w:suppressLineNumbers w:val="0"/>
              <w:spacing w:before="0" w:beforeAutospacing="0" w:after="0" w:afterAutospacing="0" w:line="360" w:lineRule="auto"/>
              <w:ind w:left="0" w:right="0"/>
              <w:jc w:val="center"/>
              <w:rPr>
                <w:rStyle w:val="34"/>
                <w:rFonts w:hint="default" w:ascii="宋体"/>
              </w:rPr>
            </w:pPr>
          </w:p>
        </w:tc>
      </w:tr>
    </w:tbl>
    <w:p w14:paraId="0C14CB11">
      <w:pPr>
        <w:widowControl/>
        <w:numPr>
          <w:ilvl w:val="0"/>
          <w:numId w:val="3"/>
        </w:numPr>
        <w:spacing w:line="360" w:lineRule="auto"/>
        <w:rPr>
          <w:rFonts w:hint="eastAsia" w:ascii="Times New Roman" w:hAnsi="Times New Roman" w:eastAsia="宋体" w:cs="Times New Roman"/>
          <w:kern w:val="0"/>
          <w:sz w:val="24"/>
          <w:szCs w:val="21"/>
          <w:lang w:bidi="en-US"/>
        </w:rPr>
      </w:pPr>
      <w:r>
        <w:rPr>
          <w:rFonts w:hint="eastAsia"/>
          <w:kern w:val="0"/>
          <w:sz w:val="24"/>
          <w:szCs w:val="21"/>
          <w:lang w:bidi="en-US"/>
        </w:rPr>
        <w:t>公司简介：包括但不限于公司发展史、企业文化、企业性质、规模和实力、营业水平、</w:t>
      </w:r>
      <w:r>
        <w:rPr>
          <w:rFonts w:hint="eastAsia" w:ascii="Times New Roman" w:hAnsi="Times New Roman" w:eastAsia="宋体" w:cs="Times New Roman"/>
          <w:kern w:val="0"/>
          <w:sz w:val="24"/>
          <w:szCs w:val="21"/>
          <w:lang w:bidi="en-US"/>
        </w:rPr>
        <w:t>技术人员情况、在建项目情况、企业荣誉及认证、企业优势等；</w:t>
      </w:r>
    </w:p>
    <w:p w14:paraId="69E7EF0E">
      <w:pPr>
        <w:widowControl/>
        <w:numPr>
          <w:ilvl w:val="0"/>
          <w:numId w:val="3"/>
        </w:numPr>
        <w:spacing w:line="360" w:lineRule="auto"/>
        <w:rPr>
          <w:rFonts w:hint="eastAsia" w:ascii="Times New Roman" w:hAnsi="Times New Roman" w:eastAsia="宋体" w:cs="Times New Roman"/>
          <w:kern w:val="0"/>
          <w:sz w:val="24"/>
          <w:szCs w:val="21"/>
          <w:highlight w:val="none"/>
          <w:lang w:bidi="en-US"/>
        </w:rPr>
      </w:pPr>
      <w:r>
        <w:rPr>
          <w:rFonts w:hint="eastAsia" w:ascii="Times New Roman" w:hAnsi="Times New Roman" w:eastAsia="宋体" w:cs="Times New Roman"/>
          <w:kern w:val="0"/>
          <w:sz w:val="24"/>
          <w:szCs w:val="21"/>
          <w:lang w:bidi="en-US"/>
        </w:rPr>
        <w:t>近</w:t>
      </w:r>
      <w:r>
        <w:rPr>
          <w:rFonts w:hint="eastAsia" w:ascii="Times New Roman" w:hAnsi="Times New Roman" w:eastAsia="宋体" w:cs="Times New Roman"/>
          <w:kern w:val="0"/>
          <w:sz w:val="24"/>
          <w:szCs w:val="21"/>
          <w:lang w:val="en-US" w:eastAsia="zh-CN" w:bidi="en-US"/>
        </w:rPr>
        <w:t>三</w:t>
      </w:r>
      <w:r>
        <w:rPr>
          <w:rFonts w:hint="eastAsia" w:ascii="Times New Roman" w:hAnsi="Times New Roman" w:eastAsia="宋体" w:cs="Times New Roman"/>
          <w:kern w:val="0"/>
          <w:sz w:val="24"/>
          <w:szCs w:val="21"/>
          <w:lang w:bidi="en-US"/>
        </w:rPr>
        <w:t>年类似项目业绩（满足投标人资格要求第</w:t>
      </w:r>
      <w:r>
        <w:rPr>
          <w:rFonts w:hint="eastAsia" w:eastAsia="宋体" w:cs="Times New Roman"/>
          <w:kern w:val="0"/>
          <w:sz w:val="24"/>
          <w:szCs w:val="21"/>
          <w:lang w:val="en-US" w:eastAsia="zh-CN" w:bidi="en-US"/>
        </w:rPr>
        <w:t>4.5</w:t>
      </w:r>
      <w:r>
        <w:rPr>
          <w:rFonts w:hint="eastAsia" w:ascii="Times New Roman" w:hAnsi="Times New Roman" w:eastAsia="宋体" w:cs="Times New Roman"/>
          <w:kern w:val="0"/>
          <w:sz w:val="24"/>
          <w:szCs w:val="21"/>
          <w:lang w:bidi="en-US"/>
        </w:rPr>
        <w:t>条），要求提供合同及验收报告原件扫描件（数量不限，能报尽报</w:t>
      </w:r>
      <w:r>
        <w:rPr>
          <w:rFonts w:hint="eastAsia" w:ascii="Times New Roman" w:hAnsi="Times New Roman" w:eastAsia="宋体" w:cs="Times New Roman"/>
          <w:kern w:val="0"/>
          <w:sz w:val="24"/>
          <w:szCs w:val="21"/>
          <w:highlight w:val="none"/>
          <w:lang w:bidi="en-US"/>
        </w:rPr>
        <w:t>，填写附件3）。</w:t>
      </w:r>
    </w:p>
    <w:p w14:paraId="3E0B6663">
      <w:pPr>
        <w:widowControl/>
        <w:numPr>
          <w:ilvl w:val="0"/>
          <w:numId w:val="3"/>
        </w:numPr>
        <w:spacing w:line="360" w:lineRule="auto"/>
        <w:rPr>
          <w:rFonts w:hint="eastAsia" w:ascii="Times New Roman" w:hAnsi="Times New Roman" w:eastAsia="宋体" w:cs="Times New Roman"/>
          <w:kern w:val="0"/>
          <w:sz w:val="24"/>
          <w:szCs w:val="21"/>
          <w:highlight w:val="none"/>
          <w:lang w:bidi="en-US"/>
        </w:rPr>
      </w:pPr>
      <w:r>
        <w:rPr>
          <w:rFonts w:hint="eastAsia" w:eastAsia="宋体" w:cs="Times New Roman"/>
          <w:kern w:val="0"/>
          <w:sz w:val="24"/>
          <w:szCs w:val="21"/>
          <w:highlight w:val="none"/>
          <w:lang w:val="en-US" w:eastAsia="zh-CN" w:bidi="en-US"/>
        </w:rPr>
        <w:t>所</w:t>
      </w:r>
      <w:r>
        <w:rPr>
          <w:rFonts w:hint="eastAsia" w:ascii="Times New Roman" w:hAnsi="Times New Roman" w:eastAsia="宋体" w:cs="Times New Roman"/>
          <w:kern w:val="0"/>
          <w:sz w:val="24"/>
          <w:szCs w:val="21"/>
          <w:highlight w:val="none"/>
          <w:lang w:bidi="en-US"/>
        </w:rPr>
        <w:t>投标的高压细水雾系统</w:t>
      </w:r>
      <w:r>
        <w:rPr>
          <w:rFonts w:hint="eastAsia" w:eastAsia="宋体" w:cs="Times New Roman"/>
          <w:kern w:val="0"/>
          <w:sz w:val="24"/>
          <w:szCs w:val="21"/>
          <w:highlight w:val="none"/>
          <w:lang w:val="en-US" w:eastAsia="zh-CN" w:bidi="en-US"/>
        </w:rPr>
        <w:t>产品的</w:t>
      </w:r>
      <w:r>
        <w:rPr>
          <w:rFonts w:hint="eastAsia" w:ascii="Times New Roman" w:hAnsi="Times New Roman" w:eastAsia="宋体" w:cs="Times New Roman"/>
          <w:kern w:val="0"/>
          <w:sz w:val="24"/>
          <w:szCs w:val="21"/>
          <w:highlight w:val="none"/>
          <w:lang w:bidi="en-US"/>
        </w:rPr>
        <w:t>中国国家强制性3C认证</w:t>
      </w:r>
      <w:r>
        <w:rPr>
          <w:rFonts w:hint="eastAsia" w:eastAsia="宋体" w:cs="Times New Roman"/>
          <w:kern w:val="0"/>
          <w:sz w:val="24"/>
          <w:szCs w:val="21"/>
          <w:highlight w:val="none"/>
          <w:lang w:eastAsia="zh-CN" w:bidi="en-US"/>
        </w:rPr>
        <w:t>、</w:t>
      </w:r>
      <w:r>
        <w:rPr>
          <w:rFonts w:hint="eastAsia" w:ascii="Times New Roman" w:hAnsi="Times New Roman" w:eastAsia="宋体" w:cs="Times New Roman"/>
          <w:kern w:val="0"/>
          <w:sz w:val="24"/>
          <w:szCs w:val="21"/>
          <w:highlight w:val="none"/>
          <w:lang w:bidi="en-US"/>
        </w:rPr>
        <w:t>美国FM</w:t>
      </w:r>
      <w:r>
        <w:rPr>
          <w:rFonts w:hint="eastAsia" w:cs="Times New Roman"/>
          <w:kern w:val="0"/>
          <w:sz w:val="24"/>
          <w:szCs w:val="21"/>
          <w:highlight w:val="none"/>
          <w:lang w:eastAsia="zh-CN" w:bidi="en-US"/>
        </w:rPr>
        <w:t>（</w:t>
      </w:r>
      <w:r>
        <w:rPr>
          <w:rFonts w:hint="eastAsia" w:cs="Times New Roman"/>
          <w:kern w:val="0"/>
          <w:sz w:val="24"/>
          <w:szCs w:val="21"/>
          <w:highlight w:val="none"/>
          <w:lang w:val="en-US" w:eastAsia="zh-CN" w:bidi="en-US"/>
        </w:rPr>
        <w:t>或</w:t>
      </w:r>
      <w:r>
        <w:rPr>
          <w:rFonts w:hint="eastAsia" w:ascii="Times New Roman" w:hAnsi="Times New Roman" w:eastAsia="宋体" w:cs="Times New Roman"/>
          <w:kern w:val="0"/>
          <w:sz w:val="24"/>
          <w:szCs w:val="21"/>
          <w:highlight w:val="none"/>
          <w:lang w:bidi="en-US"/>
        </w:rPr>
        <w:t>德国VDS</w:t>
      </w:r>
      <w:r>
        <w:rPr>
          <w:rFonts w:hint="eastAsia" w:cs="Times New Roman"/>
          <w:kern w:val="0"/>
          <w:sz w:val="24"/>
          <w:szCs w:val="21"/>
          <w:highlight w:val="none"/>
          <w:lang w:eastAsia="zh-CN" w:bidi="en-US"/>
        </w:rPr>
        <w:t>）</w:t>
      </w:r>
      <w:r>
        <w:rPr>
          <w:rFonts w:hint="eastAsia" w:ascii="Times New Roman" w:hAnsi="Times New Roman" w:eastAsia="宋体" w:cs="Times New Roman"/>
          <w:kern w:val="0"/>
          <w:sz w:val="24"/>
          <w:szCs w:val="21"/>
          <w:highlight w:val="none"/>
          <w:lang w:bidi="en-US"/>
        </w:rPr>
        <w:t>系统认证</w:t>
      </w:r>
      <w:r>
        <w:rPr>
          <w:rFonts w:hint="eastAsia" w:eastAsia="宋体" w:cs="Times New Roman"/>
          <w:kern w:val="0"/>
          <w:sz w:val="24"/>
          <w:szCs w:val="21"/>
          <w:highlight w:val="none"/>
          <w:lang w:val="en-US" w:eastAsia="zh-CN" w:bidi="en-US"/>
        </w:rPr>
        <w:t>证明文件</w:t>
      </w:r>
    </w:p>
    <w:p w14:paraId="3A12902F">
      <w:pPr>
        <w:widowControl/>
        <w:numPr>
          <w:ilvl w:val="0"/>
          <w:numId w:val="3"/>
        </w:numPr>
        <w:spacing w:line="360" w:lineRule="auto"/>
        <w:rPr>
          <w:rFonts w:hint="eastAsia"/>
          <w:kern w:val="0"/>
          <w:sz w:val="24"/>
          <w:szCs w:val="21"/>
          <w:lang w:bidi="en-US"/>
        </w:rPr>
      </w:pPr>
      <w:r>
        <w:rPr>
          <w:rFonts w:hint="eastAsia" w:ascii="Times New Roman" w:hAnsi="Times New Roman" w:eastAsia="宋体" w:cs="Times New Roman"/>
          <w:kern w:val="0"/>
          <w:sz w:val="24"/>
          <w:szCs w:val="21"/>
          <w:lang w:bidi="en-US"/>
        </w:rPr>
        <w:t>唯一的法人授权委托书、授权人和被授权人身份证，及在本单位近</w:t>
      </w:r>
      <w:r>
        <w:rPr>
          <w:rFonts w:hint="eastAsia" w:cs="Times New Roman"/>
          <w:kern w:val="0"/>
          <w:sz w:val="24"/>
          <w:szCs w:val="21"/>
          <w:lang w:val="en-US" w:eastAsia="zh-CN" w:bidi="en-US"/>
        </w:rPr>
        <w:t>6</w:t>
      </w:r>
      <w:r>
        <w:rPr>
          <w:rFonts w:hint="eastAsia" w:ascii="Times New Roman" w:hAnsi="Times New Roman" w:eastAsia="宋体" w:cs="Times New Roman"/>
          <w:kern w:val="0"/>
          <w:sz w:val="24"/>
          <w:szCs w:val="21"/>
          <w:lang w:bidi="en-US"/>
        </w:rPr>
        <w:t>个月社保缴纳证明；</w:t>
      </w:r>
    </w:p>
    <w:p w14:paraId="266A1BF1">
      <w:pPr>
        <w:widowControl/>
        <w:numPr>
          <w:ilvl w:val="0"/>
          <w:numId w:val="3"/>
        </w:numPr>
        <w:spacing w:line="360" w:lineRule="auto"/>
        <w:rPr>
          <w:rFonts w:hint="eastAsia"/>
          <w:kern w:val="0"/>
          <w:sz w:val="24"/>
          <w:szCs w:val="21"/>
          <w:lang w:bidi="en-US"/>
        </w:rPr>
      </w:pPr>
      <w:r>
        <w:rPr>
          <w:rFonts w:hint="eastAsia" w:ascii="Times New Roman" w:hAnsi="Times New Roman" w:eastAsia="宋体" w:cs="Times New Roman"/>
          <w:kern w:val="0"/>
          <w:sz w:val="24"/>
          <w:szCs w:val="21"/>
          <w:lang w:bidi="en-US"/>
        </w:rPr>
        <w:t>联系人、联系方式、</w:t>
      </w:r>
      <w:r>
        <w:rPr>
          <w:rFonts w:hint="eastAsia"/>
          <w:kern w:val="0"/>
          <w:sz w:val="24"/>
          <w:szCs w:val="21"/>
          <w:lang w:bidi="en-US"/>
        </w:rPr>
        <w:t>电子邮箱。</w:t>
      </w:r>
    </w:p>
    <w:p w14:paraId="72454510">
      <w:pPr>
        <w:adjustRightInd w:val="0"/>
        <w:snapToGrid w:val="0"/>
        <w:spacing w:line="360" w:lineRule="auto"/>
        <w:ind w:firstLine="482" w:firstLineChars="200"/>
        <w:rPr>
          <w:rFonts w:ascii="宋体" w:cs="宋体"/>
          <w:b/>
          <w:bCs/>
          <w:sz w:val="24"/>
        </w:rPr>
      </w:pPr>
      <w:r>
        <w:rPr>
          <w:rFonts w:hint="eastAsia" w:ascii="宋体" w:cs="宋体"/>
          <w:b/>
          <w:bCs/>
          <w:kern w:val="0"/>
          <w:sz w:val="24"/>
          <w:u w:val="single"/>
          <w:lang w:bidi="en-US"/>
        </w:rPr>
        <w:t>以上报名资料均要加盖公章。</w:t>
      </w:r>
    </w:p>
    <w:p w14:paraId="469BD6F2">
      <w:pPr>
        <w:spacing w:line="360" w:lineRule="auto"/>
        <w:ind w:firstLine="482" w:firstLineChars="200"/>
        <w:rPr>
          <w:rFonts w:ascii="宋体" w:cs="宋体"/>
          <w:b/>
          <w:bCs/>
          <w:sz w:val="24"/>
        </w:rPr>
      </w:pPr>
      <w:r>
        <w:rPr>
          <w:rFonts w:hint="eastAsia" w:ascii="宋体" w:cs="宋体"/>
          <w:b/>
          <w:bCs/>
          <w:kern w:val="0"/>
          <w:sz w:val="24"/>
          <w:lang w:bidi="en-US"/>
        </w:rPr>
        <w:t>本项目实行资格预审，报名成功不代表资格审查通过、入围投标名单。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14:paraId="7681ED1C">
      <w:pPr>
        <w:spacing w:line="360" w:lineRule="auto"/>
        <w:ind w:firstLine="482" w:firstLineChars="200"/>
        <w:jc w:val="left"/>
        <w:rPr>
          <w:rFonts w:ascii="宋体" w:cs="宋体"/>
          <w:b/>
          <w:bCs/>
          <w:sz w:val="24"/>
        </w:rPr>
      </w:pPr>
      <w:r>
        <w:rPr>
          <w:rFonts w:hint="eastAsia" w:ascii="宋体" w:cs="宋体"/>
          <w:b/>
          <w:bCs/>
          <w:sz w:val="24"/>
        </w:rPr>
        <w:t>入围者通过重汽e采通平台接收电子版招标文件，具体发送时间另行通知。</w:t>
      </w:r>
    </w:p>
    <w:p w14:paraId="590C4D22">
      <w:pPr>
        <w:spacing w:line="360" w:lineRule="auto"/>
        <w:ind w:firstLine="482" w:firstLineChars="200"/>
        <w:jc w:val="left"/>
        <w:rPr>
          <w:rStyle w:val="26"/>
          <w:color w:val="C00000"/>
          <w:lang w:bidi="ar"/>
        </w:rPr>
      </w:pPr>
      <w:r>
        <w:rPr>
          <w:rFonts w:hint="eastAsia" w:ascii="宋体" w:cs="宋体"/>
          <w:b/>
          <w:bCs/>
          <w:sz w:val="24"/>
          <w:lang w:bidi="ar"/>
        </w:rPr>
        <w:t>报名同时请按照本公告附件《非生产供应商注册操作手册》及e采通首页《供应商用户手册》提示完成平台注册（网址：</w:t>
      </w:r>
      <w:r>
        <w:rPr>
          <w:sz w:val="24"/>
        </w:rPr>
        <w:t>http</w:t>
      </w:r>
      <w:r>
        <w:rPr>
          <w:rFonts w:hint="eastAsia"/>
          <w:sz w:val="24"/>
        </w:rPr>
        <w:t>s</w:t>
      </w:r>
      <w:r>
        <w:rPr>
          <w:sz w:val="24"/>
        </w:rPr>
        <w:t>://ecaitong.sinotruk.com:8012/#/login），注册时，</w:t>
      </w:r>
      <w:r>
        <w:rPr>
          <w:rFonts w:hint="eastAsia"/>
          <w:sz w:val="24"/>
        </w:rPr>
        <w:t>供应商属性选择【非生产】、管理单位选择【直管单位】、意向配套单位选择【直管单位】；采购形式编号见本公告标题下方；经营概况“是否提供”原则上选择【能提供】，近三年财务数据</w:t>
      </w:r>
      <w:r>
        <w:rPr>
          <w:sz w:val="24"/>
        </w:rPr>
        <w:t>为必填项，要求如实填写</w:t>
      </w:r>
      <w:r>
        <w:rPr>
          <w:rFonts w:hint="eastAsia"/>
          <w:sz w:val="24"/>
        </w:rPr>
        <w:t>；配套能力的</w:t>
      </w:r>
      <w:r>
        <w:rPr>
          <w:sz w:val="24"/>
        </w:rPr>
        <w:t>供货类别选择“工程建设-工程建设”；账号信息</w:t>
      </w:r>
      <w:r>
        <w:rPr>
          <w:b/>
          <w:bCs/>
          <w:sz w:val="24"/>
          <w:em w:val="dot"/>
        </w:rPr>
        <w:t>不允许有任何空格</w:t>
      </w:r>
      <w:r>
        <w:rPr>
          <w:sz w:val="24"/>
        </w:rPr>
        <w:t>且</w:t>
      </w:r>
      <w:r>
        <w:rPr>
          <w:b/>
          <w:bCs/>
          <w:sz w:val="24"/>
          <w:em w:val="dot"/>
        </w:rPr>
        <w:t>必须填写对公账号</w:t>
      </w:r>
      <w:r>
        <w:rPr>
          <w:sz w:val="24"/>
        </w:rPr>
        <w:t>（不按要求填写的将影响投标保证金退还）。</w:t>
      </w:r>
    </w:p>
    <w:p w14:paraId="4BDE61D4">
      <w:pPr>
        <w:spacing w:line="360" w:lineRule="auto"/>
        <w:ind w:firstLine="482" w:firstLineChars="200"/>
        <w:jc w:val="left"/>
      </w:pPr>
      <w:r>
        <w:rPr>
          <w:rFonts w:hint="eastAsia" w:ascii="宋体" w:cs="宋体"/>
          <w:b/>
          <w:bCs/>
          <w:sz w:val="24"/>
          <w:lang w:bidi="ar"/>
        </w:rPr>
        <w:t>e采通注册并</w:t>
      </w:r>
      <w:r>
        <w:rPr>
          <w:rFonts w:hint="eastAsia" w:ascii="宋体" w:cs="宋体"/>
          <w:b/>
          <w:bCs/>
          <w:sz w:val="24"/>
          <w:em w:val="dot"/>
          <w:lang w:bidi="ar"/>
        </w:rPr>
        <w:t>审核通过后</w:t>
      </w:r>
      <w:r>
        <w:rPr>
          <w:rFonts w:hint="eastAsia" w:ascii="宋体" w:cs="宋体"/>
          <w:b/>
          <w:bCs/>
          <w:sz w:val="24"/>
          <w:lang w:bidi="ar"/>
        </w:rPr>
        <w:t>方能参与本项目应标及后续投标，审核通过后请电话告知招标方联系人。</w:t>
      </w:r>
    </w:p>
    <w:p w14:paraId="21540FE9">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4.2招标文件获取：上述资格预审入围者通过重汽e采通平台接收电子版招标文件。</w:t>
      </w:r>
    </w:p>
    <w:p w14:paraId="1E26869F">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4.3招标文件工本费：无。</w:t>
      </w:r>
    </w:p>
    <w:p w14:paraId="6732FBAA">
      <w:pPr>
        <w:widowControl/>
        <w:spacing w:line="500" w:lineRule="exact"/>
        <w:ind w:firstLine="480" w:firstLineChars="200"/>
        <w:jc w:val="left"/>
        <w:rPr>
          <w:rFonts w:hint="eastAsia" w:ascii="宋体" w:hAnsi="宋体" w:cs="宋体"/>
          <w:kern w:val="0"/>
          <w:sz w:val="24"/>
          <w:lang w:bidi="en-US"/>
        </w:rPr>
      </w:pPr>
      <w:r>
        <w:rPr>
          <w:rFonts w:hint="eastAsia" w:ascii="宋体" w:hAnsi="宋体" w:cs="宋体"/>
          <w:kern w:val="0"/>
          <w:sz w:val="24"/>
          <w:lang w:bidi="en-US"/>
        </w:rPr>
        <w:t>4.4投标保证金金额、形式和递交：详见招标文件。</w:t>
      </w:r>
    </w:p>
    <w:p w14:paraId="7F1A064C">
      <w:pPr>
        <w:pStyle w:val="2"/>
      </w:pPr>
      <w:r>
        <w:rPr>
          <w:rFonts w:hint="eastAsia" w:ascii="宋体" w:hAnsi="宋体" w:cs="宋体"/>
          <w:kern w:val="0"/>
          <w:sz w:val="24"/>
          <w:lang w:bidi="en-US"/>
        </w:rPr>
        <w:t>4.5中标服务费：无。</w:t>
      </w:r>
    </w:p>
    <w:p w14:paraId="68E87C49">
      <w:pPr>
        <w:spacing w:line="360" w:lineRule="auto"/>
        <w:rPr>
          <w:rFonts w:hint="eastAsia" w:ascii="宋体" w:cs="宋体"/>
          <w:b/>
          <w:sz w:val="24"/>
          <w:szCs w:val="24"/>
        </w:rPr>
      </w:pPr>
      <w:r>
        <w:rPr>
          <w:rFonts w:hint="eastAsia" w:ascii="宋体" w:cs="宋体"/>
          <w:b/>
          <w:sz w:val="24"/>
          <w:szCs w:val="24"/>
          <w:lang w:bidi="ar"/>
        </w:rPr>
        <w:t>6. 投标文件的递交</w:t>
      </w:r>
    </w:p>
    <w:p w14:paraId="63299FA6">
      <w:pPr>
        <w:spacing w:line="360" w:lineRule="auto"/>
        <w:ind w:firstLine="480" w:firstLineChars="200"/>
        <w:rPr>
          <w:rFonts w:hint="eastAsia" w:ascii="宋体" w:cs="宋体"/>
          <w:sz w:val="24"/>
          <w:szCs w:val="24"/>
        </w:rPr>
      </w:pPr>
      <w:r>
        <w:rPr>
          <w:rFonts w:hint="eastAsia" w:ascii="宋体" w:cs="宋体"/>
          <w:sz w:val="24"/>
          <w:szCs w:val="24"/>
          <w:lang w:bidi="ar"/>
        </w:rPr>
        <w:t>6.1 投标文件递交的截止时间</w:t>
      </w:r>
      <w:r>
        <w:rPr>
          <w:rFonts w:hint="eastAsia" w:ascii="宋体" w:cs="宋体"/>
          <w:kern w:val="0"/>
          <w:sz w:val="24"/>
          <w:szCs w:val="24"/>
          <w:lang w:bidi="ar"/>
        </w:rPr>
        <w:t>详见招标文件</w:t>
      </w:r>
      <w:r>
        <w:rPr>
          <w:rFonts w:hint="eastAsia" w:ascii="宋体" w:cs="宋体"/>
          <w:sz w:val="24"/>
          <w:szCs w:val="24"/>
          <w:lang w:bidi="ar"/>
        </w:rPr>
        <w:t>。</w:t>
      </w:r>
    </w:p>
    <w:p w14:paraId="64794E99">
      <w:pPr>
        <w:spacing w:line="360" w:lineRule="auto"/>
        <w:ind w:firstLine="480" w:firstLineChars="200"/>
        <w:rPr>
          <w:rFonts w:hint="eastAsia" w:ascii="宋体" w:cs="宋体"/>
          <w:sz w:val="24"/>
          <w:szCs w:val="24"/>
        </w:rPr>
      </w:pPr>
      <w:r>
        <w:rPr>
          <w:rFonts w:hint="eastAsia" w:ascii="宋体" w:cs="宋体"/>
          <w:sz w:val="24"/>
          <w:szCs w:val="24"/>
          <w:lang w:bidi="ar"/>
        </w:rPr>
        <w:t>6.2 逾期送达的或者未送达指定地点的投标文件，招标人不予受理。</w:t>
      </w:r>
    </w:p>
    <w:p w14:paraId="495F54D6">
      <w:pPr>
        <w:autoSpaceDE w:val="0"/>
        <w:autoSpaceDN w:val="0"/>
        <w:adjustRightInd w:val="0"/>
        <w:snapToGrid w:val="0"/>
        <w:spacing w:line="360" w:lineRule="auto"/>
        <w:jc w:val="left"/>
        <w:rPr>
          <w:rFonts w:hint="eastAsia" w:ascii="宋体" w:cs="宋体"/>
          <w:b/>
          <w:kern w:val="0"/>
          <w:sz w:val="24"/>
          <w:szCs w:val="24"/>
        </w:rPr>
      </w:pPr>
      <w:r>
        <w:rPr>
          <w:rFonts w:hint="eastAsia" w:ascii="宋体" w:cs="宋体"/>
          <w:b/>
          <w:kern w:val="0"/>
          <w:sz w:val="24"/>
          <w:szCs w:val="24"/>
          <w:lang w:bidi="ar"/>
        </w:rPr>
        <w:t>7、招标公告发布媒介</w:t>
      </w:r>
    </w:p>
    <w:p w14:paraId="13A0D34B">
      <w:pPr>
        <w:widowControl/>
        <w:spacing w:line="500" w:lineRule="exact"/>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本次公告同时在山东省阳光采购服务平台</w:t>
      </w:r>
      <w:r>
        <w:rPr>
          <w:rFonts w:hint="eastAsia" w:ascii="宋体" w:hAnsi="宋体" w:cs="宋体"/>
          <w:kern w:val="0"/>
          <w:sz w:val="24"/>
          <w:lang w:eastAsia="zh-CN" w:bidi="en-US"/>
        </w:rPr>
        <w:t>（供应商需同时在阳光采购平台进行注册，并在本公告要求的截止时间前搜索本项目报名）</w:t>
      </w:r>
      <w:r>
        <w:rPr>
          <w:rFonts w:hint="eastAsia" w:ascii="宋体" w:hAnsi="宋体" w:cs="宋体"/>
          <w:kern w:val="0"/>
          <w:sz w:val="24"/>
          <w:lang w:bidi="en-US"/>
        </w:rPr>
        <w:t>、中国招标投标公共服务平台及中国重型汽车集团有限公司网站上发布。</w:t>
      </w:r>
    </w:p>
    <w:p w14:paraId="6FB5BA81">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7</w:t>
      </w:r>
      <w:bookmarkStart w:id="11" w:name="_Toc234382576"/>
      <w:bookmarkEnd w:id="11"/>
      <w:r>
        <w:rPr>
          <w:rFonts w:hint="eastAsia" w:ascii="宋体" w:hAnsi="宋体" w:cs="宋体"/>
          <w:b/>
          <w:bCs/>
          <w:kern w:val="0"/>
          <w:sz w:val="24"/>
          <w:lang w:bidi="en-US"/>
        </w:rPr>
        <w:t>．联系方式</w:t>
      </w:r>
    </w:p>
    <w:p w14:paraId="58636FCA">
      <w:pPr>
        <w:widowControl/>
        <w:spacing w:line="500" w:lineRule="exact"/>
        <w:ind w:firstLine="480" w:firstLineChars="200"/>
        <w:jc w:val="left"/>
        <w:rPr>
          <w:rFonts w:hint="eastAsia" w:ascii="宋体" w:hAnsi="宋体" w:eastAsia="宋体" w:cs="宋体"/>
          <w:kern w:val="0"/>
          <w:sz w:val="24"/>
          <w:lang w:eastAsia="zh-CN" w:bidi="en-US"/>
        </w:rPr>
      </w:pPr>
      <w:r>
        <w:rPr>
          <w:rFonts w:hint="eastAsia" w:ascii="宋体" w:hAnsi="宋体" w:cs="宋体"/>
          <w:kern w:val="0"/>
          <w:sz w:val="24"/>
          <w:lang w:bidi="en-US"/>
        </w:rPr>
        <w:t>招 标 人：</w:t>
      </w:r>
      <w:r>
        <w:rPr>
          <w:rFonts w:hint="eastAsia" w:ascii="宋体" w:hAnsi="宋体" w:cs="宋体"/>
          <w:kern w:val="0"/>
          <w:sz w:val="24"/>
          <w:lang w:eastAsia="zh-CN" w:bidi="en-US"/>
        </w:rPr>
        <w:t>中国重汽集团济南动力有限公司</w:t>
      </w:r>
    </w:p>
    <w:p w14:paraId="435DA42A">
      <w:pPr>
        <w:widowControl/>
        <w:spacing w:line="500" w:lineRule="exact"/>
        <w:ind w:firstLine="480" w:firstLineChars="200"/>
        <w:jc w:val="left"/>
        <w:rPr>
          <w:rFonts w:ascii="宋体" w:hAnsi="宋体" w:cs="宋体"/>
          <w:kern w:val="0"/>
          <w:sz w:val="24"/>
          <w:lang w:bidi="en-US"/>
        </w:rPr>
      </w:pPr>
      <w:r>
        <w:rPr>
          <w:rFonts w:cs="宋体"/>
          <w:kern w:val="0"/>
          <w:sz w:val="24"/>
          <w:lang w:bidi="en-US"/>
        </w:rPr>
        <w:t xml:space="preserve">地 </w:t>
      </w:r>
      <w:r>
        <w:rPr>
          <w:rFonts w:hint="eastAsia" w:cs="宋体"/>
          <w:kern w:val="0"/>
          <w:sz w:val="24"/>
          <w:lang w:bidi="en-US"/>
        </w:rPr>
        <w:t xml:space="preserve">  </w:t>
      </w:r>
      <w:r>
        <w:rPr>
          <w:rFonts w:cs="宋体"/>
          <w:kern w:val="0"/>
          <w:sz w:val="24"/>
          <w:lang w:bidi="en-US"/>
        </w:rPr>
        <w:t xml:space="preserve"> 址：</w:t>
      </w:r>
      <w:r>
        <w:rPr>
          <w:rFonts w:hint="eastAsia" w:ascii="宋体" w:hAnsi="宋体" w:cs="宋体"/>
          <w:kern w:val="0"/>
          <w:sz w:val="24"/>
          <w:lang w:bidi="en-US"/>
        </w:rPr>
        <w:t>济南市高新区华奥路777</w:t>
      </w:r>
      <w:r>
        <w:rPr>
          <w:rFonts w:cs="宋体"/>
          <w:kern w:val="0"/>
          <w:sz w:val="24"/>
          <w:lang w:bidi="en-US"/>
        </w:rPr>
        <w:t>号</w:t>
      </w:r>
    </w:p>
    <w:p w14:paraId="121C746D">
      <w:pPr>
        <w:widowControl/>
        <w:spacing w:line="500" w:lineRule="exact"/>
        <w:ind w:firstLine="480" w:firstLineChars="200"/>
        <w:jc w:val="left"/>
        <w:rPr>
          <w:rFonts w:hint="eastAsia" w:ascii="宋体" w:hAnsi="宋体" w:cs="宋体"/>
          <w:kern w:val="0"/>
          <w:sz w:val="24"/>
          <w:highlight w:val="green"/>
          <w:lang w:val="en-US" w:eastAsia="zh-CN" w:bidi="en-US"/>
        </w:rPr>
      </w:pPr>
      <w:r>
        <w:rPr>
          <w:rFonts w:hint="eastAsia" w:ascii="宋体" w:hAnsi="宋体" w:cs="宋体"/>
          <w:kern w:val="0"/>
          <w:sz w:val="24"/>
          <w:highlight w:val="green"/>
          <w:lang w:val="en-US" w:eastAsia="zh-CN" w:bidi="en-US"/>
        </w:rPr>
        <w:t>商务联</w:t>
      </w:r>
      <w:r>
        <w:rPr>
          <w:rFonts w:hint="eastAsia" w:ascii="宋体" w:hAnsi="宋体" w:cs="宋体"/>
          <w:kern w:val="0"/>
          <w:sz w:val="24"/>
          <w:highlight w:val="green"/>
          <w:lang w:bidi="en-US"/>
        </w:rPr>
        <w:t>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w:t>
      </w:r>
      <w:r>
        <w:rPr>
          <w:rFonts w:hint="eastAsia" w:ascii="宋体" w:hAnsi="宋体" w:cs="宋体"/>
          <w:kern w:val="0"/>
          <w:sz w:val="24"/>
          <w:highlight w:val="green"/>
          <w:lang w:bidi="en-US"/>
        </w:rPr>
        <w:t>：</w:t>
      </w:r>
      <w:r>
        <w:rPr>
          <w:rFonts w:hint="eastAsia" w:ascii="宋体" w:hAnsi="宋体" w:cs="宋体"/>
          <w:kern w:val="0"/>
          <w:sz w:val="24"/>
          <w:highlight w:val="green"/>
          <w:lang w:val="en-US" w:eastAsia="zh-CN" w:bidi="en-US"/>
        </w:rPr>
        <w:t>郭朝琛/17860606311</w:t>
      </w:r>
    </w:p>
    <w:p w14:paraId="6DDE6880">
      <w:pPr>
        <w:widowControl/>
        <w:spacing w:line="500" w:lineRule="exact"/>
        <w:ind w:firstLine="480" w:firstLineChars="200"/>
        <w:jc w:val="both"/>
        <w:rPr>
          <w:rFonts w:hint="eastAsia" w:ascii="宋体" w:hAnsi="宋体" w:cs="宋体"/>
          <w:kern w:val="0"/>
          <w:sz w:val="24"/>
          <w:highlight w:val="none"/>
          <w:lang w:val="en-US" w:eastAsia="zh-CN" w:bidi="en-US"/>
        </w:rPr>
      </w:pPr>
      <w:r>
        <w:rPr>
          <w:rFonts w:hint="eastAsia" w:ascii="宋体" w:hAnsi="宋体" w:cs="宋体"/>
          <w:kern w:val="0"/>
          <w:sz w:val="24"/>
          <w:highlight w:val="green"/>
          <w:lang w:val="en-US" w:eastAsia="zh-CN" w:bidi="en-US"/>
        </w:rPr>
        <w:t>技术联系人</w:t>
      </w:r>
      <w:r>
        <w:rPr>
          <w:rFonts w:hint="eastAsia" w:ascii="宋体" w:hAnsi="宋体" w:cs="宋体"/>
          <w:kern w:val="0"/>
          <w:sz w:val="24"/>
          <w:highlight w:val="green"/>
          <w:lang w:eastAsia="zh-CN" w:bidi="en-US"/>
        </w:rPr>
        <w:t>、</w:t>
      </w:r>
      <w:r>
        <w:rPr>
          <w:rFonts w:hint="eastAsia" w:ascii="宋体" w:hAnsi="宋体" w:cs="宋体"/>
          <w:kern w:val="0"/>
          <w:sz w:val="24"/>
          <w:highlight w:val="green"/>
          <w:lang w:val="en-US" w:eastAsia="zh-CN" w:bidi="en-US"/>
        </w:rPr>
        <w:t>联系电话：刘圆/13953178362</w:t>
      </w:r>
    </w:p>
    <w:p w14:paraId="72CE30DB">
      <w:pPr>
        <w:widowControl/>
        <w:spacing w:line="500" w:lineRule="exact"/>
        <w:jc w:val="right"/>
        <w:rPr>
          <w:rFonts w:ascii="宋体" w:hAnsi="宋体"/>
          <w:color w:val="FF0000"/>
          <w:kern w:val="0"/>
          <w:sz w:val="24"/>
          <w:szCs w:val="21"/>
          <w:highlight w:val="none"/>
          <w:lang w:bidi="en-US"/>
        </w:rPr>
      </w:pPr>
      <w:r>
        <w:rPr>
          <w:rFonts w:hint="eastAsia" w:ascii="宋体" w:hAnsi="宋体"/>
          <w:kern w:val="0"/>
          <w:sz w:val="24"/>
          <w:szCs w:val="21"/>
          <w:highlight w:val="none"/>
          <w:lang w:eastAsia="en-US" w:bidi="en-US"/>
        </w:rPr>
        <w:t>202</w:t>
      </w:r>
      <w:r>
        <w:rPr>
          <w:rFonts w:hint="eastAsia" w:ascii="宋体" w:hAnsi="宋体"/>
          <w:kern w:val="0"/>
          <w:sz w:val="24"/>
          <w:szCs w:val="21"/>
          <w:highlight w:val="none"/>
          <w:lang w:val="en-US" w:eastAsia="zh-CN" w:bidi="en-US"/>
        </w:rPr>
        <w:t>6</w:t>
      </w:r>
      <w:r>
        <w:rPr>
          <w:rFonts w:hint="eastAsia" w:ascii="宋体" w:hAnsi="宋体"/>
          <w:kern w:val="0"/>
          <w:sz w:val="24"/>
          <w:szCs w:val="21"/>
          <w:highlight w:val="none"/>
          <w:lang w:eastAsia="en-US" w:bidi="en-US"/>
        </w:rPr>
        <w:t>年</w:t>
      </w:r>
      <w:r>
        <w:rPr>
          <w:rFonts w:hint="eastAsia" w:ascii="宋体" w:hAnsi="宋体"/>
          <w:kern w:val="0"/>
          <w:sz w:val="24"/>
          <w:szCs w:val="21"/>
          <w:highlight w:val="none"/>
          <w:lang w:val="en-US" w:eastAsia="zh-CN" w:bidi="en-US"/>
        </w:rPr>
        <w:t>5月</w:t>
      </w:r>
      <w:r>
        <w:rPr>
          <w:rFonts w:hint="eastAsia" w:ascii="宋体" w:hAnsi="宋体"/>
          <w:color w:val="FF0000"/>
          <w:kern w:val="0"/>
          <w:sz w:val="24"/>
          <w:szCs w:val="21"/>
          <w:highlight w:val="none"/>
          <w:lang w:bidi="en-US"/>
        </w:rPr>
        <w:t xml:space="preserve"> </w:t>
      </w:r>
    </w:p>
    <w:p w14:paraId="463C8DE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四、采购文件领取 </w:t>
      </w:r>
      <w:r>
        <w:rPr>
          <w:rFonts w:hint="eastAsia" w:asciiTheme="majorEastAsia" w:hAnsiTheme="majorEastAsia" w:eastAsiaTheme="majorEastAsia" w:cstheme="majorEastAsia"/>
          <w:sz w:val="24"/>
          <w:szCs w:val="24"/>
        </w:rPr>
        <w:t xml:space="preserve"> </w:t>
      </w:r>
    </w:p>
    <w:p w14:paraId="01A8CB3D">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b w:val="0"/>
          <w:bCs w:val="0"/>
          <w:sz w:val="24"/>
          <w:szCs w:val="24"/>
          <w:lang w:val="en-US" w:eastAsia="zh-CN"/>
        </w:rPr>
        <w:t>应标通过后在</w:t>
      </w:r>
      <w:r>
        <w:rPr>
          <w:rFonts w:hint="eastAsia"/>
          <w:sz w:val="24"/>
          <w:szCs w:val="24"/>
        </w:rPr>
        <w:t>重汽e采通</w:t>
      </w:r>
      <w:r>
        <w:rPr>
          <w:rFonts w:hint="eastAsia"/>
          <w:sz w:val="24"/>
          <w:szCs w:val="24"/>
          <w:lang w:val="en-US" w:eastAsia="zh-CN"/>
        </w:rPr>
        <w:t>领取</w:t>
      </w:r>
    </w:p>
    <w:p w14:paraId="5F3381B0">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15</w:t>
      </w:r>
      <w:r>
        <w:rPr>
          <w:rFonts w:hint="eastAsia" w:asciiTheme="majorEastAsia" w:hAnsiTheme="majorEastAsia" w:eastAsiaTheme="majorEastAsia" w:cstheme="majorEastAsia"/>
          <w:sz w:val="24"/>
          <w:szCs w:val="24"/>
        </w:rPr>
        <w:t xml:space="preserve"> 17:00:00 </w:t>
      </w:r>
    </w:p>
    <w:p w14:paraId="7A00C32E">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五、响应文件提交 </w:t>
      </w:r>
    </w:p>
    <w:p w14:paraId="16774820">
      <w:pPr>
        <w:rPr>
          <w:rFonts w:hint="eastAsia" w:asciiTheme="majorEastAsia" w:hAnsiTheme="majorEastAsia" w:eastAsiaTheme="minorEastAsia" w:cstheme="majorEastAsia"/>
          <w:sz w:val="24"/>
          <w:szCs w:val="24"/>
          <w:lang w:val="en-US"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sz w:val="24"/>
          <w:szCs w:val="24"/>
        </w:rPr>
        <w:t>重汽e采通</w:t>
      </w:r>
      <w:r>
        <w:rPr>
          <w:rFonts w:hint="eastAsia"/>
          <w:sz w:val="24"/>
          <w:szCs w:val="24"/>
          <w:lang w:val="en-US" w:eastAsia="zh-CN"/>
        </w:rPr>
        <w:t>提交</w:t>
      </w:r>
    </w:p>
    <w:p w14:paraId="1BF7EE7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24</w:t>
      </w:r>
      <w:r>
        <w:rPr>
          <w:rFonts w:hint="eastAsia" w:asciiTheme="majorEastAsia" w:hAnsiTheme="majorEastAsia" w:eastAsiaTheme="majorEastAsia" w:cstheme="majorEastAsia"/>
          <w:sz w:val="24"/>
          <w:szCs w:val="24"/>
        </w:rPr>
        <w:t xml:space="preserve"> 9:00:00 </w:t>
      </w:r>
    </w:p>
    <w:p w14:paraId="77F2C3AC">
      <w:pPr>
        <w:rPr>
          <w:rFonts w:hint="default"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rPr>
        <w:t xml:space="preserve">六、开标时间和地点 </w:t>
      </w:r>
      <w:r>
        <w:rPr>
          <w:rFonts w:hint="eastAsia" w:asciiTheme="majorEastAsia" w:hAnsiTheme="majorEastAsia" w:eastAsiaTheme="majorEastAsia" w:cstheme="majorEastAsia"/>
          <w:b/>
          <w:bCs/>
          <w:sz w:val="24"/>
          <w:szCs w:val="24"/>
          <w:lang w:val="en-US" w:eastAsia="zh-CN"/>
        </w:rPr>
        <w:t>(暂定，以实际通知为准）</w:t>
      </w:r>
    </w:p>
    <w:p w14:paraId="42BE8D26">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24</w:t>
      </w:r>
      <w:bookmarkStart w:id="20" w:name="_GoBack"/>
      <w:bookmarkEnd w:id="20"/>
      <w:r>
        <w:rPr>
          <w:rFonts w:hint="eastAsia" w:asciiTheme="majorEastAsia" w:hAnsiTheme="majorEastAsia" w:eastAsiaTheme="majorEastAsia" w:cstheme="majorEastAsia"/>
          <w:sz w:val="24"/>
          <w:szCs w:val="24"/>
        </w:rPr>
        <w:t xml:space="preserve"> 09:00:00 </w:t>
      </w:r>
    </w:p>
    <w:p w14:paraId="59D58E47">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宋体" w:hAnsi="宋体" w:eastAsia="宋体" w:cs="Times New Roman"/>
          <w:color w:val="000000"/>
          <w:sz w:val="24"/>
          <w:szCs w:val="24"/>
          <w:highlight w:val="yellow"/>
        </w:rPr>
        <w:t>山东省济南市历城区华奥路</w:t>
      </w:r>
      <w:r>
        <w:rPr>
          <w:rFonts w:ascii="宋体" w:hAnsi="宋体" w:eastAsia="宋体" w:cs="Times New Roman"/>
          <w:color w:val="000000"/>
          <w:sz w:val="24"/>
          <w:szCs w:val="24"/>
          <w:highlight w:val="yellow"/>
        </w:rPr>
        <w:t>777</w:t>
      </w:r>
      <w:r>
        <w:rPr>
          <w:rFonts w:hint="eastAsia" w:ascii="宋体" w:hAnsi="宋体" w:eastAsia="宋体" w:cs="Times New Roman"/>
          <w:color w:val="000000"/>
          <w:sz w:val="24"/>
          <w:szCs w:val="24"/>
          <w:highlight w:val="yellow"/>
        </w:rPr>
        <w:t>号</w:t>
      </w:r>
    </w:p>
    <w:p w14:paraId="263E755C">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七、发布公告的媒介</w:t>
      </w:r>
      <w:r>
        <w:rPr>
          <w:rFonts w:hint="eastAsia" w:asciiTheme="majorEastAsia" w:hAnsiTheme="majorEastAsia" w:eastAsiaTheme="majorEastAsia" w:cstheme="majorEastAsia"/>
          <w:sz w:val="24"/>
          <w:szCs w:val="24"/>
        </w:rPr>
        <w:t xml:space="preserve">  </w:t>
      </w:r>
    </w:p>
    <w:p w14:paraId="58504DDB">
      <w:pPr>
        <w:rPr>
          <w:rFonts w:hint="eastAsia"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（ww.cnhtc.com.cn）、山东省阳光采购平台</w:t>
      </w:r>
    </w:p>
    <w:p w14:paraId="7F352A2E">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lang w:val="en-US" w:eastAsia="zh-CN"/>
        </w:rPr>
        <w:t>八</w:t>
      </w:r>
      <w:r>
        <w:rPr>
          <w:rFonts w:hint="eastAsia" w:asciiTheme="majorEastAsia" w:hAnsiTheme="majorEastAsia" w:eastAsiaTheme="majorEastAsia" w:cstheme="majorEastAsia"/>
          <w:b/>
          <w:bCs/>
          <w:sz w:val="24"/>
          <w:szCs w:val="24"/>
        </w:rPr>
        <w:t xml:space="preserve">、其他说明  </w:t>
      </w:r>
    </w:p>
    <w:p w14:paraId="5CBCB798">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供应商需在重汽官网搜索本项目招标公告，根据要求准备报名资料。</w:t>
      </w:r>
    </w:p>
    <w:p w14:paraId="6561657C">
      <w:bookmarkStart w:id="12" w:name="_Toc56676964"/>
      <w:bookmarkStart w:id="13" w:name="_Toc15143"/>
      <w:bookmarkStart w:id="14" w:name="_Toc8168"/>
      <w:r>
        <w:br w:type="page"/>
      </w:r>
    </w:p>
    <w:bookmarkEnd w:id="12"/>
    <w:bookmarkEnd w:id="13"/>
    <w:bookmarkEnd w:id="14"/>
    <w:p w14:paraId="349F8EC0">
      <w:pPr>
        <w:rPr>
          <w:rFonts w:ascii="宋体" w:hAnsi="宋体"/>
          <w:kern w:val="0"/>
          <w:sz w:val="24"/>
          <w:szCs w:val="21"/>
          <w:lang w:bidi="en-US"/>
        </w:rPr>
      </w:pPr>
      <w:r>
        <w:rPr>
          <w:rFonts w:hint="eastAsia" w:ascii="宋体" w:hAnsi="宋体"/>
          <w:kern w:val="0"/>
          <w:sz w:val="24"/>
          <w:szCs w:val="21"/>
          <w:lang w:bidi="en-US"/>
        </w:rPr>
        <w:t>附件1:</w:t>
      </w:r>
    </w:p>
    <w:p w14:paraId="7990AA32">
      <w:pPr>
        <w:pStyle w:val="8"/>
      </w:pPr>
      <w:r>
        <w:rPr>
          <w:rFonts w:hint="eastAsia"/>
        </w:rPr>
        <w:t>投标信息明细表</w:t>
      </w:r>
    </w:p>
    <w:tbl>
      <w:tblPr>
        <w:tblStyle w:val="16"/>
        <w:tblW w:w="5000" w:type="pct"/>
        <w:tblInd w:w="0" w:type="dxa"/>
        <w:tblLayout w:type="autofit"/>
        <w:tblCellMar>
          <w:top w:w="0" w:type="dxa"/>
          <w:left w:w="108" w:type="dxa"/>
          <w:bottom w:w="0" w:type="dxa"/>
          <w:right w:w="108" w:type="dxa"/>
        </w:tblCellMar>
      </w:tblPr>
      <w:tblGrid>
        <w:gridCol w:w="416"/>
        <w:gridCol w:w="946"/>
        <w:gridCol w:w="416"/>
        <w:gridCol w:w="416"/>
        <w:gridCol w:w="743"/>
        <w:gridCol w:w="794"/>
        <w:gridCol w:w="663"/>
        <w:gridCol w:w="523"/>
        <w:gridCol w:w="497"/>
        <w:gridCol w:w="450"/>
        <w:gridCol w:w="450"/>
        <w:gridCol w:w="816"/>
        <w:gridCol w:w="553"/>
        <w:gridCol w:w="470"/>
        <w:gridCol w:w="553"/>
        <w:gridCol w:w="441"/>
        <w:gridCol w:w="553"/>
        <w:gridCol w:w="416"/>
      </w:tblGrid>
      <w:tr w14:paraId="61AD42C3">
        <w:tblPrEx>
          <w:tblCellMar>
            <w:top w:w="0" w:type="dxa"/>
            <w:left w:w="108" w:type="dxa"/>
            <w:bottom w:w="0" w:type="dxa"/>
            <w:right w:w="108" w:type="dxa"/>
          </w:tblCellMar>
        </w:tblPrEx>
        <w:trPr>
          <w:trHeight w:val="285" w:hRule="atLeast"/>
        </w:trPr>
        <w:tc>
          <w:tcPr>
            <w:tcW w:w="1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F56677F">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序</w:t>
            </w:r>
            <w:r>
              <w:rPr>
                <w:rFonts w:hint="eastAsia" w:ascii="宋体" w:hAnsi="宋体" w:cs="宋体"/>
                <w:kern w:val="0"/>
                <w:sz w:val="20"/>
                <w:szCs w:val="20"/>
                <w:lang w:bidi="ar"/>
              </w:rPr>
              <w:br w:type="textWrapping"/>
            </w:r>
            <w:r>
              <w:rPr>
                <w:rFonts w:hint="eastAsia" w:ascii="宋体" w:hAnsi="宋体" w:cs="宋体"/>
                <w:kern w:val="0"/>
                <w:sz w:val="20"/>
                <w:szCs w:val="20"/>
                <w:lang w:bidi="ar"/>
              </w:rPr>
              <w:t>号</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9C2E0FD">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单位名称</w:t>
            </w:r>
          </w:p>
        </w:tc>
        <w:tc>
          <w:tcPr>
            <w:tcW w:w="19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F12B1BF">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地区</w:t>
            </w:r>
          </w:p>
        </w:tc>
        <w:tc>
          <w:tcPr>
            <w:tcW w:w="21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798CB029">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联系人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50CE160">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联系方式</w:t>
            </w:r>
          </w:p>
        </w:tc>
        <w:tc>
          <w:tcPr>
            <w:tcW w:w="40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402A628">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唯一指定</w:t>
            </w:r>
          </w:p>
          <w:p w14:paraId="3938F2EB">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邮箱</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4B94A10F">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注册资金</w:t>
            </w:r>
            <w:r>
              <w:rPr>
                <w:rFonts w:hint="eastAsia" w:ascii="宋体" w:hAnsi="宋体" w:cs="宋体"/>
                <w:kern w:val="0"/>
                <w:sz w:val="20"/>
                <w:szCs w:val="20"/>
                <w:lang w:bidi="ar"/>
              </w:rPr>
              <w:br w:type="textWrapping"/>
            </w:r>
            <w:r>
              <w:rPr>
                <w:rFonts w:hint="eastAsia" w:ascii="宋体" w:hAnsi="宋体" w:cs="宋体"/>
                <w:kern w:val="0"/>
                <w:sz w:val="20"/>
                <w:szCs w:val="20"/>
                <w:lang w:bidi="ar"/>
              </w:rPr>
              <w:t>（≥500万）</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1FD1EF08">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注册时间</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57E2283D">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企业性质</w:t>
            </w:r>
          </w:p>
        </w:tc>
        <w:tc>
          <w:tcPr>
            <w:tcW w:w="236" w:type="pct"/>
            <w:vMerge w:val="restart"/>
            <w:tcBorders>
              <w:top w:val="single" w:color="000000" w:sz="4" w:space="0"/>
              <w:left w:val="single" w:color="000000" w:sz="4" w:space="0"/>
              <w:right w:val="single" w:color="000000" w:sz="4" w:space="0"/>
            </w:tcBorders>
            <w:shd w:val="clear" w:color="auto" w:fill="FFFFFF"/>
          </w:tcPr>
          <w:p w14:paraId="28FCA764">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施工总承包资质</w:t>
            </w:r>
          </w:p>
        </w:tc>
        <w:tc>
          <w:tcPr>
            <w:tcW w:w="2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69C4B686">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项目经理</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14:paraId="2078BD6F">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类似</w:t>
            </w:r>
            <w:r>
              <w:rPr>
                <w:rFonts w:hint="eastAsia" w:ascii="宋体" w:hAnsi="宋体" w:cs="宋体"/>
                <w:kern w:val="0"/>
                <w:sz w:val="20"/>
                <w:szCs w:val="20"/>
                <w:lang w:bidi="ar"/>
              </w:rPr>
              <w:br w:type="textWrapping"/>
            </w:r>
            <w:r>
              <w:rPr>
                <w:rFonts w:hint="eastAsia" w:ascii="宋体" w:hAnsi="宋体" w:cs="宋体"/>
                <w:kern w:val="0"/>
                <w:sz w:val="20"/>
                <w:szCs w:val="20"/>
                <w:lang w:bidi="ar"/>
              </w:rPr>
              <w:t>业绩</w:t>
            </w:r>
          </w:p>
          <w:p w14:paraId="54859CE3">
            <w:pPr>
              <w:keepNext w:val="0"/>
              <w:keepLines w:val="0"/>
              <w:widowControl/>
              <w:suppressLineNumbers w:val="0"/>
              <w:spacing w:before="0" w:beforeAutospacing="0" w:after="0" w:afterAutospacing="0"/>
              <w:ind w:left="0" w:right="0"/>
              <w:jc w:val="center"/>
              <w:textAlignment w:val="center"/>
              <w:rPr>
                <w:rFonts w:hint="eastAsia" w:ascii="宋体" w:hAnsi="宋体" w:cs="宋体"/>
                <w:kern w:val="0"/>
                <w:sz w:val="20"/>
                <w:szCs w:val="20"/>
                <w:lang w:bidi="ar"/>
              </w:rPr>
            </w:pPr>
            <w:r>
              <w:rPr>
                <w:rFonts w:hint="eastAsia" w:ascii="宋体" w:hAnsi="宋体" w:cs="宋体"/>
                <w:kern w:val="0"/>
                <w:sz w:val="20"/>
                <w:szCs w:val="20"/>
                <w:lang w:bidi="ar"/>
              </w:rPr>
              <w:t>数量</w:t>
            </w:r>
          </w:p>
          <w:p w14:paraId="27530DA0">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（项）</w:t>
            </w:r>
          </w:p>
        </w:tc>
        <w:tc>
          <w:tcPr>
            <w:tcW w:w="5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309349CA">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3</w:t>
            </w:r>
            <w:r>
              <w:rPr>
                <w:rFonts w:hint="eastAsia" w:ascii="宋体" w:hAnsi="宋体" w:cs="宋体"/>
                <w:kern w:val="0"/>
                <w:sz w:val="20"/>
                <w:szCs w:val="20"/>
                <w:lang w:bidi="ar"/>
              </w:rPr>
              <w:t>年</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06B97850">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4</w:t>
            </w:r>
            <w:r>
              <w:rPr>
                <w:rFonts w:hint="eastAsia" w:ascii="宋体" w:hAnsi="宋体" w:cs="宋体"/>
                <w:kern w:val="0"/>
                <w:sz w:val="20"/>
                <w:szCs w:val="20"/>
                <w:lang w:bidi="ar"/>
              </w:rPr>
              <w:t>年</w:t>
            </w:r>
          </w:p>
        </w:tc>
        <w:tc>
          <w:tcPr>
            <w:tcW w:w="504"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14:paraId="6D185462">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202</w:t>
            </w:r>
            <w:r>
              <w:rPr>
                <w:rFonts w:hint="eastAsia" w:ascii="宋体" w:hAnsi="宋体" w:cs="宋体"/>
                <w:kern w:val="0"/>
                <w:sz w:val="20"/>
                <w:szCs w:val="20"/>
                <w:lang w:val="en-US" w:eastAsia="zh-CN" w:bidi="ar"/>
              </w:rPr>
              <w:t>5</w:t>
            </w:r>
            <w:r>
              <w:rPr>
                <w:rFonts w:hint="eastAsia" w:ascii="宋体" w:hAnsi="宋体" w:cs="宋体"/>
                <w:kern w:val="0"/>
                <w:sz w:val="20"/>
                <w:szCs w:val="20"/>
                <w:lang w:bidi="ar"/>
              </w:rPr>
              <w:t>年</w:t>
            </w:r>
          </w:p>
        </w:tc>
      </w:tr>
      <w:tr w14:paraId="7ACFFD90">
        <w:tblPrEx>
          <w:tblCellMar>
            <w:top w:w="0" w:type="dxa"/>
            <w:left w:w="108" w:type="dxa"/>
            <w:bottom w:w="0" w:type="dxa"/>
            <w:right w:w="108" w:type="dxa"/>
          </w:tblCellMar>
        </w:tblPrEx>
        <w:trPr>
          <w:trHeight w:val="480" w:hRule="atLeast"/>
        </w:trPr>
        <w:tc>
          <w:tcPr>
            <w:tcW w:w="1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AEAC842">
            <w:pPr>
              <w:keepNext w:val="0"/>
              <w:keepLines w:val="0"/>
              <w:suppressLineNumbers w:val="0"/>
              <w:spacing w:before="0" w:beforeAutospacing="0" w:after="0" w:afterAutospacing="0"/>
              <w:ind w:left="0" w:right="0"/>
              <w:rPr>
                <w:rFonts w:hint="default"/>
                <w:sz w:val="20"/>
                <w:szCs w:val="20"/>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88B1292">
            <w:pPr>
              <w:keepNext w:val="0"/>
              <w:keepLines w:val="0"/>
              <w:suppressLineNumbers w:val="0"/>
              <w:spacing w:before="0" w:beforeAutospacing="0" w:after="0" w:afterAutospacing="0"/>
              <w:ind w:left="0" w:right="0"/>
              <w:rPr>
                <w:rFonts w:hint="default"/>
                <w:sz w:val="20"/>
                <w:szCs w:val="20"/>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58EC80B">
            <w:pPr>
              <w:keepNext w:val="0"/>
              <w:keepLines w:val="0"/>
              <w:suppressLineNumbers w:val="0"/>
              <w:spacing w:before="0" w:beforeAutospacing="0" w:after="0" w:afterAutospacing="0"/>
              <w:ind w:left="0" w:right="0"/>
              <w:rPr>
                <w:rFonts w:hint="default"/>
                <w:sz w:val="20"/>
                <w:szCs w:val="20"/>
              </w:rPr>
            </w:pPr>
          </w:p>
        </w:tc>
        <w:tc>
          <w:tcPr>
            <w:tcW w:w="21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5080B021">
            <w:pPr>
              <w:keepNext w:val="0"/>
              <w:keepLines w:val="0"/>
              <w:suppressLineNumbers w:val="0"/>
              <w:spacing w:before="0" w:beforeAutospacing="0" w:after="0" w:afterAutospacing="0"/>
              <w:ind w:left="0" w:right="0"/>
              <w:rPr>
                <w:rFonts w:hint="default"/>
                <w:sz w:val="20"/>
                <w:szCs w:val="20"/>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4B6738A9">
            <w:pPr>
              <w:keepNext w:val="0"/>
              <w:keepLines w:val="0"/>
              <w:suppressLineNumbers w:val="0"/>
              <w:spacing w:before="0" w:beforeAutospacing="0" w:after="0" w:afterAutospacing="0"/>
              <w:ind w:left="0" w:right="0"/>
              <w:rPr>
                <w:rFonts w:hint="default"/>
                <w:sz w:val="20"/>
                <w:szCs w:val="20"/>
              </w:rPr>
            </w:pPr>
          </w:p>
        </w:tc>
        <w:tc>
          <w:tcPr>
            <w:tcW w:w="40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97EA18E">
            <w:pPr>
              <w:keepNext w:val="0"/>
              <w:keepLines w:val="0"/>
              <w:suppressLineNumbers w:val="0"/>
              <w:spacing w:before="0" w:beforeAutospacing="0" w:after="0" w:afterAutospacing="0"/>
              <w:ind w:left="0" w:right="0"/>
              <w:rPr>
                <w:rFonts w:hint="default"/>
                <w:sz w:val="20"/>
                <w:szCs w:val="20"/>
              </w:rPr>
            </w:pP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07AD2FD0">
            <w:pPr>
              <w:keepNext w:val="0"/>
              <w:keepLines w:val="0"/>
              <w:suppressLineNumbers w:val="0"/>
              <w:spacing w:before="0" w:beforeAutospacing="0" w:after="0" w:afterAutospacing="0"/>
              <w:ind w:left="0" w:right="0"/>
              <w:rPr>
                <w:rFonts w:hint="default"/>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1F249454">
            <w:pPr>
              <w:keepNext w:val="0"/>
              <w:keepLines w:val="0"/>
              <w:suppressLineNumbers w:val="0"/>
              <w:spacing w:before="0" w:beforeAutospacing="0" w:after="0" w:afterAutospacing="0"/>
              <w:ind w:left="0" w:right="0"/>
              <w:rPr>
                <w:rFonts w:hint="default"/>
                <w:sz w:val="20"/>
                <w:szCs w:val="20"/>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34A92B95">
            <w:pPr>
              <w:keepNext w:val="0"/>
              <w:keepLines w:val="0"/>
              <w:suppressLineNumbers w:val="0"/>
              <w:spacing w:before="0" w:beforeAutospacing="0" w:after="0" w:afterAutospacing="0"/>
              <w:ind w:left="0" w:right="0"/>
              <w:rPr>
                <w:rFonts w:hint="default"/>
                <w:sz w:val="20"/>
                <w:szCs w:val="20"/>
              </w:rPr>
            </w:pPr>
          </w:p>
        </w:tc>
        <w:tc>
          <w:tcPr>
            <w:tcW w:w="236" w:type="pct"/>
            <w:vMerge w:val="continue"/>
            <w:tcBorders>
              <w:left w:val="single" w:color="000000" w:sz="4" w:space="0"/>
              <w:bottom w:val="single" w:color="000000" w:sz="4" w:space="0"/>
              <w:right w:val="single" w:color="000000" w:sz="4" w:space="0"/>
            </w:tcBorders>
            <w:shd w:val="clear" w:color="auto" w:fill="FFFFFF"/>
          </w:tcPr>
          <w:p w14:paraId="3BBC8C3A">
            <w:pPr>
              <w:keepNext w:val="0"/>
              <w:keepLines w:val="0"/>
              <w:suppressLineNumbers w:val="0"/>
              <w:spacing w:before="0" w:beforeAutospacing="0" w:after="0" w:afterAutospacing="0"/>
              <w:ind w:left="0" w:right="0"/>
              <w:rPr>
                <w:rFonts w:hint="default"/>
                <w:sz w:val="20"/>
                <w:szCs w:val="20"/>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755CF8B8">
            <w:pPr>
              <w:keepNext w:val="0"/>
              <w:keepLines w:val="0"/>
              <w:suppressLineNumbers w:val="0"/>
              <w:spacing w:before="0" w:beforeAutospacing="0" w:after="0" w:afterAutospacing="0"/>
              <w:ind w:left="0" w:right="0"/>
              <w:rPr>
                <w:rFonts w:hint="default"/>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14:paraId="286011E2">
            <w:pPr>
              <w:keepNext w:val="0"/>
              <w:keepLines w:val="0"/>
              <w:suppressLineNumbers w:val="0"/>
              <w:spacing w:before="0" w:beforeAutospacing="0" w:after="0" w:afterAutospacing="0"/>
              <w:ind w:left="0" w:right="0"/>
              <w:rPr>
                <w:rFonts w:hint="default"/>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0D7F5AC">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8001A0B">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E75D8FA">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3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5CE5031">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26CC838">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营收</w:t>
            </w:r>
            <w:r>
              <w:rPr>
                <w:rFonts w:hint="eastAsia" w:ascii="宋体" w:hAnsi="宋体" w:cs="宋体"/>
                <w:kern w:val="0"/>
                <w:sz w:val="20"/>
                <w:szCs w:val="20"/>
                <w:lang w:bidi="ar"/>
              </w:rPr>
              <w:br w:type="textWrapping"/>
            </w:r>
            <w:r>
              <w:rPr>
                <w:rFonts w:hint="eastAsia" w:ascii="宋体" w:hAnsi="宋体" w:cs="宋体"/>
                <w:kern w:val="0"/>
                <w:sz w:val="20"/>
                <w:szCs w:val="20"/>
                <w:lang w:bidi="ar"/>
              </w:rPr>
              <w:t>/万元</w:t>
            </w:r>
          </w:p>
        </w:tc>
        <w:tc>
          <w:tcPr>
            <w:tcW w:w="218"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2911115">
            <w:pPr>
              <w:keepNext w:val="0"/>
              <w:keepLines w:val="0"/>
              <w:widowControl/>
              <w:suppressLineNumbers w:val="0"/>
              <w:spacing w:before="0" w:beforeAutospacing="0" w:after="0" w:afterAutospacing="0"/>
              <w:ind w:left="0" w:right="0"/>
              <w:jc w:val="center"/>
              <w:textAlignment w:val="center"/>
              <w:rPr>
                <w:rFonts w:hint="eastAsia" w:ascii="宋体" w:hAnsi="宋体" w:cs="宋体"/>
                <w:sz w:val="20"/>
                <w:szCs w:val="20"/>
              </w:rPr>
            </w:pPr>
            <w:r>
              <w:rPr>
                <w:rFonts w:hint="eastAsia" w:ascii="宋体" w:hAnsi="宋体" w:cs="宋体"/>
                <w:kern w:val="0"/>
                <w:sz w:val="20"/>
                <w:szCs w:val="20"/>
                <w:lang w:bidi="ar"/>
              </w:rPr>
              <w:t>资产负债率</w:t>
            </w:r>
          </w:p>
        </w:tc>
      </w:tr>
      <w:tr w14:paraId="7A96CCA3">
        <w:tblPrEx>
          <w:tblCellMar>
            <w:top w:w="0" w:type="dxa"/>
            <w:left w:w="108" w:type="dxa"/>
            <w:bottom w:w="0" w:type="dxa"/>
            <w:right w:w="108" w:type="dxa"/>
          </w:tblCellMar>
        </w:tblPrEx>
        <w:trPr>
          <w:trHeight w:val="64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48C3C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FEB50F0">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06273B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734BF8E">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489051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B913BD8">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9573A1">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5070CF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38EA158">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1D530C31">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DB29E4D">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DE3053">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D720A2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279951C">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A31CE49">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3FF89D2C">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75E6839">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569F1ADD">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r w14:paraId="4F7C48A3">
        <w:tblPrEx>
          <w:tblCellMar>
            <w:top w:w="0" w:type="dxa"/>
            <w:left w:w="108" w:type="dxa"/>
            <w:bottom w:w="0" w:type="dxa"/>
            <w:right w:w="108" w:type="dxa"/>
          </w:tblCellMar>
        </w:tblPrEx>
        <w:trPr>
          <w:trHeight w:val="694"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E6ADF08">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06DE3CF">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14C04C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822CBF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67ED7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621E51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39330124">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659BA6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C5F83D4">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2266B48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7D796B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3A399F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7B77E8B">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1359F9E5">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951A104">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54B26CB4">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8B5022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773A065C">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r w14:paraId="03001F3D">
        <w:tblPrEx>
          <w:tblCellMar>
            <w:top w:w="0" w:type="dxa"/>
            <w:left w:w="108" w:type="dxa"/>
            <w:bottom w:w="0" w:type="dxa"/>
            <w:right w:w="108" w:type="dxa"/>
          </w:tblCellMar>
        </w:tblPrEx>
        <w:trPr>
          <w:trHeight w:val="71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1749AE9">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F2F4BE4">
            <w:pPr>
              <w:keepNext w:val="0"/>
              <w:keepLines w:val="0"/>
              <w:suppressLineNumbers w:val="0"/>
              <w:spacing w:before="0" w:beforeAutospacing="0" w:after="0" w:afterAutospacing="0"/>
              <w:ind w:left="0" w:right="0"/>
              <w:rPr>
                <w:rFonts w:hint="eastAsia" w:ascii="宋体" w:hAnsi="宋体" w:cs="宋体"/>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5E464F7A">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DD43E20">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45AA0BC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B2C3A7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C007CE6">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06732E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4F1A1D5">
            <w:pPr>
              <w:keepNext w:val="0"/>
              <w:keepLines w:val="0"/>
              <w:suppressLineNumbers w:val="0"/>
              <w:spacing w:before="0" w:beforeAutospacing="0" w:after="0" w:afterAutospacing="0"/>
              <w:ind w:left="0" w:right="0"/>
              <w:jc w:val="left"/>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14:paraId="75FA21B7">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74C0093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298B5EB5">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1AA05DD2">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14:paraId="61DA7CA6">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0CEDDB7E">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14:paraId="3F3AC8AA">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14:paraId="6B6E14DF">
            <w:pPr>
              <w:keepNext w:val="0"/>
              <w:keepLines w:val="0"/>
              <w:suppressLineNumbers w:val="0"/>
              <w:spacing w:before="0" w:beforeAutospacing="0" w:after="0" w:afterAutospacing="0"/>
              <w:ind w:left="0" w:right="0"/>
              <w:jc w:val="center"/>
              <w:rPr>
                <w:rFonts w:hint="eastAsia" w:ascii="宋体" w:hAnsi="宋体" w:cs="宋体"/>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14:paraId="67DEF5FE">
            <w:pPr>
              <w:keepNext w:val="0"/>
              <w:keepLines w:val="0"/>
              <w:suppressLineNumbers w:val="0"/>
              <w:spacing w:before="0" w:beforeAutospacing="0" w:after="0" w:afterAutospacing="0"/>
              <w:ind w:left="0" w:right="0"/>
              <w:jc w:val="center"/>
              <w:rPr>
                <w:rFonts w:hint="eastAsia" w:ascii="宋体" w:hAnsi="宋体" w:cs="宋体"/>
                <w:sz w:val="20"/>
                <w:szCs w:val="20"/>
              </w:rPr>
            </w:pPr>
            <w:r>
              <w:rPr>
                <w:rFonts w:hint="eastAsia" w:ascii="宋体" w:hAnsi="宋体" w:cs="宋体"/>
                <w:sz w:val="20"/>
                <w:szCs w:val="20"/>
              </w:rPr>
              <w:t>%</w:t>
            </w:r>
          </w:p>
        </w:tc>
      </w:tr>
    </w:tbl>
    <w:p w14:paraId="78F3098D">
      <w:pPr>
        <w:rPr>
          <w:rFonts w:hint="eastAsia" w:ascii="宋体" w:hAnsi="宋体"/>
          <w:kern w:val="0"/>
          <w:sz w:val="24"/>
          <w:szCs w:val="21"/>
          <w:lang w:bidi="en-US"/>
        </w:rPr>
      </w:pPr>
    </w:p>
    <w:p w14:paraId="142C803C">
      <w:pPr>
        <w:autoSpaceDE w:val="0"/>
        <w:autoSpaceDN w:val="0"/>
        <w:adjustRightInd w:val="0"/>
        <w:snapToGrid w:val="0"/>
        <w:spacing w:line="420" w:lineRule="exact"/>
        <w:jc w:val="left"/>
        <w:rPr>
          <w:rFonts w:ascii="宋体" w:cs="宋体"/>
          <w:b/>
          <w:bCs/>
          <w:sz w:val="24"/>
          <w:lang w:bidi="ar"/>
        </w:rPr>
      </w:pPr>
      <w:r>
        <w:rPr>
          <w:rFonts w:hint="eastAsia" w:ascii="宋体" w:cs="宋体"/>
          <w:b/>
          <w:bCs/>
          <w:sz w:val="24"/>
          <w:lang w:bidi="ar"/>
        </w:rPr>
        <w:t>注意：数据依据为报名单位提供的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，各报名单位务必确保数据真实及填写格式准确，如有不实之处一经核实将取消报名资格，e采通注册时未填报财务数据的，将无法提交应标资料并无法参加投标，请及时补充资料，详见后附说明。</w:t>
      </w:r>
    </w:p>
    <w:p w14:paraId="7090B49A">
      <w:pPr>
        <w:rPr>
          <w:rFonts w:hint="eastAsia" w:ascii="宋体" w:hAnsi="宋体"/>
          <w:kern w:val="0"/>
          <w:sz w:val="24"/>
          <w:szCs w:val="21"/>
          <w:lang w:bidi="en-US"/>
        </w:rPr>
        <w:sectPr>
          <w:headerReference r:id="rId3" w:type="default"/>
          <w:footerReference r:id="rId4" w:type="default"/>
          <w:pgSz w:w="11906" w:h="16838"/>
          <w:pgMar w:top="833" w:right="1003" w:bottom="777" w:left="1003" w:header="227" w:footer="227" w:gutter="0"/>
          <w:cols w:space="720" w:num="1"/>
          <w:docGrid w:type="lines" w:linePitch="381" w:charSpace="0"/>
        </w:sectPr>
      </w:pPr>
    </w:p>
    <w:p w14:paraId="186C6897">
      <w:pPr>
        <w:pStyle w:val="10"/>
        <w:rPr>
          <w:rFonts w:ascii="宋体" w:hAnsi="宋体"/>
          <w:kern w:val="0"/>
          <w:sz w:val="24"/>
          <w:szCs w:val="21"/>
          <w:lang w:bidi="en-US"/>
        </w:rPr>
      </w:pPr>
    </w:p>
    <w:p w14:paraId="50ABE338">
      <w:pPr>
        <w:pStyle w:val="2"/>
        <w:widowControl/>
        <w:ind w:left="0" w:leftChars="0" w:firstLine="0" w:firstLineChars="0"/>
        <w:rPr>
          <w:rFonts w:ascii="宋体"/>
          <w:b/>
          <w:iCs/>
          <w:sz w:val="36"/>
          <w:szCs w:val="20"/>
        </w:rPr>
      </w:pPr>
      <w:r>
        <w:rPr>
          <w:rFonts w:hint="eastAsia" w:ascii="宋体" w:cs="宋体"/>
          <w:sz w:val="24"/>
        </w:rPr>
        <w:t>附件2</w:t>
      </w:r>
    </w:p>
    <w:p w14:paraId="1C2F35D1">
      <w:pPr>
        <w:jc w:val="center"/>
        <w:rPr>
          <w:b/>
          <w:bCs/>
          <w:sz w:val="30"/>
          <w:szCs w:val="30"/>
        </w:rPr>
      </w:pPr>
      <w:bookmarkStart w:id="15" w:name="_Toc20729"/>
      <w:bookmarkStart w:id="16" w:name="_Toc9534"/>
      <w:bookmarkStart w:id="17" w:name="_Toc25980"/>
      <w:bookmarkStart w:id="18" w:name="_Toc3889"/>
      <w:bookmarkStart w:id="19" w:name="_Toc6557"/>
      <w:r>
        <w:rPr>
          <w:rFonts w:hint="eastAsia"/>
          <w:b/>
          <w:bCs/>
          <w:sz w:val="30"/>
          <w:szCs w:val="30"/>
        </w:rPr>
        <w:t>非生产供应商注册操作手册</w:t>
      </w:r>
      <w:bookmarkEnd w:id="15"/>
      <w:bookmarkEnd w:id="16"/>
      <w:bookmarkEnd w:id="17"/>
      <w:bookmarkEnd w:id="18"/>
      <w:bookmarkEnd w:id="19"/>
    </w:p>
    <w:p w14:paraId="6B80311F">
      <w:pPr>
        <w:snapToGrid w:val="0"/>
        <w:spacing w:line="288" w:lineRule="auto"/>
        <w:rPr>
          <w:rFonts w:hint="eastAsia" w:ascii="宋体" w:hAnsi="宋体" w:cs="宋体"/>
          <w:b/>
          <w:bCs/>
          <w:color w:val="FF0000"/>
          <w:szCs w:val="21"/>
        </w:rPr>
      </w:pPr>
      <w:r>
        <w:rPr>
          <w:rFonts w:hint="eastAsia" w:ascii="宋体" w:hAnsi="宋体" w:cs="宋体"/>
          <w:b/>
          <w:bCs/>
          <w:szCs w:val="21"/>
        </w:rPr>
        <w:t>e采通账号注册</w:t>
      </w:r>
    </w:p>
    <w:p w14:paraId="0F20C10F">
      <w:pPr>
        <w:snapToGrid w:val="0"/>
        <w:spacing w:line="288" w:lineRule="auto"/>
        <w:rPr>
          <w:rFonts w:hint="eastAsia"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14:paraId="60C6921C">
      <w:pPr>
        <w:snapToGrid w:val="0"/>
        <w:spacing w:line="288" w:lineRule="auto"/>
        <w:rPr>
          <w:rFonts w:hint="eastAsia"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14:paraId="035A66D1">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3979740F">
      <w:pPr>
        <w:rPr>
          <w:rFonts w:ascii="宋体" w:cs="宋体"/>
          <w:b/>
          <w:bCs/>
          <w:color w:val="C00000"/>
          <w:lang w:bidi="ar"/>
        </w:rPr>
      </w:pPr>
    </w:p>
    <w:p w14:paraId="2E24F70E">
      <w:pPr>
        <w:rPr>
          <w:rFonts w:ascii="宋体" w:cs="宋体"/>
          <w:b/>
          <w:bCs/>
          <w:color w:val="C00000"/>
          <w:lang w:bidi="ar"/>
        </w:rPr>
      </w:pPr>
    </w:p>
    <w:p w14:paraId="4AF2215E">
      <w:pPr>
        <w:rPr>
          <w:rFonts w:ascii="宋体" w:cs="宋体"/>
          <w:b/>
          <w:bCs/>
          <w:sz w:val="32"/>
          <w:szCs w:val="40"/>
          <w:highlight w:val="yellow"/>
        </w:rPr>
      </w:pPr>
      <w:r>
        <w:rPr>
          <w:rFonts w:hint="eastAsia" w:ascii="宋体" w:cs="宋体"/>
          <w:b/>
          <w:bCs/>
          <w:sz w:val="32"/>
          <w:szCs w:val="40"/>
          <w:highlight w:val="yellow"/>
          <w:lang w:bidi="ar"/>
        </w:rPr>
        <w:t>供应商注册</w:t>
      </w:r>
    </w:p>
    <w:p w14:paraId="5D67F6EE">
      <w:pPr>
        <w:rPr>
          <w:rFonts w:ascii="宋体" w:cs="宋体"/>
          <w:b/>
          <w:bCs/>
          <w:color w:val="C00000"/>
        </w:rPr>
      </w:pPr>
      <w:r>
        <w:rPr>
          <w:rFonts w:hint="eastAsia" w:ascii="宋体" w:cs="宋体"/>
          <w:b/>
          <w:bCs/>
          <w:color w:val="C00000"/>
          <w:lang w:bidi="ar"/>
        </w:rPr>
        <w:t>归口部门选“技术改造部”</w:t>
      </w:r>
    </w:p>
    <w:p w14:paraId="7F72C288">
      <w:r>
        <w:rPr>
          <w:rFonts w:hint="eastAsia" w:ascii="宋体" w:cs="宋体"/>
          <w:color w:val="000000"/>
          <w:lang w:bidi="ar"/>
        </w:rPr>
        <w:t>浏览器中输入地址</w:t>
      </w:r>
      <w:r>
        <w:rPr>
          <w:rFonts w:ascii="Calibri" w:hAnsi="Calibri" w:eastAsia="Calibri" w:cs="Calibri"/>
          <w:color w:val="000000"/>
          <w:lang w:bidi="ar"/>
        </w:rPr>
        <w:t>;</w:t>
      </w:r>
    </w:p>
    <w:p w14:paraId="04A92EBB">
      <w:r>
        <w:fldChar w:fldCharType="begin"/>
      </w:r>
      <w:r>
        <w:instrText xml:space="preserve"> HYPERLINK "http://ecaitong.sinotruk.com:8012/" \l "/login normalLink /tdkey d38o9f /tdfe -10 /tdfu http:/ecaitong.sinotruk.com:8012/#/login /tdlt inline" </w:instrText>
      </w:r>
      <w:r>
        <w:fldChar w:fldCharType="separate"/>
      </w:r>
      <w:r>
        <w:rPr>
          <w:rStyle w:val="26"/>
        </w:rPr>
        <w:t>http</w:t>
      </w:r>
      <w:r>
        <w:rPr>
          <w:rStyle w:val="26"/>
          <w:rFonts w:hint="eastAsia"/>
        </w:rPr>
        <w:t>s</w:t>
      </w:r>
      <w:r>
        <w:rPr>
          <w:rStyle w:val="26"/>
        </w:rPr>
        <w:t>://ecaitong.sinotruk.com:8012/#/login</w:t>
      </w:r>
      <w:r>
        <w:rPr>
          <w:rStyle w:val="26"/>
        </w:rPr>
        <w:fldChar w:fldCharType="end"/>
      </w:r>
    </w:p>
    <w:p w14:paraId="59D01CF9">
      <w:pPr>
        <w:numPr>
          <w:ilvl w:val="0"/>
          <w:numId w:val="4"/>
        </w:numPr>
        <w:rPr>
          <w:rFonts w:ascii="宋体" w:cs="宋体"/>
          <w:color w:val="000000"/>
          <w:lang w:bidi="ar"/>
        </w:rPr>
      </w:pPr>
      <w:r>
        <w:rPr>
          <w:rFonts w:hint="eastAsia" w:ascii="宋体" w:cs="宋体"/>
          <w:color w:val="000000"/>
          <w:lang w:bidi="ar"/>
        </w:rPr>
        <w:t>点击立即注册</w:t>
      </w:r>
    </w:p>
    <w:p w14:paraId="7AF86BB9">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14:paraId="7556CA39">
      <w:pPr>
        <w:snapToGrid w:val="0"/>
        <w:spacing w:line="312" w:lineRule="auto"/>
      </w:pPr>
      <w:r>
        <w:rPr>
          <w:rFonts w:ascii="宋体" w:hAnsi="宋体" w:cs="宋体"/>
          <w:sz w:val="24"/>
        </w:rPr>
        <w:drawing>
          <wp:inline distT="0" distB="0" distL="114300" distR="114300">
            <wp:extent cx="5605145" cy="2578735"/>
            <wp:effectExtent l="0" t="0" r="825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8"/>
                    <a:stretch>
                      <a:fillRect/>
                    </a:stretch>
                  </pic:blipFill>
                  <pic:spPr>
                    <a:xfrm>
                      <a:off x="0" y="0"/>
                      <a:ext cx="5605145" cy="2578735"/>
                    </a:xfrm>
                    <a:prstGeom prst="rect">
                      <a:avLst/>
                    </a:prstGeom>
                    <a:noFill/>
                    <a:ln w="9525">
                      <a:noFill/>
                    </a:ln>
                  </pic:spPr>
                </pic:pic>
              </a:graphicData>
            </a:graphic>
          </wp:inline>
        </w:drawing>
      </w:r>
    </w:p>
    <w:p w14:paraId="5A0A8EB6">
      <w:r>
        <w:rPr>
          <w:rFonts w:ascii="Calibri" w:hAnsi="Calibri" w:eastAsia="Calibri" w:cs="Calibri"/>
          <w:color w:val="000000"/>
          <w:lang w:bidi="ar"/>
        </w:rPr>
        <w:t xml:space="preserve">2.     </w:t>
      </w:r>
      <w:r>
        <w:rPr>
          <w:rFonts w:hint="eastAsia" w:ascii="宋体" w:cs="宋体"/>
          <w:color w:val="000000"/>
          <w:lang w:bidi="ar"/>
        </w:rPr>
        <w:t>填写手机号码（没有注册过的）</w:t>
      </w:r>
    </w:p>
    <w:p w14:paraId="5ECC8143">
      <w:pPr>
        <w:snapToGrid w:val="0"/>
        <w:spacing w:line="312" w:lineRule="auto"/>
      </w:pPr>
      <w:r>
        <w:drawing>
          <wp:inline distT="0" distB="0" distL="114300" distR="114300">
            <wp:extent cx="5758180" cy="2765425"/>
            <wp:effectExtent l="0" t="0" r="7620" b="317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9"/>
                    <a:stretch>
                      <a:fillRect/>
                    </a:stretch>
                  </pic:blipFill>
                  <pic:spPr>
                    <a:xfrm>
                      <a:off x="0" y="0"/>
                      <a:ext cx="5758180" cy="2765425"/>
                    </a:xfrm>
                    <a:prstGeom prst="rect">
                      <a:avLst/>
                    </a:prstGeom>
                    <a:noFill/>
                    <a:ln>
                      <a:noFill/>
                    </a:ln>
                  </pic:spPr>
                </pic:pic>
              </a:graphicData>
            </a:graphic>
          </wp:inline>
        </w:drawing>
      </w:r>
    </w:p>
    <w:p w14:paraId="5F211881">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14:paraId="43AE76E1">
      <w:pPr>
        <w:snapToGrid w:val="0"/>
        <w:spacing w:line="312" w:lineRule="auto"/>
      </w:pPr>
      <w:r>
        <w:drawing>
          <wp:inline distT="0" distB="0" distL="114300" distR="114300">
            <wp:extent cx="5760085" cy="2867025"/>
            <wp:effectExtent l="0" t="0" r="5715" b="3175"/>
            <wp:docPr id="2" name="图片 2" descr="descript"/>
            <wp:cNvGraphicFramePr/>
            <a:graphic xmlns:a="http://schemas.openxmlformats.org/drawingml/2006/main">
              <a:graphicData uri="http://schemas.openxmlformats.org/drawingml/2006/picture">
                <pic:pic xmlns:pic="http://schemas.openxmlformats.org/drawingml/2006/picture">
                  <pic:nvPicPr>
                    <pic:cNvPr id="2" name="图片 2" descr="descript"/>
                    <pic:cNvPicPr/>
                  </pic:nvPicPr>
                  <pic:blipFill>
                    <a:blip r:embed="rId10"/>
                    <a:stretch>
                      <a:fillRect/>
                    </a:stretch>
                  </pic:blipFill>
                  <pic:spPr>
                    <a:xfrm>
                      <a:off x="0" y="0"/>
                      <a:ext cx="5760085" cy="2867025"/>
                    </a:xfrm>
                    <a:prstGeom prst="rect">
                      <a:avLst/>
                    </a:prstGeom>
                    <a:noFill/>
                    <a:ln>
                      <a:noFill/>
                    </a:ln>
                  </pic:spPr>
                </pic:pic>
              </a:graphicData>
            </a:graphic>
          </wp:inline>
        </w:drawing>
      </w:r>
    </w:p>
    <w:p w14:paraId="014BE73E">
      <w:r>
        <w:rPr>
          <w:rFonts w:ascii="Calibri" w:hAnsi="Calibri" w:eastAsia="Calibri" w:cs="Calibri"/>
          <w:color w:val="000000"/>
          <w:lang w:bidi="ar"/>
        </w:rPr>
        <w:t xml:space="preserve">4.     </w:t>
      </w:r>
      <w:r>
        <w:rPr>
          <w:rFonts w:hint="eastAsia" w:ascii="宋体" w:cs="宋体"/>
          <w:color w:val="000000"/>
          <w:lang w:bidi="ar"/>
        </w:rPr>
        <w:t>点击新增</w:t>
      </w:r>
    </w:p>
    <w:p w14:paraId="36EC96A3">
      <w:pPr>
        <w:snapToGrid w:val="0"/>
        <w:spacing w:line="312" w:lineRule="auto"/>
      </w:pPr>
      <w:r>
        <w:drawing>
          <wp:inline distT="0" distB="0" distL="114300" distR="114300">
            <wp:extent cx="5758180" cy="2852420"/>
            <wp:effectExtent l="0" t="0" r="7620" b="5080"/>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11"/>
                    <a:stretch>
                      <a:fillRect/>
                    </a:stretch>
                  </pic:blipFill>
                  <pic:spPr>
                    <a:xfrm>
                      <a:off x="0" y="0"/>
                      <a:ext cx="5758180" cy="2852420"/>
                    </a:xfrm>
                    <a:prstGeom prst="rect">
                      <a:avLst/>
                    </a:prstGeom>
                    <a:noFill/>
                    <a:ln>
                      <a:noFill/>
                    </a:ln>
                  </pic:spPr>
                </pic:pic>
              </a:graphicData>
            </a:graphic>
          </wp:inline>
        </w:drawing>
      </w:r>
    </w:p>
    <w:p w14:paraId="68F571D8">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14:paraId="44FCFB29">
      <w:pPr>
        <w:rPr>
          <w:rFonts w:ascii="宋体" w:cs="宋体"/>
          <w:color w:val="000000"/>
        </w:rPr>
      </w:pPr>
      <w:r>
        <w:drawing>
          <wp:inline distT="0" distB="0" distL="114300" distR="114300">
            <wp:extent cx="5760085" cy="2807335"/>
            <wp:effectExtent l="0" t="0" r="5715" b="12065"/>
            <wp:docPr id="21" name="图片 21" descr="descript"/>
            <wp:cNvGraphicFramePr/>
            <a:graphic xmlns:a="http://schemas.openxmlformats.org/drawingml/2006/main">
              <a:graphicData uri="http://schemas.openxmlformats.org/drawingml/2006/picture">
                <pic:pic xmlns:pic="http://schemas.openxmlformats.org/drawingml/2006/picture">
                  <pic:nvPicPr>
                    <pic:cNvPr id="21" name="图片 21" descr="descript"/>
                    <pic:cNvPicPr/>
                  </pic:nvPicPr>
                  <pic:blipFill>
                    <a:blip r:embed="rId12"/>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7620"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7620" b="1905"/>
            <wp:docPr id="8" name="图片 8" descr="descript"/>
            <wp:cNvGraphicFramePr/>
            <a:graphic xmlns:a="http://schemas.openxmlformats.org/drawingml/2006/main">
              <a:graphicData uri="http://schemas.openxmlformats.org/drawingml/2006/picture">
                <pic:pic xmlns:pic="http://schemas.openxmlformats.org/drawingml/2006/picture">
                  <pic:nvPicPr>
                    <pic:cNvPr id="8" name="图片 8" descr="descript"/>
                    <pic:cNvPicPr/>
                  </pic:nvPicPr>
                  <pic:blipFill>
                    <a:blip r:embed="rId13"/>
                    <a:stretch>
                      <a:fillRect/>
                    </a:stretch>
                  </pic:blipFill>
                  <pic:spPr>
                    <a:xfrm>
                      <a:off x="0" y="0"/>
                      <a:ext cx="5758180" cy="2817495"/>
                    </a:xfrm>
                    <a:prstGeom prst="rect">
                      <a:avLst/>
                    </a:prstGeom>
                    <a:noFill/>
                    <a:ln>
                      <a:noFill/>
                    </a:ln>
                  </pic:spPr>
                </pic:pic>
              </a:graphicData>
            </a:graphic>
          </wp:inline>
        </w:drawing>
      </w:r>
    </w:p>
    <w:p w14:paraId="28F9393F"/>
    <w:p w14:paraId="22635A8E">
      <w:pPr>
        <w:snapToGrid w:val="0"/>
        <w:spacing w:line="312" w:lineRule="auto"/>
      </w:pPr>
    </w:p>
    <w:p w14:paraId="0EC25764"/>
    <w:p w14:paraId="6BFE0FC9">
      <w:pPr>
        <w:pStyle w:val="8"/>
        <w:widowControl/>
        <w:rPr>
          <w:rFonts w:ascii="Cambria" w:hAnsi="Cambria" w:cs="Cambria"/>
          <w:highlight w:val="yellow"/>
        </w:rPr>
      </w:pPr>
      <w:r>
        <w:rPr>
          <w:rFonts w:hint="eastAsia" w:ascii="宋体" w:cs="宋体"/>
          <w:highlight w:val="yellow"/>
        </w:rPr>
        <w:t>附件-e采通登录界面</w:t>
      </w:r>
    </w:p>
    <w:p w14:paraId="76723C9C">
      <w:pPr>
        <w:spacing w:line="360" w:lineRule="auto"/>
      </w:pPr>
      <w:r>
        <w:rPr>
          <w:lang w:bidi="ar"/>
        </w:rPr>
        <w:t>1</w:t>
      </w:r>
      <w:r>
        <w:rPr>
          <w:rFonts w:hint="eastAsia" w:ascii="宋体" w:cs="宋体"/>
          <w:lang w:bidi="ar"/>
        </w:rPr>
        <w:t>）功能简介</w:t>
      </w:r>
    </w:p>
    <w:p w14:paraId="23713CE5">
      <w:pPr>
        <w:spacing w:line="360" w:lineRule="auto"/>
      </w:pPr>
      <w:r>
        <w:rPr>
          <w:rFonts w:hint="eastAsia" w:ascii="宋体" w:cs="宋体"/>
          <w:lang w:bidi="ar"/>
        </w:rPr>
        <w:t>此页面用于进行账号登录，找回密码。</w:t>
      </w:r>
    </w:p>
    <w:p w14:paraId="57251529">
      <w:pPr>
        <w:numPr>
          <w:ilvl w:val="0"/>
          <w:numId w:val="5"/>
        </w:numPr>
        <w:spacing w:line="360" w:lineRule="auto"/>
      </w:pPr>
      <w:r>
        <w:rPr>
          <w:rFonts w:hint="eastAsia" w:ascii="宋体" w:cs="宋体"/>
          <w:lang w:bidi="ar"/>
        </w:rPr>
        <w:t>界面如下</w:t>
      </w:r>
    </w:p>
    <w:p w14:paraId="22711B1B">
      <w:r>
        <w:drawing>
          <wp:inline distT="0" distB="0" distL="114300" distR="114300">
            <wp:extent cx="5278120" cy="2660650"/>
            <wp:effectExtent l="0" t="0" r="50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14"/>
                    <a:stretch>
                      <a:fillRect/>
                    </a:stretch>
                  </pic:blipFill>
                  <pic:spPr>
                    <a:xfrm>
                      <a:off x="0" y="0"/>
                      <a:ext cx="5278120" cy="2660650"/>
                    </a:xfrm>
                    <a:prstGeom prst="rect">
                      <a:avLst/>
                    </a:prstGeom>
                    <a:noFill/>
                    <a:ln>
                      <a:noFill/>
                    </a:ln>
                  </pic:spPr>
                </pic:pic>
              </a:graphicData>
            </a:graphic>
          </wp:inline>
        </w:drawing>
      </w:r>
    </w:p>
    <w:p w14:paraId="32A1471B">
      <w:pPr>
        <w:pStyle w:val="35"/>
        <w:widowControl/>
        <w:ind w:firstLine="0" w:firstLineChars="0"/>
        <w:rPr>
          <w:kern w:val="2"/>
          <w:sz w:val="21"/>
          <w:szCs w:val="21"/>
        </w:rPr>
      </w:pPr>
      <w:r>
        <w:rPr>
          <w:kern w:val="2"/>
          <w:sz w:val="21"/>
          <w:szCs w:val="21"/>
        </w:rPr>
        <w:t>3</w:t>
      </w:r>
      <w:r>
        <w:rPr>
          <w:rFonts w:hint="eastAsia" w:ascii="宋体" w:cs="宋体"/>
          <w:kern w:val="2"/>
          <w:sz w:val="21"/>
          <w:szCs w:val="21"/>
        </w:rPr>
        <w:t>）页面规则</w:t>
      </w:r>
    </w:p>
    <w:p w14:paraId="6671DC30">
      <w:pPr>
        <w:pStyle w:val="35"/>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14:paraId="18E46FE0">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14:paraId="2B6BF4E0">
      <w:pPr>
        <w:pStyle w:val="8"/>
        <w:widowControl/>
        <w:spacing w:line="360" w:lineRule="auto"/>
        <w:rPr>
          <w:rFonts w:ascii="Cambria" w:hAnsi="Cambria" w:cs="Cambria"/>
          <w:highlight w:val="yellow"/>
        </w:rPr>
      </w:pPr>
      <w:r>
        <w:rPr>
          <w:rFonts w:hint="eastAsia" w:ascii="宋体" w:cs="宋体"/>
          <w:highlight w:val="yellow"/>
        </w:rPr>
        <w:t>附件-供应商注册</w:t>
      </w:r>
    </w:p>
    <w:p w14:paraId="49A536D6">
      <w:pPr>
        <w:spacing w:line="360" w:lineRule="auto"/>
      </w:pPr>
      <w:r>
        <w:rPr>
          <w:lang w:bidi="ar"/>
        </w:rPr>
        <w:t>1</w:t>
      </w:r>
      <w:r>
        <w:rPr>
          <w:rFonts w:hint="eastAsia" w:ascii="宋体" w:cs="宋体"/>
          <w:lang w:bidi="ar"/>
        </w:rPr>
        <w:t>）功能简介</w:t>
      </w:r>
    </w:p>
    <w:p w14:paraId="4E860D8D">
      <w:pPr>
        <w:spacing w:line="360" w:lineRule="auto"/>
      </w:pPr>
      <w:r>
        <w:rPr>
          <w:rFonts w:hint="eastAsia" w:ascii="宋体" w:cs="宋体"/>
          <w:lang w:bidi="ar"/>
        </w:rPr>
        <w:t>此页面用于进行供应商注册</w:t>
      </w:r>
    </w:p>
    <w:p w14:paraId="2D9232EA">
      <w:pPr>
        <w:pStyle w:val="35"/>
        <w:widowControl/>
        <w:ind w:firstLine="0" w:firstLineChars="0"/>
        <w:rPr>
          <w:kern w:val="2"/>
          <w:sz w:val="21"/>
          <w:szCs w:val="21"/>
        </w:rPr>
      </w:pPr>
      <w:r>
        <w:rPr>
          <w:kern w:val="2"/>
          <w:sz w:val="21"/>
          <w:szCs w:val="21"/>
        </w:rPr>
        <w:t>2</w:t>
      </w:r>
      <w:r>
        <w:rPr>
          <w:rFonts w:hint="eastAsia" w:ascii="宋体" w:cs="宋体"/>
          <w:kern w:val="2"/>
          <w:sz w:val="21"/>
          <w:szCs w:val="21"/>
        </w:rPr>
        <w:t>）界面如下</w:t>
      </w:r>
    </w:p>
    <w:p w14:paraId="649AE9EE">
      <w:r>
        <w:drawing>
          <wp:inline distT="0" distB="0" distL="114300" distR="114300">
            <wp:extent cx="5342255" cy="2485390"/>
            <wp:effectExtent l="0" t="0" r="4445" b="381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15"/>
                    <a:stretch>
                      <a:fillRect/>
                    </a:stretch>
                  </pic:blipFill>
                  <pic:spPr>
                    <a:xfrm>
                      <a:off x="0" y="0"/>
                      <a:ext cx="5342255" cy="2485390"/>
                    </a:xfrm>
                    <a:prstGeom prst="rect">
                      <a:avLst/>
                    </a:prstGeom>
                    <a:noFill/>
                    <a:ln>
                      <a:noFill/>
                    </a:ln>
                  </pic:spPr>
                </pic:pic>
              </a:graphicData>
            </a:graphic>
          </wp:inline>
        </w:drawing>
      </w:r>
    </w:p>
    <w:p w14:paraId="437DFA90">
      <w:pPr>
        <w:pStyle w:val="35"/>
        <w:widowControl/>
        <w:tabs>
          <w:tab w:val="left" w:pos="0"/>
        </w:tabs>
        <w:ind w:firstLine="0" w:firstLineChars="0"/>
        <w:rPr>
          <w:kern w:val="2"/>
          <w:sz w:val="21"/>
          <w:szCs w:val="21"/>
        </w:rPr>
      </w:pPr>
      <w:r>
        <w:rPr>
          <w:rFonts w:hint="eastAsia" w:ascii="宋体" w:cs="宋体"/>
          <w:kern w:val="2"/>
          <w:sz w:val="21"/>
          <w:szCs w:val="21"/>
        </w:rPr>
        <w:t>3）页面规则</w:t>
      </w:r>
    </w:p>
    <w:p w14:paraId="6A85B684">
      <w:pPr>
        <w:pStyle w:val="35"/>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14:paraId="426ABE37">
      <w:pPr>
        <w:spacing w:line="360" w:lineRule="auto"/>
      </w:pPr>
      <w:r>
        <w:rPr>
          <w:rFonts w:hint="eastAsia" w:ascii="宋体" w:cs="宋体"/>
          <w:lang w:bidi="ar"/>
        </w:rPr>
        <w:t>注册信息的字段：尽量把所有信息都填写完整，</w:t>
      </w:r>
    </w:p>
    <w:p w14:paraId="073B0498">
      <w:pPr>
        <w:numPr>
          <w:ilvl w:val="0"/>
          <w:numId w:val="6"/>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14:paraId="6AD9E0FC">
      <w:pPr>
        <w:numPr>
          <w:ilvl w:val="0"/>
          <w:numId w:val="6"/>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14:paraId="4286CC71">
      <w:pPr>
        <w:numPr>
          <w:ilvl w:val="0"/>
          <w:numId w:val="6"/>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14:paraId="50D86AEB">
      <w:pPr>
        <w:numPr>
          <w:ilvl w:val="0"/>
          <w:numId w:val="6"/>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14:paraId="2076EC38">
      <w:pPr>
        <w:pStyle w:val="9"/>
        <w:widowControl/>
        <w:numPr>
          <w:ilvl w:val="0"/>
          <w:numId w:val="6"/>
        </w:numPr>
        <w:spacing w:line="360" w:lineRule="auto"/>
        <w:ind w:firstLine="420"/>
        <w:jc w:val="left"/>
      </w:pPr>
      <w:r>
        <w:rPr>
          <w:rFonts w:hint="eastAsia" w:ascii="宋体" w:cs="宋体"/>
          <w:kern w:val="2"/>
        </w:rPr>
        <w:t>点击“查看”按钮可以进行查看注册信息，供应商提交注册之后想查看审批进度，可以点击此按钮。</w:t>
      </w:r>
    </w:p>
    <w:p w14:paraId="6470709D">
      <w:pPr>
        <w:pStyle w:val="9"/>
        <w:widowControl/>
        <w:tabs>
          <w:tab w:val="left" w:pos="312"/>
        </w:tabs>
        <w:spacing w:line="360" w:lineRule="auto"/>
        <w:ind w:firstLine="422"/>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14:paraId="627283CB">
      <w:pPr>
        <w:pStyle w:val="9"/>
        <w:widowControl/>
        <w:tabs>
          <w:tab w:val="left" w:pos="312"/>
        </w:tabs>
        <w:spacing w:line="360" w:lineRule="auto"/>
        <w:ind w:firstLine="420"/>
        <w:jc w:val="left"/>
        <w:rPr>
          <w:rFonts w:ascii="宋体" w:cs="宋体"/>
          <w:kern w:val="2"/>
        </w:rPr>
      </w:pPr>
    </w:p>
    <w:p w14:paraId="6E4883A5">
      <w:pPr>
        <w:pStyle w:val="8"/>
        <w:widowControl/>
        <w:rPr>
          <w:highlight w:val="yellow"/>
        </w:rPr>
      </w:pPr>
      <w:r>
        <w:rPr>
          <w:rFonts w:hint="eastAsia" w:eastAsia="黑体" w:cs="黑体"/>
          <w:highlight w:val="yellow"/>
        </w:rPr>
        <w:t>附件-供应商应标</w:t>
      </w:r>
    </w:p>
    <w:p w14:paraId="22F3C169">
      <w:pPr>
        <w:rPr>
          <w:rFonts w:hint="eastAsia" w:ascii="宋体" w:hAnsi="宋体" w:cs="宋体"/>
          <w:sz w:val="28"/>
          <w:szCs w:val="28"/>
        </w:rPr>
      </w:pPr>
      <w:r>
        <w:rPr>
          <w:rFonts w:hint="eastAsia" w:ascii="宋体" w:hAnsi="宋体" w:cs="宋体"/>
          <w:sz w:val="28"/>
          <w:szCs w:val="28"/>
          <w:lang w:bidi="ar"/>
        </w:rPr>
        <w:t>路径：招投标中心-非生产类招投标-供应商应标</w:t>
      </w:r>
    </w:p>
    <w:p w14:paraId="66B2DAD4">
      <w:pPr>
        <w:rPr>
          <w:rFonts w:hint="eastAsia"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14:paraId="5A4FD69A">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14:paraId="6B206824">
      <w:r>
        <w:drawing>
          <wp:inline distT="0" distB="0" distL="114300" distR="114300">
            <wp:extent cx="5393690" cy="2126615"/>
            <wp:effectExtent l="0" t="0" r="3810" b="698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16"/>
                    <a:stretch>
                      <a:fillRect/>
                    </a:stretch>
                  </pic:blipFill>
                  <pic:spPr>
                    <a:xfrm>
                      <a:off x="0" y="0"/>
                      <a:ext cx="5393690" cy="2126615"/>
                    </a:xfrm>
                    <a:prstGeom prst="rect">
                      <a:avLst/>
                    </a:prstGeom>
                    <a:noFill/>
                    <a:ln>
                      <a:noFill/>
                    </a:ln>
                  </pic:spPr>
                </pic:pic>
              </a:graphicData>
            </a:graphic>
          </wp:inline>
        </w:drawing>
      </w:r>
    </w:p>
    <w:p w14:paraId="1C08A64C">
      <w:pPr>
        <w:rPr>
          <w:rFonts w:cs="宋体"/>
          <w:sz w:val="24"/>
          <w:lang w:bidi="ar"/>
        </w:rPr>
      </w:pPr>
      <w:r>
        <w:rPr>
          <w:rFonts w:hint="eastAsia" w:cs="宋体"/>
          <w:sz w:val="24"/>
          <w:lang w:bidi="ar"/>
        </w:rPr>
        <w:t>注意：</w:t>
      </w:r>
    </w:p>
    <w:p w14:paraId="46AB9D88">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14:paraId="1508E977">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14:paraId="37687EE2">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14:paraId="74306074">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14:paraId="7D0BBE5F">
      <w:r>
        <w:drawing>
          <wp:inline distT="0" distB="0" distL="114300" distR="114300">
            <wp:extent cx="5426075" cy="2279015"/>
            <wp:effectExtent l="0" t="0" r="952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7"/>
                    <a:stretch>
                      <a:fillRect/>
                    </a:stretch>
                  </pic:blipFill>
                  <pic:spPr>
                    <a:xfrm>
                      <a:off x="0" y="0"/>
                      <a:ext cx="5426075" cy="2279015"/>
                    </a:xfrm>
                    <a:prstGeom prst="rect">
                      <a:avLst/>
                    </a:prstGeom>
                    <a:noFill/>
                    <a:ln>
                      <a:noFill/>
                    </a:ln>
                  </pic:spPr>
                </pic:pic>
              </a:graphicData>
            </a:graphic>
          </wp:inline>
        </w:drawing>
      </w:r>
    </w:p>
    <w:p w14:paraId="038C361B">
      <w:pPr>
        <w:pStyle w:val="9"/>
        <w:widowControl/>
        <w:tabs>
          <w:tab w:val="left" w:pos="312"/>
        </w:tabs>
        <w:spacing w:line="360" w:lineRule="auto"/>
        <w:ind w:firstLine="420"/>
        <w:jc w:val="left"/>
        <w:rPr>
          <w:rFonts w:ascii="宋体" w:cs="宋体"/>
          <w:kern w:val="2"/>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8"/>
                    <a:stretch>
                      <a:fillRect/>
                    </a:stretch>
                  </pic:blipFill>
                  <pic:spPr>
                    <a:xfrm>
                      <a:off x="0" y="0"/>
                      <a:ext cx="5331460" cy="2324100"/>
                    </a:xfrm>
                    <a:prstGeom prst="rect">
                      <a:avLst/>
                    </a:prstGeom>
                    <a:noFill/>
                    <a:ln>
                      <a:noFill/>
                    </a:ln>
                  </pic:spPr>
                </pic:pic>
              </a:graphicData>
            </a:graphic>
          </wp:inline>
        </w:drawing>
      </w:r>
    </w:p>
    <w:p w14:paraId="7B1F07F7"/>
    <w:p w14:paraId="29FB6C02">
      <w:r>
        <w:br w:type="page"/>
      </w:r>
    </w:p>
    <w:p w14:paraId="2ABAA5C6">
      <w:pPr>
        <w:rPr>
          <w:rFonts w:hint="eastAsia" w:ascii="宋体" w:hAnsi="宋体"/>
          <w:kern w:val="0"/>
          <w:sz w:val="24"/>
          <w:szCs w:val="21"/>
          <w:lang w:bidi="en-US"/>
        </w:rPr>
      </w:pPr>
      <w:r>
        <w:rPr>
          <w:rFonts w:hint="eastAsia" w:ascii="宋体" w:hAnsi="宋体"/>
          <w:kern w:val="0"/>
          <w:sz w:val="24"/>
          <w:szCs w:val="21"/>
          <w:lang w:bidi="en-US"/>
        </w:rPr>
        <w:t>附件3:</w:t>
      </w:r>
    </w:p>
    <w:tbl>
      <w:tblPr>
        <w:tblStyle w:val="16"/>
        <w:tblW w:w="90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2"/>
        <w:gridCol w:w="1259"/>
        <w:gridCol w:w="1329"/>
        <w:gridCol w:w="1263"/>
        <w:gridCol w:w="1261"/>
        <w:gridCol w:w="1067"/>
        <w:gridCol w:w="1230"/>
        <w:gridCol w:w="943"/>
      </w:tblGrid>
      <w:tr w14:paraId="0CB47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34" w:type="dxa"/>
            <w:gridSpan w:val="8"/>
            <w:tcBorders>
              <w:top w:val="single" w:color="auto" w:sz="4" w:space="0"/>
              <w:left w:val="single" w:color="auto" w:sz="4" w:space="0"/>
              <w:bottom w:val="single" w:color="auto" w:sz="4" w:space="0"/>
              <w:right w:val="single" w:color="auto" w:sz="4" w:space="0"/>
            </w:tcBorders>
            <w:noWrap/>
          </w:tcPr>
          <w:p w14:paraId="447D733F">
            <w:pPr>
              <w:keepNext w:val="0"/>
              <w:keepLines w:val="0"/>
              <w:suppressLineNumbers w:val="0"/>
              <w:autoSpaceDE w:val="0"/>
              <w:autoSpaceDN w:val="0"/>
              <w:spacing w:before="0" w:beforeAutospacing="0" w:after="0" w:afterAutospacing="0"/>
              <w:ind w:left="0" w:right="0"/>
              <w:jc w:val="center"/>
              <w:rPr>
                <w:rFonts w:hint="default"/>
                <w:b/>
                <w:bCs/>
                <w:sz w:val="30"/>
                <w:szCs w:val="30"/>
              </w:rPr>
            </w:pPr>
            <w:r>
              <w:rPr>
                <w:rFonts w:hint="eastAsia"/>
                <w:b/>
                <w:bCs/>
                <w:sz w:val="28"/>
                <w:szCs w:val="28"/>
              </w:rPr>
              <w:t>近三年</w:t>
            </w:r>
            <w:r>
              <w:rPr>
                <w:rFonts w:hint="eastAsia"/>
                <w:b/>
                <w:bCs/>
                <w:sz w:val="28"/>
                <w:szCs w:val="28"/>
                <w:u w:val="single"/>
              </w:rPr>
              <w:t xml:space="preserve"> </w:t>
            </w:r>
            <w:r>
              <w:rPr>
                <w:rFonts w:hint="eastAsia"/>
                <w:b/>
                <w:bCs/>
                <w:sz w:val="28"/>
                <w:szCs w:val="28"/>
                <w:u w:val="single"/>
                <w:lang w:val="en-US" w:eastAsia="zh-CN"/>
              </w:rPr>
              <w:t>2</w:t>
            </w:r>
            <w:r>
              <w:rPr>
                <w:rFonts w:hint="eastAsia"/>
                <w:b/>
                <w:bCs/>
                <w:sz w:val="28"/>
                <w:szCs w:val="28"/>
                <w:u w:val="single"/>
              </w:rPr>
              <w:t xml:space="preserve">00 </w:t>
            </w:r>
            <w:r>
              <w:rPr>
                <w:rFonts w:hint="eastAsia"/>
                <w:b/>
                <w:bCs/>
                <w:sz w:val="28"/>
                <w:szCs w:val="28"/>
              </w:rPr>
              <w:t>万元及以上的类似项目</w:t>
            </w:r>
            <w:r>
              <w:rPr>
                <w:rFonts w:hint="default"/>
                <w:b/>
                <w:bCs/>
                <w:sz w:val="28"/>
                <w:szCs w:val="28"/>
              </w:rPr>
              <w:t>业绩</w:t>
            </w:r>
            <w:r>
              <w:rPr>
                <w:rFonts w:hint="eastAsia"/>
                <w:b/>
                <w:bCs/>
                <w:sz w:val="28"/>
                <w:szCs w:val="28"/>
              </w:rPr>
              <w:t>列表</w:t>
            </w:r>
          </w:p>
        </w:tc>
      </w:tr>
      <w:tr w14:paraId="1919F3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58DFF2EF">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序号</w:t>
            </w:r>
          </w:p>
        </w:tc>
        <w:tc>
          <w:tcPr>
            <w:tcW w:w="1259" w:type="dxa"/>
            <w:tcBorders>
              <w:top w:val="single" w:color="auto" w:sz="4" w:space="0"/>
              <w:left w:val="single" w:color="auto" w:sz="4" w:space="0"/>
              <w:bottom w:val="single" w:color="auto" w:sz="4" w:space="0"/>
              <w:right w:val="single" w:color="auto" w:sz="4" w:space="0"/>
            </w:tcBorders>
            <w:noWrap/>
            <w:vAlign w:val="center"/>
          </w:tcPr>
          <w:p w14:paraId="0481045A">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项目/合同</w:t>
            </w:r>
          </w:p>
          <w:p w14:paraId="3EA6D0C9">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名称</w:t>
            </w:r>
          </w:p>
        </w:tc>
        <w:tc>
          <w:tcPr>
            <w:tcW w:w="1329" w:type="dxa"/>
            <w:tcBorders>
              <w:top w:val="single" w:color="auto" w:sz="4" w:space="0"/>
              <w:left w:val="single" w:color="auto" w:sz="4" w:space="0"/>
              <w:bottom w:val="single" w:color="auto" w:sz="4" w:space="0"/>
              <w:right w:val="single" w:color="auto" w:sz="4" w:space="0"/>
            </w:tcBorders>
            <w:noWrap/>
            <w:vAlign w:val="center"/>
          </w:tcPr>
          <w:p w14:paraId="078FB98F">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项目地点</w:t>
            </w:r>
          </w:p>
        </w:tc>
        <w:tc>
          <w:tcPr>
            <w:tcW w:w="1263" w:type="dxa"/>
            <w:tcBorders>
              <w:top w:val="single" w:color="auto" w:sz="4" w:space="0"/>
              <w:left w:val="single" w:color="auto" w:sz="4" w:space="0"/>
              <w:bottom w:val="single" w:color="auto" w:sz="4" w:space="0"/>
              <w:right w:val="single" w:color="auto" w:sz="4" w:space="0"/>
            </w:tcBorders>
            <w:noWrap/>
            <w:vAlign w:val="center"/>
          </w:tcPr>
          <w:p w14:paraId="2B5B9C57">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工程规模</w:t>
            </w:r>
          </w:p>
        </w:tc>
        <w:tc>
          <w:tcPr>
            <w:tcW w:w="1261" w:type="dxa"/>
            <w:tcBorders>
              <w:top w:val="single" w:color="auto" w:sz="4" w:space="0"/>
              <w:left w:val="single" w:color="auto" w:sz="4" w:space="0"/>
              <w:bottom w:val="single" w:color="auto" w:sz="4" w:space="0"/>
              <w:right w:val="single" w:color="auto" w:sz="4" w:space="0"/>
            </w:tcBorders>
            <w:noWrap/>
            <w:vAlign w:val="center"/>
          </w:tcPr>
          <w:p w14:paraId="4DA02D78">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内容及范围</w:t>
            </w:r>
          </w:p>
        </w:tc>
        <w:tc>
          <w:tcPr>
            <w:tcW w:w="1067" w:type="dxa"/>
            <w:tcBorders>
              <w:top w:val="single" w:color="auto" w:sz="4" w:space="0"/>
              <w:left w:val="single" w:color="auto" w:sz="4" w:space="0"/>
              <w:bottom w:val="single" w:color="auto" w:sz="4" w:space="0"/>
              <w:right w:val="single" w:color="auto" w:sz="4" w:space="0"/>
            </w:tcBorders>
            <w:noWrap/>
            <w:vAlign w:val="center"/>
          </w:tcPr>
          <w:p w14:paraId="1DA55E0D">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合同额（万元）</w:t>
            </w:r>
          </w:p>
        </w:tc>
        <w:tc>
          <w:tcPr>
            <w:tcW w:w="1230" w:type="dxa"/>
            <w:tcBorders>
              <w:top w:val="single" w:color="auto" w:sz="4" w:space="0"/>
              <w:left w:val="single" w:color="auto" w:sz="4" w:space="0"/>
              <w:bottom w:val="single" w:color="auto" w:sz="4" w:space="0"/>
              <w:right w:val="single" w:color="auto" w:sz="4" w:space="0"/>
            </w:tcBorders>
            <w:noWrap/>
            <w:vAlign w:val="center"/>
          </w:tcPr>
          <w:p w14:paraId="4CBE48E0">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项目负责人</w:t>
            </w:r>
          </w:p>
        </w:tc>
        <w:tc>
          <w:tcPr>
            <w:tcW w:w="943" w:type="dxa"/>
            <w:tcBorders>
              <w:top w:val="single" w:color="auto" w:sz="4" w:space="0"/>
              <w:left w:val="single" w:color="auto" w:sz="4" w:space="0"/>
              <w:bottom w:val="single" w:color="auto" w:sz="4" w:space="0"/>
              <w:right w:val="single" w:color="auto" w:sz="4" w:space="0"/>
            </w:tcBorders>
            <w:noWrap/>
            <w:vAlign w:val="center"/>
          </w:tcPr>
          <w:p w14:paraId="69EF4699">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是否已竣工</w:t>
            </w:r>
          </w:p>
        </w:tc>
      </w:tr>
      <w:tr w14:paraId="1A13A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71CE7016">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1</w:t>
            </w:r>
          </w:p>
        </w:tc>
        <w:tc>
          <w:tcPr>
            <w:tcW w:w="1259" w:type="dxa"/>
            <w:tcBorders>
              <w:top w:val="single" w:color="auto" w:sz="4" w:space="0"/>
              <w:left w:val="single" w:color="auto" w:sz="4" w:space="0"/>
              <w:bottom w:val="single" w:color="auto" w:sz="4" w:space="0"/>
              <w:right w:val="single" w:color="auto" w:sz="4" w:space="0"/>
            </w:tcBorders>
            <w:noWrap/>
          </w:tcPr>
          <w:p w14:paraId="172F7BF4">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64BB0BC9">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08EB06A0">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753EABB7">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675E07DC">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4D23A383">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111A0761">
            <w:pPr>
              <w:keepNext w:val="0"/>
              <w:keepLines w:val="0"/>
              <w:suppressLineNumbers w:val="0"/>
              <w:autoSpaceDE w:val="0"/>
              <w:autoSpaceDN w:val="0"/>
              <w:spacing w:before="0" w:beforeAutospacing="0" w:after="0" w:afterAutospacing="0"/>
              <w:ind w:left="0" w:right="0"/>
              <w:rPr>
                <w:rFonts w:hint="default"/>
                <w:sz w:val="24"/>
              </w:rPr>
            </w:pPr>
          </w:p>
        </w:tc>
      </w:tr>
      <w:tr w14:paraId="0140F7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728EED0F">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2</w:t>
            </w:r>
          </w:p>
        </w:tc>
        <w:tc>
          <w:tcPr>
            <w:tcW w:w="1259" w:type="dxa"/>
            <w:tcBorders>
              <w:top w:val="single" w:color="auto" w:sz="4" w:space="0"/>
              <w:left w:val="single" w:color="auto" w:sz="4" w:space="0"/>
              <w:bottom w:val="single" w:color="auto" w:sz="4" w:space="0"/>
              <w:right w:val="single" w:color="auto" w:sz="4" w:space="0"/>
            </w:tcBorders>
            <w:noWrap/>
          </w:tcPr>
          <w:p w14:paraId="7F2CDEDB">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479630F0">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20E20F06">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2F22AD54">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68073354">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1297BE79">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32A21317">
            <w:pPr>
              <w:keepNext w:val="0"/>
              <w:keepLines w:val="0"/>
              <w:suppressLineNumbers w:val="0"/>
              <w:autoSpaceDE w:val="0"/>
              <w:autoSpaceDN w:val="0"/>
              <w:spacing w:before="0" w:beforeAutospacing="0" w:after="0" w:afterAutospacing="0"/>
              <w:ind w:left="0" w:right="0"/>
              <w:jc w:val="center"/>
              <w:rPr>
                <w:rFonts w:hint="default"/>
                <w:sz w:val="24"/>
              </w:rPr>
            </w:pPr>
          </w:p>
        </w:tc>
      </w:tr>
      <w:tr w14:paraId="61F97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0B2DBD6D">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3</w:t>
            </w:r>
          </w:p>
        </w:tc>
        <w:tc>
          <w:tcPr>
            <w:tcW w:w="1259" w:type="dxa"/>
            <w:tcBorders>
              <w:top w:val="single" w:color="auto" w:sz="4" w:space="0"/>
              <w:left w:val="single" w:color="auto" w:sz="4" w:space="0"/>
              <w:bottom w:val="single" w:color="auto" w:sz="4" w:space="0"/>
              <w:right w:val="single" w:color="auto" w:sz="4" w:space="0"/>
            </w:tcBorders>
            <w:noWrap/>
          </w:tcPr>
          <w:p w14:paraId="5D7DDB92">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0B02F78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79850424">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60B4C412">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4AF2E355">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64F14B39">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13F3B829">
            <w:pPr>
              <w:keepNext w:val="0"/>
              <w:keepLines w:val="0"/>
              <w:suppressLineNumbers w:val="0"/>
              <w:autoSpaceDE w:val="0"/>
              <w:autoSpaceDN w:val="0"/>
              <w:spacing w:before="0" w:beforeAutospacing="0" w:after="0" w:afterAutospacing="0"/>
              <w:ind w:left="0" w:right="0"/>
              <w:jc w:val="center"/>
              <w:rPr>
                <w:rFonts w:hint="default"/>
                <w:sz w:val="24"/>
              </w:rPr>
            </w:pPr>
          </w:p>
        </w:tc>
      </w:tr>
      <w:tr w14:paraId="596ECF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682" w:type="dxa"/>
            <w:tcBorders>
              <w:top w:val="single" w:color="auto" w:sz="4" w:space="0"/>
              <w:left w:val="single" w:color="auto" w:sz="4" w:space="0"/>
              <w:bottom w:val="single" w:color="auto" w:sz="4" w:space="0"/>
              <w:right w:val="single" w:color="auto" w:sz="4" w:space="0"/>
            </w:tcBorders>
            <w:noWrap/>
            <w:vAlign w:val="center"/>
          </w:tcPr>
          <w:p w14:paraId="157561DB">
            <w:pPr>
              <w:keepNext w:val="0"/>
              <w:keepLines w:val="0"/>
              <w:suppressLineNumbers w:val="0"/>
              <w:autoSpaceDE w:val="0"/>
              <w:autoSpaceDN w:val="0"/>
              <w:spacing w:before="0" w:beforeAutospacing="0" w:after="0" w:afterAutospacing="0"/>
              <w:ind w:left="0" w:right="0"/>
              <w:jc w:val="center"/>
              <w:rPr>
                <w:rFonts w:hint="default"/>
                <w:sz w:val="24"/>
              </w:rPr>
            </w:pPr>
            <w:r>
              <w:rPr>
                <w:rFonts w:hint="eastAsia"/>
                <w:sz w:val="24"/>
              </w:rPr>
              <w:t>4</w:t>
            </w:r>
          </w:p>
        </w:tc>
        <w:tc>
          <w:tcPr>
            <w:tcW w:w="1259" w:type="dxa"/>
            <w:tcBorders>
              <w:top w:val="single" w:color="auto" w:sz="4" w:space="0"/>
              <w:left w:val="single" w:color="auto" w:sz="4" w:space="0"/>
              <w:bottom w:val="single" w:color="auto" w:sz="4" w:space="0"/>
              <w:right w:val="single" w:color="auto" w:sz="4" w:space="0"/>
            </w:tcBorders>
            <w:noWrap/>
          </w:tcPr>
          <w:p w14:paraId="40A8B79B">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37E2DE5C">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2405347D">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26C8952C">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2A6FCD53">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6719DDA2">
            <w:pPr>
              <w:keepNext w:val="0"/>
              <w:keepLines w:val="0"/>
              <w:suppressLineNumbers w:val="0"/>
              <w:autoSpaceDE w:val="0"/>
              <w:autoSpaceDN w:val="0"/>
              <w:spacing w:before="0" w:beforeAutospacing="0" w:after="0" w:afterAutospacing="0"/>
              <w:ind w:left="0" w:right="0"/>
              <w:jc w:val="center"/>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30D7F004">
            <w:pPr>
              <w:keepNext w:val="0"/>
              <w:keepLines w:val="0"/>
              <w:suppressLineNumbers w:val="0"/>
              <w:autoSpaceDE w:val="0"/>
              <w:autoSpaceDN w:val="0"/>
              <w:spacing w:before="0" w:beforeAutospacing="0" w:after="0" w:afterAutospacing="0"/>
              <w:ind w:left="0" w:right="0"/>
              <w:jc w:val="center"/>
              <w:rPr>
                <w:rFonts w:hint="default"/>
                <w:sz w:val="24"/>
              </w:rPr>
            </w:pPr>
          </w:p>
        </w:tc>
      </w:tr>
      <w:tr w14:paraId="26DD4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19631266">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w:t>
            </w:r>
          </w:p>
        </w:tc>
        <w:tc>
          <w:tcPr>
            <w:tcW w:w="1259" w:type="dxa"/>
            <w:tcBorders>
              <w:top w:val="single" w:color="auto" w:sz="4" w:space="0"/>
              <w:left w:val="single" w:color="auto" w:sz="4" w:space="0"/>
              <w:bottom w:val="single" w:color="auto" w:sz="4" w:space="0"/>
              <w:right w:val="single" w:color="auto" w:sz="4" w:space="0"/>
            </w:tcBorders>
            <w:noWrap/>
          </w:tcPr>
          <w:p w14:paraId="18E7DF06">
            <w:pPr>
              <w:keepNext w:val="0"/>
              <w:keepLines w:val="0"/>
              <w:suppressLineNumbers w:val="0"/>
              <w:autoSpaceDE w:val="0"/>
              <w:autoSpaceDN w:val="0"/>
              <w:spacing w:before="0" w:beforeAutospacing="0" w:after="0" w:afterAutospacing="0"/>
              <w:ind w:left="0" w:right="0"/>
              <w:rPr>
                <w:rFonts w:hint="default"/>
                <w:sz w:val="24"/>
              </w:rPr>
            </w:pPr>
          </w:p>
        </w:tc>
        <w:tc>
          <w:tcPr>
            <w:tcW w:w="1329" w:type="dxa"/>
            <w:tcBorders>
              <w:top w:val="single" w:color="auto" w:sz="4" w:space="0"/>
              <w:left w:val="single" w:color="auto" w:sz="4" w:space="0"/>
              <w:bottom w:val="single" w:color="auto" w:sz="4" w:space="0"/>
              <w:right w:val="single" w:color="auto" w:sz="4" w:space="0"/>
            </w:tcBorders>
            <w:noWrap/>
          </w:tcPr>
          <w:p w14:paraId="0DF2B2B2">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22E9F382">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78251BF4">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161433A6">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3031FB66">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170FC136">
            <w:pPr>
              <w:keepNext w:val="0"/>
              <w:keepLines w:val="0"/>
              <w:suppressLineNumbers w:val="0"/>
              <w:autoSpaceDE w:val="0"/>
              <w:autoSpaceDN w:val="0"/>
              <w:spacing w:before="0" w:beforeAutospacing="0" w:after="0" w:afterAutospacing="0"/>
              <w:ind w:left="0" w:right="0"/>
              <w:rPr>
                <w:rFonts w:hint="default"/>
                <w:sz w:val="24"/>
              </w:rPr>
            </w:pPr>
          </w:p>
        </w:tc>
      </w:tr>
      <w:tr w14:paraId="27188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682" w:type="dxa"/>
            <w:tcBorders>
              <w:top w:val="single" w:color="auto" w:sz="4" w:space="0"/>
              <w:left w:val="single" w:color="auto" w:sz="4" w:space="0"/>
              <w:bottom w:val="single" w:color="auto" w:sz="4" w:space="0"/>
              <w:right w:val="single" w:color="auto" w:sz="4" w:space="0"/>
            </w:tcBorders>
            <w:noWrap/>
          </w:tcPr>
          <w:p w14:paraId="1B1EAD15">
            <w:pPr>
              <w:keepNext w:val="0"/>
              <w:keepLines w:val="0"/>
              <w:suppressLineNumbers w:val="0"/>
              <w:autoSpaceDE w:val="0"/>
              <w:autoSpaceDN w:val="0"/>
              <w:spacing w:before="0" w:beforeAutospacing="0" w:after="0" w:afterAutospacing="0"/>
              <w:ind w:left="0" w:right="0"/>
              <w:rPr>
                <w:rFonts w:hint="default"/>
                <w:sz w:val="24"/>
              </w:rPr>
            </w:pPr>
          </w:p>
        </w:tc>
        <w:tc>
          <w:tcPr>
            <w:tcW w:w="1259" w:type="dxa"/>
            <w:tcBorders>
              <w:top w:val="single" w:color="auto" w:sz="4" w:space="0"/>
              <w:left w:val="single" w:color="auto" w:sz="4" w:space="0"/>
              <w:bottom w:val="single" w:color="auto" w:sz="4" w:space="0"/>
              <w:right w:val="single" w:color="auto" w:sz="4" w:space="0"/>
            </w:tcBorders>
            <w:noWrap/>
            <w:vAlign w:val="center"/>
          </w:tcPr>
          <w:p w14:paraId="34B49AC7">
            <w:pPr>
              <w:keepNext w:val="0"/>
              <w:keepLines w:val="0"/>
              <w:suppressLineNumbers w:val="0"/>
              <w:autoSpaceDE w:val="0"/>
              <w:autoSpaceDN w:val="0"/>
              <w:spacing w:before="0" w:beforeAutospacing="0" w:after="0" w:afterAutospacing="0"/>
              <w:ind w:left="0" w:right="0"/>
              <w:rPr>
                <w:rFonts w:hint="default"/>
                <w:sz w:val="24"/>
              </w:rPr>
            </w:pPr>
            <w:r>
              <w:rPr>
                <w:rFonts w:hint="eastAsia"/>
                <w:sz w:val="24"/>
              </w:rPr>
              <w:t>数量不限，能报尽报</w:t>
            </w:r>
          </w:p>
        </w:tc>
        <w:tc>
          <w:tcPr>
            <w:tcW w:w="1329" w:type="dxa"/>
            <w:tcBorders>
              <w:top w:val="single" w:color="auto" w:sz="4" w:space="0"/>
              <w:left w:val="single" w:color="auto" w:sz="4" w:space="0"/>
              <w:bottom w:val="single" w:color="auto" w:sz="4" w:space="0"/>
              <w:right w:val="single" w:color="auto" w:sz="4" w:space="0"/>
            </w:tcBorders>
            <w:noWrap/>
          </w:tcPr>
          <w:p w14:paraId="3FB93222">
            <w:pPr>
              <w:keepNext w:val="0"/>
              <w:keepLines w:val="0"/>
              <w:suppressLineNumbers w:val="0"/>
              <w:autoSpaceDE w:val="0"/>
              <w:autoSpaceDN w:val="0"/>
              <w:spacing w:before="0" w:beforeAutospacing="0" w:after="0" w:afterAutospacing="0"/>
              <w:ind w:left="0" w:right="0"/>
              <w:rPr>
                <w:rFonts w:hint="default"/>
                <w:sz w:val="24"/>
              </w:rPr>
            </w:pPr>
          </w:p>
        </w:tc>
        <w:tc>
          <w:tcPr>
            <w:tcW w:w="1263" w:type="dxa"/>
            <w:tcBorders>
              <w:top w:val="single" w:color="auto" w:sz="4" w:space="0"/>
              <w:left w:val="single" w:color="auto" w:sz="4" w:space="0"/>
              <w:bottom w:val="single" w:color="auto" w:sz="4" w:space="0"/>
              <w:right w:val="single" w:color="auto" w:sz="4" w:space="0"/>
            </w:tcBorders>
            <w:noWrap/>
          </w:tcPr>
          <w:p w14:paraId="02CF2767">
            <w:pPr>
              <w:keepNext w:val="0"/>
              <w:keepLines w:val="0"/>
              <w:suppressLineNumbers w:val="0"/>
              <w:autoSpaceDE w:val="0"/>
              <w:autoSpaceDN w:val="0"/>
              <w:spacing w:before="0" w:beforeAutospacing="0" w:after="0" w:afterAutospacing="0"/>
              <w:ind w:left="0" w:right="0"/>
              <w:rPr>
                <w:rFonts w:hint="default"/>
                <w:sz w:val="24"/>
              </w:rPr>
            </w:pPr>
          </w:p>
        </w:tc>
        <w:tc>
          <w:tcPr>
            <w:tcW w:w="1261" w:type="dxa"/>
            <w:tcBorders>
              <w:top w:val="single" w:color="auto" w:sz="4" w:space="0"/>
              <w:left w:val="single" w:color="auto" w:sz="4" w:space="0"/>
              <w:bottom w:val="single" w:color="auto" w:sz="4" w:space="0"/>
              <w:right w:val="single" w:color="auto" w:sz="4" w:space="0"/>
            </w:tcBorders>
            <w:noWrap/>
          </w:tcPr>
          <w:p w14:paraId="0CD8B37A">
            <w:pPr>
              <w:keepNext w:val="0"/>
              <w:keepLines w:val="0"/>
              <w:suppressLineNumbers w:val="0"/>
              <w:autoSpaceDE w:val="0"/>
              <w:autoSpaceDN w:val="0"/>
              <w:spacing w:before="0" w:beforeAutospacing="0" w:after="0" w:afterAutospacing="0"/>
              <w:ind w:left="0" w:right="0"/>
              <w:rPr>
                <w:rFonts w:hint="default"/>
                <w:sz w:val="24"/>
              </w:rPr>
            </w:pPr>
          </w:p>
        </w:tc>
        <w:tc>
          <w:tcPr>
            <w:tcW w:w="1067" w:type="dxa"/>
            <w:tcBorders>
              <w:top w:val="single" w:color="auto" w:sz="4" w:space="0"/>
              <w:left w:val="single" w:color="auto" w:sz="4" w:space="0"/>
              <w:bottom w:val="single" w:color="auto" w:sz="4" w:space="0"/>
              <w:right w:val="single" w:color="auto" w:sz="4" w:space="0"/>
            </w:tcBorders>
            <w:noWrap/>
          </w:tcPr>
          <w:p w14:paraId="3C7076FE">
            <w:pPr>
              <w:keepNext w:val="0"/>
              <w:keepLines w:val="0"/>
              <w:suppressLineNumbers w:val="0"/>
              <w:autoSpaceDE w:val="0"/>
              <w:autoSpaceDN w:val="0"/>
              <w:spacing w:before="0" w:beforeAutospacing="0" w:after="0" w:afterAutospacing="0"/>
              <w:ind w:left="0" w:right="0"/>
              <w:rPr>
                <w:rFonts w:hint="default"/>
                <w:sz w:val="24"/>
              </w:rPr>
            </w:pPr>
          </w:p>
        </w:tc>
        <w:tc>
          <w:tcPr>
            <w:tcW w:w="1230" w:type="dxa"/>
            <w:tcBorders>
              <w:top w:val="single" w:color="auto" w:sz="4" w:space="0"/>
              <w:left w:val="single" w:color="auto" w:sz="4" w:space="0"/>
              <w:bottom w:val="single" w:color="auto" w:sz="4" w:space="0"/>
              <w:right w:val="single" w:color="auto" w:sz="4" w:space="0"/>
            </w:tcBorders>
            <w:noWrap/>
          </w:tcPr>
          <w:p w14:paraId="6BD3AA06">
            <w:pPr>
              <w:keepNext w:val="0"/>
              <w:keepLines w:val="0"/>
              <w:suppressLineNumbers w:val="0"/>
              <w:autoSpaceDE w:val="0"/>
              <w:autoSpaceDN w:val="0"/>
              <w:spacing w:before="0" w:beforeAutospacing="0" w:after="0" w:afterAutospacing="0"/>
              <w:ind w:left="0" w:right="0"/>
              <w:rPr>
                <w:rFonts w:hint="default"/>
                <w:sz w:val="24"/>
              </w:rPr>
            </w:pPr>
          </w:p>
        </w:tc>
        <w:tc>
          <w:tcPr>
            <w:tcW w:w="943" w:type="dxa"/>
            <w:tcBorders>
              <w:top w:val="single" w:color="auto" w:sz="4" w:space="0"/>
              <w:left w:val="single" w:color="auto" w:sz="4" w:space="0"/>
              <w:bottom w:val="single" w:color="auto" w:sz="4" w:space="0"/>
              <w:right w:val="single" w:color="auto" w:sz="4" w:space="0"/>
            </w:tcBorders>
            <w:noWrap/>
          </w:tcPr>
          <w:p w14:paraId="67ED0AE5">
            <w:pPr>
              <w:keepNext w:val="0"/>
              <w:keepLines w:val="0"/>
              <w:suppressLineNumbers w:val="0"/>
              <w:autoSpaceDE w:val="0"/>
              <w:autoSpaceDN w:val="0"/>
              <w:spacing w:before="0" w:beforeAutospacing="0" w:after="0" w:afterAutospacing="0"/>
              <w:ind w:left="0" w:right="0"/>
              <w:rPr>
                <w:rFonts w:hint="default"/>
                <w:sz w:val="24"/>
              </w:rPr>
            </w:pPr>
          </w:p>
        </w:tc>
      </w:tr>
    </w:tbl>
    <w:p w14:paraId="1DD16844"/>
    <w:p w14:paraId="64194994">
      <w:pPr>
        <w:numPr>
          <w:ilvl w:val="0"/>
          <w:numId w:val="7"/>
        </w:numPr>
        <w:ind w:firstLine="420"/>
      </w:pPr>
    </w:p>
    <w:p w14:paraId="2D252212">
      <w:pPr>
        <w:rPr>
          <w:rFonts w:hint="eastAsia"/>
          <w:i w:val="0"/>
          <w:iCs w:val="0"/>
          <w:sz w:val="32"/>
          <w:szCs w:val="32"/>
        </w:rPr>
      </w:pPr>
      <w:r>
        <w:rPr>
          <w:rFonts w:hint="eastAsia"/>
          <w:i w:val="0"/>
          <w:iCs w:val="0"/>
          <w:sz w:val="32"/>
          <w:szCs w:val="32"/>
        </w:rPr>
        <w:br w:type="page"/>
      </w:r>
    </w:p>
    <w:p w14:paraId="1CA0A52C">
      <w:pPr>
        <w:rPr>
          <w:rFonts w:hint="eastAsia" w:asciiTheme="majorEastAsia" w:hAnsiTheme="majorEastAsia" w:eastAsiaTheme="majorEastAsia" w:cstheme="majorEastAsia"/>
          <w:sz w:val="24"/>
          <w:szCs w:val="24"/>
        </w:rPr>
      </w:pP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03F12D">
    <w:pPr>
      <w:pStyle w:val="13"/>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CFE9514">
                          <w:pPr>
                            <w:pStyle w:val="1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iw6YyAgAAZQQAAA4AAABkcnMvZTJvRG9jLnhtbK1UzY7TMBC+I/EO&#10;lu80aRFL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JbSjRT6Pjpx/fT&#10;z4fTr28EdxCotX6GuHuLyNC9Mx2Ch3uPy8i7q5yKv2BE4Ie8x4u8oguEx0fTyXSaw8XhGw7Azx6f&#10;W+fDe2EUiUZBHfqXZGWHjQ996BASs2mzbqRMPZSatAW9ev0m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yWLDpjICAABlBAAADgAAAAAAAAABACAAAAAfAQAAZHJzL2Uyb0RvYy54bWxQSwUG&#10;AAAAAAYABgBZAQAAwwUAAAAA&#10;">
              <v:fill on="f" focussize="0,0"/>
              <v:stroke on="f" weight="0.5pt"/>
              <v:imagedata o:title=""/>
              <o:lock v:ext="edit" aspectratio="f"/>
              <v:textbox inset="0mm,0mm,0mm,0mm" style="mso-fit-shape-to-text:t;">
                <w:txbxContent>
                  <w:p w14:paraId="3CFE9514">
                    <w:pPr>
                      <w:pStyle w:val="1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p w14:paraId="4253A600">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C26A2A">
    <w:pPr>
      <w:pStyle w:val="1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59182590">
                          <w:pPr>
                            <w:pStyle w:val="13"/>
                            <w:rPr>
                              <w:rStyle w:val="20"/>
                            </w:rPr>
                          </w:pPr>
                          <w:r>
                            <w:fldChar w:fldCharType="begin"/>
                          </w:r>
                          <w:r>
                            <w:rPr>
                              <w:rStyle w:val="20"/>
                            </w:rPr>
                            <w:instrText xml:space="preserve">PAGE  </w:instrText>
                          </w:r>
                          <w:r>
                            <w:fldChar w:fldCharType="separate"/>
                          </w:r>
                          <w:r>
                            <w:rPr>
                              <w:rStyle w:val="20"/>
                            </w:rPr>
                            <w:t>- 13 -</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a0NWJ8cBAACdAwAADgAAAAAAAAABACAAAAAeAQAAZHJzL2Uyb0RvYy54&#10;bWxQSwUGAAAAAAYABgBZAQAAVwUAAAAA&#10;">
              <v:fill on="f" focussize="0,0"/>
              <v:stroke on="f"/>
              <v:imagedata o:title=""/>
              <o:lock v:ext="edit" aspectratio="f"/>
              <v:textbox inset="0mm,0mm,0mm,0mm" style="mso-fit-shape-to-text:t;">
                <w:txbxContent>
                  <w:p w14:paraId="59182590">
                    <w:pPr>
                      <w:pStyle w:val="13"/>
                      <w:rPr>
                        <w:rStyle w:val="20"/>
                      </w:rPr>
                    </w:pPr>
                    <w:r>
                      <w:fldChar w:fldCharType="begin"/>
                    </w:r>
                    <w:r>
                      <w:rPr>
                        <w:rStyle w:val="20"/>
                      </w:rPr>
                      <w:instrText xml:space="preserve">PAGE  </w:instrText>
                    </w:r>
                    <w:r>
                      <w:fldChar w:fldCharType="separate"/>
                    </w:r>
                    <w:r>
                      <w:rPr>
                        <w:rStyle w:val="20"/>
                      </w:rPr>
                      <w:t>- 13 -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7BC2D3">
    <w:pPr>
      <w:pStyle w:val="1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8B39">
    <w:pPr>
      <w:pStyle w:val="14"/>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1">
    <w:nsid w:val="00000002"/>
    <w:multiLevelType w:val="multilevel"/>
    <w:tmpl w:val="00000002"/>
    <w:lvl w:ilvl="0" w:tentative="0">
      <w:start w:val="1"/>
      <w:numFmt w:val="bullet"/>
      <w:lvlText w:val=""/>
      <w:lvlJc w:val="left"/>
      <w:pPr>
        <w:tabs>
          <w:tab w:val="left" w:pos="0"/>
        </w:tabs>
        <w:ind w:left="420" w:hanging="420"/>
      </w:pPr>
      <w:rPr>
        <w:rFonts w:hint="default" w:ascii="Wingdings" w:hAnsi="Wingdings"/>
      </w:rPr>
    </w:lvl>
    <w:lvl w:ilvl="1" w:tentative="0">
      <w:start w:val="1"/>
      <w:numFmt w:val="bullet"/>
      <w:lvlRestart w:val="0"/>
      <w:lvlText w:val=""/>
      <w:lvlJc w:val="left"/>
      <w:pPr>
        <w:tabs>
          <w:tab w:val="left" w:pos="0"/>
        </w:tabs>
        <w:ind w:left="420" w:hanging="420"/>
      </w:pPr>
      <w:rPr>
        <w:rFonts w:hint="default" w:ascii="Wingdings" w:hAnsi="Wingdings"/>
      </w:rPr>
    </w:lvl>
    <w:lvl w:ilvl="2" w:tentative="0">
      <w:start w:val="1"/>
      <w:numFmt w:val="bullet"/>
      <w:lvlRestart w:val="0"/>
      <w:lvlText w:val=""/>
      <w:lvlJc w:val="left"/>
      <w:pPr>
        <w:tabs>
          <w:tab w:val="left" w:pos="0"/>
        </w:tabs>
        <w:ind w:left="420" w:hanging="420"/>
      </w:pPr>
      <w:rPr>
        <w:rFonts w:hint="default" w:ascii="Wingdings" w:hAnsi="Wingdings"/>
      </w:rPr>
    </w:lvl>
    <w:lvl w:ilvl="3" w:tentative="0">
      <w:start w:val="1"/>
      <w:numFmt w:val="bullet"/>
      <w:lvlRestart w:val="0"/>
      <w:lvlText w:val=""/>
      <w:lvlJc w:val="left"/>
      <w:pPr>
        <w:tabs>
          <w:tab w:val="left" w:pos="0"/>
        </w:tabs>
        <w:ind w:left="420" w:hanging="420"/>
      </w:pPr>
      <w:rPr>
        <w:rFonts w:hint="default" w:ascii="Wingdings" w:hAnsi="Wingdings"/>
      </w:rPr>
    </w:lvl>
    <w:lvl w:ilvl="4" w:tentative="0">
      <w:start w:val="1"/>
      <w:numFmt w:val="bullet"/>
      <w:lvlRestart w:val="0"/>
      <w:lvlText w:val=""/>
      <w:lvlJc w:val="left"/>
      <w:pPr>
        <w:tabs>
          <w:tab w:val="left" w:pos="0"/>
        </w:tabs>
        <w:ind w:left="420" w:hanging="420"/>
      </w:pPr>
      <w:rPr>
        <w:rFonts w:hint="default" w:ascii="Wingdings" w:hAnsi="Wingdings"/>
      </w:rPr>
    </w:lvl>
    <w:lvl w:ilvl="5" w:tentative="0">
      <w:start w:val="1"/>
      <w:numFmt w:val="bullet"/>
      <w:lvlRestart w:val="0"/>
      <w:lvlText w:val=""/>
      <w:lvlJc w:val="left"/>
      <w:pPr>
        <w:tabs>
          <w:tab w:val="left" w:pos="0"/>
        </w:tabs>
        <w:ind w:left="420" w:hanging="420"/>
      </w:pPr>
      <w:rPr>
        <w:rFonts w:hint="default" w:ascii="Wingdings" w:hAnsi="Wingdings"/>
      </w:rPr>
    </w:lvl>
    <w:lvl w:ilvl="6" w:tentative="0">
      <w:start w:val="1"/>
      <w:numFmt w:val="bullet"/>
      <w:lvlRestart w:val="0"/>
      <w:lvlText w:val=""/>
      <w:lvlJc w:val="left"/>
      <w:pPr>
        <w:tabs>
          <w:tab w:val="left" w:pos="0"/>
        </w:tabs>
        <w:ind w:left="420" w:hanging="420"/>
      </w:pPr>
      <w:rPr>
        <w:rFonts w:hint="default" w:ascii="Wingdings" w:hAnsi="Wingdings"/>
      </w:rPr>
    </w:lvl>
    <w:lvl w:ilvl="7" w:tentative="0">
      <w:start w:val="1"/>
      <w:numFmt w:val="bullet"/>
      <w:lvlRestart w:val="0"/>
      <w:lvlText w:val=""/>
      <w:lvlJc w:val="left"/>
      <w:pPr>
        <w:tabs>
          <w:tab w:val="left" w:pos="0"/>
        </w:tabs>
        <w:ind w:left="420" w:hanging="420"/>
      </w:pPr>
      <w:rPr>
        <w:rFonts w:hint="default" w:ascii="Wingdings" w:hAnsi="Wingdings"/>
      </w:rPr>
    </w:lvl>
    <w:lvl w:ilvl="8" w:tentative="0">
      <w:start w:val="1"/>
      <w:numFmt w:val="bullet"/>
      <w:lvlRestart w:val="0"/>
      <w:lvlText w:val=""/>
      <w:lvlJc w:val="left"/>
      <w:pPr>
        <w:tabs>
          <w:tab w:val="left" w:pos="0"/>
        </w:tabs>
        <w:ind w:left="420" w:hanging="420"/>
      </w:pPr>
      <w:rPr>
        <w:rFonts w:hint="default" w:ascii="Wingdings" w:hAnsi="Wingdings"/>
      </w:rPr>
    </w:lvl>
  </w:abstractNum>
  <w:abstractNum w:abstractNumId="2">
    <w:nsid w:val="15243912"/>
    <w:multiLevelType w:val="multilevel"/>
    <w:tmpl w:val="15243912"/>
    <w:lvl w:ilvl="0" w:tentative="0">
      <w:start w:val="1"/>
      <w:numFmt w:val="decimal"/>
      <w:suff w:val="nothing"/>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4">
    <w:nsid w:val="56D20133"/>
    <w:multiLevelType w:val="multilevel"/>
    <w:tmpl w:val="56D20133"/>
    <w:lvl w:ilvl="0" w:tentative="0">
      <w:start w:val="1"/>
      <w:numFmt w:val="chineseCountingThousand"/>
      <w:pStyle w:val="3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5">
    <w:nsid w:val="5874BC62"/>
    <w:multiLevelType w:val="singleLevel"/>
    <w:tmpl w:val="5874BC62"/>
    <w:lvl w:ilvl="0" w:tentative="0">
      <w:start w:val="1"/>
      <w:numFmt w:val="chineseCounting"/>
      <w:suff w:val="nothing"/>
      <w:lvlText w:val="%1、"/>
      <w:lvlJc w:val="left"/>
      <w:rPr>
        <w:rFonts w:hint="eastAsia"/>
      </w:rPr>
    </w:lvl>
  </w:abstractNum>
  <w:abstractNum w:abstractNumId="6">
    <w:nsid w:val="7446C7A1"/>
    <w:multiLevelType w:val="singleLevel"/>
    <w:tmpl w:val="7446C7A1"/>
    <w:lvl w:ilvl="0" w:tentative="0">
      <w:start w:val="1"/>
      <w:numFmt w:val="decimal"/>
      <w:lvlText w:val="%1."/>
      <w:lvlJc w:val="left"/>
      <w:pPr>
        <w:tabs>
          <w:tab w:val="left" w:pos="312"/>
        </w:tabs>
      </w:pPr>
    </w:lvl>
  </w:abstractNum>
  <w:num w:numId="1">
    <w:abstractNumId w:val="4"/>
  </w:num>
  <w:num w:numId="2">
    <w:abstractNumId w:val="5"/>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3"/>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1DE62A9"/>
    <w:rsid w:val="12F116C7"/>
    <w:rsid w:val="12F24CD6"/>
    <w:rsid w:val="1490034C"/>
    <w:rsid w:val="15711640"/>
    <w:rsid w:val="1A34548A"/>
    <w:rsid w:val="1F57027B"/>
    <w:rsid w:val="30954C22"/>
    <w:rsid w:val="331039D5"/>
    <w:rsid w:val="338420A8"/>
    <w:rsid w:val="344305EA"/>
    <w:rsid w:val="373B05AC"/>
    <w:rsid w:val="373C2E22"/>
    <w:rsid w:val="3CF27EE0"/>
    <w:rsid w:val="3D7D7D5D"/>
    <w:rsid w:val="3E1622DC"/>
    <w:rsid w:val="42EE0B0F"/>
    <w:rsid w:val="44907102"/>
    <w:rsid w:val="48EF075C"/>
    <w:rsid w:val="4CEE1727"/>
    <w:rsid w:val="51CE23C5"/>
    <w:rsid w:val="52B36E36"/>
    <w:rsid w:val="52EC41E8"/>
    <w:rsid w:val="53D365D6"/>
    <w:rsid w:val="545D2BAA"/>
    <w:rsid w:val="55FF6EE2"/>
    <w:rsid w:val="59CE123B"/>
    <w:rsid w:val="5E6E1B79"/>
    <w:rsid w:val="711968D2"/>
    <w:rsid w:val="74C93BE6"/>
    <w:rsid w:val="7CD508F4"/>
    <w:rsid w:val="7DA44D30"/>
    <w:rsid w:val="7F9500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qFormat="1"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8"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5">
    <w:name w:val="heading 1"/>
    <w:basedOn w:val="1"/>
    <w:next w:val="1"/>
    <w:qFormat/>
    <w:uiPriority w:val="0"/>
    <w:pPr>
      <w:tabs>
        <w:tab w:val="right" w:leader="dot" w:pos="9061"/>
      </w:tabs>
      <w:spacing w:line="360" w:lineRule="auto"/>
      <w:jc w:val="center"/>
      <w:outlineLvl w:val="0"/>
    </w:pPr>
    <w:rPr>
      <w:b/>
      <w:iCs/>
      <w:sz w:val="36"/>
      <w:szCs w:val="20"/>
    </w:rPr>
  </w:style>
  <w:style w:type="paragraph" w:styleId="6">
    <w:name w:val="heading 2"/>
    <w:basedOn w:val="1"/>
    <w:next w:val="1"/>
    <w:qFormat/>
    <w:uiPriority w:val="9"/>
    <w:pPr>
      <w:keepNext/>
      <w:spacing w:before="240" w:after="60"/>
      <w:outlineLvl w:val="1"/>
    </w:pPr>
    <w:rPr>
      <w:rFonts w:ascii="Cambria" w:hAnsi="Cambria"/>
      <w:b/>
      <w:bCs/>
      <w:i/>
      <w:iCs/>
      <w:sz w:val="28"/>
      <w:szCs w:val="28"/>
    </w:rPr>
  </w:style>
  <w:style w:type="paragraph" w:styleId="7">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8">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8">
    <w:name w:val="Default Paragraph Font"/>
    <w:semiHidden/>
    <w:qFormat/>
    <w:uiPriority w:val="0"/>
  </w:style>
  <w:style w:type="table" w:default="1" w:styleId="1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4"/>
    <w:qFormat/>
    <w:uiPriority w:val="0"/>
    <w:pPr>
      <w:spacing w:line="276" w:lineRule="auto"/>
      <w:ind w:left="200" w:firstLine="200" w:firstLineChars="200"/>
      <w:jc w:val="left"/>
    </w:pPr>
  </w:style>
  <w:style w:type="paragraph" w:styleId="3">
    <w:name w:val="Body Text Indent"/>
    <w:basedOn w:val="1"/>
    <w:next w:val="1"/>
    <w:qFormat/>
    <w:uiPriority w:val="0"/>
    <w:pPr>
      <w:spacing w:after="120"/>
      <w:ind w:left="420" w:leftChars="200"/>
    </w:pPr>
  </w:style>
  <w:style w:type="paragraph" w:styleId="4">
    <w:name w:val="toc 2"/>
    <w:basedOn w:val="1"/>
    <w:next w:val="1"/>
    <w:qFormat/>
    <w:uiPriority w:val="39"/>
    <w:pPr>
      <w:tabs>
        <w:tab w:val="right" w:leader="dot" w:pos="9629"/>
      </w:tabs>
      <w:ind w:left="480" w:leftChars="200"/>
    </w:pPr>
    <w:rPr>
      <w:b/>
    </w:rPr>
  </w:style>
  <w:style w:type="paragraph" w:styleId="9">
    <w:name w:val="Normal Indent"/>
    <w:basedOn w:val="1"/>
    <w:qFormat/>
    <w:uiPriority w:val="0"/>
    <w:pPr>
      <w:ind w:firstLine="200" w:firstLineChars="200"/>
    </w:pPr>
    <w:rPr>
      <w:kern w:val="0"/>
    </w:rPr>
  </w:style>
  <w:style w:type="paragraph" w:styleId="10">
    <w:name w:val="Body Text"/>
    <w:basedOn w:val="1"/>
    <w:next w:val="1"/>
    <w:qFormat/>
    <w:uiPriority w:val="98"/>
    <w:rPr>
      <w:rFonts w:ascii="仿宋_GB2312" w:eastAsia="仿宋_GB2312"/>
      <w:sz w:val="32"/>
    </w:rPr>
  </w:style>
  <w:style w:type="paragraph" w:styleId="11">
    <w:name w:val="index 4"/>
    <w:basedOn w:val="1"/>
    <w:next w:val="1"/>
    <w:qFormat/>
    <w:uiPriority w:val="0"/>
    <w:pPr>
      <w:ind w:left="600" w:leftChars="600"/>
    </w:pPr>
  </w:style>
  <w:style w:type="paragraph" w:styleId="12">
    <w:name w:val="Plain Text"/>
    <w:basedOn w:val="1"/>
    <w:qFormat/>
    <w:uiPriority w:val="0"/>
    <w:rPr>
      <w:rFonts w:ascii="宋体"/>
      <w:szCs w:val="20"/>
    </w:rPr>
  </w:style>
  <w:style w:type="paragraph" w:styleId="13">
    <w:name w:val="footer"/>
    <w:basedOn w:val="1"/>
    <w:unhideWhenUsed/>
    <w:qFormat/>
    <w:uiPriority w:val="99"/>
    <w:pPr>
      <w:tabs>
        <w:tab w:val="center" w:pos="4153"/>
        <w:tab w:val="right" w:pos="8306"/>
      </w:tabs>
      <w:snapToGrid w:val="0"/>
      <w:jc w:val="left"/>
    </w:pPr>
    <w:rPr>
      <w:sz w:val="18"/>
      <w:szCs w:val="18"/>
    </w:rPr>
  </w:style>
  <w:style w:type="paragraph" w:styleId="14">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Normal (Web)"/>
    <w:basedOn w:val="1"/>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table" w:styleId="17">
    <w:name w:val="Table Grid"/>
    <w:basedOn w:val="16"/>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9">
    <w:name w:val="Strong"/>
    <w:basedOn w:val="18"/>
    <w:qFormat/>
    <w:uiPriority w:val="0"/>
    <w:rPr>
      <w:b/>
    </w:rPr>
  </w:style>
  <w:style w:type="character" w:styleId="20">
    <w:name w:val="page number"/>
    <w:basedOn w:val="18"/>
    <w:semiHidden/>
    <w:qFormat/>
    <w:uiPriority w:val="0"/>
  </w:style>
  <w:style w:type="character" w:styleId="21">
    <w:name w:val="FollowedHyperlink"/>
    <w:basedOn w:val="18"/>
    <w:qFormat/>
    <w:uiPriority w:val="0"/>
    <w:rPr>
      <w:color w:val="800080"/>
      <w:u w:val="none"/>
    </w:rPr>
  </w:style>
  <w:style w:type="character" w:styleId="22">
    <w:name w:val="HTML Definition"/>
    <w:basedOn w:val="18"/>
    <w:qFormat/>
    <w:uiPriority w:val="0"/>
  </w:style>
  <w:style w:type="character" w:styleId="23">
    <w:name w:val="HTML Typewriter"/>
    <w:basedOn w:val="18"/>
    <w:qFormat/>
    <w:uiPriority w:val="0"/>
    <w:rPr>
      <w:rFonts w:hint="default" w:ascii="monospace" w:hAnsi="monospace" w:eastAsia="monospace" w:cs="monospace"/>
      <w:sz w:val="20"/>
    </w:rPr>
  </w:style>
  <w:style w:type="character" w:styleId="24">
    <w:name w:val="HTML Acronym"/>
    <w:basedOn w:val="18"/>
    <w:qFormat/>
    <w:uiPriority w:val="0"/>
  </w:style>
  <w:style w:type="character" w:styleId="25">
    <w:name w:val="HTML Variable"/>
    <w:basedOn w:val="18"/>
    <w:qFormat/>
    <w:uiPriority w:val="0"/>
  </w:style>
  <w:style w:type="character" w:styleId="26">
    <w:name w:val="Hyperlink"/>
    <w:basedOn w:val="18"/>
    <w:qFormat/>
    <w:uiPriority w:val="0"/>
    <w:rPr>
      <w:color w:val="0000FF"/>
      <w:u w:val="none"/>
    </w:rPr>
  </w:style>
  <w:style w:type="character" w:styleId="27">
    <w:name w:val="HTML Code"/>
    <w:basedOn w:val="18"/>
    <w:qFormat/>
    <w:uiPriority w:val="0"/>
    <w:rPr>
      <w:rFonts w:hint="default" w:ascii="monospace" w:hAnsi="monospace" w:eastAsia="monospace" w:cs="monospace"/>
      <w:sz w:val="20"/>
    </w:rPr>
  </w:style>
  <w:style w:type="character" w:styleId="28">
    <w:name w:val="HTML Cite"/>
    <w:basedOn w:val="18"/>
    <w:qFormat/>
    <w:uiPriority w:val="0"/>
  </w:style>
  <w:style w:type="character" w:styleId="29">
    <w:name w:val="HTML Keyboard"/>
    <w:basedOn w:val="18"/>
    <w:qFormat/>
    <w:uiPriority w:val="0"/>
    <w:rPr>
      <w:rFonts w:ascii="monospace" w:hAnsi="monospace" w:eastAsia="monospace" w:cs="monospace"/>
      <w:sz w:val="20"/>
    </w:rPr>
  </w:style>
  <w:style w:type="character" w:styleId="30">
    <w:name w:val="HTML Sample"/>
    <w:basedOn w:val="18"/>
    <w:qFormat/>
    <w:uiPriority w:val="0"/>
    <w:rPr>
      <w:rFonts w:hint="default" w:ascii="monospace" w:hAnsi="monospace" w:eastAsia="monospace" w:cs="monospace"/>
    </w:rPr>
  </w:style>
  <w:style w:type="paragraph" w:customStyle="1" w:styleId="31">
    <w:name w:val="Table Paragraph"/>
    <w:basedOn w:val="1"/>
    <w:qFormat/>
    <w:uiPriority w:val="1"/>
    <w:rPr>
      <w:rFonts w:ascii="宋体" w:hAnsi="宋体" w:eastAsia="宋体" w:cs="宋体"/>
    </w:rPr>
  </w:style>
  <w:style w:type="table" w:customStyle="1" w:styleId="32">
    <w:name w:val="Table Normal"/>
    <w:semiHidden/>
    <w:unhideWhenUsed/>
    <w:qFormat/>
    <w:uiPriority w:val="0"/>
    <w:tblPr>
      <w:tblCellMar>
        <w:top w:w="0" w:type="dxa"/>
        <w:left w:w="0" w:type="dxa"/>
        <w:bottom w:w="0" w:type="dxa"/>
        <w:right w:w="0" w:type="dxa"/>
      </w:tblCellMar>
    </w:tblPr>
  </w:style>
  <w:style w:type="paragraph" w:customStyle="1" w:styleId="33">
    <w:name w:val="（二）级标题"/>
    <w:basedOn w:val="12"/>
    <w:qFormat/>
    <w:uiPriority w:val="2"/>
    <w:pPr>
      <w:numPr>
        <w:ilvl w:val="0"/>
        <w:numId w:val="1"/>
      </w:numPr>
      <w:spacing w:line="360" w:lineRule="auto"/>
      <w:outlineLvl w:val="2"/>
    </w:pPr>
    <w:rPr>
      <w:b/>
    </w:rPr>
  </w:style>
  <w:style w:type="character" w:customStyle="1" w:styleId="34">
    <w:name w:val="NormalCharacter"/>
    <w:basedOn w:val="18"/>
    <w:qFormat/>
    <w:uiPriority w:val="0"/>
  </w:style>
  <w:style w:type="paragraph" w:customStyle="1" w:styleId="35">
    <w:name w:val="列表段落1"/>
    <w:basedOn w:val="1"/>
    <w:qFormat/>
    <w:uiPriority w:val="0"/>
    <w:pPr>
      <w:spacing w:line="360" w:lineRule="auto"/>
      <w:ind w:firstLine="200" w:firstLineChars="200"/>
    </w:pPr>
    <w:rPr>
      <w:color w:val="262626"/>
      <w:kern w:val="0"/>
      <w:sz w:val="20"/>
      <w:szCs w:val="20"/>
    </w:rPr>
  </w:style>
  <w:style w:type="paragraph" w:styleId="3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2.png"/><Relationship Id="rId8" Type="http://schemas.openxmlformats.org/officeDocument/2006/relationships/image" Target="media/image1.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11.png"/><Relationship Id="rId17" Type="http://schemas.openxmlformats.org/officeDocument/2006/relationships/image" Target="media/image10.png"/><Relationship Id="rId16" Type="http://schemas.openxmlformats.org/officeDocument/2006/relationships/image" Target="media/image9.png"/><Relationship Id="rId15" Type="http://schemas.openxmlformats.org/officeDocument/2006/relationships/image" Target="media/image8.png"/><Relationship Id="rId14" Type="http://schemas.openxmlformats.org/officeDocument/2006/relationships/image" Target="media/image7.png"/><Relationship Id="rId13" Type="http://schemas.openxmlformats.org/officeDocument/2006/relationships/image" Target="media/image6.png"/><Relationship Id="rId12" Type="http://schemas.openxmlformats.org/officeDocument/2006/relationships/image" Target="media/image5.png"/><Relationship Id="rId11" Type="http://schemas.openxmlformats.org/officeDocument/2006/relationships/image" Target="media/image4.png"/><Relationship Id="rId10" Type="http://schemas.openxmlformats.org/officeDocument/2006/relationships/image" Target="media/image3.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5530</Words>
  <Characters>5889</Characters>
  <Lines>0</Lines>
  <Paragraphs>0</Paragraphs>
  <TotalTime>0</TotalTime>
  <ScaleCrop>false</ScaleCrop>
  <LinksUpToDate>false</LinksUpToDate>
  <CharactersWithSpaces>5986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晓寒轻</cp:lastModifiedBy>
  <dcterms:modified xsi:type="dcterms:W3CDTF">2026-06-09T08:26:37Z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eyJoZGlkIjoiNGVmYjYwMTVkYTcwNzlmYzkyYzZmMzIwZTI3ZGZlNjgiLCJ1c2VySWQiOiIxMDYzNzE1ODkzIn0=</vt:lpwstr>
  </property>
  <property fmtid="{D5CDD505-2E9C-101B-9397-08002B2CF9AE}" pid="4" name="ICV">
    <vt:lpwstr>70DBD2ADC46740FAB43361786C2C834B_13</vt:lpwstr>
  </property>
</Properties>
</file>