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6121C4">
      <w:pPr>
        <w:pStyle w:val="6"/>
      </w:pPr>
      <w:bookmarkStart w:id="0" w:name="_Toc47976587"/>
      <w:bookmarkStart w:id="1" w:name="_Toc7104"/>
      <w:r>
        <w:rPr>
          <w:rFonts w:hint="eastAsia"/>
        </w:rPr>
        <w:t>招标公告</w:t>
      </w:r>
      <w:bookmarkEnd w:id="0"/>
      <w:bookmarkEnd w:id="1"/>
    </w:p>
    <w:p w14:paraId="63CA8D02">
      <w:pPr>
        <w:pStyle w:val="6"/>
        <w:rPr>
          <w:rFonts w:hint="eastAsia"/>
        </w:rPr>
      </w:pPr>
      <w:bookmarkStart w:id="2" w:name="_Toc32474"/>
      <w:r>
        <w:rPr>
          <w:rFonts w:hint="eastAsia"/>
          <w:sz w:val="28"/>
        </w:rPr>
        <w:t>济南发动机厂</w:t>
      </w:r>
      <w:r>
        <w:rPr>
          <w:rFonts w:hint="eastAsia"/>
          <w:sz w:val="28"/>
          <w:lang w:val="en-US" w:eastAsia="zh-CN"/>
        </w:rPr>
        <w:t>办公室空调</w:t>
      </w:r>
      <w:r>
        <w:rPr>
          <w:rFonts w:hint="eastAsia"/>
          <w:sz w:val="28"/>
        </w:rPr>
        <w:t>更新项目招标公告</w:t>
      </w:r>
      <w:bookmarkEnd w:id="2"/>
    </w:p>
    <w:p w14:paraId="74ADEAFC">
      <w:pPr>
        <w:pStyle w:val="7"/>
      </w:pPr>
      <w:bookmarkStart w:id="3" w:name="_Toc47976588"/>
      <w:r>
        <w:rPr>
          <w:rFonts w:hint="eastAsia"/>
        </w:rPr>
        <w:t>项目名称及项目编号</w:t>
      </w:r>
      <w:bookmarkEnd w:id="3"/>
    </w:p>
    <w:p w14:paraId="27D14078">
      <w:pPr>
        <w:pStyle w:val="8"/>
      </w:pPr>
      <w:r>
        <w:rPr>
          <w:rFonts w:hint="eastAsia"/>
        </w:rPr>
        <w:t>项目名称：</w:t>
      </w:r>
      <w:r>
        <w:rPr>
          <w:rFonts w:hint="eastAsia"/>
          <w:lang w:val="en-US" w:eastAsia="zh-CN"/>
        </w:rPr>
        <w:t>发动机厂办公室空调更新</w:t>
      </w:r>
      <w:r>
        <w:rPr>
          <w:rFonts w:hint="eastAsia"/>
        </w:rPr>
        <w:t>项目</w:t>
      </w:r>
    </w:p>
    <w:p w14:paraId="7500E9A7">
      <w:pPr>
        <w:pStyle w:val="8"/>
      </w:pPr>
      <w:r>
        <w:rPr>
          <w:rFonts w:hint="eastAsia"/>
        </w:rPr>
        <w:t>项目编号：</w:t>
      </w:r>
      <w:r>
        <w:rPr>
          <w:rFonts w:hint="eastAsia" w:ascii="宋体" w:eastAsia="宋体"/>
          <w:lang w:val="en-US" w:eastAsia="zh-CN"/>
        </w:rPr>
        <w:t>ZBGL2026050145</w:t>
      </w:r>
    </w:p>
    <w:p w14:paraId="6C7D4D2C">
      <w:pPr>
        <w:pStyle w:val="7"/>
      </w:pPr>
      <w:bookmarkStart w:id="4" w:name="_Toc47976589"/>
      <w:r>
        <w:rPr>
          <w:rFonts w:hint="eastAsia"/>
          <w:lang w:val="en-US" w:eastAsia="zh-CN"/>
        </w:rPr>
        <w:t>项目概况</w:t>
      </w:r>
      <w:r>
        <w:rPr>
          <w:rFonts w:hint="eastAsia"/>
        </w:rPr>
        <w:t>及招标形式</w:t>
      </w:r>
      <w:bookmarkEnd w:id="4"/>
    </w:p>
    <w:p w14:paraId="29B03CE8">
      <w:pPr>
        <w:pStyle w:val="8"/>
        <w:numPr>
          <w:ilvl w:val="0"/>
          <w:numId w:val="3"/>
        </w:numPr>
        <w:spacing w:line="240" w:lineRule="auto"/>
        <w:rPr>
          <w:rFonts w:hint="eastAsia" w:ascii="宋体" w:hAnsi="宋体" w:eastAsia="宋体" w:cs="Times New Roman"/>
          <w:b w:val="0"/>
          <w:kern w:val="2"/>
          <w:sz w:val="21"/>
          <w:lang w:val="en-US" w:eastAsia="zh-CN" w:bidi="ar-SA"/>
        </w:rPr>
      </w:pPr>
      <w:r>
        <w:rPr>
          <w:rFonts w:hint="eastAsia" w:ascii="宋体" w:hAnsi="宋体" w:eastAsia="宋体" w:cs="Times New Roman"/>
          <w:b w:val="0"/>
          <w:kern w:val="2"/>
          <w:sz w:val="21"/>
          <w:lang w:val="en-US" w:eastAsia="zh-CN" w:bidi="ar-SA"/>
        </w:rPr>
        <w:t>招标内容：</w:t>
      </w:r>
    </w:p>
    <w:tbl>
      <w:tblPr>
        <w:tblStyle w:val="4"/>
        <w:tblW w:w="820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56"/>
        <w:gridCol w:w="1768"/>
        <w:gridCol w:w="1078"/>
        <w:gridCol w:w="1078"/>
        <w:gridCol w:w="1467"/>
        <w:gridCol w:w="1079"/>
        <w:gridCol w:w="1079"/>
      </w:tblGrid>
      <w:tr w14:paraId="3D1CCA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1AD1A5">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17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D7CFA">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设备名称</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FFF91">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单位</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D24C0">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数量</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FF19F">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安装地点/服务对象</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68C1F">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供货方式</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E44AA">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备注</w:t>
            </w:r>
          </w:p>
        </w:tc>
      </w:tr>
      <w:tr w14:paraId="01E1C7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6"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F9E7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7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9EAA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KFR-120LW变频柜式空调</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34B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C267C">
            <w:pPr>
              <w:keepNext w:val="0"/>
              <w:keepLines w:val="0"/>
              <w:widowControl/>
              <w:suppressLineNumbers w:val="0"/>
              <w:jc w:val="center"/>
              <w:textAlignment w:val="center"/>
              <w:rPr>
                <w:rFonts w:ascii="Arial" w:hAnsi="Arial" w:eastAsia="宋体" w:cs="Arial"/>
                <w:i w:val="0"/>
                <w:iCs w:val="0"/>
                <w:color w:val="000000"/>
                <w:sz w:val="18"/>
                <w:szCs w:val="18"/>
                <w:u w:val="none"/>
              </w:rPr>
            </w:pPr>
            <w:r>
              <w:rPr>
                <w:rFonts w:hint="eastAsia" w:ascii="Arial" w:hAnsi="Arial" w:cs="Arial"/>
                <w:i w:val="0"/>
                <w:iCs w:val="0"/>
                <w:color w:val="000000"/>
                <w:kern w:val="0"/>
                <w:sz w:val="18"/>
                <w:szCs w:val="18"/>
                <w:u w:val="none"/>
                <w:lang w:val="en-US" w:eastAsia="zh-CN" w:bidi="ar"/>
              </w:rPr>
              <w:t>6</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7F8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济南发动机厂</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F2A84">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交钥匙</w:t>
            </w:r>
            <w:r>
              <w:rPr>
                <w:rFonts w:hint="eastAsia" w:ascii="宋体" w:hAnsi="宋体" w:cs="宋体"/>
                <w:i w:val="0"/>
                <w:iCs w:val="0"/>
                <w:color w:val="000000"/>
                <w:kern w:val="0"/>
                <w:sz w:val="18"/>
                <w:szCs w:val="18"/>
                <w:u w:val="none"/>
                <w:lang w:val="en-US" w:eastAsia="zh-CN" w:bidi="ar"/>
              </w:rPr>
              <w:t>工程</w:t>
            </w:r>
          </w:p>
        </w:tc>
        <w:tc>
          <w:tcPr>
            <w:tcW w:w="1079" w:type="dxa"/>
            <w:vMerge w:val="restart"/>
            <w:tcBorders>
              <w:top w:val="single" w:color="000000" w:sz="4" w:space="0"/>
              <w:left w:val="single" w:color="000000" w:sz="4" w:space="0"/>
              <w:right w:val="single" w:color="000000" w:sz="4" w:space="0"/>
            </w:tcBorders>
            <w:shd w:val="clear" w:color="auto" w:fill="auto"/>
            <w:vAlign w:val="center"/>
          </w:tcPr>
          <w:p w14:paraId="773AE98A">
            <w:pPr>
              <w:spacing w:line="240" w:lineRule="auto"/>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6"/>
                <w:szCs w:val="16"/>
                <w:u w:val="none"/>
                <w:lang w:val="en-US" w:eastAsia="zh-CN" w:bidi="ar"/>
              </w:rPr>
              <w:t>交钥匙工程——包括含旧机拆除、标配铜管、附加铜管、PVC管、PVC连接弯头、安装费、吊车费、吊栏费、空开、支架及其他附加人工费用验收、不可预见等直到交付使用的全部费用（含税价，按当时国家规定税率）。</w:t>
            </w:r>
          </w:p>
        </w:tc>
      </w:tr>
      <w:tr w14:paraId="2796D4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82"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B62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7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F885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KFR-72LW变频柜式空调</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329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50720">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eastAsia" w:ascii="Arial" w:hAnsi="Arial" w:cs="Arial"/>
                <w:i w:val="0"/>
                <w:iCs w:val="0"/>
                <w:color w:val="000000"/>
                <w:kern w:val="0"/>
                <w:sz w:val="18"/>
                <w:szCs w:val="18"/>
                <w:u w:val="none"/>
                <w:lang w:val="en-US" w:eastAsia="zh-CN" w:bidi="ar"/>
              </w:rPr>
              <w:t>7</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199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济南发动机厂</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82A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交钥匙</w:t>
            </w:r>
            <w:r>
              <w:rPr>
                <w:rFonts w:hint="eastAsia" w:ascii="宋体" w:hAnsi="宋体" w:cs="宋体"/>
                <w:i w:val="0"/>
                <w:iCs w:val="0"/>
                <w:color w:val="000000"/>
                <w:kern w:val="0"/>
                <w:sz w:val="18"/>
                <w:szCs w:val="18"/>
                <w:u w:val="none"/>
                <w:lang w:val="en-US" w:eastAsia="zh-CN" w:bidi="ar"/>
              </w:rPr>
              <w:t>工程</w:t>
            </w:r>
          </w:p>
        </w:tc>
        <w:tc>
          <w:tcPr>
            <w:tcW w:w="1079" w:type="dxa"/>
            <w:vMerge w:val="continue"/>
            <w:tcBorders>
              <w:left w:val="single" w:color="000000" w:sz="4" w:space="0"/>
              <w:bottom w:val="single" w:color="000000" w:sz="4" w:space="0"/>
              <w:right w:val="single" w:color="000000" w:sz="4" w:space="0"/>
            </w:tcBorders>
            <w:shd w:val="clear" w:color="auto" w:fill="auto"/>
            <w:vAlign w:val="center"/>
          </w:tcPr>
          <w:p w14:paraId="20B9EA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r>
      <w:tr w14:paraId="410304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4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C8BE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合计</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EB1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CE2F60">
            <w:pPr>
              <w:keepNext w:val="0"/>
              <w:keepLines w:val="0"/>
              <w:widowControl/>
              <w:suppressLineNumbers w:val="0"/>
              <w:jc w:val="center"/>
              <w:textAlignment w:val="center"/>
              <w:rPr>
                <w:rFonts w:hint="default" w:ascii="Arial" w:hAnsi="Arial" w:eastAsia="宋体" w:cs="Arial"/>
                <w:i w:val="0"/>
                <w:iCs w:val="0"/>
                <w:color w:val="000000"/>
                <w:sz w:val="18"/>
                <w:szCs w:val="18"/>
                <w:u w:val="none"/>
                <w:lang w:val="en-US"/>
              </w:rPr>
            </w:pPr>
            <w:r>
              <w:rPr>
                <w:rFonts w:hint="eastAsia" w:ascii="Arial" w:hAnsi="Arial" w:cs="Arial"/>
                <w:i w:val="0"/>
                <w:iCs w:val="0"/>
                <w:color w:val="000000"/>
                <w:kern w:val="0"/>
                <w:sz w:val="18"/>
                <w:szCs w:val="18"/>
                <w:u w:val="none"/>
                <w:lang w:val="en-US" w:eastAsia="zh-CN" w:bidi="ar"/>
              </w:rPr>
              <w:t>13</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7438F">
            <w:pPr>
              <w:jc w:val="center"/>
              <w:rPr>
                <w:rFonts w:hint="eastAsia" w:ascii="宋体" w:hAnsi="宋体" w:eastAsia="宋体" w:cs="宋体"/>
                <w:i w:val="0"/>
                <w:iCs w:val="0"/>
                <w:color w:val="000000"/>
                <w:sz w:val="18"/>
                <w:szCs w:val="18"/>
                <w:u w:val="none"/>
              </w:rPr>
            </w:pP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D49D1">
            <w:pPr>
              <w:jc w:val="center"/>
              <w:rPr>
                <w:rFonts w:hint="eastAsia" w:ascii="宋体" w:hAnsi="宋体" w:eastAsia="宋体" w:cs="宋体"/>
                <w:i w:val="0"/>
                <w:iCs w:val="0"/>
                <w:color w:val="000000"/>
                <w:sz w:val="18"/>
                <w:szCs w:val="18"/>
                <w:u w:val="none"/>
              </w:rPr>
            </w:pP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CAD72">
            <w:pPr>
              <w:jc w:val="center"/>
              <w:rPr>
                <w:rFonts w:hint="eastAsia" w:ascii="宋体" w:hAnsi="宋体" w:eastAsia="宋体" w:cs="宋体"/>
                <w:i w:val="0"/>
                <w:iCs w:val="0"/>
                <w:color w:val="000000"/>
                <w:sz w:val="18"/>
                <w:szCs w:val="18"/>
                <w:u w:val="none"/>
              </w:rPr>
            </w:pPr>
          </w:p>
        </w:tc>
      </w:tr>
    </w:tbl>
    <w:p w14:paraId="3E260DFA">
      <w:pPr>
        <w:pStyle w:val="8"/>
        <w:numPr>
          <w:ilvl w:val="0"/>
          <w:numId w:val="0"/>
        </w:numPr>
        <w:spacing w:line="240" w:lineRule="auto"/>
        <w:ind w:left="710" w:leftChars="0"/>
        <w:rPr>
          <w:rFonts w:hint="eastAsia" w:ascii="宋体" w:hAnsi="宋体" w:eastAsia="宋体" w:cs="Times New Roman"/>
          <w:b w:val="0"/>
          <w:kern w:val="2"/>
          <w:sz w:val="21"/>
          <w:lang w:val="en-US" w:eastAsia="zh-CN" w:bidi="ar-SA"/>
        </w:rPr>
      </w:pPr>
    </w:p>
    <w:p w14:paraId="34255ED6">
      <w:pPr>
        <w:pStyle w:val="8"/>
        <w:numPr>
          <w:ilvl w:val="0"/>
          <w:numId w:val="3"/>
        </w:numPr>
        <w:spacing w:line="240" w:lineRule="auto"/>
        <w:rPr>
          <w:rFonts w:hint="eastAsia" w:ascii="宋体" w:hAnsi="宋体" w:eastAsia="宋体" w:cs="Times New Roman"/>
          <w:b w:val="0"/>
          <w:kern w:val="2"/>
          <w:sz w:val="21"/>
          <w:lang w:val="en-US" w:eastAsia="zh-CN" w:bidi="ar-SA"/>
        </w:rPr>
      </w:pPr>
      <w:r>
        <w:rPr>
          <w:rFonts w:hint="eastAsia" w:ascii="宋体" w:hAnsi="宋体" w:eastAsia="宋体" w:cs="Times New Roman"/>
          <w:b w:val="0"/>
          <w:kern w:val="2"/>
          <w:sz w:val="21"/>
          <w:lang w:val="en-US" w:eastAsia="zh-CN" w:bidi="ar-SA"/>
        </w:rPr>
        <w:t>招标形式：公开招标</w:t>
      </w:r>
    </w:p>
    <w:p w14:paraId="5C91C951">
      <w:pPr>
        <w:pStyle w:val="7"/>
        <w:rPr>
          <w:highlight w:val="none"/>
        </w:rPr>
      </w:pPr>
      <w:bookmarkStart w:id="5" w:name="_Toc47976590"/>
      <w:r>
        <w:rPr>
          <w:rFonts w:hint="eastAsia"/>
          <w:highlight w:val="none"/>
        </w:rPr>
        <w:t>投标人资格要求</w:t>
      </w:r>
      <w:bookmarkEnd w:id="5"/>
    </w:p>
    <w:p w14:paraId="6B4F2FA9">
      <w:pPr>
        <w:pStyle w:val="2"/>
        <w:ind w:firstLine="420" w:firstLineChars="200"/>
        <w:rPr>
          <w:rFonts w:hint="eastAsia" w:ascii="宋体" w:hAnsi="宋体" w:eastAsia="宋体" w:cs="Times New Roman"/>
          <w:kern w:val="2"/>
          <w:sz w:val="21"/>
          <w:lang w:val="en-US" w:eastAsia="zh-CN" w:bidi="ar-SA"/>
        </w:rPr>
      </w:pPr>
      <w:r>
        <w:rPr>
          <w:rFonts w:hint="eastAsia" w:ascii="宋体" w:hAnsi="宋体" w:eastAsia="宋体" w:cs="Times New Roman"/>
          <w:kern w:val="2"/>
          <w:sz w:val="21"/>
          <w:lang w:val="en-US" w:eastAsia="zh-CN" w:bidi="ar-SA"/>
        </w:rPr>
        <w:t>1.拟标投人必须是在中华人民共和国境内注册的独立法人机构，具有独立承担民事责任能力；注册资金不少于100万人民币（或等值其他货币）；公司成立三年以上（以营业执照成立日期到开标当日满三年为准），且经营范围满足招标人需求；并在人员、设备、资金等方面具有承担本项目的能力；</w:t>
      </w:r>
    </w:p>
    <w:p w14:paraId="0999DC70">
      <w:pPr>
        <w:pStyle w:val="2"/>
        <w:ind w:firstLine="420" w:firstLineChars="200"/>
        <w:rPr>
          <w:rFonts w:hint="eastAsia" w:ascii="宋体" w:hAnsi="宋体" w:eastAsia="宋体" w:cs="Times New Roman"/>
          <w:kern w:val="2"/>
          <w:sz w:val="21"/>
          <w:lang w:val="en-US" w:eastAsia="zh-CN" w:bidi="ar-SA"/>
        </w:rPr>
      </w:pPr>
      <w:r>
        <w:rPr>
          <w:rFonts w:hint="eastAsia" w:ascii="宋体" w:hAnsi="宋体" w:eastAsia="宋体" w:cs="Times New Roman"/>
          <w:kern w:val="2"/>
          <w:sz w:val="21"/>
          <w:lang w:val="en-US" w:eastAsia="zh-CN" w:bidi="ar-SA"/>
        </w:rPr>
        <w:t>2.拟投标人应提供营业执照副本原件和扫描件（需盖章）；</w:t>
      </w:r>
    </w:p>
    <w:p w14:paraId="568E2ED9">
      <w:pPr>
        <w:pStyle w:val="2"/>
        <w:ind w:firstLine="420" w:firstLineChars="200"/>
        <w:rPr>
          <w:rFonts w:hint="eastAsia" w:ascii="宋体" w:hAnsi="宋体" w:eastAsia="宋体" w:cs="Times New Roman"/>
          <w:kern w:val="2"/>
          <w:sz w:val="21"/>
          <w:lang w:val="en-US" w:eastAsia="zh-CN" w:bidi="ar-SA"/>
        </w:rPr>
      </w:pPr>
      <w:r>
        <w:rPr>
          <w:rFonts w:hint="eastAsia" w:ascii="宋体" w:hAnsi="宋体" w:eastAsia="宋体" w:cs="Times New Roman"/>
          <w:kern w:val="2"/>
          <w:sz w:val="21"/>
          <w:lang w:val="en-US" w:eastAsia="zh-CN" w:bidi="ar-SA"/>
        </w:rPr>
        <w:t>3.拟投标人应提供法定代表人资格证明文件；</w:t>
      </w:r>
    </w:p>
    <w:p w14:paraId="5F5B8B18">
      <w:pPr>
        <w:pStyle w:val="2"/>
        <w:ind w:firstLine="420" w:firstLineChars="200"/>
        <w:rPr>
          <w:rFonts w:hint="eastAsia" w:ascii="宋体" w:hAnsi="宋体" w:eastAsia="宋体" w:cs="Times New Roman"/>
          <w:kern w:val="2"/>
          <w:sz w:val="21"/>
          <w:lang w:val="en-US" w:eastAsia="zh-CN" w:bidi="ar-SA"/>
        </w:rPr>
      </w:pPr>
      <w:r>
        <w:rPr>
          <w:rFonts w:hint="eastAsia" w:ascii="宋体" w:hAnsi="宋体" w:eastAsia="宋体" w:cs="Times New Roman"/>
          <w:kern w:val="2"/>
          <w:sz w:val="21"/>
          <w:lang w:val="en-US" w:eastAsia="zh-CN" w:bidi="ar-SA"/>
        </w:rPr>
        <w:t>4.拟投标人在国家市场监督管理总局的《国家企业信用信息公示系统》中查询不存在不良记录；</w:t>
      </w:r>
    </w:p>
    <w:p w14:paraId="66FBDA75">
      <w:pPr>
        <w:pStyle w:val="2"/>
        <w:ind w:firstLine="420" w:firstLineChars="200"/>
        <w:rPr>
          <w:rFonts w:hint="eastAsia" w:ascii="宋体" w:hAnsi="宋体" w:eastAsia="宋体" w:cs="Times New Roman"/>
          <w:kern w:val="2"/>
          <w:sz w:val="21"/>
          <w:lang w:val="en-US" w:eastAsia="zh-CN" w:bidi="ar-SA"/>
        </w:rPr>
      </w:pPr>
      <w:r>
        <w:rPr>
          <w:rFonts w:hint="eastAsia" w:ascii="宋体" w:hAnsi="宋体" w:eastAsia="宋体" w:cs="Times New Roman"/>
          <w:kern w:val="2"/>
          <w:sz w:val="21"/>
          <w:lang w:val="en-US" w:eastAsia="zh-CN" w:bidi="ar-SA"/>
        </w:rPr>
        <w:t>5.拟投标人不存在严重违规或被列入招标人“黑名单”的声明；</w:t>
      </w:r>
    </w:p>
    <w:p w14:paraId="0883C8CE">
      <w:pPr>
        <w:pStyle w:val="2"/>
        <w:ind w:firstLine="420" w:firstLineChars="200"/>
        <w:rPr>
          <w:rFonts w:hint="eastAsia" w:ascii="宋体" w:hAnsi="宋体" w:eastAsia="宋体" w:cs="Times New Roman"/>
          <w:kern w:val="2"/>
          <w:sz w:val="21"/>
          <w:lang w:val="en-US" w:eastAsia="zh-CN" w:bidi="ar-SA"/>
        </w:rPr>
      </w:pPr>
      <w:r>
        <w:rPr>
          <w:rFonts w:hint="eastAsia" w:ascii="宋体" w:hAnsi="宋体" w:eastAsia="宋体" w:cs="Times New Roman"/>
          <w:kern w:val="2"/>
          <w:sz w:val="21"/>
          <w:lang w:val="en-US" w:eastAsia="zh-CN" w:bidi="ar-SA"/>
        </w:rPr>
        <w:t>6.拟投标人近三年经会计师事务所审计且出具无保留意见的财务审计报告，并加盖公章，包括但不限于报告页、经审计的资产负债表、利润表、现金流量表及报表附注（如投标人公司没有经审计的财务报告，可提供加盖公章的近三年财务报表，包括但不限于资产负债表、利润表、现金流量表），且未显示异常；</w:t>
      </w:r>
    </w:p>
    <w:p w14:paraId="187191D2">
      <w:pPr>
        <w:pStyle w:val="2"/>
        <w:ind w:firstLine="420" w:firstLineChars="200"/>
        <w:rPr>
          <w:rFonts w:hint="eastAsia" w:ascii="宋体" w:hAnsi="宋体" w:eastAsia="宋体" w:cs="Times New Roman"/>
          <w:kern w:val="2"/>
          <w:sz w:val="21"/>
          <w:lang w:val="en-US" w:eastAsia="zh-CN" w:bidi="ar-SA"/>
        </w:rPr>
      </w:pPr>
      <w:r>
        <w:rPr>
          <w:rFonts w:hint="eastAsia" w:ascii="宋体" w:hAnsi="宋体" w:eastAsia="宋体" w:cs="Times New Roman"/>
          <w:kern w:val="2"/>
          <w:sz w:val="21"/>
          <w:lang w:val="en-US" w:eastAsia="zh-CN" w:bidi="ar-SA"/>
        </w:rPr>
        <w:t>7.拟投标人近三年有与本次招标内容相同或类似项目业绩（需出示合同），近三年内无因服务不当而造成重大事故；</w:t>
      </w:r>
    </w:p>
    <w:p w14:paraId="32A2F75E">
      <w:pPr>
        <w:pStyle w:val="2"/>
        <w:ind w:firstLine="420" w:firstLineChars="200"/>
        <w:rPr>
          <w:rFonts w:hint="eastAsia" w:ascii="宋体" w:hAnsi="宋体" w:eastAsia="宋体" w:cs="Times New Roman"/>
          <w:kern w:val="2"/>
          <w:sz w:val="21"/>
          <w:lang w:val="en-US" w:eastAsia="zh-CN" w:bidi="ar-SA"/>
        </w:rPr>
      </w:pPr>
      <w:r>
        <w:rPr>
          <w:rFonts w:hint="eastAsia" w:ascii="宋体" w:hAnsi="宋体" w:eastAsia="宋体" w:cs="Times New Roman"/>
          <w:kern w:val="2"/>
          <w:sz w:val="21"/>
          <w:lang w:val="en-US" w:eastAsia="zh-CN" w:bidi="ar-SA"/>
        </w:rPr>
        <w:t>8.拟投标人近三年内在经营活动中无与本项目有关的违法及重大违规情况；</w:t>
      </w:r>
    </w:p>
    <w:p w14:paraId="3F5F73AB">
      <w:pPr>
        <w:pStyle w:val="2"/>
        <w:ind w:firstLine="420" w:firstLineChars="200"/>
        <w:rPr>
          <w:rFonts w:hint="eastAsia" w:ascii="宋体" w:hAnsi="宋体" w:eastAsia="宋体" w:cs="Times New Roman"/>
          <w:kern w:val="2"/>
          <w:sz w:val="21"/>
          <w:lang w:val="en-US" w:eastAsia="zh-CN" w:bidi="ar-SA"/>
        </w:rPr>
      </w:pPr>
      <w:r>
        <w:rPr>
          <w:rFonts w:hint="eastAsia" w:ascii="宋体" w:hAnsi="宋体" w:eastAsia="宋体" w:cs="Times New Roman"/>
          <w:kern w:val="2"/>
          <w:sz w:val="21"/>
          <w:lang w:val="en-US" w:eastAsia="zh-CN" w:bidi="ar-SA"/>
        </w:rPr>
        <w:t>9.拟投标人须认可招标人的工作指令，包括节、假日能正常开展工作的要求；</w:t>
      </w:r>
    </w:p>
    <w:p w14:paraId="0F560581">
      <w:pPr>
        <w:pStyle w:val="2"/>
        <w:ind w:firstLine="420" w:firstLineChars="200"/>
        <w:rPr>
          <w:rFonts w:hint="eastAsia" w:ascii="宋体" w:hAnsi="宋体" w:eastAsia="宋体" w:cs="Times New Roman"/>
          <w:kern w:val="2"/>
          <w:sz w:val="21"/>
          <w:lang w:val="en-US" w:eastAsia="zh-CN" w:bidi="ar-SA"/>
        </w:rPr>
      </w:pPr>
      <w:r>
        <w:rPr>
          <w:rFonts w:hint="eastAsia" w:ascii="宋体" w:hAnsi="宋体" w:eastAsia="宋体" w:cs="Times New Roman"/>
          <w:kern w:val="2"/>
          <w:sz w:val="21"/>
          <w:lang w:val="en-US" w:eastAsia="zh-CN" w:bidi="ar-SA"/>
        </w:rPr>
        <w:t>10.拟投标人最近半年纳税正常；</w:t>
      </w:r>
    </w:p>
    <w:p w14:paraId="5498BB87">
      <w:pPr>
        <w:pStyle w:val="2"/>
        <w:ind w:firstLine="420" w:firstLineChars="200"/>
        <w:rPr>
          <w:rFonts w:hint="eastAsia" w:ascii="宋体" w:hAnsi="宋体" w:eastAsia="宋体" w:cs="Times New Roman"/>
          <w:kern w:val="2"/>
          <w:sz w:val="21"/>
          <w:lang w:val="en-US" w:eastAsia="zh-CN" w:bidi="ar-SA"/>
        </w:rPr>
      </w:pPr>
      <w:r>
        <w:rPr>
          <w:rFonts w:hint="eastAsia" w:ascii="宋体" w:hAnsi="宋体" w:eastAsia="宋体" w:cs="Times New Roman"/>
          <w:kern w:val="2"/>
          <w:sz w:val="21"/>
          <w:lang w:val="en-US" w:eastAsia="zh-CN" w:bidi="ar-SA"/>
        </w:rPr>
        <w:t>11.拟投标人信用证明材料（征信报告）未显示异常；</w:t>
      </w:r>
    </w:p>
    <w:p w14:paraId="0C53D848">
      <w:pPr>
        <w:pStyle w:val="2"/>
        <w:ind w:firstLine="420" w:firstLineChars="200"/>
        <w:rPr>
          <w:rFonts w:hint="eastAsia" w:ascii="宋体" w:hAnsi="宋体" w:eastAsia="宋体" w:cs="Times New Roman"/>
          <w:kern w:val="2"/>
          <w:sz w:val="21"/>
          <w:lang w:val="en-US" w:eastAsia="zh-CN" w:bidi="ar-SA"/>
        </w:rPr>
      </w:pPr>
      <w:r>
        <w:rPr>
          <w:rFonts w:hint="eastAsia" w:ascii="宋体" w:hAnsi="宋体" w:eastAsia="宋体" w:cs="Times New Roman"/>
          <w:kern w:val="2"/>
          <w:sz w:val="21"/>
          <w:lang w:val="en-US" w:eastAsia="zh-CN" w:bidi="ar-SA"/>
        </w:rPr>
        <w:t>12.拟投标人的直接或间接股东、法定代表人、董事、监事、高管非重汽员工及其亲属；</w:t>
      </w:r>
    </w:p>
    <w:p w14:paraId="4FEA3384">
      <w:pPr>
        <w:pStyle w:val="2"/>
        <w:ind w:firstLine="420" w:firstLineChars="200"/>
        <w:rPr>
          <w:rFonts w:hint="eastAsia" w:ascii="宋体" w:hAnsi="宋体" w:eastAsia="宋体" w:cs="Times New Roman"/>
          <w:kern w:val="2"/>
          <w:sz w:val="21"/>
          <w:lang w:val="en-US" w:eastAsia="zh-CN" w:bidi="ar-SA"/>
        </w:rPr>
      </w:pPr>
      <w:r>
        <w:rPr>
          <w:rFonts w:hint="eastAsia" w:ascii="宋体" w:hAnsi="宋体" w:eastAsia="宋体" w:cs="Times New Roman"/>
          <w:kern w:val="2"/>
          <w:sz w:val="21"/>
          <w:lang w:val="en-US" w:eastAsia="zh-CN" w:bidi="ar-SA"/>
        </w:rPr>
        <w:t>13.如为代理商投标，需获得生产厂家正式授权，提供授权书原件(代理品牌针对项目的唯一授权书)，保证提供原厂售后服务并提供原厂售后服务承诺书原件；</w:t>
      </w:r>
    </w:p>
    <w:p w14:paraId="0AC894F9">
      <w:pPr>
        <w:pStyle w:val="2"/>
        <w:ind w:firstLine="420" w:firstLineChars="200"/>
        <w:rPr>
          <w:rFonts w:hint="eastAsia" w:ascii="宋体" w:hAnsi="宋体" w:eastAsia="宋体" w:cs="Times New Roman"/>
          <w:kern w:val="2"/>
          <w:sz w:val="21"/>
          <w:lang w:val="en-US" w:eastAsia="zh-CN" w:bidi="ar-SA"/>
        </w:rPr>
      </w:pPr>
      <w:r>
        <w:rPr>
          <w:rFonts w:hint="eastAsia" w:ascii="宋体" w:hAnsi="宋体" w:eastAsia="宋体" w:cs="Times New Roman"/>
          <w:kern w:val="2"/>
          <w:sz w:val="21"/>
          <w:lang w:val="en-US" w:eastAsia="zh-CN" w:bidi="ar-SA"/>
        </w:rPr>
        <w:t>14.本项目不接受联合体投标，拟投标人必须是最终投标单位和签订合同单位，不得以任何理由将已中标项目以任何形式分包或转包给其他单位；</w:t>
      </w:r>
    </w:p>
    <w:p w14:paraId="7B3990C2">
      <w:pPr>
        <w:pStyle w:val="7"/>
        <w:numPr>
          <w:ilvl w:val="0"/>
          <w:numId w:val="0"/>
        </w:numPr>
        <w:ind w:leftChars="0"/>
        <w:rPr>
          <w:rFonts w:hint="eastAsia" w:ascii="宋体" w:hAnsi="宋体" w:eastAsia="宋体" w:cs="Times New Roman"/>
          <w:kern w:val="2"/>
          <w:sz w:val="21"/>
          <w:lang w:val="en-US" w:eastAsia="zh-CN" w:bidi="ar-SA"/>
        </w:rPr>
      </w:pPr>
      <w:r>
        <w:rPr>
          <w:rFonts w:hint="eastAsia" w:ascii="宋体" w:hAnsi="宋体" w:eastAsia="宋体" w:cs="Times New Roman"/>
          <w:kern w:val="2"/>
          <w:sz w:val="21"/>
          <w:lang w:val="en-US" w:eastAsia="zh-CN" w:bidi="ar-SA"/>
        </w:rPr>
        <w:t>15.与招标人存在利害关系可能影响招标公正性的法人、其他组织或者个人，不得参加投标。</w:t>
      </w:r>
    </w:p>
    <w:p w14:paraId="721DF44B">
      <w:pPr>
        <w:pStyle w:val="7"/>
        <w:rPr>
          <w:highlight w:val="none"/>
        </w:rPr>
      </w:pPr>
      <w:bookmarkStart w:id="6" w:name="_Toc47976591"/>
      <w:r>
        <w:rPr>
          <w:rFonts w:hint="eastAsia"/>
          <w:highlight w:val="none"/>
        </w:rPr>
        <w:t>报名及招标文件的获取</w:t>
      </w:r>
      <w:bookmarkEnd w:id="6"/>
    </w:p>
    <w:p w14:paraId="35FDAC02">
      <w:pPr>
        <w:pStyle w:val="2"/>
        <w:spacing w:line="360" w:lineRule="auto"/>
        <w:ind w:firstLine="422" w:firstLineChars="200"/>
        <w:rPr>
          <w:rFonts w:hint="eastAsia" w:ascii="Times New Roman" w:hAnsi="Times New Roman" w:eastAsia="宋体" w:cs="Times New Roman"/>
          <w:b/>
          <w:bCs/>
          <w:kern w:val="2"/>
          <w:sz w:val="21"/>
          <w:lang w:val="en-US" w:eastAsia="zh-CN" w:bidi="ar-SA"/>
        </w:rPr>
      </w:pPr>
      <w:r>
        <w:rPr>
          <w:rFonts w:hint="eastAsia" w:ascii="Times New Roman" w:hAnsi="Times New Roman" w:eastAsia="宋体" w:cs="Times New Roman"/>
          <w:b/>
          <w:bCs/>
          <w:kern w:val="2"/>
          <w:sz w:val="21"/>
          <w:lang w:val="en-US" w:eastAsia="zh-CN" w:bidi="ar-SA"/>
        </w:rPr>
        <w:t>报名方式：</w:t>
      </w:r>
    </w:p>
    <w:p w14:paraId="7D60544C">
      <w:pPr>
        <w:pStyle w:val="2"/>
        <w:spacing w:line="360" w:lineRule="auto"/>
        <w:ind w:firstLine="420" w:firstLineChars="200"/>
        <w:rPr>
          <w:rFonts w:hint="eastAsia" w:ascii="Times New Roman" w:hAnsi="Times New Roman" w:eastAsia="宋体" w:cs="Times New Roman"/>
          <w:b w:val="0"/>
          <w:bCs w:val="0"/>
          <w:kern w:val="2"/>
          <w:sz w:val="21"/>
          <w:lang w:val="en-US" w:eastAsia="zh-CN" w:bidi="ar-SA"/>
        </w:rPr>
      </w:pPr>
      <w:r>
        <w:rPr>
          <w:rFonts w:hint="eastAsia" w:hAnsi="宋体" w:cs="Times New Roman"/>
          <w:lang w:eastAsia="zh-CN"/>
        </w:rPr>
        <w:t>本次招标公告在</w:t>
      </w:r>
      <w:r>
        <w:rPr>
          <w:rFonts w:hint="eastAsia" w:hAnsi="宋体" w:cs="Times New Roman"/>
        </w:rPr>
        <w:t>中国重汽官网</w:t>
      </w:r>
      <w:r>
        <w:rPr>
          <w:rFonts w:hint="eastAsia" w:hAnsi="宋体" w:cs="Times New Roman"/>
          <w:lang w:val="en-US" w:eastAsia="zh-CN"/>
        </w:rPr>
        <w:t>的</w:t>
      </w:r>
      <w:r>
        <w:rPr>
          <w:rFonts w:hint="eastAsia" w:hAnsi="宋体" w:cs="Times New Roman"/>
          <w:lang w:eastAsia="zh-CN"/>
        </w:rPr>
        <w:t>公开媒体发布招标公告</w:t>
      </w:r>
      <w:r>
        <w:rPr>
          <w:rFonts w:hint="eastAsia" w:hAnsi="宋体" w:cs="Times New Roman"/>
        </w:rPr>
        <w:t>（https://www.cnhtc.com.cn/sinotruk/xwzx/tzgg/index.html）。</w:t>
      </w:r>
      <w:r>
        <w:rPr>
          <w:rFonts w:hint="eastAsia" w:ascii="Times New Roman" w:hAnsi="Times New Roman" w:eastAsia="宋体" w:cs="Times New Roman"/>
          <w:b w:val="0"/>
          <w:bCs w:val="0"/>
          <w:kern w:val="2"/>
          <w:sz w:val="21"/>
          <w:lang w:val="en-US" w:eastAsia="zh-CN" w:bidi="ar-SA"/>
        </w:rPr>
        <w:t>拟投标人根据招标人在中国重汽官网等公开媒体上发布的招标信息，在“中国重汽e采通”平台报名。</w:t>
      </w:r>
    </w:p>
    <w:p w14:paraId="7E8C419E">
      <w:pPr>
        <w:spacing w:line="360" w:lineRule="auto"/>
        <w:ind w:firstLine="420" w:firstLineChars="200"/>
        <w:rPr>
          <w:rFonts w:hint="eastAsia" w:ascii="Times New Roman" w:hAnsi="Times New Roman" w:eastAsia="宋体" w:cs="Times New Roman"/>
          <w:b w:val="0"/>
          <w:bCs w:val="0"/>
          <w:color w:val="auto"/>
          <w:kern w:val="2"/>
          <w:sz w:val="21"/>
          <w:highlight w:val="none"/>
          <w:lang w:val="en-US" w:eastAsia="zh-CN" w:bidi="ar-SA"/>
        </w:rPr>
      </w:pPr>
      <w:r>
        <w:rPr>
          <w:rFonts w:hint="eastAsia" w:ascii="宋体" w:hAnsi="宋体"/>
        </w:rPr>
        <w:t>未在重汽e采通平台注册的投标方请先进行注册，请按照附件《非生产供应商注册操作手册》完成平台注册（网址：http</w:t>
      </w:r>
      <w:r>
        <w:rPr>
          <w:rFonts w:hint="eastAsia" w:ascii="宋体" w:hAnsi="宋体"/>
          <w:lang w:val="en-US" w:eastAsia="zh-CN"/>
        </w:rPr>
        <w:t>s</w:t>
      </w:r>
      <w:r>
        <w:rPr>
          <w:rFonts w:hint="eastAsia" w:ascii="宋体" w:hAnsi="宋体"/>
        </w:rPr>
        <w:t>://ecaitong.sinotruk.com:8012/#/login）。注册并审核通过后方能参与本项目应标及后续投标，审核通过后请电话告知招标方联系人</w:t>
      </w:r>
      <w:r>
        <w:rPr>
          <w:rFonts w:hint="eastAsia" w:ascii="宋体" w:hAnsi="宋体"/>
          <w:lang w:eastAsia="zh-CN"/>
        </w:rPr>
        <w:t>，</w:t>
      </w:r>
      <w:r>
        <w:rPr>
          <w:rFonts w:hint="eastAsia"/>
        </w:rPr>
        <w:t>请于报名截止时间前完成注册审批，未注册完成的不允许参加相关投标报名。</w:t>
      </w:r>
      <w:r>
        <w:rPr>
          <w:rFonts w:hint="eastAsia" w:ascii="Times New Roman" w:hAnsi="Times New Roman" w:eastAsia="宋体" w:cs="Times New Roman"/>
          <w:b w:val="0"/>
          <w:bCs w:val="0"/>
          <w:kern w:val="2"/>
          <w:sz w:val="21"/>
          <w:lang w:val="en-US" w:eastAsia="zh-CN" w:bidi="ar-SA"/>
        </w:rPr>
        <w:t>注册完毕后按照</w:t>
      </w:r>
      <w:r>
        <w:rPr>
          <w:rFonts w:hint="eastAsia" w:ascii="宋体" w:hAnsi="宋体"/>
        </w:rPr>
        <w:t>附件</w:t>
      </w:r>
      <w:r>
        <w:rPr>
          <w:rFonts w:hint="eastAsia" w:ascii="Times New Roman" w:hAnsi="Times New Roman" w:eastAsia="宋体" w:cs="Times New Roman"/>
          <w:b w:val="0"/>
          <w:bCs w:val="0"/>
          <w:kern w:val="2"/>
          <w:sz w:val="21"/>
          <w:lang w:val="en-US" w:eastAsia="zh-CN" w:bidi="ar-SA"/>
        </w:rPr>
        <w:t>“供应商用户手册”，登录重汽e采通平台后进入“供应商应标”，选择对应的项目，点击“应标</w:t>
      </w:r>
      <w:r>
        <w:rPr>
          <w:rFonts w:hint="eastAsia" w:ascii="Times New Roman" w:hAnsi="Times New Roman" w:eastAsia="宋体" w:cs="Times New Roman"/>
          <w:b w:val="0"/>
          <w:bCs w:val="0"/>
          <w:color w:val="auto"/>
          <w:kern w:val="2"/>
          <w:sz w:val="21"/>
          <w:highlight w:val="none"/>
          <w:lang w:val="en-US" w:eastAsia="zh-CN" w:bidi="ar-SA"/>
        </w:rPr>
        <w:t>”后</w:t>
      </w:r>
      <w:r>
        <w:rPr>
          <w:rFonts w:hint="eastAsia" w:ascii="Times New Roman" w:hAnsi="Times New Roman" w:eastAsia="宋体" w:cs="Times New Roman"/>
          <w:b/>
          <w:bCs/>
          <w:color w:val="auto"/>
          <w:kern w:val="2"/>
          <w:sz w:val="21"/>
          <w:highlight w:val="none"/>
          <w:lang w:val="en-US" w:eastAsia="zh-CN" w:bidi="ar-SA"/>
        </w:rPr>
        <w:t>按照招标</w:t>
      </w:r>
      <w:r>
        <w:rPr>
          <w:rFonts w:hint="eastAsia" w:cs="Times New Roman"/>
          <w:b/>
          <w:bCs/>
          <w:color w:val="auto"/>
          <w:kern w:val="2"/>
          <w:sz w:val="21"/>
          <w:highlight w:val="none"/>
          <w:lang w:val="en-US" w:eastAsia="zh-CN" w:bidi="ar-SA"/>
        </w:rPr>
        <w:t>公告</w:t>
      </w:r>
      <w:r>
        <w:rPr>
          <w:rFonts w:hint="eastAsia" w:ascii="Times New Roman" w:hAnsi="Times New Roman" w:eastAsia="宋体" w:cs="Times New Roman"/>
          <w:b/>
          <w:bCs/>
          <w:color w:val="auto"/>
          <w:kern w:val="2"/>
          <w:sz w:val="21"/>
          <w:highlight w:val="none"/>
          <w:lang w:val="en-US" w:eastAsia="zh-CN" w:bidi="ar-SA"/>
        </w:rPr>
        <w:t>第三部分投标人资格要求中的1-1</w:t>
      </w:r>
      <w:r>
        <w:rPr>
          <w:rFonts w:hint="eastAsia" w:cs="Times New Roman"/>
          <w:b/>
          <w:bCs/>
          <w:color w:val="auto"/>
          <w:kern w:val="2"/>
          <w:sz w:val="21"/>
          <w:highlight w:val="none"/>
          <w:lang w:val="en-US" w:eastAsia="zh-CN" w:bidi="ar-SA"/>
        </w:rPr>
        <w:t>5</w:t>
      </w:r>
      <w:r>
        <w:rPr>
          <w:rFonts w:hint="eastAsia" w:ascii="Times New Roman" w:hAnsi="Times New Roman" w:eastAsia="宋体" w:cs="Times New Roman"/>
          <w:b/>
          <w:bCs/>
          <w:color w:val="auto"/>
          <w:kern w:val="2"/>
          <w:sz w:val="21"/>
          <w:highlight w:val="none"/>
          <w:lang w:val="en-US" w:eastAsia="zh-CN" w:bidi="ar-SA"/>
        </w:rPr>
        <w:t>准备资料并上传</w:t>
      </w:r>
      <w:r>
        <w:rPr>
          <w:rFonts w:hint="eastAsia" w:cs="Times New Roman"/>
          <w:b/>
          <w:bCs/>
          <w:color w:val="auto"/>
          <w:kern w:val="2"/>
          <w:sz w:val="21"/>
          <w:highlight w:val="none"/>
          <w:lang w:val="en-US" w:eastAsia="zh-CN" w:bidi="ar-SA"/>
        </w:rPr>
        <w:t>到资质文件（PDF格式，做好目录）</w:t>
      </w:r>
      <w:r>
        <w:rPr>
          <w:rFonts w:hint="eastAsia" w:ascii="Times New Roman" w:hAnsi="Times New Roman" w:eastAsia="宋体" w:cs="Times New Roman"/>
          <w:b w:val="0"/>
          <w:bCs w:val="0"/>
          <w:color w:val="auto"/>
          <w:kern w:val="2"/>
          <w:sz w:val="21"/>
          <w:highlight w:val="none"/>
          <w:lang w:val="en-US" w:eastAsia="zh-CN" w:bidi="ar-SA"/>
        </w:rPr>
        <w:t>，资质审查通过即为报名成功；公示期间请尽快报名。</w:t>
      </w:r>
    </w:p>
    <w:p w14:paraId="3B32E3E8">
      <w:pPr>
        <w:spacing w:line="360" w:lineRule="auto"/>
        <w:ind w:firstLine="420" w:firstLineChars="200"/>
        <w:rPr>
          <w:rFonts w:hint="eastAsia" w:ascii="宋体" w:hAnsi="宋体" w:eastAsia="宋体" w:cs="宋体"/>
          <w:color w:val="auto"/>
          <w:highlight w:val="none"/>
        </w:rPr>
      </w:pPr>
      <w:r>
        <w:rPr>
          <w:rFonts w:hint="eastAsia"/>
          <w:color w:val="auto"/>
          <w:highlight w:val="none"/>
        </w:rPr>
        <w:t>本项目招标工作的所有过程均须在中国重汽e采通上完成，包括报名、资质审核、招标、应标、评标、审批等环节。</w:t>
      </w:r>
      <w:r>
        <w:rPr>
          <w:rFonts w:hint="eastAsia" w:ascii="宋体" w:hAnsi="宋体"/>
          <w:b/>
          <w:bCs/>
          <w:color w:val="auto"/>
          <w:highlight w:val="none"/>
        </w:rPr>
        <w:t>应标截止时间为202</w:t>
      </w:r>
      <w:r>
        <w:rPr>
          <w:rFonts w:hint="eastAsia" w:ascii="宋体" w:hAnsi="宋体"/>
          <w:b/>
          <w:bCs/>
          <w:color w:val="auto"/>
          <w:highlight w:val="none"/>
          <w:lang w:val="en-US" w:eastAsia="zh-CN"/>
        </w:rPr>
        <w:t>6</w:t>
      </w:r>
      <w:r>
        <w:rPr>
          <w:rFonts w:hint="eastAsia" w:ascii="宋体" w:hAnsi="宋体"/>
          <w:b/>
          <w:bCs/>
          <w:color w:val="auto"/>
          <w:highlight w:val="none"/>
        </w:rPr>
        <w:t>年</w:t>
      </w:r>
      <w:r>
        <w:rPr>
          <w:rFonts w:hint="eastAsia" w:ascii="宋体" w:hAnsi="宋体"/>
          <w:b/>
          <w:bCs/>
          <w:color w:val="auto"/>
          <w:highlight w:val="none"/>
          <w:lang w:val="en-US" w:eastAsia="zh-CN"/>
        </w:rPr>
        <w:t>6</w:t>
      </w:r>
      <w:r>
        <w:rPr>
          <w:rFonts w:hint="eastAsia" w:ascii="宋体" w:hAnsi="宋体"/>
          <w:b/>
          <w:bCs/>
          <w:color w:val="auto"/>
          <w:highlight w:val="none"/>
        </w:rPr>
        <w:t>月</w:t>
      </w:r>
      <w:r>
        <w:rPr>
          <w:rFonts w:hint="eastAsia" w:ascii="宋体" w:hAnsi="宋体"/>
          <w:b/>
          <w:bCs/>
          <w:color w:val="auto"/>
          <w:highlight w:val="none"/>
          <w:u w:val="single"/>
          <w:lang w:val="en-US" w:eastAsia="zh-CN"/>
        </w:rPr>
        <w:t>2</w:t>
      </w:r>
      <w:r>
        <w:rPr>
          <w:rFonts w:hint="eastAsia" w:ascii="宋体" w:hAnsi="宋体"/>
          <w:b/>
          <w:bCs/>
          <w:color w:val="auto"/>
          <w:highlight w:val="none"/>
        </w:rPr>
        <w:t>日17:00:00，</w:t>
      </w:r>
      <w:r>
        <w:rPr>
          <w:rFonts w:hint="eastAsia" w:ascii="宋体" w:hAnsi="宋体" w:eastAsia="宋体" w:cs="宋体"/>
          <w:b/>
          <w:bCs/>
          <w:color w:val="auto"/>
          <w:highlight w:val="none"/>
        </w:rPr>
        <w:t>注册审核需2-4日，应标截止时间精确到秒，</w:t>
      </w:r>
      <w:r>
        <w:rPr>
          <w:rFonts w:hint="eastAsia" w:ascii="宋体" w:hAnsi="宋体"/>
          <w:b/>
          <w:bCs/>
          <w:color w:val="auto"/>
          <w:highlight w:val="none"/>
        </w:rPr>
        <w:t>逾期将无法应标，视为报名不成功，无法参与投标。</w:t>
      </w:r>
      <w:r>
        <w:rPr>
          <w:rFonts w:hint="eastAsia" w:ascii="宋体" w:hAnsi="宋体"/>
          <w:color w:val="auto"/>
          <w:highlight w:val="none"/>
        </w:rPr>
        <w:t>请自行掌握时间安排，避免无法应标。</w:t>
      </w:r>
      <w:bookmarkStart w:id="10" w:name="_GoBack"/>
      <w:bookmarkEnd w:id="10"/>
    </w:p>
    <w:p w14:paraId="0C60914F">
      <w:pPr>
        <w:pStyle w:val="7"/>
        <w:rPr>
          <w:color w:val="auto"/>
          <w:highlight w:val="none"/>
        </w:rPr>
      </w:pPr>
      <w:bookmarkStart w:id="7" w:name="_Toc47976592"/>
      <w:r>
        <w:rPr>
          <w:rFonts w:hint="eastAsia"/>
          <w:color w:val="auto"/>
          <w:highlight w:val="none"/>
        </w:rPr>
        <w:t>投标文件的递交</w:t>
      </w:r>
      <w:bookmarkEnd w:id="7"/>
    </w:p>
    <w:p w14:paraId="1418B249">
      <w:pPr>
        <w:ind w:firstLine="420" w:firstLineChars="2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1"/>
          <w:szCs w:val="21"/>
          <w:highlight w:val="none"/>
        </w:rPr>
        <w:t>投标方式：在中国重汽e采通平台应标成功后，进入“供应商投标”环节</w:t>
      </w:r>
      <w:r>
        <w:rPr>
          <w:rFonts w:hint="eastAsia" w:ascii="宋体" w:hAnsi="宋体" w:cs="宋体"/>
          <w:b w:val="0"/>
          <w:bCs/>
          <w:color w:val="auto"/>
          <w:sz w:val="21"/>
          <w:szCs w:val="21"/>
          <w:highlight w:val="none"/>
          <w:lang w:val="en-US" w:eastAsia="zh-CN"/>
        </w:rPr>
        <w:t>,</w:t>
      </w:r>
      <w:r>
        <w:rPr>
          <w:rFonts w:hint="eastAsia" w:ascii="宋体" w:hAnsi="宋体" w:eastAsia="宋体" w:cs="宋体"/>
          <w:b w:val="0"/>
          <w:bCs/>
          <w:color w:val="auto"/>
          <w:sz w:val="21"/>
          <w:szCs w:val="21"/>
          <w:highlight w:val="none"/>
        </w:rPr>
        <w:t>在中国重汽e采通</w:t>
      </w:r>
      <w:r>
        <w:rPr>
          <w:rFonts w:hint="eastAsia" w:ascii="宋体" w:hAnsi="宋体" w:eastAsia="宋体" w:cs="宋体"/>
          <w:b w:val="0"/>
          <w:bCs/>
          <w:color w:val="auto"/>
          <w:sz w:val="21"/>
          <w:szCs w:val="21"/>
          <w:highlight w:val="none"/>
          <w:lang w:val="en-US" w:eastAsia="zh-CN"/>
        </w:rPr>
        <w:t>投递</w:t>
      </w:r>
      <w:r>
        <w:rPr>
          <w:rFonts w:hint="eastAsia" w:ascii="宋体" w:hAnsi="宋体" w:eastAsia="宋体" w:cs="宋体"/>
          <w:b w:val="0"/>
          <w:bCs/>
          <w:color w:val="auto"/>
          <w:sz w:val="21"/>
          <w:szCs w:val="21"/>
          <w:highlight w:val="none"/>
        </w:rPr>
        <w:t>标书文件，投标人应自备电脑（笔记本）进行流程操作</w:t>
      </w:r>
      <w:r>
        <w:rPr>
          <w:rFonts w:hint="eastAsia" w:ascii="宋体" w:hAnsi="宋体" w:eastAsia="宋体" w:cs="宋体"/>
          <w:b w:val="0"/>
          <w:bCs/>
          <w:color w:val="auto"/>
          <w:sz w:val="21"/>
          <w:szCs w:val="21"/>
          <w:highlight w:val="none"/>
          <w:lang w:val="en-US" w:eastAsia="zh-CN"/>
        </w:rPr>
        <w:t>,</w:t>
      </w:r>
      <w:r>
        <w:rPr>
          <w:rFonts w:hint="eastAsia" w:ascii="宋体" w:hAnsi="宋体" w:eastAsia="宋体" w:cs="宋体"/>
          <w:b w:val="0"/>
          <w:bCs/>
          <w:color w:val="auto"/>
          <w:sz w:val="21"/>
          <w:szCs w:val="21"/>
          <w:highlight w:val="none"/>
        </w:rPr>
        <w:t>投递盖章扫描版电子标书（包含资质标书、技术标书、商务标书），注意应标、投标、开标、再次报价时间开始、截止节点，如错过时间节点将无法进行招投标流程节点的操作</w:t>
      </w:r>
      <w:r>
        <w:rPr>
          <w:rFonts w:hint="eastAsia" w:ascii="宋体" w:hAnsi="宋体" w:eastAsia="宋体" w:cs="宋体"/>
          <w:b w:val="0"/>
          <w:bCs/>
          <w:color w:val="auto"/>
          <w:sz w:val="21"/>
          <w:szCs w:val="21"/>
          <w:highlight w:val="none"/>
          <w:lang w:val="en-US" w:eastAsia="zh-CN"/>
        </w:rPr>
        <w:t>,</w:t>
      </w:r>
      <w:r>
        <w:rPr>
          <w:rFonts w:hint="eastAsia" w:ascii="宋体" w:hAnsi="宋体" w:eastAsia="宋体" w:cs="宋体"/>
          <w:b w:val="0"/>
          <w:bCs/>
          <w:color w:val="auto"/>
          <w:sz w:val="21"/>
          <w:szCs w:val="21"/>
          <w:highlight w:val="none"/>
        </w:rPr>
        <w:t>若逾期未在中国重汽e采通平台上传电子标书，即便递交了纸版投标文件，一律视为无效投标。</w:t>
      </w:r>
    </w:p>
    <w:p w14:paraId="6A86C9E3">
      <w:pPr>
        <w:pStyle w:val="7"/>
        <w:rPr>
          <w:color w:val="auto"/>
          <w:highlight w:val="none"/>
        </w:rPr>
      </w:pPr>
      <w:r>
        <w:rPr>
          <w:rFonts w:hint="eastAsia"/>
          <w:color w:val="auto"/>
          <w:highlight w:val="none"/>
          <w:lang w:val="en-US" w:eastAsia="zh-CN"/>
        </w:rPr>
        <w:t>开标时间和地点</w:t>
      </w:r>
    </w:p>
    <w:p w14:paraId="215ACB56">
      <w:pPr>
        <w:pStyle w:val="2"/>
        <w:spacing w:line="360" w:lineRule="auto"/>
        <w:ind w:firstLine="420" w:firstLineChars="200"/>
        <w:rPr>
          <w:rFonts w:hint="eastAsia"/>
          <w:color w:val="auto"/>
          <w:highlight w:val="none"/>
        </w:rPr>
      </w:pPr>
      <w:r>
        <w:rPr>
          <w:rFonts w:hint="eastAsia" w:hAnsi="宋体"/>
          <w:color w:val="auto"/>
          <w:highlight w:val="none"/>
        </w:rPr>
        <w:t>开标时间：</w:t>
      </w:r>
      <w:r>
        <w:rPr>
          <w:rFonts w:hint="eastAsia" w:hAnsi="宋体"/>
          <w:b/>
          <w:color w:val="auto"/>
          <w:highlight w:val="none"/>
        </w:rPr>
        <w:t>20</w:t>
      </w:r>
      <w:r>
        <w:rPr>
          <w:rFonts w:hint="eastAsia"/>
          <w:b/>
          <w:color w:val="auto"/>
          <w:highlight w:val="none"/>
        </w:rPr>
        <w:t>2</w:t>
      </w:r>
      <w:r>
        <w:rPr>
          <w:rFonts w:hint="eastAsia" w:hAnsi="宋体"/>
          <w:b/>
          <w:color w:val="auto"/>
          <w:highlight w:val="none"/>
          <w:lang w:val="en-US" w:eastAsia="zh-CN"/>
        </w:rPr>
        <w:t>6</w:t>
      </w:r>
      <w:r>
        <w:rPr>
          <w:rFonts w:hint="eastAsia" w:hAnsi="宋体"/>
          <w:b/>
          <w:color w:val="auto"/>
          <w:highlight w:val="none"/>
        </w:rPr>
        <w:t>年</w:t>
      </w:r>
      <w:r>
        <w:rPr>
          <w:rFonts w:hint="eastAsia" w:hAnsi="宋体"/>
          <w:b/>
          <w:color w:val="auto"/>
          <w:highlight w:val="none"/>
          <w:lang w:val="en-US" w:eastAsia="zh-CN"/>
        </w:rPr>
        <w:t>6</w:t>
      </w:r>
      <w:r>
        <w:rPr>
          <w:rFonts w:hint="eastAsia" w:hAnsi="宋体"/>
          <w:b/>
          <w:color w:val="auto"/>
          <w:highlight w:val="none"/>
        </w:rPr>
        <w:t>月</w:t>
      </w:r>
      <w:r>
        <w:rPr>
          <w:rFonts w:hint="eastAsia" w:hAnsi="宋体"/>
          <w:b/>
          <w:color w:val="auto"/>
          <w:highlight w:val="none"/>
          <w:lang w:val="en-US" w:eastAsia="zh-CN"/>
        </w:rPr>
        <w:t>4</w:t>
      </w:r>
      <w:r>
        <w:rPr>
          <w:rFonts w:hint="eastAsia" w:hAnsi="宋体"/>
          <w:b/>
          <w:color w:val="auto"/>
          <w:highlight w:val="none"/>
        </w:rPr>
        <w:t>日</w:t>
      </w:r>
      <w:r>
        <w:rPr>
          <w:rFonts w:hint="eastAsia" w:hAnsi="宋体"/>
          <w:b/>
          <w:color w:val="auto"/>
          <w:highlight w:val="none"/>
          <w:lang w:val="en-US" w:eastAsia="zh-CN"/>
        </w:rPr>
        <w:t>上午13点</w:t>
      </w:r>
      <w:r>
        <w:rPr>
          <w:rFonts w:hint="eastAsia" w:hAnsi="宋体"/>
          <w:b w:val="0"/>
          <w:bCs/>
          <w:color w:val="auto"/>
          <w:highlight w:val="none"/>
        </w:rPr>
        <w:t>（若有变动另行通知）。</w:t>
      </w:r>
    </w:p>
    <w:p w14:paraId="07555DB0">
      <w:pPr>
        <w:pStyle w:val="2"/>
        <w:spacing w:line="360" w:lineRule="auto"/>
        <w:ind w:firstLine="420" w:firstLineChars="200"/>
        <w:rPr>
          <w:color w:val="auto"/>
          <w:highlight w:val="none"/>
        </w:rPr>
      </w:pPr>
      <w:r>
        <w:rPr>
          <w:rFonts w:hint="eastAsia" w:hAnsi="宋体"/>
          <w:color w:val="auto"/>
          <w:highlight w:val="none"/>
          <w:lang w:val="en-US" w:eastAsia="zh-CN"/>
        </w:rPr>
        <w:t>开</w:t>
      </w:r>
      <w:r>
        <w:rPr>
          <w:rFonts w:hint="eastAsia" w:hAnsi="宋体"/>
          <w:color w:val="auto"/>
          <w:highlight w:val="none"/>
        </w:rPr>
        <w:t>标地点：山东省济南市</w:t>
      </w:r>
      <w:r>
        <w:rPr>
          <w:rFonts w:hint="eastAsia" w:hAnsi="宋体"/>
          <w:color w:val="auto"/>
          <w:highlight w:val="none"/>
          <w:lang w:val="en-US" w:eastAsia="zh-CN"/>
        </w:rPr>
        <w:t>章丘</w:t>
      </w:r>
      <w:r>
        <w:rPr>
          <w:rFonts w:hint="eastAsia" w:hAnsi="宋体"/>
          <w:color w:val="auto"/>
          <w:highlight w:val="none"/>
        </w:rPr>
        <w:t>区</w:t>
      </w:r>
      <w:r>
        <w:rPr>
          <w:rFonts w:hint="eastAsia" w:hAnsi="宋体"/>
          <w:color w:val="auto"/>
          <w:highlight w:val="none"/>
          <w:lang w:val="en-US" w:eastAsia="zh-CN"/>
        </w:rPr>
        <w:t>世纪大道7</w:t>
      </w:r>
      <w:r>
        <w:rPr>
          <w:rFonts w:hint="eastAsia" w:hAnsi="宋体"/>
          <w:color w:val="auto"/>
          <w:highlight w:val="none"/>
        </w:rPr>
        <w:t>777号中国重汽</w:t>
      </w:r>
      <w:r>
        <w:rPr>
          <w:rFonts w:hint="eastAsia" w:hAnsi="宋体"/>
          <w:color w:val="auto"/>
          <w:highlight w:val="none"/>
          <w:lang w:val="en-US" w:eastAsia="zh-CN"/>
        </w:rPr>
        <w:t>章丘工业园2号门</w:t>
      </w:r>
      <w:r>
        <w:rPr>
          <w:rFonts w:hint="eastAsia" w:hAnsi="宋体"/>
          <w:color w:val="auto"/>
          <w:highlight w:val="none"/>
          <w:u w:val="single"/>
          <w:lang w:val="en-US" w:eastAsia="zh-CN"/>
        </w:rPr>
        <w:t>济南发动机厂</w:t>
      </w:r>
      <w:r>
        <w:rPr>
          <w:rFonts w:hint="eastAsia" w:hAnsi="宋体"/>
          <w:color w:val="auto"/>
          <w:highlight w:val="none"/>
        </w:rPr>
        <w:t>会议室</w:t>
      </w:r>
      <w:r>
        <w:rPr>
          <w:rFonts w:hint="eastAsia" w:hAnsi="宋体"/>
          <w:b w:val="0"/>
          <w:bCs/>
          <w:color w:val="auto"/>
          <w:highlight w:val="none"/>
        </w:rPr>
        <w:t>（若有变动另行通知）</w:t>
      </w:r>
      <w:r>
        <w:rPr>
          <w:rFonts w:hint="eastAsia" w:hAnsi="宋体"/>
          <w:color w:val="auto"/>
          <w:highlight w:val="none"/>
        </w:rPr>
        <w:t>。</w:t>
      </w:r>
    </w:p>
    <w:p w14:paraId="78BC22CC">
      <w:pPr>
        <w:pStyle w:val="7"/>
        <w:rPr>
          <w:color w:val="auto"/>
          <w:highlight w:val="none"/>
        </w:rPr>
      </w:pPr>
      <w:bookmarkStart w:id="8" w:name="_Toc47976593"/>
      <w:r>
        <w:rPr>
          <w:rFonts w:hint="eastAsia"/>
          <w:color w:val="auto"/>
          <w:highlight w:val="none"/>
        </w:rPr>
        <w:t>招标公告发布媒介</w:t>
      </w:r>
      <w:bookmarkEnd w:id="8"/>
    </w:p>
    <w:p w14:paraId="0A532179">
      <w:pPr>
        <w:pStyle w:val="8"/>
        <w:numPr>
          <w:ilvl w:val="0"/>
          <w:numId w:val="0"/>
        </w:numPr>
        <w:ind w:left="1130" w:hanging="420"/>
        <w:rPr>
          <w:rFonts w:hint="eastAsia"/>
          <w:color w:val="auto"/>
          <w:highlight w:val="none"/>
        </w:rPr>
      </w:pPr>
      <w:r>
        <w:rPr>
          <w:rFonts w:hint="eastAsia"/>
          <w:color w:val="auto"/>
          <w:highlight w:val="none"/>
        </w:rPr>
        <w:t>本次招标公告在</w:t>
      </w:r>
      <w:r>
        <w:rPr>
          <w:rFonts w:hint="eastAsia"/>
          <w:color w:val="auto"/>
          <w:highlight w:val="none"/>
          <w:lang w:val="en-US" w:eastAsia="zh-CN"/>
        </w:rPr>
        <w:t>中国重汽官网</w:t>
      </w:r>
      <w:r>
        <w:rPr>
          <w:rFonts w:hint="eastAsia"/>
          <w:color w:val="auto"/>
          <w:highlight w:val="none"/>
        </w:rPr>
        <w:t>上发布。</w:t>
      </w:r>
    </w:p>
    <w:p w14:paraId="5FD66B5F">
      <w:pPr>
        <w:pStyle w:val="7"/>
        <w:rPr>
          <w:color w:val="auto"/>
          <w:highlight w:val="none"/>
        </w:rPr>
      </w:pPr>
      <w:bookmarkStart w:id="9" w:name="_Toc47976594"/>
      <w:r>
        <w:rPr>
          <w:rFonts w:hint="eastAsia"/>
          <w:color w:val="auto"/>
          <w:highlight w:val="none"/>
        </w:rPr>
        <w:t>联系方式</w:t>
      </w:r>
      <w:bookmarkEnd w:id="9"/>
    </w:p>
    <w:p w14:paraId="76A65A19">
      <w:pPr>
        <w:pStyle w:val="7"/>
        <w:numPr>
          <w:ilvl w:val="0"/>
          <w:numId w:val="0"/>
        </w:numPr>
        <w:ind w:leftChars="0"/>
        <w:rPr>
          <w:rFonts w:hint="default"/>
          <w:color w:val="auto"/>
          <w:highlight w:val="none"/>
          <w:lang w:val="en-US"/>
        </w:rPr>
      </w:pPr>
      <w:r>
        <w:rPr>
          <w:rFonts w:hint="eastAsia" w:asciiTheme="minorEastAsia" w:hAnsiTheme="minorEastAsia" w:eastAsiaTheme="minorEastAsia" w:cstheme="minorEastAsia"/>
          <w:b w:val="0"/>
          <w:bCs w:val="0"/>
          <w:color w:val="auto"/>
          <w:sz w:val="21"/>
          <w:szCs w:val="21"/>
          <w:highlight w:val="none"/>
        </w:rPr>
        <w:t>报名及投标招标事宜联系人：</w:t>
      </w:r>
      <w:r>
        <w:rPr>
          <w:rFonts w:hint="eastAsia" w:asciiTheme="minorEastAsia" w:hAnsiTheme="minorEastAsia" w:eastAsiaTheme="minorEastAsia" w:cstheme="minorEastAsia"/>
          <w:b w:val="0"/>
          <w:bCs w:val="0"/>
          <w:color w:val="auto"/>
          <w:sz w:val="21"/>
          <w:szCs w:val="21"/>
          <w:highlight w:val="none"/>
          <w:u w:val="single"/>
          <w:lang w:val="en-US" w:eastAsia="zh-CN"/>
        </w:rPr>
        <w:t>陈晓</w:t>
      </w:r>
      <w:r>
        <w:rPr>
          <w:rFonts w:hint="eastAsia" w:asciiTheme="minorEastAsia" w:hAnsiTheme="minorEastAsia" w:eastAsiaTheme="minorEastAsia" w:cstheme="minorEastAsia"/>
          <w:b w:val="0"/>
          <w:bCs w:val="0"/>
          <w:color w:val="auto"/>
          <w:sz w:val="21"/>
          <w:szCs w:val="21"/>
          <w:highlight w:val="none"/>
          <w:u w:val="none"/>
          <w:lang w:val="en-US" w:eastAsia="zh-CN"/>
        </w:rPr>
        <w:t>电话：</w:t>
      </w:r>
      <w:r>
        <w:rPr>
          <w:rFonts w:hint="eastAsia" w:asciiTheme="minorEastAsia" w:hAnsiTheme="minorEastAsia" w:eastAsiaTheme="minorEastAsia" w:cstheme="minorEastAsia"/>
          <w:b w:val="0"/>
          <w:bCs w:val="0"/>
          <w:color w:val="auto"/>
          <w:sz w:val="21"/>
          <w:szCs w:val="21"/>
          <w:highlight w:val="none"/>
          <w:u w:val="single"/>
          <w:lang w:val="en-US" w:eastAsia="zh-CN"/>
        </w:rPr>
        <w:t>13953182822</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D20133"/>
    <w:multiLevelType w:val="multilevel"/>
    <w:tmpl w:val="56D20133"/>
    <w:lvl w:ilvl="0" w:tentative="0">
      <w:start w:val="1"/>
      <w:numFmt w:val="chineseCountingThousand"/>
      <w:pStyle w:val="8"/>
      <w:lvlText w:val="(%1)"/>
      <w:lvlJc w:val="left"/>
      <w:pPr>
        <w:ind w:left="1130" w:hanging="420"/>
      </w:pPr>
      <w:rPr>
        <w:rFonts w:hint="eastAsia"/>
        <w:b/>
      </w:rPr>
    </w:lvl>
    <w:lvl w:ilvl="1" w:tentative="0">
      <w:start w:val="1"/>
      <w:numFmt w:val="decimal"/>
      <w:lvlText w:val="%2."/>
      <w:lvlJc w:val="left"/>
      <w:pPr>
        <w:ind w:left="1200" w:hanging="360"/>
      </w:pPr>
      <w:rPr>
        <w:rFonts w:hint="default"/>
        <w:b w:val="0"/>
      </w:rPr>
    </w:lvl>
    <w:lvl w:ilvl="2" w:tentative="0">
      <w:start w:val="1"/>
      <w:numFmt w:val="lowerRoman"/>
      <w:lvlText w:val="%3."/>
      <w:lvlJc w:val="right"/>
      <w:pPr>
        <w:ind w:left="1680" w:hanging="420"/>
      </w:pPr>
      <w:rPr>
        <w:rFonts w:hint="eastAsia"/>
      </w:rPr>
    </w:lvl>
    <w:lvl w:ilvl="3" w:tentative="0">
      <w:start w:val="1"/>
      <w:numFmt w:val="decimal"/>
      <w:lvlText w:val="（%4）"/>
      <w:lvlJc w:val="left"/>
      <w:pPr>
        <w:ind w:left="2400" w:hanging="720"/>
      </w:pPr>
      <w:rPr>
        <w:rFonts w:hint="default"/>
      </w:rPr>
    </w:lvl>
    <w:lvl w:ilvl="4" w:tentative="0">
      <w:start w:val="1"/>
      <w:numFmt w:val="lowerLetter"/>
      <w:lvlText w:val="%5)"/>
      <w:lvlJc w:val="left"/>
      <w:pPr>
        <w:ind w:left="2520" w:hanging="420"/>
      </w:pPr>
      <w:rPr>
        <w:rFonts w:hint="eastAsia"/>
      </w:rPr>
    </w:lvl>
    <w:lvl w:ilvl="5" w:tentative="0">
      <w:start w:val="1"/>
      <w:numFmt w:val="lowerRoman"/>
      <w:lvlText w:val="%6."/>
      <w:lvlJc w:val="right"/>
      <w:pPr>
        <w:ind w:left="2940" w:hanging="420"/>
      </w:pPr>
      <w:rPr>
        <w:rFonts w:hint="eastAsia"/>
      </w:rPr>
    </w:lvl>
    <w:lvl w:ilvl="6" w:tentative="0">
      <w:start w:val="1"/>
      <w:numFmt w:val="decimal"/>
      <w:lvlText w:val="%7."/>
      <w:lvlJc w:val="left"/>
      <w:pPr>
        <w:ind w:left="3360" w:hanging="420"/>
      </w:pPr>
      <w:rPr>
        <w:rFonts w:hint="eastAsia"/>
      </w:rPr>
    </w:lvl>
    <w:lvl w:ilvl="7" w:tentative="0">
      <w:start w:val="1"/>
      <w:numFmt w:val="lowerLetter"/>
      <w:lvlText w:val="%8)"/>
      <w:lvlJc w:val="left"/>
      <w:pPr>
        <w:ind w:left="3780" w:hanging="420"/>
      </w:pPr>
      <w:rPr>
        <w:rFonts w:hint="eastAsia"/>
      </w:rPr>
    </w:lvl>
    <w:lvl w:ilvl="8" w:tentative="0">
      <w:start w:val="1"/>
      <w:numFmt w:val="lowerRoman"/>
      <w:lvlText w:val="%9."/>
      <w:lvlJc w:val="right"/>
      <w:pPr>
        <w:ind w:left="4200" w:hanging="420"/>
      </w:pPr>
      <w:rPr>
        <w:rFonts w:hint="eastAsia"/>
      </w:rPr>
    </w:lvl>
  </w:abstractNum>
  <w:abstractNum w:abstractNumId="1">
    <w:nsid w:val="656A6EAE"/>
    <w:multiLevelType w:val="multilevel"/>
    <w:tmpl w:val="656A6EAE"/>
    <w:lvl w:ilvl="0" w:tentative="0">
      <w:start w:val="1"/>
      <w:numFmt w:val="chineseCountingThousand"/>
      <w:pStyle w:val="7"/>
      <w:suff w:val="nothing"/>
      <w:lvlText w:val="%1、"/>
      <w:lvlJc w:val="left"/>
      <w:pPr>
        <w:ind w:left="2972" w:hanging="420"/>
      </w:pPr>
      <w:rPr>
        <w:rFonts w:hint="eastAsia" w:ascii="黑体" w:hAnsi="黑体" w:eastAsia="黑体"/>
        <w:sz w:val="28"/>
        <w:szCs w:val="28"/>
        <w:highlight w:val="none"/>
        <w:lang w:val="en-US"/>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3A1393"/>
    <w:rsid w:val="00726300"/>
    <w:rsid w:val="042028BD"/>
    <w:rsid w:val="077D171D"/>
    <w:rsid w:val="08FD3FA4"/>
    <w:rsid w:val="0C3F1158"/>
    <w:rsid w:val="0CA96494"/>
    <w:rsid w:val="1803364E"/>
    <w:rsid w:val="184F59E0"/>
    <w:rsid w:val="1C1779FE"/>
    <w:rsid w:val="1D180A37"/>
    <w:rsid w:val="40F0223E"/>
    <w:rsid w:val="483C7E0C"/>
    <w:rsid w:val="48B0193B"/>
    <w:rsid w:val="498D4320"/>
    <w:rsid w:val="4B53536E"/>
    <w:rsid w:val="53EE1620"/>
    <w:rsid w:val="53FD72DC"/>
    <w:rsid w:val="57514745"/>
    <w:rsid w:val="5A9F5740"/>
    <w:rsid w:val="5B9306A3"/>
    <w:rsid w:val="697223BE"/>
    <w:rsid w:val="70EC56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98"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98"/>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Plain Text"/>
    <w:basedOn w:val="1"/>
    <w:link w:val="10"/>
    <w:qFormat/>
    <w:uiPriority w:val="0"/>
    <w:rPr>
      <w:rFonts w:ascii="宋体" w:hAnsi="Courier New"/>
    </w:rPr>
  </w:style>
  <w:style w:type="paragraph" w:styleId="3">
    <w:name w:val="toc 1"/>
    <w:basedOn w:val="1"/>
    <w:next w:val="1"/>
    <w:qFormat/>
    <w:uiPriority w:val="39"/>
    <w:pPr>
      <w:spacing w:line="360" w:lineRule="auto"/>
      <w:jc w:val="left"/>
    </w:pPr>
    <w:rPr>
      <w:rFonts w:ascii="宋体" w:hAnsi="宋体" w:eastAsia="宋体" w:cs="Times New Roman"/>
      <w:b/>
      <w:caps/>
      <w:color w:val="FF0000"/>
      <w:szCs w:val="21"/>
    </w:rPr>
  </w:style>
  <w:style w:type="paragraph" w:customStyle="1" w:styleId="6">
    <w:name w:val="章节"/>
    <w:basedOn w:val="2"/>
    <w:qFormat/>
    <w:uiPriority w:val="0"/>
    <w:pPr>
      <w:spacing w:line="360" w:lineRule="auto"/>
      <w:jc w:val="center"/>
      <w:outlineLvl w:val="0"/>
    </w:pPr>
    <w:rPr>
      <w:rFonts w:ascii="黑体" w:eastAsia="黑体"/>
      <w:b/>
      <w:bCs/>
      <w:sz w:val="36"/>
      <w:szCs w:val="36"/>
    </w:rPr>
  </w:style>
  <w:style w:type="paragraph" w:customStyle="1" w:styleId="7">
    <w:name w:val="一级标题"/>
    <w:basedOn w:val="2"/>
    <w:qFormat/>
    <w:uiPriority w:val="1"/>
    <w:pPr>
      <w:numPr>
        <w:ilvl w:val="0"/>
        <w:numId w:val="1"/>
      </w:numPr>
      <w:spacing w:line="360" w:lineRule="auto"/>
      <w:ind w:left="420"/>
      <w:outlineLvl w:val="1"/>
    </w:pPr>
    <w:rPr>
      <w:rFonts w:ascii="黑体" w:eastAsia="黑体"/>
      <w:b/>
      <w:bCs/>
      <w:sz w:val="28"/>
    </w:rPr>
  </w:style>
  <w:style w:type="paragraph" w:customStyle="1" w:styleId="8">
    <w:name w:val="（二）级标题"/>
    <w:basedOn w:val="2"/>
    <w:qFormat/>
    <w:uiPriority w:val="2"/>
    <w:pPr>
      <w:numPr>
        <w:ilvl w:val="0"/>
        <w:numId w:val="2"/>
      </w:numPr>
      <w:spacing w:line="360" w:lineRule="auto"/>
      <w:outlineLvl w:val="2"/>
    </w:pPr>
    <w:rPr>
      <w:b/>
    </w:rPr>
  </w:style>
  <w:style w:type="character" w:customStyle="1" w:styleId="9">
    <w:name w:val="标书正文 字符"/>
    <w:basedOn w:val="10"/>
    <w:link w:val="11"/>
    <w:qFormat/>
    <w:uiPriority w:val="9"/>
  </w:style>
  <w:style w:type="character" w:customStyle="1" w:styleId="10">
    <w:name w:val="纯文本 字符1"/>
    <w:link w:val="2"/>
    <w:semiHidden/>
    <w:qFormat/>
    <w:uiPriority w:val="0"/>
    <w:rPr>
      <w:rFonts w:ascii="宋体" w:hAnsi="Courier New"/>
    </w:rPr>
  </w:style>
  <w:style w:type="paragraph" w:customStyle="1" w:styleId="11">
    <w:name w:val="标书正文"/>
    <w:basedOn w:val="2"/>
    <w:link w:val="9"/>
    <w:qFormat/>
    <w:uiPriority w:val="9"/>
    <w:pPr>
      <w:spacing w:line="360" w:lineRule="auto"/>
      <w:jc w:val="left"/>
    </w:pPr>
  </w:style>
  <w:style w:type="character" w:customStyle="1" w:styleId="12">
    <w:name w:val="font01"/>
    <w:basedOn w:val="5"/>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1790</Words>
  <Characters>1973</Characters>
  <Lines>0</Lines>
  <Paragraphs>0</Paragraphs>
  <TotalTime>7</TotalTime>
  <ScaleCrop>false</ScaleCrop>
  <LinksUpToDate>false</LinksUpToDate>
  <CharactersWithSpaces>1973</CharactersWithSpaces>
  <Application>WPS Office_12.1.0.24655_F1E327BC-269C-435d-A152-05C5408002CA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2025-09-23T02:57:00Z</dcterms:created>
  <dc:creator>Lenovo</dc:creator>
  <cp:lastModifiedBy>陈晓</cp:lastModifiedBy>
  <dcterms:modified xsi:type="dcterms:W3CDTF">2026-05-18T06:06:57Z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2052-12.1.0.24655</vt:lpwstr>
  </property>
  <property fmtid="{D5CDD505-2E9C-101B-9397-08002B2CF9AE}" pid="3" name="KSOTemplateDocerSaveRecord">
    <vt:lpwstr>eyJoZGlkIjoiZjA3MDBlZDkzNmNhZTFmMmI4ZTUwODk4NmU1ODg0ZmUifQ==</vt:lpwstr>
  </property>
  <property fmtid="{D5CDD505-2E9C-101B-9397-08002B2CF9AE}" pid="4" name="ICV">
    <vt:lpwstr>3BB8CD1F716543ACBC8BBBE56A9289D5</vt:lpwstr>
  </property>
</Properties>
</file>