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31801C">
      <w:pPr>
        <w:jc w:val="center"/>
        <w:rPr>
          <w:rFonts w:hint="eastAsia" w:ascii="宋体" w:hAnsi="宋体" w:cs="宋体"/>
          <w:color w:val="000000"/>
          <w:sz w:val="30"/>
          <w:szCs w:val="30"/>
        </w:rPr>
      </w:pPr>
    </w:p>
    <w:p w14:paraId="3017191E">
      <w:pPr>
        <w:pStyle w:val="32"/>
      </w:pPr>
    </w:p>
    <w:p w14:paraId="19B0AA15">
      <w:pPr>
        <w:spacing w:line="880" w:lineRule="exact"/>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中国重汽动力有集团济南限公司</w:t>
      </w:r>
    </w:p>
    <w:p w14:paraId="649B8542">
      <w:pPr>
        <w:spacing w:line="880" w:lineRule="exact"/>
        <w:jc w:val="center"/>
        <w:rPr>
          <w:rFonts w:hint="eastAsia" w:ascii="宋体" w:hAnsi="宋体" w:eastAsia="宋体" w:cs="宋体"/>
          <w:b/>
          <w:bCs/>
          <w:color w:val="000000"/>
          <w:spacing w:val="-8"/>
          <w:sz w:val="48"/>
          <w:szCs w:val="44"/>
          <w:lang w:val="en-US" w:eastAsia="zh-CN"/>
        </w:rPr>
      </w:pPr>
      <w:r>
        <w:rPr>
          <w:rFonts w:hint="eastAsia" w:ascii="宋体" w:hAnsi="宋体" w:cs="宋体"/>
          <w:b/>
          <w:bCs/>
          <w:color w:val="000000"/>
          <w:spacing w:val="-8"/>
          <w:sz w:val="48"/>
          <w:szCs w:val="44"/>
        </w:rPr>
        <w:t>产品试验检测中心莱芜园区消防维保</w:t>
      </w:r>
      <w:r>
        <w:rPr>
          <w:rFonts w:hint="eastAsia" w:ascii="宋体" w:hAnsi="宋体" w:cs="宋体"/>
          <w:b/>
          <w:bCs/>
          <w:color w:val="000000"/>
          <w:spacing w:val="-8"/>
          <w:sz w:val="48"/>
          <w:szCs w:val="44"/>
          <w:lang w:val="en-US" w:eastAsia="zh-CN"/>
        </w:rPr>
        <w:t>值班</w:t>
      </w:r>
    </w:p>
    <w:p w14:paraId="65FF3D21">
      <w:pPr>
        <w:spacing w:line="880" w:lineRule="exact"/>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lang w:val="en-US" w:eastAsia="zh-CN"/>
        </w:rPr>
        <w:t>招标</w:t>
      </w:r>
      <w:r>
        <w:rPr>
          <w:rFonts w:hint="eastAsia" w:ascii="宋体" w:hAnsi="宋体" w:cs="宋体"/>
          <w:b/>
          <w:bCs/>
          <w:color w:val="000000"/>
          <w:spacing w:val="-8"/>
          <w:sz w:val="48"/>
          <w:szCs w:val="44"/>
        </w:rPr>
        <w:t xml:space="preserve">项目 </w:t>
      </w:r>
    </w:p>
    <w:p w14:paraId="5A0FA3BF">
      <w:pPr>
        <w:rPr>
          <w:rFonts w:hint="eastAsia" w:ascii="宋体" w:hAnsi="宋体" w:cs="宋体"/>
          <w:color w:val="000000"/>
          <w:sz w:val="28"/>
          <w:szCs w:val="28"/>
        </w:rPr>
      </w:pPr>
    </w:p>
    <w:p w14:paraId="3180ECD1">
      <w:pPr>
        <w:pStyle w:val="32"/>
        <w:rPr>
          <w:lang w:eastAsia="zh-CN"/>
        </w:rPr>
      </w:pPr>
    </w:p>
    <w:p w14:paraId="37594283">
      <w:pPr>
        <w:jc w:val="center"/>
        <w:rPr>
          <w:rFonts w:hint="eastAsia" w:ascii="宋体" w:hAnsi="宋体" w:cs="宋体"/>
          <w:color w:val="000000"/>
          <w:sz w:val="84"/>
          <w:szCs w:val="84"/>
        </w:rPr>
      </w:pPr>
      <w:r>
        <w:rPr>
          <w:rFonts w:hint="eastAsia" w:ascii="宋体" w:hAnsi="宋体" w:cs="宋体"/>
          <w:color w:val="000000"/>
          <w:sz w:val="84"/>
          <w:szCs w:val="84"/>
        </w:rPr>
        <w:t>招</w:t>
      </w:r>
    </w:p>
    <w:p w14:paraId="3938BC93">
      <w:pPr>
        <w:jc w:val="center"/>
        <w:rPr>
          <w:rFonts w:hint="eastAsia" w:ascii="宋体" w:hAnsi="宋体" w:cs="宋体"/>
          <w:color w:val="000000"/>
          <w:sz w:val="84"/>
          <w:szCs w:val="84"/>
        </w:rPr>
      </w:pPr>
    </w:p>
    <w:p w14:paraId="1FC39158">
      <w:pPr>
        <w:jc w:val="center"/>
        <w:rPr>
          <w:rFonts w:hint="eastAsia" w:ascii="宋体" w:hAnsi="宋体" w:cs="宋体"/>
          <w:color w:val="000000"/>
          <w:sz w:val="84"/>
          <w:szCs w:val="84"/>
        </w:rPr>
      </w:pPr>
      <w:r>
        <w:rPr>
          <w:rFonts w:hint="eastAsia" w:ascii="宋体" w:hAnsi="宋体" w:cs="宋体"/>
          <w:color w:val="000000"/>
          <w:sz w:val="84"/>
          <w:szCs w:val="84"/>
        </w:rPr>
        <w:t>标</w:t>
      </w:r>
    </w:p>
    <w:p w14:paraId="066E0C29">
      <w:pPr>
        <w:jc w:val="center"/>
        <w:rPr>
          <w:rFonts w:hint="eastAsia" w:ascii="宋体" w:hAnsi="宋体" w:cs="宋体"/>
          <w:color w:val="000000"/>
          <w:sz w:val="84"/>
          <w:szCs w:val="84"/>
        </w:rPr>
      </w:pPr>
    </w:p>
    <w:p w14:paraId="0664535F">
      <w:pPr>
        <w:jc w:val="center"/>
        <w:rPr>
          <w:rFonts w:hint="eastAsia" w:ascii="宋体" w:hAnsi="宋体" w:cs="宋体"/>
          <w:color w:val="000000"/>
          <w:sz w:val="72"/>
          <w:szCs w:val="72"/>
        </w:rPr>
      </w:pPr>
      <w:r>
        <w:rPr>
          <w:rFonts w:hint="eastAsia" w:ascii="宋体" w:hAnsi="宋体" w:cs="宋体"/>
          <w:color w:val="000000"/>
          <w:sz w:val="84"/>
          <w:szCs w:val="84"/>
        </w:rPr>
        <w:t>书</w:t>
      </w:r>
    </w:p>
    <w:p w14:paraId="61126125">
      <w:pPr>
        <w:jc w:val="center"/>
        <w:rPr>
          <w:rFonts w:hint="eastAsia" w:ascii="宋体" w:hAnsi="宋体" w:cs="宋体"/>
          <w:color w:val="000000"/>
          <w:sz w:val="28"/>
          <w:szCs w:val="28"/>
        </w:rPr>
      </w:pPr>
    </w:p>
    <w:p w14:paraId="03127B72">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14:paraId="6F83417B">
      <w:pPr>
        <w:jc w:val="center"/>
        <w:rPr>
          <w:rFonts w:hint="eastAsia" w:ascii="宋体" w:hAnsi="宋体" w:cs="宋体"/>
          <w:color w:val="000000"/>
          <w:sz w:val="28"/>
          <w:szCs w:val="28"/>
        </w:rPr>
      </w:pPr>
      <w:r>
        <w:rPr>
          <w:rFonts w:hint="eastAsia" w:ascii="宋体" w:hAnsi="宋体" w:cs="宋体"/>
          <w:color w:val="000000"/>
          <w:sz w:val="28"/>
          <w:szCs w:val="28"/>
        </w:rPr>
        <w:t>2026年4月</w:t>
      </w:r>
    </w:p>
    <w:p w14:paraId="6D6FED97">
      <w:pPr>
        <w:jc w:val="center"/>
        <w:rPr>
          <w:rFonts w:hint="eastAsia" w:ascii="宋体" w:hAnsi="宋体" w:cs="宋体"/>
          <w:sz w:val="28"/>
          <w:szCs w:val="28"/>
        </w:rPr>
      </w:pPr>
    </w:p>
    <w:p w14:paraId="6DEBC7D6">
      <w:pPr>
        <w:pStyle w:val="59"/>
        <w:rPr>
          <w:rFonts w:hint="eastAsia" w:ascii="宋体" w:hAnsi="宋体" w:eastAsia="宋体" w:cs="宋体"/>
        </w:rPr>
      </w:pPr>
      <w:r>
        <w:rPr>
          <w:rFonts w:hint="eastAsia" w:ascii="宋体" w:hAnsi="宋体" w:eastAsia="宋体" w:cs="宋体"/>
        </w:rPr>
        <w:t>第一章  招标公告</w:t>
      </w:r>
    </w:p>
    <w:p w14:paraId="45CD50E5">
      <w:pPr>
        <w:pStyle w:val="81"/>
        <w:rPr>
          <w:rFonts w:hint="eastAsia" w:eastAsia="宋体" w:cs="宋体"/>
        </w:rPr>
      </w:pPr>
      <w:r>
        <w:rPr>
          <w:rFonts w:hint="eastAsia" w:eastAsia="宋体" w:cs="宋体"/>
        </w:rPr>
        <w:t>一、项目名称</w:t>
      </w:r>
    </w:p>
    <w:p w14:paraId="2D79F209">
      <w:pPr>
        <w:spacing w:line="360" w:lineRule="auto"/>
        <w:ind w:left="1679" w:leftChars="228" w:hanging="1200" w:hangingChars="500"/>
        <w:rPr>
          <w:rFonts w:hint="eastAsia"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rPr>
        <w:t>产品试验检测中心莱芜园区消防维保</w:t>
      </w:r>
      <w:r>
        <w:rPr>
          <w:rFonts w:hint="eastAsia" w:ascii="宋体" w:hAnsi="宋体" w:cs="宋体"/>
          <w:color w:val="000000"/>
          <w:sz w:val="24"/>
          <w:szCs w:val="24"/>
          <w:lang w:val="en-US" w:eastAsia="zh-CN"/>
        </w:rPr>
        <w:t>值班</w:t>
      </w:r>
      <w:r>
        <w:rPr>
          <w:rFonts w:hint="eastAsia" w:ascii="宋体" w:hAnsi="宋体" w:cs="宋体"/>
          <w:color w:val="000000"/>
          <w:sz w:val="24"/>
          <w:szCs w:val="24"/>
        </w:rPr>
        <w:t>项目</w:t>
      </w:r>
    </w:p>
    <w:p w14:paraId="5DEE3C52">
      <w:pPr>
        <w:pStyle w:val="2"/>
        <w:spacing w:before="0" w:after="0" w:line="360" w:lineRule="auto"/>
        <w:ind w:firstLine="480" w:firstLineChars="200"/>
        <w:rPr>
          <w:rFonts w:hint="eastAsia"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采购形式编号：ZBGL2026040058</w:t>
      </w:r>
    </w:p>
    <w:bookmarkEnd w:id="0"/>
    <w:p w14:paraId="0ABABEEB">
      <w:pPr>
        <w:pStyle w:val="81"/>
        <w:rPr>
          <w:rFonts w:hint="eastAsia" w:eastAsia="宋体" w:cs="宋体"/>
        </w:rPr>
      </w:pPr>
      <w:r>
        <w:rPr>
          <w:rFonts w:hint="eastAsia" w:eastAsia="宋体" w:cs="宋体"/>
        </w:rPr>
        <w:t>二、招标内容及形式</w:t>
      </w:r>
    </w:p>
    <w:p w14:paraId="7E5B1DA9">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1、招标内容：产品试验检测中心莱芜园区消防维保</w:t>
      </w:r>
      <w:r>
        <w:rPr>
          <w:rFonts w:hint="eastAsia" w:hAnsi="宋体" w:cs="宋体"/>
          <w:color w:val="000000"/>
          <w:sz w:val="24"/>
          <w:szCs w:val="24"/>
          <w:lang w:val="en-US" w:eastAsia="zh-CN"/>
        </w:rPr>
        <w:t>值班</w:t>
      </w:r>
      <w:r>
        <w:rPr>
          <w:rFonts w:hint="eastAsia" w:hAnsi="宋体" w:cs="宋体"/>
          <w:color w:val="000000"/>
          <w:sz w:val="24"/>
          <w:szCs w:val="24"/>
        </w:rPr>
        <w:t xml:space="preserve">。 </w:t>
      </w:r>
    </w:p>
    <w:p w14:paraId="459CA42D">
      <w:pPr>
        <w:pStyle w:val="15"/>
        <w:spacing w:line="360" w:lineRule="auto"/>
        <w:ind w:firstLine="480" w:firstLineChars="200"/>
        <w:rPr>
          <w:rFonts w:hint="eastAsia" w:hAnsi="宋体" w:cs="宋体"/>
          <w:b/>
          <w:color w:val="000000"/>
          <w:sz w:val="24"/>
          <w:szCs w:val="24"/>
        </w:rPr>
      </w:pPr>
      <w:r>
        <w:rPr>
          <w:rFonts w:hint="eastAsia" w:hAnsi="宋体" w:cs="宋体"/>
          <w:color w:val="000000"/>
          <w:sz w:val="24"/>
          <w:szCs w:val="24"/>
        </w:rPr>
        <w:t>2、招标形式：公开招标。</w:t>
      </w:r>
    </w:p>
    <w:p w14:paraId="103FD2F8">
      <w:pPr>
        <w:pStyle w:val="15"/>
        <w:spacing w:line="360" w:lineRule="auto"/>
        <w:ind w:firstLine="482" w:firstLineChars="200"/>
        <w:rPr>
          <w:rFonts w:hint="eastAsia" w:hAnsi="宋体" w:cs="宋体"/>
          <w:b/>
          <w:color w:val="000000"/>
          <w:sz w:val="24"/>
          <w:szCs w:val="24"/>
        </w:rPr>
      </w:pPr>
      <w:r>
        <w:rPr>
          <w:rFonts w:hint="eastAsia" w:hAnsi="宋体" w:cs="宋体"/>
          <w:b/>
          <w:color w:val="000000"/>
          <w:sz w:val="24"/>
          <w:szCs w:val="24"/>
        </w:rPr>
        <w:t>具体要求详见《技术协议书》。</w:t>
      </w:r>
    </w:p>
    <w:p w14:paraId="445C223F">
      <w:pPr>
        <w:pStyle w:val="81"/>
        <w:rPr>
          <w:rFonts w:hint="eastAsia" w:eastAsia="宋体" w:cs="宋体"/>
        </w:rPr>
      </w:pPr>
      <w:r>
        <w:rPr>
          <w:rFonts w:hint="eastAsia" w:eastAsia="宋体" w:cs="宋体"/>
        </w:rPr>
        <w:t>三、项目概况与招标范围</w:t>
      </w:r>
    </w:p>
    <w:p w14:paraId="66369E3B">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1、项目名称：产品试验检测中心莱芜园区消防维保</w:t>
      </w:r>
      <w:r>
        <w:rPr>
          <w:rFonts w:hint="eastAsia" w:hAnsi="宋体" w:cs="宋体"/>
          <w:color w:val="000000"/>
          <w:sz w:val="24"/>
          <w:szCs w:val="24"/>
          <w:lang w:val="en-US" w:eastAsia="zh-CN"/>
        </w:rPr>
        <w:t>值班</w:t>
      </w:r>
      <w:r>
        <w:rPr>
          <w:rFonts w:hint="eastAsia" w:hAnsi="宋体" w:cs="宋体"/>
          <w:color w:val="000000"/>
          <w:sz w:val="24"/>
          <w:szCs w:val="24"/>
        </w:rPr>
        <w:t>。</w:t>
      </w:r>
    </w:p>
    <w:p w14:paraId="27EF6CD9">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2、项目地点：济南市莱芜区口镇街道莱城大道1188号。</w:t>
      </w:r>
    </w:p>
    <w:p w14:paraId="468DC224">
      <w:pPr>
        <w:spacing w:line="360" w:lineRule="auto"/>
        <w:ind w:firstLine="480" w:firstLineChars="200"/>
        <w:rPr>
          <w:rFonts w:hint="eastAsia" w:ascii="宋体" w:hAnsi="宋体" w:cs="宋体"/>
          <w:color w:val="000000"/>
          <w:sz w:val="24"/>
          <w:szCs w:val="24"/>
        </w:rPr>
      </w:pPr>
      <w:r>
        <w:rPr>
          <w:rFonts w:hint="eastAsia" w:hAnsi="宋体" w:cs="宋体"/>
          <w:color w:val="000000"/>
          <w:sz w:val="24"/>
          <w:szCs w:val="24"/>
          <w:lang w:val="en-US" w:eastAsia="zh-CN"/>
        </w:rPr>
        <w:t>3、</w:t>
      </w:r>
      <w:r>
        <w:rPr>
          <w:rFonts w:hint="eastAsia" w:ascii="宋体" w:hAnsi="宋体" w:cs="宋体"/>
          <w:color w:val="000000"/>
          <w:sz w:val="24"/>
          <w:szCs w:val="24"/>
        </w:rPr>
        <w:t>项目概况：</w:t>
      </w:r>
    </w:p>
    <w:p w14:paraId="65EF4AAD">
      <w:pPr>
        <w:spacing w:line="360" w:lineRule="auto"/>
        <w:ind w:firstLine="480" w:firstLineChars="200"/>
        <w:rPr>
          <w:rFonts w:hint="eastAsia" w:hAnsi="宋体" w:eastAsia="宋体" w:cs="宋体"/>
          <w:color w:val="000000"/>
          <w:sz w:val="24"/>
          <w:szCs w:val="24"/>
          <w:highlight w:val="none"/>
          <w:lang w:val="en-US" w:eastAsia="zh-CN"/>
        </w:rPr>
      </w:pPr>
      <w:r>
        <w:rPr>
          <w:rFonts w:hint="eastAsia" w:ascii="宋体" w:hAnsi="宋体" w:cs="宋体"/>
          <w:sz w:val="24"/>
          <w:szCs w:val="24"/>
          <w:highlight w:val="none"/>
        </w:rPr>
        <w:t>本项目位于济南市莱芜区口镇街道</w:t>
      </w:r>
      <w:r>
        <w:rPr>
          <w:rFonts w:hint="eastAsia" w:hAnsi="宋体" w:cs="宋体"/>
          <w:color w:val="000000"/>
          <w:sz w:val="24"/>
          <w:szCs w:val="24"/>
          <w:highlight w:val="none"/>
        </w:rPr>
        <w:t>莱城大道1188号</w:t>
      </w:r>
      <w:r>
        <w:rPr>
          <w:rFonts w:hint="eastAsia" w:ascii="宋体" w:hAnsi="宋体" w:cs="宋体"/>
          <w:sz w:val="24"/>
          <w:szCs w:val="24"/>
          <w:highlight w:val="none"/>
        </w:rPr>
        <w:t>，项目</w:t>
      </w:r>
      <w:r>
        <w:rPr>
          <w:rFonts w:hint="eastAsia" w:ascii="宋体" w:hAnsi="宋体" w:cs="宋体"/>
          <w:sz w:val="24"/>
          <w:szCs w:val="24"/>
          <w:highlight w:val="none"/>
          <w:lang w:val="en-US" w:eastAsia="zh-CN"/>
        </w:rPr>
        <w:t>于2025年交付使用（一期在用）</w:t>
      </w:r>
      <w:r>
        <w:rPr>
          <w:rFonts w:hint="eastAsia" w:ascii="宋体" w:hAnsi="宋体" w:cs="宋体"/>
          <w:sz w:val="24"/>
          <w:szCs w:val="24"/>
          <w:highlight w:val="none"/>
        </w:rPr>
        <w:t>建筑面积</w:t>
      </w:r>
      <w:r>
        <w:rPr>
          <w:rFonts w:hint="eastAsia" w:ascii="宋体" w:hAnsi="宋体" w:cs="宋体"/>
          <w:sz w:val="24"/>
          <w:szCs w:val="24"/>
          <w:highlight w:val="none"/>
          <w:lang w:val="en-US" w:eastAsia="zh-CN"/>
        </w:rPr>
        <w:t>33000㎡，2026年底即将新增交付（二期）建筑面积45789</w:t>
      </w:r>
      <w:r>
        <w:rPr>
          <w:rFonts w:hint="eastAsia" w:ascii="宋体" w:hAnsi="宋体" w:cs="宋体"/>
          <w:sz w:val="24"/>
          <w:szCs w:val="24"/>
          <w:highlight w:val="none"/>
        </w:rPr>
        <w:t>㎡</w:t>
      </w:r>
      <w:r>
        <w:rPr>
          <w:rFonts w:hint="eastAsia" w:ascii="宋体" w:hAnsi="宋体" w:cs="宋体"/>
          <w:sz w:val="24"/>
          <w:szCs w:val="24"/>
          <w:highlight w:val="none"/>
          <w:lang w:eastAsia="zh-CN"/>
        </w:rPr>
        <w:t>，</w:t>
      </w:r>
      <w:r>
        <w:rPr>
          <w:rFonts w:hint="eastAsia" w:ascii="宋体" w:hAnsi="宋体" w:cs="宋体"/>
          <w:sz w:val="24"/>
          <w:szCs w:val="24"/>
          <w:highlight w:val="none"/>
        </w:rPr>
        <w:t>主要消防设施共包含火灾报警联动系统、</w:t>
      </w:r>
      <w:r>
        <w:rPr>
          <w:rFonts w:hint="eastAsia" w:ascii="宋体" w:hAnsi="宋体" w:cs="宋体"/>
          <w:sz w:val="24"/>
          <w:szCs w:val="24"/>
          <w:highlight w:val="none"/>
          <w:lang w:val="en-US" w:eastAsia="zh-CN"/>
        </w:rPr>
        <w:t>普通水喷淋灭火系统（新增）、</w:t>
      </w:r>
      <w:r>
        <w:rPr>
          <w:rFonts w:hint="eastAsia" w:ascii="宋体" w:hAnsi="宋体" w:cs="宋体"/>
          <w:sz w:val="24"/>
          <w:szCs w:val="24"/>
          <w:highlight w:val="none"/>
        </w:rPr>
        <w:t>高压细水雾自动喷水灭火系统、消防给水系统、防火分隔设施、EPS应急电源柜及配电设施系统、应急照明系统、广播及疏散指示标志系统。</w:t>
      </w:r>
    </w:p>
    <w:p w14:paraId="4C30C4A0">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lang w:val="en-US" w:eastAsia="zh-CN"/>
        </w:rPr>
        <w:t>4</w:t>
      </w:r>
      <w:r>
        <w:rPr>
          <w:rFonts w:hint="eastAsia" w:hAnsi="宋体" w:cs="宋体"/>
          <w:color w:val="000000"/>
          <w:sz w:val="24"/>
          <w:szCs w:val="24"/>
        </w:rPr>
        <w:t>、资金来源：企业自筹，已落实。</w:t>
      </w:r>
    </w:p>
    <w:p w14:paraId="4750DE88">
      <w:pPr>
        <w:pStyle w:val="79"/>
        <w:ind w:firstLine="480"/>
        <w:rPr>
          <w:rFonts w:hint="eastAsia" w:eastAsia="宋体" w:cs="宋体"/>
        </w:rPr>
      </w:pPr>
      <w:r>
        <w:rPr>
          <w:rFonts w:hint="eastAsia" w:eastAsia="宋体" w:cs="宋体"/>
          <w:lang w:val="en-US" w:eastAsia="zh-CN"/>
        </w:rPr>
        <w:t>5</w:t>
      </w:r>
      <w:r>
        <w:rPr>
          <w:rFonts w:hint="eastAsia" w:eastAsia="宋体" w:cs="宋体"/>
        </w:rPr>
        <w:t>、付款方式：</w:t>
      </w:r>
      <w:r>
        <w:rPr>
          <w:rFonts w:hint="eastAsia" w:eastAsia="宋体" w:cs="宋体"/>
          <w:highlight w:val="yellow"/>
          <w:u w:val="single"/>
        </w:rPr>
        <w:t>半年期商业汇票（包括银行承兑汇票和商业承兑汇票）</w:t>
      </w:r>
    </w:p>
    <w:p w14:paraId="39BC57DB">
      <w:pPr>
        <w:pStyle w:val="79"/>
        <w:ind w:firstLine="480"/>
        <w:rPr>
          <w:rFonts w:hint="eastAsia"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1167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63566F43">
            <w:pPr>
              <w:pStyle w:val="83"/>
              <w:rPr>
                <w:rFonts w:hint="eastAsia" w:ascii="宋体" w:hAnsi="宋体" w:eastAsia="宋体" w:cs="宋体"/>
                <w:b w:val="0"/>
              </w:rPr>
            </w:pPr>
            <w:r>
              <w:rPr>
                <w:rFonts w:hint="eastAsia" w:ascii="宋体" w:hAnsi="宋体" w:eastAsia="宋体" w:cs="宋体"/>
                <w:b w:val="0"/>
              </w:rPr>
              <w:t>表1：具体付款方式</w:t>
            </w:r>
          </w:p>
        </w:tc>
      </w:tr>
      <w:tr w14:paraId="6FE8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51FEDE5F">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5AF92512">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9AB35C4">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0706E795">
            <w:pPr>
              <w:pStyle w:val="83"/>
              <w:rPr>
                <w:rFonts w:hint="eastAsia" w:ascii="宋体" w:hAnsi="宋体" w:eastAsia="宋体" w:cs="宋体"/>
                <w:b w:val="0"/>
              </w:rPr>
            </w:pPr>
            <w:r>
              <w:rPr>
                <w:rFonts w:hint="eastAsia" w:ascii="宋体" w:hAnsi="宋体" w:eastAsia="宋体" w:cs="宋体"/>
                <w:b w:val="0"/>
              </w:rPr>
              <w:t>比例</w:t>
            </w:r>
          </w:p>
        </w:tc>
      </w:tr>
      <w:tr w14:paraId="2090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32ABD3F4">
            <w:pPr>
              <w:pStyle w:val="83"/>
              <w:rPr>
                <w:rFonts w:hint="eastAsia" w:ascii="宋体" w:hAnsi="宋体" w:eastAsia="宋体" w:cs="宋体"/>
                <w:b w:val="0"/>
              </w:rPr>
            </w:pPr>
            <w:r>
              <w:rPr>
                <w:rFonts w:hint="eastAsia" w:ascii="宋体" w:hAnsi="宋体" w:eastAsia="宋体" w:cs="宋体"/>
                <w:b w:val="0"/>
              </w:rPr>
              <w:t>产品试验检测中心莱芜园区消防维保</w:t>
            </w:r>
          </w:p>
        </w:tc>
        <w:tc>
          <w:tcPr>
            <w:tcW w:w="775" w:type="pct"/>
            <w:tcBorders>
              <w:top w:val="single" w:color="auto" w:sz="4" w:space="0"/>
              <w:left w:val="single" w:color="auto" w:sz="4" w:space="0"/>
              <w:bottom w:val="single" w:color="auto" w:sz="4" w:space="0"/>
              <w:right w:val="single" w:color="auto" w:sz="4" w:space="0"/>
            </w:tcBorders>
            <w:vAlign w:val="center"/>
          </w:tcPr>
          <w:p w14:paraId="14A9E53E">
            <w:pPr>
              <w:pStyle w:val="83"/>
              <w:rPr>
                <w:rFonts w:hint="eastAsia" w:ascii="宋体" w:hAnsi="宋体" w:eastAsia="宋体" w:cs="宋体"/>
                <w:b w:val="0"/>
              </w:rPr>
            </w:pPr>
            <w:r>
              <w:rPr>
                <w:rFonts w:hint="eastAsia" w:ascii="宋体" w:hAnsi="宋体" w:eastAsia="宋体" w:cs="宋体"/>
                <w:b w:val="0"/>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14:paraId="0BB60561">
            <w:pPr>
              <w:pStyle w:val="83"/>
              <w:rPr>
                <w:rFonts w:hint="eastAsia" w:ascii="宋体" w:hAnsi="宋体" w:eastAsia="宋体" w:cs="宋体"/>
                <w:b w:val="0"/>
                <w:lang w:val="en-US" w:eastAsia="zh-CN"/>
              </w:rPr>
            </w:pPr>
            <w:r>
              <w:rPr>
                <w:rFonts w:hint="eastAsia" w:ascii="宋体" w:hAnsi="宋体" w:eastAsia="宋体" w:cs="宋体"/>
                <w:b w:val="0"/>
              </w:rPr>
              <w:t>合同签订后按月支付</w:t>
            </w:r>
            <w:r>
              <w:rPr>
                <w:rFonts w:hint="eastAsia" w:ascii="宋体" w:hAnsi="宋体" w:eastAsia="宋体" w:cs="宋体"/>
                <w:b w:val="0"/>
                <w:lang w:val="en-US" w:eastAsia="zh-CN"/>
              </w:rPr>
              <w:t>维保费用</w:t>
            </w:r>
          </w:p>
        </w:tc>
        <w:tc>
          <w:tcPr>
            <w:tcW w:w="951" w:type="pct"/>
            <w:tcBorders>
              <w:top w:val="single" w:color="auto" w:sz="4" w:space="0"/>
              <w:left w:val="single" w:color="auto" w:sz="4" w:space="0"/>
              <w:bottom w:val="single" w:color="auto" w:sz="4" w:space="0"/>
              <w:right w:val="single" w:color="auto" w:sz="4" w:space="0"/>
            </w:tcBorders>
            <w:vAlign w:val="center"/>
          </w:tcPr>
          <w:p w14:paraId="0632163A">
            <w:pPr>
              <w:pStyle w:val="83"/>
              <w:rPr>
                <w:rFonts w:hint="eastAsia" w:ascii="宋体" w:hAnsi="宋体" w:eastAsia="宋体" w:cs="宋体"/>
                <w:b w:val="0"/>
              </w:rPr>
            </w:pPr>
            <w:r>
              <w:rPr>
                <w:rFonts w:hint="eastAsia" w:ascii="宋体" w:hAnsi="宋体" w:eastAsia="宋体" w:cs="宋体"/>
                <w:b w:val="0"/>
              </w:rPr>
              <w:t>100%</w:t>
            </w:r>
          </w:p>
        </w:tc>
      </w:tr>
    </w:tbl>
    <w:p w14:paraId="66D283C0">
      <w:pPr>
        <w:pStyle w:val="81"/>
        <w:rPr>
          <w:rFonts w:hint="eastAsia" w:eastAsia="宋体" w:cs="宋体"/>
        </w:rPr>
      </w:pPr>
      <w:r>
        <w:rPr>
          <w:rFonts w:hint="eastAsia" w:eastAsia="宋体" w:cs="宋体"/>
        </w:rPr>
        <w:t>四、投标说明</w:t>
      </w:r>
    </w:p>
    <w:p w14:paraId="3BE88DB1">
      <w:pPr>
        <w:pStyle w:val="89"/>
        <w:rPr>
          <w:rFonts w:hint="eastAsia" w:ascii="宋体" w:hAnsi="宋体" w:eastAsia="宋体" w:cs="宋体"/>
        </w:rPr>
      </w:pPr>
      <w:r>
        <w:rPr>
          <w:rFonts w:hint="eastAsia" w:ascii="宋体" w:hAnsi="宋体" w:eastAsia="宋体" w:cs="宋体"/>
        </w:rPr>
        <w:t>1、报名方式</w:t>
      </w:r>
    </w:p>
    <w:p w14:paraId="7382F65A">
      <w:pPr>
        <w:pStyle w:val="79"/>
        <w:ind w:firstLine="480"/>
        <w:rPr>
          <w:rFonts w:hint="eastAsia"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按照中国重汽e采通“SRM非生产供应商注册手册”（附件12）进行注册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14:paraId="16384DF9">
      <w:pPr>
        <w:pStyle w:val="79"/>
        <w:ind w:firstLine="480"/>
        <w:rPr>
          <w:rFonts w:hint="eastAsia"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14:paraId="5EE9EE0A">
      <w:pPr>
        <w:pStyle w:val="79"/>
        <w:ind w:firstLine="482"/>
        <w:rPr>
          <w:rFonts w:hint="eastAsia" w:eastAsia="宋体" w:cs="宋体"/>
          <w:b/>
        </w:rPr>
      </w:pPr>
      <w:r>
        <w:rPr>
          <w:rFonts w:hint="eastAsia" w:eastAsia="宋体" w:cs="宋体"/>
          <w:b/>
        </w:rPr>
        <w:t>投标邮件主题：某单位授权某代表参与投标某项目+电话</w:t>
      </w:r>
    </w:p>
    <w:p w14:paraId="2634F0F5">
      <w:pPr>
        <w:pStyle w:val="79"/>
        <w:ind w:firstLine="482"/>
        <w:rPr>
          <w:rFonts w:hint="eastAsia"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14:paraId="416CD175">
      <w:pPr>
        <w:pStyle w:val="79"/>
        <w:ind w:firstLine="482"/>
        <w:rPr>
          <w:rFonts w:hint="eastAsia"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14:paraId="333A4AA4">
      <w:pPr>
        <w:pStyle w:val="79"/>
        <w:ind w:firstLine="482"/>
        <w:rPr>
          <w:rFonts w:hint="eastAsia" w:eastAsia="宋体" w:cs="宋体"/>
          <w:b/>
        </w:rPr>
      </w:pPr>
      <w:r>
        <w:rPr>
          <w:rFonts w:hint="eastAsia" w:eastAsia="宋体" w:cs="宋体"/>
          <w:b/>
        </w:rPr>
        <w:t>投标保证金缴纳时候，务必备注所投标的项目名称。</w:t>
      </w:r>
    </w:p>
    <w:p w14:paraId="4199E372">
      <w:pPr>
        <w:pStyle w:val="79"/>
        <w:ind w:firstLine="480"/>
        <w:rPr>
          <w:rFonts w:hint="eastAsia"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14:paraId="69F8E03A">
      <w:pPr>
        <w:pStyle w:val="85"/>
        <w:rPr>
          <w:rFonts w:hint="eastAsia" w:ascii="宋体" w:hAnsi="宋体" w:eastAsia="宋体" w:cs="宋体"/>
        </w:rPr>
      </w:pPr>
      <w:r>
        <w:rPr>
          <w:rFonts w:hint="eastAsia" w:ascii="宋体" w:hAnsi="宋体" w:eastAsia="宋体" w:cs="宋体"/>
        </w:rPr>
        <w:t>2、投标条件</w:t>
      </w:r>
    </w:p>
    <w:p w14:paraId="7705D6F4">
      <w:pPr>
        <w:pStyle w:val="15"/>
        <w:spacing w:line="360" w:lineRule="auto"/>
        <w:ind w:firstLine="235" w:firstLineChars="98"/>
        <w:rPr>
          <w:rFonts w:hint="eastAsia"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rPr>
        <w:t>3000万</w:t>
      </w:r>
      <w:r>
        <w:rPr>
          <w:rFonts w:hint="eastAsia" w:hAnsi="宋体" w:cs="宋体"/>
          <w:color w:val="000000"/>
          <w:sz w:val="24"/>
          <w:szCs w:val="24"/>
        </w:rPr>
        <w:t>人民币（或等值其他货币）；公司成立</w:t>
      </w:r>
      <w:r>
        <w:rPr>
          <w:rFonts w:hint="eastAsia" w:hAnsi="宋体" w:cs="宋体"/>
          <w:color w:val="000000"/>
          <w:sz w:val="24"/>
          <w:szCs w:val="24"/>
          <w:u w:val="single"/>
        </w:rPr>
        <w:t>五年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14:paraId="7426C31C">
      <w:pPr>
        <w:pStyle w:val="15"/>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218E53AA">
      <w:pPr>
        <w:pStyle w:val="15"/>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14:paraId="7B8683B9">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50058EFC">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（5）拟投标人不存在严重违规或被列入招标人“黑名单”的声明。</w:t>
      </w:r>
    </w:p>
    <w:p w14:paraId="06C7E2CB">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7C1230AF">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0A9EA2E8">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（8）本项目不接受联合体投标，不接受代理商投标。</w:t>
      </w:r>
    </w:p>
    <w:p w14:paraId="722B6948">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（9）在中国重型汽车集团有限公司服务期间无不良记录或无因服务质量不到位提前终止合同的情况；</w:t>
      </w:r>
    </w:p>
    <w:p w14:paraId="06B425C2">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（10）未被中国重型汽车集团有限公司列入黑名单；</w:t>
      </w:r>
    </w:p>
    <w:p w14:paraId="094BF254">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（11）供方的直接或间接股东、法定代表人、董事、监事、高管非重汽员工及其亲属；</w:t>
      </w:r>
    </w:p>
    <w:p w14:paraId="316CA037">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（12）如有投标单位资料造假，一经发现，5年内不得参与集团内所有消防器材、应急物资及维保类项目投标资格；</w:t>
      </w:r>
    </w:p>
    <w:p w14:paraId="349C5140">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（13）具有消电检和消防安全评估资质；</w:t>
      </w:r>
    </w:p>
    <w:p w14:paraId="3A08CB18">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（14）具有建筑类检测AAA级信用企业证书；</w:t>
      </w:r>
    </w:p>
    <w:p w14:paraId="3F777C62">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（15）相关法律法规对合格投标单位的其他要求。</w:t>
      </w:r>
    </w:p>
    <w:p w14:paraId="1B2DE80A">
      <w:pPr>
        <w:pStyle w:val="15"/>
        <w:spacing w:line="360" w:lineRule="auto"/>
        <w:ind w:firstLine="477" w:firstLineChars="198"/>
        <w:rPr>
          <w:rFonts w:hint="eastAsia" w:hAnsi="宋体" w:cs="宋体"/>
          <w:b/>
          <w:color w:val="000000"/>
          <w:sz w:val="24"/>
          <w:szCs w:val="24"/>
        </w:rPr>
      </w:pPr>
      <w:r>
        <w:rPr>
          <w:rFonts w:hint="eastAsia" w:hAnsi="宋体" w:cs="宋体"/>
          <w:b/>
          <w:color w:val="000000"/>
          <w:sz w:val="24"/>
          <w:szCs w:val="24"/>
        </w:rPr>
        <w:t>* 注：</w:t>
      </w:r>
    </w:p>
    <w:p w14:paraId="2540D67B">
      <w:pPr>
        <w:pStyle w:val="15"/>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3B3C9E93">
      <w:pPr>
        <w:pStyle w:val="15"/>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14:paraId="759F657B">
      <w:pPr>
        <w:pStyle w:val="79"/>
        <w:ind w:firstLine="482"/>
        <w:rPr>
          <w:rFonts w:hint="eastAsia"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433CC916">
      <w:pPr>
        <w:pStyle w:val="85"/>
        <w:rPr>
          <w:rFonts w:hint="eastAsia" w:ascii="宋体" w:hAnsi="宋体" w:eastAsia="宋体" w:cs="宋体"/>
        </w:rPr>
      </w:pPr>
      <w:r>
        <w:rPr>
          <w:rFonts w:hint="eastAsia" w:ascii="宋体" w:hAnsi="宋体" w:eastAsia="宋体" w:cs="宋体"/>
        </w:rPr>
        <w:t>3、报价</w:t>
      </w:r>
    </w:p>
    <w:p w14:paraId="6700178F">
      <w:pPr>
        <w:pStyle w:val="15"/>
        <w:spacing w:line="360" w:lineRule="auto"/>
        <w:ind w:firstLine="480" w:firstLineChars="200"/>
        <w:rPr>
          <w:rFonts w:hint="eastAsia"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14:paraId="26A5C768">
      <w:pPr>
        <w:pStyle w:val="79"/>
        <w:ind w:firstLine="480"/>
        <w:rPr>
          <w:rFonts w:hint="eastAsia"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14:paraId="04032270">
      <w:pPr>
        <w:pStyle w:val="79"/>
        <w:ind w:firstLine="482"/>
        <w:rPr>
          <w:rFonts w:hint="eastAsia"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14:paraId="6268C7D3">
      <w:pPr>
        <w:pStyle w:val="89"/>
        <w:rPr>
          <w:rFonts w:hint="eastAsia" w:ascii="宋体" w:hAnsi="宋体" w:eastAsia="宋体" w:cs="宋体"/>
        </w:rPr>
      </w:pPr>
      <w:r>
        <w:rPr>
          <w:rFonts w:hint="eastAsia" w:ascii="宋体" w:hAnsi="宋体" w:eastAsia="宋体" w:cs="宋体"/>
        </w:rPr>
        <w:t>4、投标保证金</w:t>
      </w:r>
    </w:p>
    <w:p w14:paraId="4371571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应提供1万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0E0CD8F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4.2招标人银行账户信息如下：</w:t>
      </w:r>
    </w:p>
    <w:p w14:paraId="226F8D6A">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单位名称：</w:t>
      </w:r>
      <w:r>
        <w:rPr>
          <w:rFonts w:ascii="宋体" w:hAnsi="宋体" w:cs="宋体"/>
          <w:sz w:val="24"/>
          <w:szCs w:val="24"/>
        </w:rPr>
        <w:t>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14:paraId="4F43E848">
      <w:pPr>
        <w:spacing w:line="360" w:lineRule="auto"/>
        <w:ind w:firstLine="480" w:firstLineChars="200"/>
        <w:rPr>
          <w:rFonts w:hint="eastAsia" w:ascii="宋体" w:hAnsi="宋体" w:cs="宋体"/>
          <w:color w:val="000000"/>
          <w:sz w:val="24"/>
          <w:szCs w:val="24"/>
          <w:highlight w:val="green"/>
        </w:rPr>
      </w:pPr>
      <w:r>
        <w:rPr>
          <w:rFonts w:hint="eastAsia" w:ascii="宋体" w:hAnsi="宋体" w:cs="宋体"/>
          <w:color w:val="000000"/>
          <w:sz w:val="24"/>
          <w:szCs w:val="24"/>
          <w:highlight w:val="green"/>
        </w:rPr>
        <w:t>注意事项：</w:t>
      </w:r>
    </w:p>
    <w:p w14:paraId="3A3AA24A">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14:paraId="0FA7DBCB">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14:paraId="4EB10012">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14:paraId="6664CF21">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14:paraId="34FDBC1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14:paraId="2205205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 该银行账户只接受外币电开保函和电汇。</w:t>
      </w:r>
    </w:p>
    <w:p w14:paraId="25EB405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14:paraId="25E140E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14:paraId="36EAAD9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14:paraId="4D2EE1C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14:paraId="4CFACDF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14:paraId="6F5A8F8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14:paraId="264AF05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14:paraId="0AD0D8A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14:paraId="444B76A8">
      <w:pPr>
        <w:pStyle w:val="85"/>
        <w:rPr>
          <w:rFonts w:hint="eastAsia" w:ascii="宋体" w:hAnsi="宋体" w:eastAsia="宋体" w:cs="宋体"/>
        </w:rPr>
      </w:pPr>
      <w:r>
        <w:rPr>
          <w:rFonts w:hint="eastAsia" w:ascii="宋体" w:hAnsi="宋体" w:eastAsia="宋体" w:cs="宋体"/>
        </w:rPr>
        <w:t>5、询标</w:t>
      </w:r>
    </w:p>
    <w:p w14:paraId="642E6F8E">
      <w:pPr>
        <w:pStyle w:val="79"/>
        <w:ind w:firstLine="480"/>
        <w:rPr>
          <w:rFonts w:hint="eastAsia" w:eastAsia="宋体" w:cs="宋体"/>
        </w:rPr>
      </w:pPr>
      <w:r>
        <w:rPr>
          <w:rFonts w:hint="eastAsia" w:eastAsia="宋体" w:cs="宋体"/>
        </w:rPr>
        <w:t>凡对本次招标提出的询问，均以招标方的书面答复为准。</w:t>
      </w:r>
    </w:p>
    <w:p w14:paraId="76FADFF1">
      <w:pPr>
        <w:pStyle w:val="85"/>
        <w:rPr>
          <w:rFonts w:hint="eastAsia" w:ascii="宋体" w:hAnsi="宋体" w:eastAsia="宋体" w:cs="宋体"/>
        </w:rPr>
      </w:pPr>
      <w:r>
        <w:rPr>
          <w:rFonts w:hint="eastAsia" w:ascii="宋体" w:hAnsi="宋体" w:eastAsia="宋体" w:cs="宋体"/>
        </w:rPr>
        <w:t>6、投标文件的编制</w:t>
      </w:r>
    </w:p>
    <w:p w14:paraId="51C55BA4">
      <w:pPr>
        <w:pStyle w:val="79"/>
        <w:ind w:firstLine="480"/>
        <w:rPr>
          <w:rFonts w:hint="eastAsia" w:eastAsia="宋体" w:cs="宋体"/>
        </w:rPr>
      </w:pPr>
      <w:r>
        <w:rPr>
          <w:rFonts w:hint="eastAsia" w:eastAsia="宋体" w:cs="宋体"/>
        </w:rPr>
        <w:t>（1）投标文件和与投标有关的所有文件均应使用中文。</w:t>
      </w:r>
    </w:p>
    <w:p w14:paraId="05ED22E4">
      <w:pPr>
        <w:pStyle w:val="79"/>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14:paraId="1DCAB999">
      <w:pPr>
        <w:pStyle w:val="85"/>
        <w:rPr>
          <w:rFonts w:hint="eastAsia" w:ascii="宋体" w:hAnsi="宋体" w:eastAsia="宋体" w:cs="宋体"/>
        </w:rPr>
      </w:pPr>
      <w:r>
        <w:rPr>
          <w:rFonts w:hint="eastAsia" w:ascii="宋体" w:hAnsi="宋体" w:eastAsia="宋体" w:cs="宋体"/>
        </w:rPr>
        <w:t>7、投标文件的组成</w:t>
      </w:r>
    </w:p>
    <w:p w14:paraId="20661BA7">
      <w:pPr>
        <w:ind w:firstLine="480" w:firstLineChars="200"/>
        <w:rPr>
          <w:rFonts w:hint="eastAsia"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03A9247B">
      <w:pPr>
        <w:pStyle w:val="79"/>
        <w:ind w:firstLine="198" w:firstLineChars="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503EA3A2">
      <w:pPr>
        <w:pStyle w:val="79"/>
        <w:ind w:firstLine="198" w:firstLineChars="82"/>
        <w:rPr>
          <w:rFonts w:hint="eastAsia" w:eastAsia="宋体" w:cs="宋体"/>
          <w:b/>
          <w:bCs/>
        </w:rPr>
      </w:pPr>
      <w:bookmarkStart w:id="1" w:name="_Toc212369516"/>
      <w:r>
        <w:rPr>
          <w:rFonts w:hint="eastAsia" w:eastAsia="宋体" w:cs="宋体"/>
          <w:b/>
          <w:bCs/>
        </w:rPr>
        <w:t>7.1 资格证明文件包括：</w:t>
      </w:r>
      <w:bookmarkEnd w:id="1"/>
    </w:p>
    <w:p w14:paraId="03ABE099">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3CCF996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14:paraId="307E6029">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3F09F478">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p>
    <w:p w14:paraId="334ACD7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5C3C58B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5CA5026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001FF5FB">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8)</w:t>
      </w:r>
      <w:r>
        <w:rPr>
          <w:rFonts w:ascii="宋体" w:hAnsi="宋体" w:cs="宋体"/>
          <w:sz w:val="24"/>
          <w:szCs w:val="24"/>
        </w:rPr>
        <w:t>年度纳税信用评价信息（可从电子税务局查询截图，需加盖公章）；</w:t>
      </w:r>
    </w:p>
    <w:p w14:paraId="5368EDA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9)</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6DDFE58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10)保密承诺函（附件3）；</w:t>
      </w:r>
    </w:p>
    <w:p w14:paraId="33A31E5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11)企业近三年同类项目业绩证明；</w:t>
      </w:r>
    </w:p>
    <w:p w14:paraId="3C44F86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12)投标保证金缴纳凭证。</w:t>
      </w:r>
    </w:p>
    <w:p w14:paraId="3118A140">
      <w:pPr>
        <w:pStyle w:val="32"/>
        <w:ind w:left="0" w:leftChars="0"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13)</w:t>
      </w:r>
      <w:r>
        <w:rPr>
          <w:rFonts w:hint="eastAsia" w:hAnsi="宋体" w:cs="宋体"/>
          <w:color w:val="000000"/>
          <w:sz w:val="24"/>
          <w:szCs w:val="24"/>
          <w:lang w:eastAsia="zh-CN"/>
        </w:rPr>
        <w:t>消电检和消防安全评估资质；</w:t>
      </w:r>
    </w:p>
    <w:p w14:paraId="65B1FFCA">
      <w:pPr>
        <w:pStyle w:val="32"/>
        <w:ind w:left="0" w:leftChars="0"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14)</w:t>
      </w:r>
      <w:r>
        <w:rPr>
          <w:rFonts w:hint="eastAsia" w:hAnsi="宋体" w:cs="宋体"/>
          <w:color w:val="000000"/>
          <w:sz w:val="24"/>
          <w:szCs w:val="24"/>
          <w:lang w:eastAsia="zh-CN"/>
        </w:rPr>
        <w:t>具有建筑类检测AAA级信用</w:t>
      </w:r>
      <w:r>
        <w:rPr>
          <w:rFonts w:hint="eastAsia" w:hAnsi="宋体" w:cs="宋体"/>
          <w:color w:val="000000"/>
          <w:sz w:val="24"/>
          <w:szCs w:val="24"/>
          <w:lang w:val="en-US" w:eastAsia="zh-CN"/>
        </w:rPr>
        <w:t>企业证书</w:t>
      </w:r>
      <w:r>
        <w:rPr>
          <w:rFonts w:hint="eastAsia" w:hAnsi="宋体" w:cs="宋体"/>
          <w:color w:val="000000"/>
          <w:sz w:val="24"/>
          <w:szCs w:val="24"/>
          <w:lang w:eastAsia="zh-CN"/>
        </w:rPr>
        <w:t>；</w:t>
      </w:r>
    </w:p>
    <w:p w14:paraId="110103B8">
      <w:pPr>
        <w:spacing w:line="460" w:lineRule="exact"/>
        <w:ind w:firstLine="482" w:firstLineChars="200"/>
        <w:rPr>
          <w:rFonts w:hint="eastAsia" w:ascii="宋体" w:hAnsi="宋体" w:cs="宋体"/>
          <w:b/>
          <w:bCs/>
          <w:sz w:val="24"/>
        </w:rPr>
      </w:pPr>
      <w:r>
        <w:rPr>
          <w:rFonts w:hint="eastAsia" w:ascii="宋体" w:hAnsi="宋体" w:cs="宋体"/>
          <w:b/>
          <w:bCs/>
          <w:sz w:val="24"/>
        </w:rPr>
        <w:t>7.2技术部分：</w:t>
      </w:r>
      <w:bookmarkEnd w:id="2"/>
    </w:p>
    <w:p w14:paraId="20E163E9">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14:paraId="76D0A75C">
      <w:pPr>
        <w:spacing w:line="360" w:lineRule="auto"/>
        <w:ind w:firstLine="480" w:firstLineChars="200"/>
        <w:rPr>
          <w:rFonts w:hint="eastAsia" w:ascii="宋体" w:hAnsi="宋体" w:cs="宋体"/>
          <w:b/>
          <w:color w:val="000000"/>
          <w:sz w:val="24"/>
          <w:szCs w:val="24"/>
          <w:highlight w:val="green"/>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r>
        <w:rPr>
          <w:rFonts w:hint="eastAsia" w:ascii="宋体" w:hAnsi="宋体" w:cs="宋体"/>
          <w:color w:val="000000"/>
          <w:sz w:val="24"/>
          <w:szCs w:val="24"/>
          <w:highlight w:val="green"/>
        </w:rPr>
        <w:t>，</w:t>
      </w:r>
      <w:r>
        <w:rPr>
          <w:rFonts w:hint="eastAsia" w:ascii="宋体" w:hAnsi="宋体" w:cs="宋体"/>
          <w:b/>
          <w:color w:val="000000"/>
          <w:sz w:val="24"/>
          <w:szCs w:val="24"/>
          <w:highlight w:val="green"/>
        </w:rPr>
        <w:t>若未提供相应业绩证明，根据技术标评分规则，将影响现场评标专家组对投标单位业绩判定打分；</w:t>
      </w:r>
    </w:p>
    <w:p w14:paraId="76D0E6C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3）质量承诺函（附件6）</w:t>
      </w:r>
    </w:p>
    <w:p w14:paraId="434D308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w:t>
      </w:r>
      <w:r>
        <w:rPr>
          <w:rFonts w:hint="eastAsia" w:ascii="宋体" w:hAnsi="宋体" w:cs="宋体"/>
          <w:sz w:val="24"/>
          <w:szCs w:val="24"/>
        </w:rPr>
        <w:t>相关技术文件及资料（详见附件14）</w:t>
      </w:r>
      <w:r>
        <w:rPr>
          <w:rFonts w:hint="eastAsia" w:ascii="宋体" w:hAnsi="宋体" w:cs="宋体"/>
          <w:color w:val="000000"/>
          <w:sz w:val="24"/>
          <w:szCs w:val="24"/>
        </w:rPr>
        <w:t>；</w:t>
      </w:r>
    </w:p>
    <w:p w14:paraId="236E842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5）投标人需提交的其它资料。</w:t>
      </w:r>
    </w:p>
    <w:p w14:paraId="5CA33EF5">
      <w:pPr>
        <w:pStyle w:val="79"/>
        <w:ind w:firstLine="482"/>
        <w:rPr>
          <w:rFonts w:hint="eastAsia" w:eastAsia="宋体" w:cs="宋体"/>
          <w:b/>
          <w:bCs/>
        </w:rPr>
      </w:pPr>
      <w:r>
        <w:rPr>
          <w:rFonts w:hint="eastAsia" w:eastAsia="宋体" w:cs="宋体"/>
          <w:b/>
          <w:bCs/>
        </w:rPr>
        <w:t>7.3商务部分：</w:t>
      </w:r>
    </w:p>
    <w:p w14:paraId="29D178E7">
      <w:pPr>
        <w:pStyle w:val="79"/>
        <w:ind w:firstLine="480"/>
        <w:rPr>
          <w:rFonts w:hint="eastAsia" w:eastAsia="宋体" w:cs="宋体"/>
        </w:rPr>
      </w:pPr>
      <w:r>
        <w:rPr>
          <w:rFonts w:hint="eastAsia" w:eastAsia="宋体" w:cs="宋体"/>
        </w:rPr>
        <w:t>1）开标一览表（附件7）；</w:t>
      </w:r>
    </w:p>
    <w:p w14:paraId="6CCE264D">
      <w:pPr>
        <w:pStyle w:val="79"/>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14:paraId="5EB7D7C2">
      <w:pPr>
        <w:pStyle w:val="79"/>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14:paraId="62AC3967">
      <w:pPr>
        <w:pStyle w:val="79"/>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14:paraId="461CAEA9">
      <w:pPr>
        <w:pStyle w:val="79"/>
        <w:ind w:firstLine="480"/>
        <w:rPr>
          <w:rFonts w:hint="eastAsia" w:eastAsia="宋体" w:cs="宋体"/>
        </w:rPr>
      </w:pPr>
      <w:r>
        <w:rPr>
          <w:rFonts w:hint="eastAsia" w:eastAsia="宋体" w:cs="宋体"/>
        </w:rPr>
        <w:t>5）按招标文件投标人须知和技术规格书中要求提供的有关文件。</w:t>
      </w:r>
    </w:p>
    <w:p w14:paraId="3FA117FD">
      <w:pPr>
        <w:pStyle w:val="85"/>
        <w:rPr>
          <w:rFonts w:hint="eastAsia" w:ascii="宋体" w:hAnsi="宋体" w:eastAsia="宋体" w:cs="宋体"/>
        </w:rPr>
      </w:pPr>
      <w:r>
        <w:rPr>
          <w:rFonts w:hint="eastAsia" w:ascii="宋体" w:hAnsi="宋体" w:eastAsia="宋体" w:cs="宋体"/>
        </w:rPr>
        <w:t>8、投标文件格式</w:t>
      </w:r>
    </w:p>
    <w:p w14:paraId="4B0CC8C5">
      <w:pPr>
        <w:pStyle w:val="79"/>
        <w:ind w:firstLine="480"/>
        <w:rPr>
          <w:rFonts w:hint="eastAsia" w:eastAsia="宋体" w:cs="宋体"/>
          <w:b/>
        </w:rPr>
      </w:pPr>
      <w:r>
        <w:rPr>
          <w:rFonts w:hint="eastAsia" w:eastAsia="宋体" w:cs="宋体"/>
        </w:rPr>
        <w:t>详见附件格式1—10</w:t>
      </w:r>
      <w:r>
        <w:rPr>
          <w:rFonts w:hint="eastAsia" w:eastAsia="宋体" w:cs="宋体"/>
          <w:b/>
        </w:rPr>
        <w:t>，其余未尽事宜请按各单位习惯制定即可。</w:t>
      </w:r>
    </w:p>
    <w:p w14:paraId="368FCE34">
      <w:pPr>
        <w:pStyle w:val="81"/>
        <w:rPr>
          <w:rFonts w:hint="eastAsia" w:eastAsia="宋体" w:cs="宋体"/>
        </w:rPr>
      </w:pPr>
      <w:r>
        <w:rPr>
          <w:rFonts w:hint="eastAsia" w:eastAsia="宋体" w:cs="宋体"/>
        </w:rPr>
        <w:t>五、议程安排</w:t>
      </w:r>
    </w:p>
    <w:p w14:paraId="25FABDD7">
      <w:pPr>
        <w:pStyle w:val="85"/>
        <w:spacing w:line="360" w:lineRule="auto"/>
        <w:rPr>
          <w:rFonts w:hint="eastAsia" w:ascii="宋体" w:hAnsi="宋体" w:eastAsia="宋体" w:cs="宋体"/>
        </w:rPr>
      </w:pPr>
      <w:r>
        <w:rPr>
          <w:rFonts w:hint="eastAsia" w:ascii="宋体" w:hAnsi="宋体" w:eastAsia="宋体" w:cs="宋体"/>
        </w:rPr>
        <w:t>1、供应商报名时间：</w:t>
      </w:r>
    </w:p>
    <w:p w14:paraId="69F3BC22">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lang w:val="en-US" w:eastAsia="zh-CN"/>
        </w:rPr>
        <w:t>（1）</w:t>
      </w:r>
      <w:r>
        <w:rPr>
          <w:rFonts w:hint="eastAsia" w:ascii="宋体" w:hAnsi="宋体" w:eastAsia="宋体" w:cs="宋体"/>
          <w:color w:val="000000"/>
          <w:lang w:val="en-US" w:eastAsia="zh-CN"/>
        </w:rPr>
        <w:t>发标</w:t>
      </w:r>
      <w:r>
        <w:rPr>
          <w:rFonts w:hint="eastAsia" w:ascii="宋体" w:hAnsi="宋体" w:eastAsia="宋体" w:cs="宋体"/>
          <w:color w:val="000000"/>
        </w:rPr>
        <w:t>时间：</w:t>
      </w:r>
      <w:r>
        <w:rPr>
          <w:rFonts w:hint="eastAsia" w:ascii="宋体" w:hAnsi="宋体" w:eastAsia="宋体" w:cs="宋体"/>
          <w:b/>
          <w:bCs/>
          <w:color w:val="000000"/>
          <w:kern w:val="2"/>
          <w:sz w:val="24"/>
          <w:szCs w:val="24"/>
          <w:lang w:val="en-US" w:eastAsia="zh-CN" w:bidi="ar-SA"/>
        </w:rPr>
        <w:t>2026年4</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月15</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日（周三）</w:t>
      </w:r>
    </w:p>
    <w:p w14:paraId="7D56AACB">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w:t>
      </w:r>
      <w:r>
        <w:rPr>
          <w:rFonts w:hint="eastAsia" w:eastAsia="宋体" w:cs="宋体"/>
          <w:b/>
          <w:bCs/>
          <w:color w:val="000000"/>
          <w:kern w:val="2"/>
          <w:sz w:val="24"/>
          <w:szCs w:val="24"/>
          <w:lang w:val="en-US" w:eastAsia="zh-CN" w:bidi="ar-SA"/>
          <w:woUserID w:val="1"/>
        </w:rPr>
        <w:t xml:space="preserve"> 4 </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rPr>
        <w:t>20</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一</w:t>
      </w:r>
      <w:r>
        <w:rPr>
          <w:rFonts w:hint="eastAsia" w:ascii="宋体" w:hAnsi="宋体" w:eastAsia="宋体" w:cs="宋体"/>
          <w:b/>
          <w:bCs/>
          <w:color w:val="000000"/>
          <w:kern w:val="2"/>
          <w:sz w:val="24"/>
          <w:szCs w:val="24"/>
          <w:lang w:val="en-US" w:eastAsia="zh-CN" w:bidi="ar-SA"/>
        </w:rPr>
        <w:t>）</w:t>
      </w:r>
      <w:r>
        <w:rPr>
          <w:rFonts w:hint="eastAsia" w:eastAsia="宋体" w:cs="宋体"/>
          <w:b/>
          <w:bCs/>
          <w:color w:val="000000"/>
          <w:kern w:val="2"/>
          <w:sz w:val="24"/>
          <w:szCs w:val="24"/>
          <w:lang w:val="en-US" w:eastAsia="zh-CN" w:bidi="ar-SA"/>
        </w:rPr>
        <w:t>17:00:00（时间精确到秒）</w:t>
      </w:r>
    </w:p>
    <w:p w14:paraId="7BBBA40E">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w:t>
      </w:r>
      <w:r>
        <w:rPr>
          <w:rFonts w:hint="eastAsia" w:eastAsia="宋体" w:cs="宋体"/>
          <w:b/>
          <w:bCs/>
          <w:color w:val="000000"/>
          <w:kern w:val="2"/>
          <w:sz w:val="24"/>
          <w:szCs w:val="24"/>
          <w:lang w:val="en-US" w:eastAsia="zh-CN" w:bidi="ar-SA"/>
        </w:rPr>
        <w:t>4</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woUserID w:val="1"/>
        </w:rPr>
        <w:t xml:space="preserve"> 27 </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一</w:t>
      </w:r>
      <w:r>
        <w:rPr>
          <w:rFonts w:hint="eastAsia" w:ascii="宋体" w:hAnsi="宋体"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14:paraId="2EECB2F0">
      <w:pPr>
        <w:pStyle w:val="85"/>
        <w:spacing w:line="360" w:lineRule="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2、发布招标方式：本次招标公告在中国重汽官方网站、山东省阳光采购服务平台、中国重汽E采通平台发布。</w:t>
      </w:r>
    </w:p>
    <w:p w14:paraId="0C62BDAD">
      <w:pPr>
        <w:pStyle w:val="79"/>
        <w:ind w:firstLine="482"/>
        <w:rPr>
          <w:rFonts w:hint="eastAsia" w:eastAsia="宋体" w:cs="宋体"/>
          <w:b/>
        </w:rPr>
      </w:pPr>
      <w:r>
        <w:rPr>
          <w:rFonts w:hint="eastAsia" w:eastAsia="宋体" w:cs="宋体"/>
          <w:b/>
        </w:rPr>
        <w:t>注意：以上渠道为官方指定发布渠道，切勿相信其他来源的信息。</w:t>
      </w:r>
    </w:p>
    <w:p w14:paraId="3AA5D647">
      <w:pPr>
        <w:pStyle w:val="79"/>
        <w:ind w:firstLine="482"/>
        <w:rPr>
          <w:rFonts w:hint="eastAsia" w:eastAsia="宋体" w:cs="宋体"/>
          <w:b/>
        </w:rPr>
      </w:pPr>
      <w:r>
        <w:rPr>
          <w:rFonts w:hint="eastAsia" w:eastAsia="宋体" w:cs="宋体"/>
          <w:b/>
          <w:bCs/>
        </w:rPr>
        <w:t>3、踏勘现场时间：</w:t>
      </w:r>
      <w:r>
        <w:rPr>
          <w:rFonts w:hint="eastAsia" w:eastAsia="宋体" w:cs="宋体"/>
          <w:bCs/>
        </w:rPr>
        <w:t>截止2026年</w:t>
      </w:r>
      <w:r>
        <w:rPr>
          <w:rFonts w:hint="eastAsia" w:eastAsia="宋体" w:cs="宋体"/>
          <w:bCs/>
          <w:lang w:val="en-US" w:eastAsia="zh-CN"/>
        </w:rPr>
        <w:t>4</w:t>
      </w:r>
      <w:r>
        <w:rPr>
          <w:rFonts w:hint="eastAsia" w:eastAsia="宋体" w:cs="宋体"/>
          <w:bCs/>
        </w:rPr>
        <w:t>月</w:t>
      </w:r>
      <w:r>
        <w:rPr>
          <w:rFonts w:hint="eastAsia" w:eastAsia="宋体" w:cs="宋体"/>
          <w:bCs/>
          <w:lang w:val="en-US" w:eastAsia="zh-CN"/>
        </w:rPr>
        <w:t>20</w:t>
      </w:r>
      <w:r>
        <w:rPr>
          <w:rFonts w:hint="eastAsia" w:eastAsia="宋体" w:cs="宋体"/>
          <w:bCs/>
        </w:rPr>
        <w:t>日</w:t>
      </w:r>
      <w:r>
        <w:rPr>
          <w:rFonts w:hint="eastAsia" w:eastAsia="宋体" w:cs="宋体"/>
        </w:rPr>
        <w:t>（周</w:t>
      </w:r>
      <w:r>
        <w:rPr>
          <w:rFonts w:hint="eastAsia" w:eastAsia="宋体" w:cs="宋体"/>
          <w:lang w:val="en-US" w:eastAsia="zh-CN"/>
        </w:rPr>
        <w:t>一</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14:paraId="6C08CB5D">
      <w:pPr>
        <w:pStyle w:val="85"/>
        <w:rPr>
          <w:rFonts w:hint="eastAsia" w:ascii="宋体" w:hAnsi="宋体" w:eastAsia="宋体" w:cs="宋体"/>
        </w:rPr>
      </w:pPr>
      <w:r>
        <w:rPr>
          <w:rFonts w:hint="eastAsia" w:ascii="宋体" w:hAnsi="宋体" w:eastAsia="宋体" w:cs="宋体"/>
        </w:rPr>
        <w:t>4、技术答疑</w:t>
      </w:r>
    </w:p>
    <w:p w14:paraId="3D1A1B59">
      <w:pPr>
        <w:pStyle w:val="79"/>
        <w:ind w:firstLine="480"/>
        <w:rPr>
          <w:rFonts w:hint="eastAsia" w:eastAsia="宋体" w:cs="宋体"/>
        </w:rPr>
      </w:pPr>
      <w:r>
        <w:rPr>
          <w:rFonts w:hint="eastAsia" w:eastAsia="宋体" w:cs="宋体"/>
        </w:rPr>
        <w:t>答疑时间：截止至</w:t>
      </w:r>
      <w:r>
        <w:rPr>
          <w:rFonts w:hint="eastAsia" w:ascii="宋体" w:hAnsi="宋体" w:eastAsia="宋体" w:cs="宋体"/>
        </w:rPr>
        <w:t>202</w:t>
      </w:r>
      <w:r>
        <w:rPr>
          <w:rFonts w:hint="eastAsia" w:eastAsia="宋体" w:cs="宋体"/>
          <w:lang w:val="en-US" w:eastAsia="zh-CN"/>
        </w:rPr>
        <w:t>6</w:t>
      </w:r>
      <w:r>
        <w:rPr>
          <w:rFonts w:hint="eastAsia" w:ascii="宋体" w:hAnsi="宋体" w:eastAsia="宋体" w:cs="宋体"/>
        </w:rPr>
        <w:t>年</w:t>
      </w:r>
      <w:r>
        <w:rPr>
          <w:rFonts w:hint="eastAsia" w:ascii="宋体" w:hAnsi="宋体" w:eastAsia="宋体" w:cs="宋体"/>
          <w:lang w:val="en-US" w:eastAsia="zh-CN"/>
        </w:rPr>
        <w:t xml:space="preserve"> </w:t>
      </w:r>
      <w:r>
        <w:rPr>
          <w:rFonts w:hint="eastAsia" w:eastAsia="宋体" w:cs="宋体"/>
          <w:lang w:val="en-US" w:eastAsia="zh-CN"/>
        </w:rPr>
        <w:t>4</w:t>
      </w:r>
      <w:r>
        <w:rPr>
          <w:rFonts w:hint="eastAsia" w:ascii="宋体" w:hAnsi="宋体" w:eastAsia="宋体" w:cs="宋体"/>
        </w:rPr>
        <w:t>月</w:t>
      </w:r>
      <w:r>
        <w:rPr>
          <w:rFonts w:hint="eastAsia" w:eastAsia="宋体" w:cs="宋体"/>
          <w:lang w:val="en-US" w:eastAsia="zh-CN"/>
        </w:rPr>
        <w:t>25</w:t>
      </w:r>
      <w:r>
        <w:rPr>
          <w:rFonts w:hint="eastAsia" w:ascii="宋体" w:hAnsi="宋体" w:eastAsia="宋体" w:cs="宋体"/>
        </w:rPr>
        <w:t>日（周</w:t>
      </w:r>
      <w:r>
        <w:rPr>
          <w:rFonts w:hint="eastAsia" w:eastAsia="宋体" w:cs="宋体"/>
          <w:lang w:val="en-US" w:eastAsia="zh-CN"/>
        </w:rPr>
        <w:t>六</w:t>
      </w:r>
      <w:r>
        <w:rPr>
          <w:rFonts w:hint="eastAsia" w:ascii="宋体" w:hAnsi="宋体" w:eastAsia="宋体" w:cs="宋体"/>
        </w:rPr>
        <w:t>）</w:t>
      </w:r>
      <w:r>
        <w:rPr>
          <w:rFonts w:hint="eastAsia" w:eastAsia="宋体" w:cs="宋体"/>
        </w:rPr>
        <w:t>下午17点前，逾期不受理</w:t>
      </w:r>
    </w:p>
    <w:p w14:paraId="1CD3EC46">
      <w:pPr>
        <w:pStyle w:val="79"/>
        <w:ind w:firstLine="480"/>
        <w:rPr>
          <w:rFonts w:hint="eastAsia" w:eastAsia="宋体" w:cs="宋体"/>
        </w:rPr>
      </w:pPr>
      <w:r>
        <w:rPr>
          <w:rFonts w:hint="eastAsia" w:eastAsia="宋体" w:cs="宋体"/>
        </w:rPr>
        <w:t>答疑方式：书面及邮件</w:t>
      </w:r>
    </w:p>
    <w:p w14:paraId="63A25F33">
      <w:pPr>
        <w:pStyle w:val="79"/>
        <w:ind w:firstLine="480"/>
        <w:rPr>
          <w:rFonts w:hint="eastAsia" w:eastAsia="宋体" w:cs="宋体"/>
        </w:rPr>
      </w:pPr>
      <w:r>
        <w:rPr>
          <w:rFonts w:hint="eastAsia" w:eastAsia="宋体" w:cs="宋体"/>
        </w:rPr>
        <w:t>联 系 人：姚晓亮</w:t>
      </w:r>
    </w:p>
    <w:p w14:paraId="684C1B58">
      <w:pPr>
        <w:pStyle w:val="79"/>
        <w:ind w:firstLine="480"/>
        <w:rPr>
          <w:rFonts w:hint="eastAsia" w:eastAsia="宋体" w:cs="宋体"/>
        </w:rPr>
      </w:pPr>
      <w:r>
        <w:rPr>
          <w:rFonts w:hint="eastAsia" w:eastAsia="宋体" w:cs="宋体"/>
        </w:rPr>
        <w:t>电    话：0531-58066116</w:t>
      </w:r>
    </w:p>
    <w:p w14:paraId="0EDC86A7">
      <w:pPr>
        <w:pStyle w:val="79"/>
        <w:ind w:firstLine="480"/>
        <w:rPr>
          <w:rFonts w:hint="eastAsia" w:eastAsia="宋体" w:cs="宋体"/>
        </w:rPr>
      </w:pPr>
      <w:r>
        <w:rPr>
          <w:rFonts w:hint="eastAsia" w:eastAsia="宋体" w:cs="宋体"/>
        </w:rPr>
        <w:t xml:space="preserve">邮    箱：yaoxl@sinotruk.com  </w:t>
      </w:r>
    </w:p>
    <w:p w14:paraId="242F8EAB">
      <w:pPr>
        <w:pStyle w:val="85"/>
        <w:rPr>
          <w:rFonts w:hint="eastAsia" w:ascii="宋体" w:hAnsi="宋体" w:eastAsia="宋体" w:cs="宋体"/>
        </w:rPr>
      </w:pPr>
      <w:r>
        <w:rPr>
          <w:rFonts w:hint="eastAsia" w:ascii="宋体" w:hAnsi="宋体" w:eastAsia="宋体" w:cs="宋体"/>
        </w:rPr>
        <w:t>5、商务答疑</w:t>
      </w:r>
    </w:p>
    <w:p w14:paraId="2B4B26CD">
      <w:pPr>
        <w:pStyle w:val="79"/>
        <w:ind w:firstLine="480"/>
        <w:rPr>
          <w:rFonts w:hint="eastAsia"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14:paraId="16983750">
      <w:pPr>
        <w:pStyle w:val="79"/>
        <w:ind w:firstLine="480"/>
        <w:rPr>
          <w:rFonts w:hint="eastAsia" w:eastAsia="宋体" w:cs="宋体"/>
        </w:rPr>
      </w:pPr>
      <w:r>
        <w:rPr>
          <w:rFonts w:hint="eastAsia" w:eastAsia="宋体" w:cs="宋体"/>
        </w:rPr>
        <w:t>联系人：李岳</w:t>
      </w:r>
    </w:p>
    <w:p w14:paraId="33FC14D6">
      <w:pPr>
        <w:pStyle w:val="79"/>
        <w:ind w:firstLine="480"/>
        <w:rPr>
          <w:rFonts w:hint="eastAsia" w:eastAsia="宋体" w:cs="宋体"/>
        </w:rPr>
      </w:pPr>
      <w:r>
        <w:rPr>
          <w:rFonts w:hint="eastAsia" w:eastAsia="宋体" w:cs="宋体"/>
        </w:rPr>
        <w:t>电话：0531-58066116</w:t>
      </w:r>
    </w:p>
    <w:p w14:paraId="33909FA0">
      <w:pPr>
        <w:pStyle w:val="79"/>
        <w:ind w:firstLine="480"/>
        <w:rPr>
          <w:rFonts w:hint="eastAsia" w:eastAsia="宋体" w:cs="宋体"/>
        </w:rPr>
      </w:pPr>
      <w:r>
        <w:rPr>
          <w:rFonts w:hint="eastAsia" w:eastAsia="宋体" w:cs="宋体"/>
        </w:rPr>
        <w:t>邮    箱：liyue1@sinotruk.com</w:t>
      </w:r>
    </w:p>
    <w:p w14:paraId="5D13741A">
      <w:pPr>
        <w:pStyle w:val="85"/>
        <w:spacing w:line="360" w:lineRule="auto"/>
        <w:rPr>
          <w:rFonts w:hint="eastAsia" w:ascii="宋体" w:hAnsi="宋体" w:eastAsia="宋体" w:cs="宋体"/>
        </w:rPr>
      </w:pPr>
      <w:r>
        <w:rPr>
          <w:rFonts w:hint="eastAsia" w:ascii="宋体" w:hAnsi="宋体" w:eastAsia="宋体" w:cs="宋体"/>
        </w:rPr>
        <w:t>6、投标报名及注意事项</w:t>
      </w:r>
    </w:p>
    <w:p w14:paraId="2D306B65">
      <w:pPr>
        <w:pStyle w:val="81"/>
        <w:spacing w:line="360" w:lineRule="auto"/>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0194BE97">
      <w:pPr>
        <w:pStyle w:val="85"/>
        <w:spacing w:line="360" w:lineRule="auto"/>
        <w:rPr>
          <w:rFonts w:hint="eastAsia" w:ascii="宋体" w:hAnsi="宋体" w:eastAsia="宋体" w:cs="宋体"/>
        </w:rPr>
      </w:pPr>
      <w:r>
        <w:rPr>
          <w:rFonts w:hint="eastAsia" w:ascii="宋体" w:hAnsi="宋体" w:eastAsia="宋体" w:cs="宋体"/>
        </w:rPr>
        <w:t>7、开标时间安排</w:t>
      </w:r>
    </w:p>
    <w:p w14:paraId="21447A7C">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highlight w:val="cyan"/>
          <w:lang w:val="en-US" w:eastAsia="zh-CN"/>
        </w:rPr>
        <w:t>暂定</w:t>
      </w:r>
      <w:bookmarkStart w:id="46" w:name="_GoBack"/>
      <w:bookmarkEnd w:id="46"/>
      <w:r>
        <w:rPr>
          <w:rFonts w:hint="eastAsia" w:hAnsi="宋体" w:cs="宋体"/>
          <w:color w:val="000000"/>
          <w:sz w:val="24"/>
          <w:szCs w:val="24"/>
          <w:highlight w:val="cyan"/>
        </w:rPr>
        <w:t>2026年4 月 27 日（周一）</w:t>
      </w:r>
      <w:r>
        <w:rPr>
          <w:rFonts w:hint="eastAsia" w:hAnsi="宋体" w:cs="宋体"/>
          <w:color w:val="000000"/>
          <w:sz w:val="24"/>
          <w:szCs w:val="24"/>
          <w:highlight w:val="cyan"/>
          <w:lang w:val="en-US" w:eastAsia="zh-CN"/>
        </w:rPr>
        <w:t>上午9</w:t>
      </w:r>
      <w:r>
        <w:rPr>
          <w:rFonts w:hint="eastAsia" w:hAnsi="宋体" w:cs="宋体"/>
          <w:color w:val="000000"/>
          <w:sz w:val="24"/>
          <w:szCs w:val="24"/>
          <w:highlight w:val="cyan"/>
        </w:rPr>
        <w:t xml:space="preserve"> ：</w:t>
      </w:r>
      <w:r>
        <w:rPr>
          <w:rFonts w:hint="eastAsia" w:hAnsi="宋体" w:cs="宋体"/>
          <w:color w:val="000000"/>
          <w:sz w:val="24"/>
          <w:szCs w:val="24"/>
          <w:highlight w:val="cyan"/>
          <w:lang w:val="en-US" w:eastAsia="zh-CN"/>
        </w:rPr>
        <w:t>00</w:t>
      </w:r>
      <w:r>
        <w:rPr>
          <w:rFonts w:hint="eastAsia" w:hAnsi="宋体" w:cs="宋体"/>
          <w:color w:val="000000"/>
          <w:sz w:val="24"/>
          <w:szCs w:val="24"/>
          <w:highlight w:val="cyan"/>
        </w:rPr>
        <w:t xml:space="preserve"> ，</w:t>
      </w:r>
      <w:r>
        <w:rPr>
          <w:rFonts w:hint="eastAsia" w:hAnsi="宋体" w:cs="宋体"/>
          <w:color w:val="000000"/>
          <w:sz w:val="24"/>
          <w:szCs w:val="24"/>
        </w:rPr>
        <w:t>若有变动另行通知。</w:t>
      </w:r>
    </w:p>
    <w:p w14:paraId="1BE0F424">
      <w:pPr>
        <w:pStyle w:val="85"/>
        <w:rPr>
          <w:rFonts w:hint="eastAsia" w:ascii="宋体" w:hAnsi="宋体" w:eastAsia="宋体" w:cs="宋体"/>
        </w:rPr>
      </w:pPr>
      <w:r>
        <w:rPr>
          <w:rFonts w:hint="eastAsia" w:ascii="宋体" w:hAnsi="宋体" w:eastAsia="宋体" w:cs="宋体"/>
        </w:rPr>
        <w:t>8、开标方式</w:t>
      </w:r>
    </w:p>
    <w:p w14:paraId="51E1EC0B">
      <w:pPr>
        <w:pStyle w:val="15"/>
        <w:spacing w:line="360" w:lineRule="auto"/>
        <w:ind w:firstLine="480" w:firstLineChars="200"/>
        <w:rPr>
          <w:rFonts w:hint="eastAsia" w:hAnsi="宋体" w:cs="宋体"/>
          <w:bCs/>
          <w:sz w:val="24"/>
          <w:szCs w:val="24"/>
        </w:rPr>
      </w:pPr>
      <w:r>
        <w:rPr>
          <w:rFonts w:hint="eastAsia" w:hAnsi="宋体" w:cs="宋体"/>
          <w:bCs/>
          <w:sz w:val="24"/>
          <w:szCs w:val="24"/>
        </w:rPr>
        <w:t>如通知到场参与开标，自行携带笔记本电脑至开标地点即可。</w:t>
      </w:r>
    </w:p>
    <w:p w14:paraId="32F5656B">
      <w:pPr>
        <w:pStyle w:val="15"/>
        <w:spacing w:line="360" w:lineRule="auto"/>
        <w:ind w:firstLine="480" w:firstLineChars="200"/>
        <w:rPr>
          <w:rFonts w:hint="eastAsia" w:hAnsi="宋体" w:cs="宋体"/>
          <w:bCs/>
          <w:sz w:val="24"/>
          <w:szCs w:val="24"/>
        </w:rPr>
      </w:pPr>
      <w:r>
        <w:rPr>
          <w:rFonts w:hint="eastAsia" w:hAnsi="宋体" w:cs="宋体"/>
          <w:bCs/>
          <w:sz w:val="24"/>
          <w:szCs w:val="24"/>
        </w:rPr>
        <w:t>如通知线上参与开标，请在参会时登录E采通系统进行开标操作。</w:t>
      </w:r>
    </w:p>
    <w:p w14:paraId="47B8CC5E">
      <w:pPr>
        <w:pStyle w:val="85"/>
        <w:rPr>
          <w:rFonts w:hint="eastAsia" w:ascii="宋体" w:hAnsi="宋体" w:eastAsia="宋体" w:cs="宋体"/>
        </w:rPr>
      </w:pPr>
      <w:r>
        <w:rPr>
          <w:rFonts w:hint="eastAsia" w:ascii="宋体" w:hAnsi="宋体" w:eastAsia="宋体" w:cs="宋体"/>
        </w:rPr>
        <w:t>9、现场资质审验</w:t>
      </w:r>
    </w:p>
    <w:p w14:paraId="23F03C47">
      <w:pPr>
        <w:pStyle w:val="79"/>
        <w:ind w:firstLine="480"/>
        <w:rPr>
          <w:rFonts w:hint="eastAsia" w:eastAsia="宋体" w:cs="宋体"/>
        </w:rPr>
      </w:pPr>
      <w:r>
        <w:rPr>
          <w:rFonts w:hint="eastAsia" w:eastAsia="宋体" w:cs="宋体"/>
        </w:rPr>
        <w:t>详见投标条件→资质证明文件。（本文档搜索查找即可）</w:t>
      </w:r>
    </w:p>
    <w:p w14:paraId="04EB7503">
      <w:pPr>
        <w:pStyle w:val="79"/>
        <w:ind w:firstLine="480"/>
        <w:rPr>
          <w:rFonts w:hint="eastAsia" w:eastAsia="宋体" w:cs="宋体"/>
        </w:rPr>
      </w:pPr>
      <w:r>
        <w:rPr>
          <w:rFonts w:hint="eastAsia" w:eastAsia="宋体" w:cs="宋体"/>
        </w:rPr>
        <w:t>投标地点：</w:t>
      </w:r>
      <w:bookmarkStart w:id="3" w:name="OLE_LINK3"/>
      <w:bookmarkStart w:id="4" w:name="OLE_LINK2"/>
      <w:r>
        <w:rPr>
          <w:rFonts w:hint="eastAsia" w:eastAsia="宋体" w:cs="宋体"/>
        </w:rPr>
        <w:t>重汽科技大厦8#试验室308会议室</w:t>
      </w:r>
      <w:bookmarkEnd w:id="3"/>
      <w:bookmarkEnd w:id="4"/>
    </w:p>
    <w:p w14:paraId="376BB687">
      <w:pPr>
        <w:pStyle w:val="15"/>
        <w:spacing w:line="360" w:lineRule="auto"/>
        <w:ind w:left="2160" w:hanging="2160" w:hangingChars="900"/>
        <w:rPr>
          <w:rFonts w:hint="eastAsia" w:hAnsi="宋体" w:cs="宋体"/>
          <w:color w:val="000000"/>
          <w:sz w:val="24"/>
          <w:szCs w:val="24"/>
        </w:rPr>
      </w:pPr>
      <w:r>
        <w:rPr>
          <w:rFonts w:hint="eastAsia" w:hAnsi="宋体" w:cs="宋体"/>
          <w:color w:val="000000"/>
          <w:sz w:val="24"/>
          <w:szCs w:val="24"/>
        </w:rPr>
        <w:t xml:space="preserve">    地    址：济南市高新区华奥路777号</w:t>
      </w:r>
    </w:p>
    <w:p w14:paraId="43EB8199">
      <w:pPr>
        <w:pStyle w:val="81"/>
        <w:rPr>
          <w:rFonts w:hint="eastAsia" w:eastAsia="宋体" w:cs="宋体"/>
        </w:rPr>
      </w:pPr>
      <w:r>
        <w:rPr>
          <w:rFonts w:hint="eastAsia" w:eastAsia="宋体" w:cs="宋体"/>
        </w:rPr>
        <w:t>六、评标规则</w:t>
      </w:r>
    </w:p>
    <w:p w14:paraId="4AF7E597">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14:paraId="7AF0DBBF">
      <w:pPr>
        <w:adjustRightInd w:val="0"/>
        <w:snapToGrid w:val="0"/>
        <w:spacing w:line="420" w:lineRule="exact"/>
        <w:ind w:firstLine="480" w:firstLineChars="200"/>
        <w:rPr>
          <w:rFonts w:hint="eastAsia"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综合评标法（技术标占比40%，商务标占比60%）确认最终中标方。</w:t>
      </w:r>
      <w:r>
        <w:rPr>
          <w:rFonts w:hint="eastAsia" w:ascii="宋体" w:hAnsi="宋体" w:cs="宋体"/>
          <w:color w:val="000000"/>
          <w:sz w:val="24"/>
          <w:szCs w:val="24"/>
        </w:rPr>
        <w:t>本本着公平、公正、公开的原则，在通过技术标综合评审后入围的前提下，选择价格合理、综合评分最高确定中标人</w:t>
      </w:r>
      <w:r>
        <w:rPr>
          <w:rFonts w:hint="eastAsia" w:ascii="宋体" w:hAnsi="宋体" w:cs="宋体"/>
          <w:b/>
          <w:color w:val="000000"/>
          <w:sz w:val="24"/>
          <w:szCs w:val="24"/>
        </w:rPr>
        <w:t>，对未中标方不做任何解释。</w:t>
      </w:r>
    </w:p>
    <w:p w14:paraId="1003F369">
      <w:pPr>
        <w:pStyle w:val="79"/>
        <w:ind w:firstLine="482"/>
        <w:rPr>
          <w:rFonts w:hint="eastAsia" w:eastAsia="宋体" w:cs="宋体"/>
          <w:b/>
          <w:highlight w:val="yellow"/>
        </w:rPr>
      </w:pPr>
      <w:r>
        <w:rPr>
          <w:rFonts w:hint="eastAsia" w:eastAsia="宋体" w:cs="宋体"/>
          <w:b/>
          <w:highlight w:val="yellow"/>
        </w:rPr>
        <w:t>评标流程：</w:t>
      </w:r>
    </w:p>
    <w:p w14:paraId="5B1F2DE7">
      <w:pPr>
        <w:pStyle w:val="15"/>
        <w:ind w:firstLine="482" w:firstLineChars="200"/>
        <w:rPr>
          <w:rFonts w:hint="eastAsia"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14:paraId="46CCB946">
      <w:pPr>
        <w:numPr>
          <w:ilvl w:val="0"/>
          <w:numId w:val="3"/>
        </w:numPr>
        <w:spacing w:line="420" w:lineRule="exact"/>
        <w:rPr>
          <w:rFonts w:hint="eastAsia"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14:paraId="61178BFD">
      <w:pPr>
        <w:numPr>
          <w:ilvl w:val="0"/>
          <w:numId w:val="4"/>
        </w:numPr>
        <w:spacing w:line="420" w:lineRule="exact"/>
        <w:rPr>
          <w:rFonts w:hint="eastAsia"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通过应标资格审查的单位进入投标环节，按照“SRM系统供应商用户手册（附件13）”，在重汽e采通平台投递电子标书（包含资质标、技术标、商务标），没有通过应标资质审查的单位不能进入投标环节；</w:t>
      </w:r>
    </w:p>
    <w:p w14:paraId="43E7D845">
      <w:pPr>
        <w:numPr>
          <w:ilvl w:val="0"/>
          <w:numId w:val="4"/>
        </w:numPr>
        <w:spacing w:line="420" w:lineRule="exact"/>
        <w:rPr>
          <w:rFonts w:hint="eastAsia" w:ascii="宋体" w:hAnsi="宋体" w:cs="宋体"/>
        </w:rPr>
      </w:pPr>
      <w:r>
        <w:rPr>
          <w:rFonts w:hint="eastAsia" w:ascii="宋体" w:hAnsi="宋体" w:cs="宋体"/>
          <w:b/>
          <w:color w:val="000000"/>
          <w:sz w:val="24"/>
          <w:szCs w:val="24"/>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4AD522A7">
      <w:pPr>
        <w:numPr>
          <w:ilvl w:val="0"/>
          <w:numId w:val="5"/>
        </w:numPr>
        <w:spacing w:line="420" w:lineRule="exact"/>
        <w:rPr>
          <w:rFonts w:hint="eastAsia" w:ascii="宋体" w:hAnsi="宋体" w:cs="宋体"/>
        </w:rPr>
      </w:pPr>
      <w:r>
        <w:rPr>
          <w:rFonts w:hint="eastAsia" w:ascii="宋体" w:hAnsi="宋体" w:cs="宋体"/>
          <w:b/>
          <w:sz w:val="24"/>
          <w:szCs w:val="24"/>
        </w:rPr>
        <w:t>评标小组审查：评价投标单位的投标投标文件是否实质性响应招标文件要求，要求投标人对投标文件有关事项作出澄清或者说明，依照招标文件规定的评标方法和标准进行独立评审。</w:t>
      </w:r>
    </w:p>
    <w:p w14:paraId="7D824BD3">
      <w:pPr>
        <w:numPr>
          <w:ilvl w:val="0"/>
          <w:numId w:val="5"/>
        </w:numPr>
        <w:spacing w:line="420" w:lineRule="exact"/>
        <w:rPr>
          <w:rFonts w:hint="eastAsia" w:ascii="宋体" w:hAnsi="宋体" w:cs="宋体"/>
          <w:b/>
          <w:bCs/>
          <w:sz w:val="24"/>
          <w:szCs w:val="24"/>
          <w:highlight w:val="yellow"/>
        </w:rPr>
      </w:pPr>
      <w:r>
        <w:rPr>
          <w:rFonts w:hint="eastAsia" w:ascii="宋体" w:hAnsi="宋体" w:cs="宋体"/>
          <w:b/>
          <w:sz w:val="24"/>
          <w:szCs w:val="24"/>
        </w:rPr>
        <w:t>专家组评标：评标小组对各家投标单位的技术进行评审并进行技术标评分，</w:t>
      </w:r>
      <w:r>
        <w:rPr>
          <w:rFonts w:hint="eastAsia" w:ascii="宋体" w:hAnsi="宋体" w:cs="宋体"/>
          <w:b/>
          <w:sz w:val="24"/>
          <w:szCs w:val="24"/>
          <w:highlight w:val="yellow"/>
        </w:rPr>
        <w:t>具体</w:t>
      </w:r>
      <w:r>
        <w:rPr>
          <w:rFonts w:hint="eastAsia" w:ascii="宋体" w:hAnsi="宋体" w:cs="宋体"/>
          <w:b/>
          <w:bCs/>
          <w:color w:val="000000"/>
          <w:sz w:val="24"/>
          <w:szCs w:val="24"/>
          <w:highlight w:val="yellow"/>
        </w:rPr>
        <w:t>技术标评分标准见附件14。</w:t>
      </w:r>
      <w:r>
        <w:rPr>
          <w:rFonts w:hint="eastAsia" w:ascii="宋体" w:hAnsi="宋体" w:cs="宋体"/>
          <w:b/>
          <w:bCs/>
          <w:color w:val="000000"/>
          <w:sz w:val="24"/>
          <w:szCs w:val="24"/>
        </w:rPr>
        <w:t>随后</w:t>
      </w:r>
      <w:r>
        <w:rPr>
          <w:rFonts w:hint="eastAsia" w:ascii="宋体" w:hAnsi="宋体" w:cs="宋体"/>
          <w:b/>
          <w:sz w:val="24"/>
          <w:szCs w:val="24"/>
        </w:rPr>
        <w:t>在</w:t>
      </w:r>
      <w:r>
        <w:rPr>
          <w:rFonts w:ascii="宋体" w:hAnsi="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cs="宋体"/>
          <w:b/>
          <w:bCs/>
          <w:sz w:val="24"/>
          <w:szCs w:val="24"/>
          <w:highlight w:val="yellow"/>
        </w:rPr>
        <w:t>综合评标法</w:t>
      </w:r>
      <w:r>
        <w:rPr>
          <w:rFonts w:ascii="宋体" w:hAnsi="宋体" w:cs="宋体"/>
          <w:b/>
          <w:bCs/>
          <w:sz w:val="24"/>
          <w:szCs w:val="24"/>
          <w:highlight w:val="yellow"/>
        </w:rPr>
        <w:t>推荐中标人，对未入围候选中标人不做任何解释。</w:t>
      </w:r>
    </w:p>
    <w:p w14:paraId="468E6472">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1B99CF47">
      <w:pPr>
        <w:numPr>
          <w:ilvl w:val="0"/>
          <w:numId w:val="6"/>
        </w:numPr>
        <w:spacing w:line="420" w:lineRule="exact"/>
        <w:rPr>
          <w:rFonts w:hint="eastAsia" w:ascii="宋体" w:hAnsi="宋体" w:cs="宋体"/>
          <w:b/>
          <w:sz w:val="24"/>
          <w:szCs w:val="24"/>
        </w:rPr>
      </w:pPr>
      <w:r>
        <w:rPr>
          <w:rFonts w:hint="eastAsia" w:ascii="宋体" w:hAnsi="宋体" w:cs="宋体"/>
          <w:b/>
          <w:sz w:val="24"/>
          <w:szCs w:val="24"/>
        </w:rPr>
        <w:t>中标人确定：资质审核通过后，根据综合评标确认最终中标方。</w:t>
      </w:r>
    </w:p>
    <w:p w14:paraId="1F93BEB3">
      <w:pPr>
        <w:pStyle w:val="79"/>
        <w:ind w:firstLine="480"/>
        <w:rPr>
          <w:rFonts w:hint="eastAsia" w:eastAsia="宋体" w:cs="宋体"/>
        </w:rPr>
      </w:pPr>
      <w:r>
        <w:rPr>
          <w:rFonts w:hint="eastAsia" w:eastAsia="宋体" w:cs="宋体"/>
        </w:rPr>
        <w:t>2、中标</w:t>
      </w:r>
    </w:p>
    <w:p w14:paraId="04A1ABBF">
      <w:pPr>
        <w:widowControl/>
        <w:spacing w:line="360" w:lineRule="auto"/>
        <w:ind w:right="2" w:firstLine="480" w:firstLineChars="200"/>
        <w:jc w:val="left"/>
        <w:rPr>
          <w:rFonts w:hint="eastAsia"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5BAC6EE4">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3、中标人瑕疵滞后发现的处理原则</w:t>
      </w:r>
    </w:p>
    <w:p w14:paraId="0B9E06DB">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81050F2">
      <w:pPr>
        <w:pStyle w:val="81"/>
        <w:rPr>
          <w:rFonts w:hint="eastAsia" w:eastAsia="宋体" w:cs="宋体"/>
        </w:rPr>
      </w:pPr>
      <w:r>
        <w:rPr>
          <w:rFonts w:hint="eastAsia" w:eastAsia="宋体" w:cs="宋体"/>
        </w:rPr>
        <w:t>七、合同签订</w:t>
      </w:r>
    </w:p>
    <w:p w14:paraId="71A7203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7DDFE62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01D645A2">
      <w:pPr>
        <w:pStyle w:val="79"/>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0411510E">
      <w:pPr>
        <w:pStyle w:val="15"/>
        <w:spacing w:line="360" w:lineRule="auto"/>
        <w:ind w:firstLine="482"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31CEC1C6">
      <w:pPr>
        <w:pStyle w:val="79"/>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7ECC636">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221BCD22">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14:paraId="479D94FF">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5934AD31">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14:paraId="69D0DA85">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14:paraId="3DDB693A">
      <w:pPr>
        <w:pStyle w:val="15"/>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14:paraId="4AFBA08D">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38291DC6">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14:paraId="4551FC3B">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14:paraId="46BD51DD">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142C14C0">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58FA29D7">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14:paraId="4BF049F6">
      <w:pPr>
        <w:pStyle w:val="79"/>
        <w:ind w:firstLine="480"/>
        <w:rPr>
          <w:rFonts w:hint="eastAsia" w:eastAsia="宋体" w:cs="宋体"/>
        </w:rPr>
      </w:pPr>
      <w:r>
        <w:rPr>
          <w:rFonts w:hint="eastAsia" w:eastAsia="宋体" w:cs="宋体"/>
        </w:rPr>
        <w:t>6、出现下列情形之一，招标人有权否决所有投标人的投标，并终止招标</w:t>
      </w:r>
    </w:p>
    <w:p w14:paraId="1D36C440">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39E23A54">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14:paraId="303772E8">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14:paraId="0CB30AC6">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14:paraId="511F26B4">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3D71A8BC">
      <w:pPr>
        <w:pStyle w:val="15"/>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14:paraId="5A000E95">
      <w:pPr>
        <w:pStyle w:val="81"/>
        <w:rPr>
          <w:rFonts w:hint="eastAsia" w:eastAsia="宋体" w:cs="宋体"/>
        </w:rPr>
      </w:pPr>
      <w:r>
        <w:rPr>
          <w:rFonts w:hint="eastAsia" w:eastAsia="宋体" w:cs="宋体"/>
        </w:rPr>
        <w:t>八、其他</w:t>
      </w:r>
    </w:p>
    <w:p w14:paraId="08FA283B">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4DCCFC15">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41C7C7CD">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71997D4E">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2772381C">
      <w:pPr>
        <w:pStyle w:val="15"/>
        <w:spacing w:line="360" w:lineRule="auto"/>
        <w:ind w:firstLine="540" w:firstLineChars="224"/>
        <w:rPr>
          <w:rFonts w:hint="eastAsia"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14:paraId="1FE28E16">
      <w:pPr>
        <w:pStyle w:val="79"/>
        <w:ind w:firstLine="0" w:firstLineChars="0"/>
        <w:rPr>
          <w:rFonts w:hint="eastAsia" w:eastAsia="宋体" w:cs="宋体"/>
        </w:rPr>
      </w:pPr>
    </w:p>
    <w:p w14:paraId="565EC995">
      <w:pPr>
        <w:pStyle w:val="79"/>
        <w:ind w:firstLine="0" w:firstLineChars="0"/>
        <w:rPr>
          <w:rFonts w:hint="eastAsia" w:eastAsia="宋体" w:cs="宋体"/>
        </w:rPr>
      </w:pPr>
    </w:p>
    <w:p w14:paraId="28DDD34A">
      <w:pPr>
        <w:pStyle w:val="79"/>
        <w:ind w:firstLine="0" w:firstLineChars="0"/>
        <w:rPr>
          <w:rFonts w:hint="eastAsia"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14442E0A">
      <w:pPr>
        <w:pStyle w:val="85"/>
        <w:rPr>
          <w:rFonts w:hint="eastAsia" w:ascii="宋体" w:hAnsi="宋体" w:eastAsia="宋体" w:cs="宋体"/>
        </w:rPr>
      </w:pPr>
      <w:r>
        <w:rPr>
          <w:rFonts w:hint="eastAsia" w:ascii="宋体" w:hAnsi="宋体" w:eastAsia="宋体" w:cs="宋体"/>
        </w:rPr>
        <w:t>附件1</w:t>
      </w:r>
      <w:bookmarkStart w:id="6" w:name="_Toc25811"/>
      <w:bookmarkStart w:id="7" w:name="_Toc212369550"/>
      <w:bookmarkStart w:id="8" w:name="_Toc353881012"/>
      <w:bookmarkStart w:id="9" w:name="_Toc639004"/>
      <w:r>
        <w:rPr>
          <w:rFonts w:hint="eastAsia" w:ascii="宋体" w:hAnsi="宋体" w:eastAsia="宋体" w:cs="宋体"/>
        </w:rPr>
        <w:t xml:space="preserve"> 投标函</w:t>
      </w:r>
      <w:bookmarkEnd w:id="6"/>
      <w:bookmarkEnd w:id="7"/>
      <w:bookmarkEnd w:id="8"/>
      <w:bookmarkEnd w:id="9"/>
    </w:p>
    <w:p w14:paraId="3158F50C">
      <w:pPr>
        <w:pStyle w:val="79"/>
        <w:ind w:firstLine="480"/>
        <w:rPr>
          <w:rFonts w:hint="eastAsia" w:eastAsia="宋体" w:cs="宋体"/>
        </w:rPr>
      </w:pPr>
      <w:r>
        <w:rPr>
          <w:rFonts w:hint="eastAsia" w:eastAsia="宋体" w:cs="宋体"/>
        </w:rPr>
        <w:t>致：中国重汽集团济南动力有限公司：</w:t>
      </w:r>
    </w:p>
    <w:p w14:paraId="124D4BC5">
      <w:pPr>
        <w:pStyle w:val="79"/>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14:paraId="42163170">
      <w:pPr>
        <w:pStyle w:val="79"/>
        <w:ind w:firstLine="480"/>
        <w:rPr>
          <w:rFonts w:hint="eastAsia" w:eastAsia="宋体" w:cs="宋体"/>
        </w:rPr>
      </w:pPr>
      <w:r>
        <w:rPr>
          <w:rFonts w:hint="eastAsia" w:eastAsia="宋体" w:cs="宋体"/>
        </w:rPr>
        <w:t>据此函，签字代表宣布同意如下：</w:t>
      </w:r>
    </w:p>
    <w:p w14:paraId="3AC3870A">
      <w:pPr>
        <w:pStyle w:val="79"/>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F620BBA">
      <w:pPr>
        <w:pStyle w:val="79"/>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1B4824FE">
      <w:pPr>
        <w:pStyle w:val="79"/>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5E179DB5">
      <w:pPr>
        <w:pStyle w:val="79"/>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72C9D834">
      <w:pPr>
        <w:pStyle w:val="79"/>
        <w:ind w:firstLine="480"/>
        <w:rPr>
          <w:rFonts w:hint="eastAsia" w:eastAsia="宋体" w:cs="宋体"/>
        </w:rPr>
      </w:pPr>
      <w:r>
        <w:rPr>
          <w:rFonts w:hint="eastAsia" w:eastAsia="宋体" w:cs="宋体"/>
        </w:rPr>
        <w:t>5、投标人同意按照贵方要求提供与投标有关的一切数据或资料。</w:t>
      </w:r>
    </w:p>
    <w:p w14:paraId="66A2D32B">
      <w:pPr>
        <w:pStyle w:val="79"/>
        <w:ind w:firstLine="480"/>
        <w:rPr>
          <w:rFonts w:hint="eastAsia" w:eastAsia="宋体" w:cs="宋体"/>
        </w:rPr>
      </w:pPr>
      <w:r>
        <w:rPr>
          <w:rFonts w:hint="eastAsia" w:eastAsia="宋体" w:cs="宋体"/>
        </w:rPr>
        <w:t>6、与本投标有关的一切正式往来信函请寄：</w:t>
      </w:r>
    </w:p>
    <w:p w14:paraId="10247C60">
      <w:pPr>
        <w:pStyle w:val="79"/>
        <w:ind w:firstLine="480"/>
        <w:rPr>
          <w:rFonts w:hint="eastAsia" w:eastAsia="宋体" w:cs="宋体"/>
        </w:rPr>
      </w:pPr>
      <w:r>
        <w:rPr>
          <w:rFonts w:hint="eastAsia" w:eastAsia="宋体" w:cs="宋体"/>
        </w:rPr>
        <w:t xml:space="preserve">地址：                             </w:t>
      </w:r>
    </w:p>
    <w:p w14:paraId="602983E7">
      <w:pPr>
        <w:pStyle w:val="79"/>
        <w:ind w:firstLine="480"/>
        <w:rPr>
          <w:rFonts w:hint="eastAsia" w:eastAsia="宋体" w:cs="宋体"/>
        </w:rPr>
      </w:pPr>
      <w:r>
        <w:rPr>
          <w:rFonts w:hint="eastAsia" w:eastAsia="宋体" w:cs="宋体"/>
        </w:rPr>
        <w:t xml:space="preserve">邮编：        </w:t>
      </w:r>
    </w:p>
    <w:p w14:paraId="1EB4CE93">
      <w:pPr>
        <w:pStyle w:val="79"/>
        <w:ind w:firstLine="480"/>
        <w:rPr>
          <w:rFonts w:hint="eastAsia" w:eastAsia="宋体" w:cs="宋体"/>
        </w:rPr>
      </w:pPr>
      <w:r>
        <w:rPr>
          <w:rFonts w:hint="eastAsia" w:eastAsia="宋体" w:cs="宋体"/>
        </w:rPr>
        <w:t xml:space="preserve">电话：        传真：                   </w:t>
      </w:r>
    </w:p>
    <w:p w14:paraId="5CA6D125">
      <w:pPr>
        <w:pStyle w:val="79"/>
        <w:ind w:firstLine="480"/>
        <w:rPr>
          <w:rFonts w:hint="eastAsia" w:eastAsia="宋体" w:cs="宋体"/>
        </w:rPr>
      </w:pPr>
      <w:r>
        <w:rPr>
          <w:rFonts w:hint="eastAsia" w:eastAsia="宋体" w:cs="宋体"/>
        </w:rPr>
        <w:t xml:space="preserve">投标人代表姓名：__   _____职务：          </w:t>
      </w:r>
    </w:p>
    <w:p w14:paraId="4BAC50CB">
      <w:pPr>
        <w:pStyle w:val="79"/>
        <w:ind w:firstLine="480"/>
        <w:rPr>
          <w:rFonts w:hint="eastAsia" w:eastAsia="宋体" w:cs="宋体"/>
        </w:rPr>
      </w:pPr>
      <w:r>
        <w:rPr>
          <w:rFonts w:hint="eastAsia" w:eastAsia="宋体" w:cs="宋体"/>
        </w:rPr>
        <w:t xml:space="preserve">开户银行：                   </w:t>
      </w:r>
    </w:p>
    <w:p w14:paraId="0CDF3CF3">
      <w:pPr>
        <w:pStyle w:val="79"/>
        <w:ind w:firstLine="480"/>
        <w:rPr>
          <w:rFonts w:hint="eastAsia" w:eastAsia="宋体" w:cs="宋体"/>
        </w:rPr>
      </w:pPr>
      <w:r>
        <w:rPr>
          <w:rFonts w:hint="eastAsia" w:eastAsia="宋体" w:cs="宋体"/>
        </w:rPr>
        <w:t>银行帐号：</w:t>
      </w:r>
    </w:p>
    <w:p w14:paraId="6906D9C3">
      <w:pPr>
        <w:pStyle w:val="79"/>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32C7A49B">
      <w:pPr>
        <w:pStyle w:val="79"/>
        <w:ind w:firstLine="480"/>
        <w:rPr>
          <w:rFonts w:hint="eastAsia" w:eastAsia="宋体" w:cs="宋体"/>
        </w:rPr>
      </w:pPr>
      <w:r>
        <w:rPr>
          <w:rFonts w:hint="eastAsia" w:eastAsia="宋体" w:cs="宋体"/>
        </w:rPr>
        <w:t>授权代表签字</w:t>
      </w:r>
      <w:r>
        <w:rPr>
          <w:rFonts w:hint="eastAsia" w:eastAsia="宋体" w:cs="宋体"/>
          <w:bCs/>
        </w:rPr>
        <w:t>：</w:t>
      </w:r>
    </w:p>
    <w:p w14:paraId="2D03426B">
      <w:pPr>
        <w:pStyle w:val="79"/>
        <w:ind w:firstLine="480"/>
        <w:rPr>
          <w:rFonts w:hint="eastAsia" w:eastAsia="宋体" w:cs="宋体"/>
        </w:rPr>
      </w:pPr>
      <w:r>
        <w:rPr>
          <w:rFonts w:hint="eastAsia" w:eastAsia="宋体" w:cs="宋体"/>
        </w:rPr>
        <w:t>日期：     年      月      日</w:t>
      </w:r>
    </w:p>
    <w:p w14:paraId="0ACC36FC">
      <w:pPr>
        <w:rPr>
          <w:rFonts w:hint="eastAsia" w:ascii="宋体" w:hAnsi="宋体" w:cs="宋体"/>
          <w:color w:val="000000"/>
          <w:sz w:val="24"/>
          <w:szCs w:val="24"/>
        </w:rPr>
      </w:pPr>
    </w:p>
    <w:p w14:paraId="4E77FEB4">
      <w:pPr>
        <w:rPr>
          <w:rFonts w:hint="eastAsia" w:ascii="宋体" w:hAnsi="宋体" w:cs="宋体"/>
          <w:color w:val="000000"/>
          <w:sz w:val="24"/>
          <w:szCs w:val="24"/>
        </w:rPr>
      </w:pPr>
    </w:p>
    <w:p w14:paraId="7EBA7506">
      <w:pPr>
        <w:pStyle w:val="81"/>
        <w:rPr>
          <w:rFonts w:hint="eastAsia"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4877DEFF">
      <w:pPr>
        <w:pStyle w:val="85"/>
        <w:rPr>
          <w:rFonts w:hint="eastAsia" w:ascii="宋体" w:hAnsi="宋体" w:eastAsia="宋体" w:cs="宋体"/>
        </w:rPr>
      </w:pPr>
      <w:r>
        <w:rPr>
          <w:rFonts w:hint="eastAsia" w:ascii="宋体" w:hAnsi="宋体" w:eastAsia="宋体" w:cs="宋体"/>
        </w:rPr>
        <w:t>附件2 法定代表人授权委托书</w:t>
      </w:r>
    </w:p>
    <w:p w14:paraId="12296B5B">
      <w:pPr>
        <w:pStyle w:val="11"/>
        <w:adjustRightInd w:val="0"/>
        <w:snapToGrid w:val="0"/>
        <w:spacing w:before="93" w:beforeLines="30" w:line="240" w:lineRule="exact"/>
        <w:jc w:val="center"/>
        <w:rPr>
          <w:rFonts w:hint="eastAsia" w:ascii="宋体" w:hAnsi="宋体" w:eastAsia="宋体" w:cs="宋体"/>
          <w:sz w:val="24"/>
        </w:rPr>
      </w:pPr>
    </w:p>
    <w:p w14:paraId="1CA36C78">
      <w:pPr>
        <w:pStyle w:val="79"/>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617E254">
      <w:pPr>
        <w:pStyle w:val="79"/>
        <w:ind w:firstLine="480"/>
        <w:rPr>
          <w:rFonts w:hint="eastAsia" w:eastAsia="宋体" w:cs="宋体"/>
        </w:rPr>
      </w:pPr>
      <w:r>
        <w:rPr>
          <w:rFonts w:hint="eastAsia"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C6657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70622282">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14:paraId="5A19480F">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14:paraId="74EE512F">
      <w:pPr>
        <w:pStyle w:val="79"/>
        <w:ind w:firstLine="480"/>
        <w:rPr>
          <w:rFonts w:hint="eastAsia" w:eastAsia="宋体" w:cs="宋体"/>
        </w:rPr>
      </w:pPr>
      <w:r>
        <w:rPr>
          <w:rFonts w:hint="eastAsia" w:eastAsia="宋体" w:cs="宋体"/>
        </w:rPr>
        <w:t>全权代表姓名：            性别：          年龄：</w:t>
      </w:r>
    </w:p>
    <w:p w14:paraId="50FECF0B">
      <w:pPr>
        <w:pStyle w:val="79"/>
        <w:ind w:firstLine="480"/>
        <w:rPr>
          <w:rFonts w:hint="eastAsia" w:eastAsia="宋体" w:cs="宋体"/>
        </w:rPr>
      </w:pPr>
      <w:r>
        <w:rPr>
          <w:rFonts w:hint="eastAsia" w:eastAsia="宋体" w:cs="宋体"/>
        </w:rPr>
        <w:t>单位：                    部门：          职务：</w:t>
      </w:r>
    </w:p>
    <w:p w14:paraId="0EDA7736">
      <w:pPr>
        <w:pStyle w:val="79"/>
        <w:ind w:firstLine="480"/>
        <w:rPr>
          <w:rFonts w:hint="eastAsia" w:eastAsia="宋体" w:cs="宋体"/>
        </w:rPr>
      </w:pPr>
      <w:r>
        <w:rPr>
          <w:rFonts w:hint="eastAsia" w:eastAsia="宋体" w:cs="宋体"/>
        </w:rPr>
        <w:t xml:space="preserve">法定代表人签字或盖章                          </w:t>
      </w:r>
    </w:p>
    <w:p w14:paraId="22BF21A0">
      <w:pPr>
        <w:pStyle w:val="79"/>
        <w:ind w:firstLine="480"/>
        <w:rPr>
          <w:rFonts w:hint="eastAsia" w:eastAsia="宋体" w:cs="宋体"/>
        </w:rPr>
      </w:pPr>
      <w:r>
        <w:rPr>
          <w:rFonts w:hint="eastAsia" w:eastAsia="宋体" w:cs="宋体"/>
        </w:rPr>
        <w:t xml:space="preserve">被授权人签字  </w:t>
      </w:r>
    </w:p>
    <w:p w14:paraId="796D06DF">
      <w:pPr>
        <w:pStyle w:val="79"/>
        <w:ind w:firstLine="480"/>
        <w:rPr>
          <w:rFonts w:hint="eastAsia" w:eastAsia="宋体" w:cs="宋体"/>
        </w:rPr>
      </w:pPr>
      <w:r>
        <w:rPr>
          <w:rFonts w:hint="eastAsia" w:eastAsia="宋体" w:cs="宋体"/>
        </w:rPr>
        <w:t xml:space="preserve">被授权人电话：                          </w:t>
      </w:r>
    </w:p>
    <w:p w14:paraId="34767856">
      <w:pPr>
        <w:pStyle w:val="79"/>
        <w:ind w:firstLine="480"/>
        <w:rPr>
          <w:rFonts w:hint="eastAsia" w:eastAsia="宋体" w:cs="宋体"/>
        </w:rPr>
      </w:pPr>
      <w:r>
        <w:rPr>
          <w:rFonts w:hint="eastAsia" w:eastAsia="宋体" w:cs="宋体"/>
        </w:rPr>
        <w:t xml:space="preserve">投标人名称（公章）                       </w:t>
      </w:r>
    </w:p>
    <w:p w14:paraId="367730B1">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A752753">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3FE7A651">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14:paraId="459C7BDB">
      <w:pPr>
        <w:spacing w:line="240" w:lineRule="exact"/>
        <w:jc w:val="center"/>
        <w:rPr>
          <w:rFonts w:hint="eastAsia" w:ascii="宋体" w:hAnsi="宋体" w:cs="宋体"/>
          <w:b/>
          <w:bCs/>
          <w:sz w:val="36"/>
        </w:rPr>
      </w:pPr>
    </w:p>
    <w:p w14:paraId="0AA7551D">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color w:val="000000"/>
          <w:sz w:val="24"/>
          <w:szCs w:val="24"/>
          <w:u w:val="single"/>
        </w:rPr>
        <w:t>产品试验检测中心莱芜园区消防维保项目</w:t>
      </w:r>
    </w:p>
    <w:p w14:paraId="395648D3">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0EB79756">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30F9D39E">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8716E7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DE73FA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D0CE30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ECD18C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875E0C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4A2FD6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01DAC1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2BC4E9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0D2DE5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949498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EAD13B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622472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DD5581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FAC3EEA">
      <w:pPr>
        <w:spacing w:line="360" w:lineRule="auto"/>
        <w:ind w:firstLine="480" w:firstLineChars="200"/>
        <w:rPr>
          <w:rFonts w:hint="eastAsia" w:ascii="宋体" w:hAnsi="宋体" w:cs="宋体"/>
          <w:sz w:val="24"/>
          <w:u w:val="single"/>
        </w:rPr>
      </w:pPr>
    </w:p>
    <w:p w14:paraId="619115A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14:paraId="3C3C986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14:paraId="22121347">
      <w:pPr>
        <w:spacing w:line="360" w:lineRule="auto"/>
        <w:ind w:firstLine="480" w:firstLineChars="200"/>
        <w:rPr>
          <w:rFonts w:hint="eastAsia"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212B57E5">
      <w:pPr>
        <w:pStyle w:val="85"/>
        <w:rPr>
          <w:rFonts w:hint="eastAsia" w:ascii="宋体" w:hAnsi="宋体" w:eastAsia="宋体" w:cs="宋体"/>
        </w:rPr>
      </w:pPr>
      <w:r>
        <w:rPr>
          <w:rFonts w:hint="eastAsia" w:ascii="宋体" w:hAnsi="宋体" w:eastAsia="宋体" w:cs="宋体"/>
        </w:rPr>
        <w:t>附件4 技术规格偏离表</w:t>
      </w:r>
    </w:p>
    <w:p w14:paraId="0201DC28">
      <w:pPr>
        <w:pStyle w:val="79"/>
        <w:ind w:firstLine="480"/>
        <w:rPr>
          <w:rFonts w:hint="eastAsia" w:eastAsia="宋体" w:cs="宋体"/>
        </w:rPr>
      </w:pPr>
      <w:r>
        <w:rPr>
          <w:rFonts w:hint="eastAsia" w:eastAsia="宋体" w:cs="宋体"/>
        </w:rPr>
        <w:t xml:space="preserve">项目名称：产品试验检测中心莱芜园区消防维保项目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69A5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2BE67FBB">
            <w:pPr>
              <w:pStyle w:val="83"/>
              <w:rPr>
                <w:rFonts w:hint="eastAsia" w:ascii="宋体" w:hAnsi="宋体" w:eastAsia="宋体" w:cs="宋体"/>
              </w:rPr>
            </w:pPr>
            <w:r>
              <w:rPr>
                <w:rFonts w:hint="eastAsia" w:ascii="宋体" w:hAnsi="宋体" w:eastAsia="宋体" w:cs="宋体"/>
              </w:rPr>
              <w:t>序号</w:t>
            </w:r>
          </w:p>
        </w:tc>
        <w:tc>
          <w:tcPr>
            <w:tcW w:w="1903" w:type="pct"/>
            <w:vAlign w:val="center"/>
          </w:tcPr>
          <w:p w14:paraId="7698CA5A">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14:paraId="35BF2007">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14:paraId="151C5CA3">
            <w:pPr>
              <w:pStyle w:val="83"/>
              <w:rPr>
                <w:rFonts w:hint="eastAsia" w:ascii="宋体" w:hAnsi="宋体" w:eastAsia="宋体" w:cs="宋体"/>
              </w:rPr>
            </w:pPr>
            <w:r>
              <w:rPr>
                <w:rFonts w:hint="eastAsia" w:ascii="宋体" w:hAnsi="宋体" w:eastAsia="宋体" w:cs="宋体"/>
              </w:rPr>
              <w:t>是否偏离</w:t>
            </w:r>
          </w:p>
        </w:tc>
      </w:tr>
      <w:tr w14:paraId="26B8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55974AE">
            <w:pPr>
              <w:pStyle w:val="83"/>
              <w:rPr>
                <w:rFonts w:hint="eastAsia" w:ascii="宋体" w:hAnsi="宋体" w:eastAsia="宋体" w:cs="宋体"/>
                <w:sz w:val="24"/>
              </w:rPr>
            </w:pPr>
            <w:r>
              <w:rPr>
                <w:rFonts w:hint="eastAsia" w:ascii="宋体" w:hAnsi="宋体" w:eastAsia="宋体" w:cs="宋体"/>
                <w:sz w:val="24"/>
              </w:rPr>
              <w:t>1</w:t>
            </w:r>
          </w:p>
        </w:tc>
        <w:tc>
          <w:tcPr>
            <w:tcW w:w="1903" w:type="pct"/>
          </w:tcPr>
          <w:p w14:paraId="09364A48">
            <w:pPr>
              <w:pStyle w:val="83"/>
              <w:jc w:val="both"/>
              <w:rPr>
                <w:rFonts w:hint="eastAsia" w:ascii="宋体" w:hAnsi="宋体" w:eastAsia="宋体" w:cs="宋体"/>
                <w:sz w:val="24"/>
              </w:rPr>
            </w:pPr>
            <w:r>
              <w:rPr>
                <w:rFonts w:hint="eastAsia" w:ascii="宋体" w:hAnsi="宋体" w:eastAsia="宋体" w:cs="宋体"/>
              </w:rPr>
              <w:t>响应技术协议书中所有技术服务要求。</w:t>
            </w:r>
          </w:p>
        </w:tc>
        <w:tc>
          <w:tcPr>
            <w:tcW w:w="1332" w:type="pct"/>
          </w:tcPr>
          <w:p w14:paraId="4C23C7CA">
            <w:pPr>
              <w:pStyle w:val="83"/>
              <w:rPr>
                <w:rFonts w:hint="eastAsia" w:ascii="宋体" w:hAnsi="宋体" w:eastAsia="宋体" w:cs="宋体"/>
                <w:sz w:val="24"/>
              </w:rPr>
            </w:pPr>
          </w:p>
        </w:tc>
        <w:tc>
          <w:tcPr>
            <w:tcW w:w="888" w:type="pct"/>
          </w:tcPr>
          <w:p w14:paraId="0374AF23">
            <w:pPr>
              <w:pStyle w:val="83"/>
              <w:rPr>
                <w:rFonts w:hint="eastAsia" w:ascii="宋体" w:hAnsi="宋体" w:eastAsia="宋体" w:cs="宋体"/>
                <w:sz w:val="24"/>
              </w:rPr>
            </w:pPr>
          </w:p>
        </w:tc>
      </w:tr>
      <w:tr w14:paraId="164B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2AEBBEC">
            <w:pPr>
              <w:pStyle w:val="83"/>
              <w:rPr>
                <w:rFonts w:hint="eastAsia" w:ascii="宋体" w:hAnsi="宋体" w:eastAsia="宋体" w:cs="宋体"/>
                <w:sz w:val="24"/>
              </w:rPr>
            </w:pPr>
          </w:p>
        </w:tc>
        <w:tc>
          <w:tcPr>
            <w:tcW w:w="1903" w:type="pct"/>
          </w:tcPr>
          <w:p w14:paraId="4B8FD99D">
            <w:pPr>
              <w:pStyle w:val="83"/>
              <w:rPr>
                <w:rFonts w:hint="eastAsia" w:ascii="宋体" w:hAnsi="宋体" w:eastAsia="宋体" w:cs="宋体"/>
                <w:sz w:val="24"/>
              </w:rPr>
            </w:pPr>
          </w:p>
        </w:tc>
        <w:tc>
          <w:tcPr>
            <w:tcW w:w="1332" w:type="pct"/>
          </w:tcPr>
          <w:p w14:paraId="656FA657">
            <w:pPr>
              <w:pStyle w:val="83"/>
              <w:rPr>
                <w:rFonts w:hint="eastAsia" w:ascii="宋体" w:hAnsi="宋体" w:eastAsia="宋体" w:cs="宋体"/>
                <w:sz w:val="24"/>
              </w:rPr>
            </w:pPr>
          </w:p>
        </w:tc>
        <w:tc>
          <w:tcPr>
            <w:tcW w:w="888" w:type="pct"/>
          </w:tcPr>
          <w:p w14:paraId="22B61B45">
            <w:pPr>
              <w:pStyle w:val="83"/>
              <w:rPr>
                <w:rFonts w:hint="eastAsia" w:ascii="宋体" w:hAnsi="宋体" w:eastAsia="宋体" w:cs="宋体"/>
                <w:sz w:val="24"/>
              </w:rPr>
            </w:pPr>
          </w:p>
        </w:tc>
      </w:tr>
      <w:tr w14:paraId="43AC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3DB6FAB">
            <w:pPr>
              <w:pStyle w:val="83"/>
              <w:rPr>
                <w:rFonts w:hint="eastAsia" w:ascii="宋体" w:hAnsi="宋体" w:eastAsia="宋体" w:cs="宋体"/>
                <w:sz w:val="24"/>
              </w:rPr>
            </w:pPr>
          </w:p>
        </w:tc>
        <w:tc>
          <w:tcPr>
            <w:tcW w:w="1903" w:type="pct"/>
          </w:tcPr>
          <w:p w14:paraId="098818AA">
            <w:pPr>
              <w:pStyle w:val="83"/>
              <w:rPr>
                <w:rFonts w:hint="eastAsia" w:ascii="宋体" w:hAnsi="宋体" w:eastAsia="宋体" w:cs="宋体"/>
                <w:sz w:val="24"/>
              </w:rPr>
            </w:pPr>
          </w:p>
        </w:tc>
        <w:tc>
          <w:tcPr>
            <w:tcW w:w="1332" w:type="pct"/>
          </w:tcPr>
          <w:p w14:paraId="184FCFC3">
            <w:pPr>
              <w:pStyle w:val="83"/>
              <w:rPr>
                <w:rFonts w:hint="eastAsia" w:ascii="宋体" w:hAnsi="宋体" w:eastAsia="宋体" w:cs="宋体"/>
                <w:sz w:val="24"/>
              </w:rPr>
            </w:pPr>
          </w:p>
        </w:tc>
        <w:tc>
          <w:tcPr>
            <w:tcW w:w="888" w:type="pct"/>
          </w:tcPr>
          <w:p w14:paraId="25F78780">
            <w:pPr>
              <w:pStyle w:val="83"/>
              <w:rPr>
                <w:rFonts w:hint="eastAsia" w:ascii="宋体" w:hAnsi="宋体" w:eastAsia="宋体" w:cs="宋体"/>
                <w:sz w:val="24"/>
              </w:rPr>
            </w:pPr>
          </w:p>
        </w:tc>
      </w:tr>
      <w:tr w14:paraId="3511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0102269A">
            <w:pPr>
              <w:pStyle w:val="83"/>
              <w:rPr>
                <w:rFonts w:hint="eastAsia" w:ascii="宋体" w:hAnsi="宋体" w:eastAsia="宋体" w:cs="宋体"/>
                <w:sz w:val="24"/>
              </w:rPr>
            </w:pPr>
          </w:p>
        </w:tc>
        <w:tc>
          <w:tcPr>
            <w:tcW w:w="1903" w:type="pct"/>
          </w:tcPr>
          <w:p w14:paraId="22496D44">
            <w:pPr>
              <w:pStyle w:val="83"/>
              <w:rPr>
                <w:rFonts w:hint="eastAsia" w:ascii="宋体" w:hAnsi="宋体" w:eastAsia="宋体" w:cs="宋体"/>
                <w:sz w:val="24"/>
              </w:rPr>
            </w:pPr>
          </w:p>
        </w:tc>
        <w:tc>
          <w:tcPr>
            <w:tcW w:w="1332" w:type="pct"/>
          </w:tcPr>
          <w:p w14:paraId="677F701C">
            <w:pPr>
              <w:pStyle w:val="83"/>
              <w:rPr>
                <w:rFonts w:hint="eastAsia" w:ascii="宋体" w:hAnsi="宋体" w:eastAsia="宋体" w:cs="宋体"/>
                <w:sz w:val="24"/>
              </w:rPr>
            </w:pPr>
          </w:p>
        </w:tc>
        <w:tc>
          <w:tcPr>
            <w:tcW w:w="888" w:type="pct"/>
          </w:tcPr>
          <w:p w14:paraId="46DB16E7">
            <w:pPr>
              <w:pStyle w:val="83"/>
              <w:rPr>
                <w:rFonts w:hint="eastAsia" w:ascii="宋体" w:hAnsi="宋体" w:eastAsia="宋体" w:cs="宋体"/>
                <w:sz w:val="24"/>
              </w:rPr>
            </w:pPr>
          </w:p>
        </w:tc>
      </w:tr>
      <w:tr w14:paraId="08B6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744C328">
            <w:pPr>
              <w:pStyle w:val="83"/>
              <w:rPr>
                <w:rFonts w:hint="eastAsia" w:ascii="宋体" w:hAnsi="宋体" w:eastAsia="宋体" w:cs="宋体"/>
                <w:sz w:val="24"/>
              </w:rPr>
            </w:pPr>
          </w:p>
        </w:tc>
        <w:tc>
          <w:tcPr>
            <w:tcW w:w="1903" w:type="pct"/>
          </w:tcPr>
          <w:p w14:paraId="17ADB4AC">
            <w:pPr>
              <w:pStyle w:val="83"/>
              <w:rPr>
                <w:rFonts w:hint="eastAsia" w:ascii="宋体" w:hAnsi="宋体" w:eastAsia="宋体" w:cs="宋体"/>
                <w:sz w:val="24"/>
              </w:rPr>
            </w:pPr>
          </w:p>
        </w:tc>
        <w:tc>
          <w:tcPr>
            <w:tcW w:w="1332" w:type="pct"/>
          </w:tcPr>
          <w:p w14:paraId="6D273F2A">
            <w:pPr>
              <w:pStyle w:val="83"/>
              <w:rPr>
                <w:rFonts w:hint="eastAsia" w:ascii="宋体" w:hAnsi="宋体" w:eastAsia="宋体" w:cs="宋体"/>
                <w:sz w:val="24"/>
              </w:rPr>
            </w:pPr>
          </w:p>
        </w:tc>
        <w:tc>
          <w:tcPr>
            <w:tcW w:w="888" w:type="pct"/>
          </w:tcPr>
          <w:p w14:paraId="78A87C52">
            <w:pPr>
              <w:pStyle w:val="83"/>
              <w:rPr>
                <w:rFonts w:hint="eastAsia" w:ascii="宋体" w:hAnsi="宋体" w:eastAsia="宋体" w:cs="宋体"/>
                <w:sz w:val="24"/>
              </w:rPr>
            </w:pPr>
          </w:p>
        </w:tc>
      </w:tr>
      <w:tr w14:paraId="3E90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6FAFAFC">
            <w:pPr>
              <w:pStyle w:val="83"/>
              <w:rPr>
                <w:rFonts w:hint="eastAsia" w:ascii="宋体" w:hAnsi="宋体" w:eastAsia="宋体" w:cs="宋体"/>
                <w:sz w:val="24"/>
              </w:rPr>
            </w:pPr>
          </w:p>
        </w:tc>
        <w:tc>
          <w:tcPr>
            <w:tcW w:w="1903" w:type="pct"/>
          </w:tcPr>
          <w:p w14:paraId="1BC83D68">
            <w:pPr>
              <w:pStyle w:val="83"/>
              <w:rPr>
                <w:rFonts w:hint="eastAsia" w:ascii="宋体" w:hAnsi="宋体" w:eastAsia="宋体" w:cs="宋体"/>
                <w:sz w:val="24"/>
              </w:rPr>
            </w:pPr>
          </w:p>
        </w:tc>
        <w:tc>
          <w:tcPr>
            <w:tcW w:w="1332" w:type="pct"/>
          </w:tcPr>
          <w:p w14:paraId="6804EB3E">
            <w:pPr>
              <w:pStyle w:val="83"/>
              <w:rPr>
                <w:rFonts w:hint="eastAsia" w:ascii="宋体" w:hAnsi="宋体" w:eastAsia="宋体" w:cs="宋体"/>
                <w:sz w:val="24"/>
              </w:rPr>
            </w:pPr>
          </w:p>
        </w:tc>
        <w:tc>
          <w:tcPr>
            <w:tcW w:w="888" w:type="pct"/>
          </w:tcPr>
          <w:p w14:paraId="43A8D407">
            <w:pPr>
              <w:pStyle w:val="83"/>
              <w:rPr>
                <w:rFonts w:hint="eastAsia" w:ascii="宋体" w:hAnsi="宋体" w:eastAsia="宋体" w:cs="宋体"/>
                <w:sz w:val="24"/>
              </w:rPr>
            </w:pPr>
          </w:p>
        </w:tc>
      </w:tr>
      <w:tr w14:paraId="41B5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07159E2">
            <w:pPr>
              <w:pStyle w:val="83"/>
              <w:rPr>
                <w:rFonts w:hint="eastAsia" w:ascii="宋体" w:hAnsi="宋体" w:eastAsia="宋体" w:cs="宋体"/>
                <w:sz w:val="24"/>
              </w:rPr>
            </w:pPr>
          </w:p>
        </w:tc>
        <w:tc>
          <w:tcPr>
            <w:tcW w:w="1903" w:type="pct"/>
          </w:tcPr>
          <w:p w14:paraId="7B7A4CD7">
            <w:pPr>
              <w:pStyle w:val="83"/>
              <w:rPr>
                <w:rFonts w:hint="eastAsia" w:ascii="宋体" w:hAnsi="宋体" w:eastAsia="宋体" w:cs="宋体"/>
                <w:sz w:val="24"/>
              </w:rPr>
            </w:pPr>
          </w:p>
        </w:tc>
        <w:tc>
          <w:tcPr>
            <w:tcW w:w="1332" w:type="pct"/>
          </w:tcPr>
          <w:p w14:paraId="1C318D95">
            <w:pPr>
              <w:pStyle w:val="83"/>
              <w:rPr>
                <w:rFonts w:hint="eastAsia" w:ascii="宋体" w:hAnsi="宋体" w:eastAsia="宋体" w:cs="宋体"/>
                <w:sz w:val="24"/>
              </w:rPr>
            </w:pPr>
          </w:p>
        </w:tc>
        <w:tc>
          <w:tcPr>
            <w:tcW w:w="888" w:type="pct"/>
          </w:tcPr>
          <w:p w14:paraId="17C18731">
            <w:pPr>
              <w:pStyle w:val="83"/>
              <w:rPr>
                <w:rFonts w:hint="eastAsia" w:ascii="宋体" w:hAnsi="宋体" w:eastAsia="宋体" w:cs="宋体"/>
                <w:sz w:val="24"/>
              </w:rPr>
            </w:pPr>
          </w:p>
        </w:tc>
      </w:tr>
      <w:tr w14:paraId="6238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53BD931">
            <w:pPr>
              <w:pStyle w:val="83"/>
              <w:rPr>
                <w:rFonts w:hint="eastAsia" w:ascii="宋体" w:hAnsi="宋体" w:eastAsia="宋体" w:cs="宋体"/>
                <w:sz w:val="24"/>
              </w:rPr>
            </w:pPr>
          </w:p>
        </w:tc>
        <w:tc>
          <w:tcPr>
            <w:tcW w:w="1903" w:type="pct"/>
          </w:tcPr>
          <w:p w14:paraId="15884C37">
            <w:pPr>
              <w:pStyle w:val="83"/>
              <w:rPr>
                <w:rFonts w:hint="eastAsia" w:ascii="宋体" w:hAnsi="宋体" w:eastAsia="宋体" w:cs="宋体"/>
                <w:sz w:val="24"/>
              </w:rPr>
            </w:pPr>
          </w:p>
        </w:tc>
        <w:tc>
          <w:tcPr>
            <w:tcW w:w="1332" w:type="pct"/>
          </w:tcPr>
          <w:p w14:paraId="03DCC69F">
            <w:pPr>
              <w:pStyle w:val="83"/>
              <w:rPr>
                <w:rFonts w:hint="eastAsia" w:ascii="宋体" w:hAnsi="宋体" w:eastAsia="宋体" w:cs="宋体"/>
                <w:sz w:val="24"/>
              </w:rPr>
            </w:pPr>
          </w:p>
        </w:tc>
        <w:tc>
          <w:tcPr>
            <w:tcW w:w="888" w:type="pct"/>
          </w:tcPr>
          <w:p w14:paraId="6D99621D">
            <w:pPr>
              <w:pStyle w:val="83"/>
              <w:rPr>
                <w:rFonts w:hint="eastAsia" w:ascii="宋体" w:hAnsi="宋体" w:eastAsia="宋体" w:cs="宋体"/>
                <w:sz w:val="24"/>
              </w:rPr>
            </w:pPr>
          </w:p>
        </w:tc>
      </w:tr>
      <w:tr w14:paraId="0038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17DFCAC">
            <w:pPr>
              <w:pStyle w:val="83"/>
              <w:rPr>
                <w:rFonts w:hint="eastAsia" w:ascii="宋体" w:hAnsi="宋体" w:eastAsia="宋体" w:cs="宋体"/>
                <w:sz w:val="24"/>
              </w:rPr>
            </w:pPr>
          </w:p>
        </w:tc>
        <w:tc>
          <w:tcPr>
            <w:tcW w:w="1903" w:type="pct"/>
          </w:tcPr>
          <w:p w14:paraId="6E1F946C">
            <w:pPr>
              <w:pStyle w:val="83"/>
              <w:rPr>
                <w:rFonts w:hint="eastAsia" w:ascii="宋体" w:hAnsi="宋体" w:eastAsia="宋体" w:cs="宋体"/>
                <w:sz w:val="24"/>
              </w:rPr>
            </w:pPr>
          </w:p>
        </w:tc>
        <w:tc>
          <w:tcPr>
            <w:tcW w:w="1332" w:type="pct"/>
          </w:tcPr>
          <w:p w14:paraId="198E6EB9">
            <w:pPr>
              <w:pStyle w:val="83"/>
              <w:rPr>
                <w:rFonts w:hint="eastAsia" w:ascii="宋体" w:hAnsi="宋体" w:eastAsia="宋体" w:cs="宋体"/>
                <w:sz w:val="24"/>
              </w:rPr>
            </w:pPr>
          </w:p>
        </w:tc>
        <w:tc>
          <w:tcPr>
            <w:tcW w:w="888" w:type="pct"/>
          </w:tcPr>
          <w:p w14:paraId="1FB4EF62">
            <w:pPr>
              <w:pStyle w:val="83"/>
              <w:rPr>
                <w:rFonts w:hint="eastAsia" w:ascii="宋体" w:hAnsi="宋体" w:eastAsia="宋体" w:cs="宋体"/>
                <w:sz w:val="24"/>
              </w:rPr>
            </w:pPr>
          </w:p>
        </w:tc>
      </w:tr>
      <w:tr w14:paraId="6C1F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7FD6920">
            <w:pPr>
              <w:pStyle w:val="83"/>
              <w:rPr>
                <w:rFonts w:hint="eastAsia" w:ascii="宋体" w:hAnsi="宋体" w:eastAsia="宋体" w:cs="宋体"/>
                <w:sz w:val="24"/>
              </w:rPr>
            </w:pPr>
          </w:p>
        </w:tc>
        <w:tc>
          <w:tcPr>
            <w:tcW w:w="1903" w:type="pct"/>
          </w:tcPr>
          <w:p w14:paraId="3502BC92">
            <w:pPr>
              <w:pStyle w:val="83"/>
              <w:rPr>
                <w:rFonts w:hint="eastAsia" w:ascii="宋体" w:hAnsi="宋体" w:eastAsia="宋体" w:cs="宋体"/>
                <w:sz w:val="24"/>
              </w:rPr>
            </w:pPr>
          </w:p>
        </w:tc>
        <w:tc>
          <w:tcPr>
            <w:tcW w:w="1332" w:type="pct"/>
          </w:tcPr>
          <w:p w14:paraId="3DCE53B0">
            <w:pPr>
              <w:pStyle w:val="83"/>
              <w:rPr>
                <w:rFonts w:hint="eastAsia" w:ascii="宋体" w:hAnsi="宋体" w:eastAsia="宋体" w:cs="宋体"/>
                <w:sz w:val="24"/>
              </w:rPr>
            </w:pPr>
          </w:p>
        </w:tc>
        <w:tc>
          <w:tcPr>
            <w:tcW w:w="888" w:type="pct"/>
          </w:tcPr>
          <w:p w14:paraId="298EB553">
            <w:pPr>
              <w:pStyle w:val="83"/>
              <w:rPr>
                <w:rFonts w:hint="eastAsia" w:ascii="宋体" w:hAnsi="宋体" w:eastAsia="宋体" w:cs="宋体"/>
                <w:sz w:val="24"/>
              </w:rPr>
            </w:pPr>
          </w:p>
        </w:tc>
      </w:tr>
      <w:tr w14:paraId="4935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ADC59FE">
            <w:pPr>
              <w:pStyle w:val="83"/>
              <w:rPr>
                <w:rFonts w:hint="eastAsia" w:ascii="宋体" w:hAnsi="宋体" w:eastAsia="宋体" w:cs="宋体"/>
                <w:sz w:val="24"/>
              </w:rPr>
            </w:pPr>
          </w:p>
        </w:tc>
        <w:tc>
          <w:tcPr>
            <w:tcW w:w="1903" w:type="pct"/>
          </w:tcPr>
          <w:p w14:paraId="486B8F3B">
            <w:pPr>
              <w:pStyle w:val="83"/>
              <w:rPr>
                <w:rFonts w:hint="eastAsia" w:ascii="宋体" w:hAnsi="宋体" w:eastAsia="宋体" w:cs="宋体"/>
                <w:sz w:val="24"/>
              </w:rPr>
            </w:pPr>
          </w:p>
        </w:tc>
        <w:tc>
          <w:tcPr>
            <w:tcW w:w="1332" w:type="pct"/>
          </w:tcPr>
          <w:p w14:paraId="60F07AFD">
            <w:pPr>
              <w:pStyle w:val="83"/>
              <w:rPr>
                <w:rFonts w:hint="eastAsia" w:ascii="宋体" w:hAnsi="宋体" w:eastAsia="宋体" w:cs="宋体"/>
                <w:sz w:val="24"/>
              </w:rPr>
            </w:pPr>
          </w:p>
        </w:tc>
        <w:tc>
          <w:tcPr>
            <w:tcW w:w="888" w:type="pct"/>
          </w:tcPr>
          <w:p w14:paraId="30D62BB6">
            <w:pPr>
              <w:pStyle w:val="83"/>
              <w:rPr>
                <w:rFonts w:hint="eastAsia" w:ascii="宋体" w:hAnsi="宋体" w:eastAsia="宋体" w:cs="宋体"/>
                <w:sz w:val="24"/>
              </w:rPr>
            </w:pPr>
          </w:p>
        </w:tc>
      </w:tr>
      <w:tr w14:paraId="6536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B9F0FAA">
            <w:pPr>
              <w:pStyle w:val="83"/>
              <w:rPr>
                <w:rFonts w:hint="eastAsia" w:ascii="宋体" w:hAnsi="宋体" w:eastAsia="宋体" w:cs="宋体"/>
                <w:sz w:val="24"/>
              </w:rPr>
            </w:pPr>
          </w:p>
        </w:tc>
        <w:tc>
          <w:tcPr>
            <w:tcW w:w="1903" w:type="pct"/>
          </w:tcPr>
          <w:p w14:paraId="48CD9450">
            <w:pPr>
              <w:pStyle w:val="83"/>
              <w:rPr>
                <w:rFonts w:hint="eastAsia" w:ascii="宋体" w:hAnsi="宋体" w:eastAsia="宋体" w:cs="宋体"/>
                <w:sz w:val="24"/>
              </w:rPr>
            </w:pPr>
          </w:p>
        </w:tc>
        <w:tc>
          <w:tcPr>
            <w:tcW w:w="1332" w:type="pct"/>
          </w:tcPr>
          <w:p w14:paraId="0C769745">
            <w:pPr>
              <w:pStyle w:val="83"/>
              <w:rPr>
                <w:rFonts w:hint="eastAsia" w:ascii="宋体" w:hAnsi="宋体" w:eastAsia="宋体" w:cs="宋体"/>
                <w:sz w:val="24"/>
              </w:rPr>
            </w:pPr>
          </w:p>
        </w:tc>
        <w:tc>
          <w:tcPr>
            <w:tcW w:w="888" w:type="pct"/>
          </w:tcPr>
          <w:p w14:paraId="6612A0C7">
            <w:pPr>
              <w:pStyle w:val="83"/>
              <w:rPr>
                <w:rFonts w:hint="eastAsia" w:ascii="宋体" w:hAnsi="宋体" w:eastAsia="宋体" w:cs="宋体"/>
                <w:sz w:val="24"/>
              </w:rPr>
            </w:pPr>
          </w:p>
        </w:tc>
      </w:tr>
      <w:tr w14:paraId="3AAA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78AEF24">
            <w:pPr>
              <w:pStyle w:val="83"/>
              <w:rPr>
                <w:rFonts w:hint="eastAsia" w:ascii="宋体" w:hAnsi="宋体" w:eastAsia="宋体" w:cs="宋体"/>
                <w:sz w:val="24"/>
              </w:rPr>
            </w:pPr>
          </w:p>
        </w:tc>
        <w:tc>
          <w:tcPr>
            <w:tcW w:w="1903" w:type="pct"/>
          </w:tcPr>
          <w:p w14:paraId="6EF08E29">
            <w:pPr>
              <w:pStyle w:val="83"/>
              <w:rPr>
                <w:rFonts w:hint="eastAsia" w:ascii="宋体" w:hAnsi="宋体" w:eastAsia="宋体" w:cs="宋体"/>
                <w:sz w:val="24"/>
              </w:rPr>
            </w:pPr>
          </w:p>
        </w:tc>
        <w:tc>
          <w:tcPr>
            <w:tcW w:w="1332" w:type="pct"/>
          </w:tcPr>
          <w:p w14:paraId="7FD18B37">
            <w:pPr>
              <w:pStyle w:val="83"/>
              <w:rPr>
                <w:rFonts w:hint="eastAsia" w:ascii="宋体" w:hAnsi="宋体" w:eastAsia="宋体" w:cs="宋体"/>
                <w:sz w:val="24"/>
              </w:rPr>
            </w:pPr>
          </w:p>
        </w:tc>
        <w:tc>
          <w:tcPr>
            <w:tcW w:w="888" w:type="pct"/>
          </w:tcPr>
          <w:p w14:paraId="14241DDD">
            <w:pPr>
              <w:pStyle w:val="83"/>
              <w:rPr>
                <w:rFonts w:hint="eastAsia" w:ascii="宋体" w:hAnsi="宋体" w:eastAsia="宋体" w:cs="宋体"/>
                <w:sz w:val="24"/>
              </w:rPr>
            </w:pPr>
          </w:p>
        </w:tc>
      </w:tr>
      <w:tr w14:paraId="1BC6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47674DB">
            <w:pPr>
              <w:pStyle w:val="83"/>
              <w:rPr>
                <w:rFonts w:hint="eastAsia" w:ascii="宋体" w:hAnsi="宋体" w:eastAsia="宋体" w:cs="宋体"/>
                <w:sz w:val="24"/>
              </w:rPr>
            </w:pPr>
          </w:p>
        </w:tc>
        <w:tc>
          <w:tcPr>
            <w:tcW w:w="1903" w:type="pct"/>
          </w:tcPr>
          <w:p w14:paraId="70C8BA57">
            <w:pPr>
              <w:pStyle w:val="83"/>
              <w:rPr>
                <w:rFonts w:hint="eastAsia" w:ascii="宋体" w:hAnsi="宋体" w:eastAsia="宋体" w:cs="宋体"/>
                <w:sz w:val="24"/>
              </w:rPr>
            </w:pPr>
          </w:p>
        </w:tc>
        <w:tc>
          <w:tcPr>
            <w:tcW w:w="1332" w:type="pct"/>
          </w:tcPr>
          <w:p w14:paraId="17374930">
            <w:pPr>
              <w:pStyle w:val="83"/>
              <w:rPr>
                <w:rFonts w:hint="eastAsia" w:ascii="宋体" w:hAnsi="宋体" w:eastAsia="宋体" w:cs="宋体"/>
                <w:sz w:val="24"/>
              </w:rPr>
            </w:pPr>
          </w:p>
        </w:tc>
        <w:tc>
          <w:tcPr>
            <w:tcW w:w="888" w:type="pct"/>
          </w:tcPr>
          <w:p w14:paraId="6B7392FC">
            <w:pPr>
              <w:pStyle w:val="83"/>
              <w:rPr>
                <w:rFonts w:hint="eastAsia" w:ascii="宋体" w:hAnsi="宋体" w:eastAsia="宋体" w:cs="宋体"/>
                <w:sz w:val="24"/>
              </w:rPr>
            </w:pPr>
          </w:p>
        </w:tc>
      </w:tr>
    </w:tbl>
    <w:p w14:paraId="26CC2590">
      <w:pPr>
        <w:spacing w:line="660" w:lineRule="exact"/>
        <w:rPr>
          <w:rFonts w:hint="eastAsia" w:ascii="宋体" w:hAnsi="宋体" w:cs="宋体"/>
          <w:sz w:val="24"/>
        </w:rPr>
      </w:pPr>
      <w:r>
        <w:rPr>
          <w:rFonts w:hint="eastAsia" w:ascii="宋体" w:hAnsi="宋体" w:cs="宋体"/>
          <w:sz w:val="24"/>
        </w:rPr>
        <w:t>投标人：（盖章）</w:t>
      </w:r>
    </w:p>
    <w:p w14:paraId="6886B983">
      <w:pPr>
        <w:spacing w:line="660" w:lineRule="exact"/>
        <w:rPr>
          <w:rFonts w:hint="eastAsia" w:ascii="宋体" w:hAnsi="宋体" w:cs="宋体"/>
          <w:sz w:val="24"/>
        </w:rPr>
      </w:pPr>
      <w:r>
        <w:rPr>
          <w:rFonts w:hint="eastAsia" w:ascii="宋体" w:hAnsi="宋体" w:cs="宋体"/>
          <w:sz w:val="24"/>
        </w:rPr>
        <w:t>法定代表人（委托代理人）：（签字）</w:t>
      </w:r>
    </w:p>
    <w:p w14:paraId="390ED97E">
      <w:pPr>
        <w:rPr>
          <w:rFonts w:hint="eastAsia" w:ascii="宋体" w:hAnsi="宋体" w:cs="宋体"/>
          <w:color w:val="000000"/>
          <w:sz w:val="24"/>
          <w:szCs w:val="24"/>
        </w:rPr>
      </w:pPr>
    </w:p>
    <w:p w14:paraId="49049FAC">
      <w:pPr>
        <w:rPr>
          <w:rFonts w:hint="eastAsia" w:ascii="宋体" w:hAnsi="宋体" w:cs="宋体"/>
          <w:b/>
          <w:bCs/>
          <w:color w:val="000000"/>
          <w:sz w:val="28"/>
        </w:rPr>
      </w:pPr>
    </w:p>
    <w:p w14:paraId="0A24AB7D">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0D58165">
      <w:pPr>
        <w:pStyle w:val="85"/>
        <w:rPr>
          <w:rFonts w:hint="eastAsia" w:ascii="宋体" w:hAnsi="宋体" w:eastAsia="宋体" w:cs="宋体"/>
        </w:rPr>
      </w:pPr>
      <w:r>
        <w:rPr>
          <w:rFonts w:hint="eastAsia" w:ascii="宋体" w:hAnsi="宋体" w:eastAsia="宋体" w:cs="宋体"/>
        </w:rPr>
        <w:t>附件5 近三年同类项目业绩一览表</w:t>
      </w:r>
    </w:p>
    <w:p w14:paraId="1D999EFF">
      <w:pPr>
        <w:pStyle w:val="79"/>
        <w:ind w:firstLine="480"/>
        <w:rPr>
          <w:rFonts w:hint="eastAsia" w:eastAsia="宋体" w:cs="宋体"/>
        </w:rPr>
      </w:pPr>
      <w:r>
        <w:rPr>
          <w:rFonts w:hint="eastAsia" w:eastAsia="宋体" w:cs="宋体"/>
        </w:rPr>
        <w:t>项目名称：产品试验检测中心莱芜园区消防维保项目</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666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4B678340">
            <w:pPr>
              <w:pStyle w:val="24"/>
              <w:jc w:val="center"/>
              <w:rPr>
                <w:rFonts w:hint="eastAsia" w:ascii="宋体" w:hAnsi="宋体" w:cs="宋体"/>
                <w:b/>
                <w:szCs w:val="21"/>
              </w:rPr>
            </w:pPr>
            <w:r>
              <w:rPr>
                <w:rFonts w:hint="eastAsia" w:ascii="宋体" w:hAnsi="宋体" w:cs="宋体"/>
                <w:b/>
                <w:szCs w:val="21"/>
              </w:rPr>
              <w:t>序号</w:t>
            </w:r>
          </w:p>
        </w:tc>
        <w:tc>
          <w:tcPr>
            <w:tcW w:w="1264" w:type="pct"/>
            <w:vAlign w:val="center"/>
          </w:tcPr>
          <w:p w14:paraId="4F7C81BD">
            <w:pPr>
              <w:pStyle w:val="24"/>
              <w:jc w:val="center"/>
              <w:rPr>
                <w:rFonts w:hint="eastAsia" w:ascii="宋体" w:hAnsi="宋体" w:cs="宋体"/>
                <w:b/>
                <w:szCs w:val="21"/>
              </w:rPr>
            </w:pPr>
            <w:r>
              <w:rPr>
                <w:rFonts w:hint="eastAsia" w:ascii="宋体" w:hAnsi="宋体" w:cs="宋体"/>
                <w:b/>
                <w:szCs w:val="21"/>
              </w:rPr>
              <w:t>服务单位</w:t>
            </w:r>
          </w:p>
        </w:tc>
        <w:tc>
          <w:tcPr>
            <w:tcW w:w="1144" w:type="pct"/>
            <w:vAlign w:val="center"/>
          </w:tcPr>
          <w:p w14:paraId="36794485">
            <w:pPr>
              <w:pStyle w:val="24"/>
              <w:jc w:val="center"/>
              <w:rPr>
                <w:rFonts w:hint="eastAsia" w:ascii="宋体" w:hAnsi="宋体" w:cs="宋体"/>
                <w:b/>
                <w:szCs w:val="21"/>
              </w:rPr>
            </w:pPr>
            <w:r>
              <w:rPr>
                <w:rFonts w:hint="eastAsia" w:ascii="宋体" w:hAnsi="宋体" w:cs="宋体"/>
                <w:b/>
                <w:szCs w:val="21"/>
              </w:rPr>
              <w:t>项目名称</w:t>
            </w:r>
          </w:p>
        </w:tc>
        <w:tc>
          <w:tcPr>
            <w:tcW w:w="688" w:type="pct"/>
            <w:vAlign w:val="center"/>
          </w:tcPr>
          <w:p w14:paraId="0608054D">
            <w:pPr>
              <w:pStyle w:val="24"/>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14:paraId="1097A912">
            <w:pPr>
              <w:pStyle w:val="24"/>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14:paraId="32566C53">
            <w:pPr>
              <w:pStyle w:val="24"/>
              <w:jc w:val="center"/>
              <w:rPr>
                <w:rFonts w:hint="eastAsia" w:ascii="宋体" w:hAnsi="宋体" w:cs="宋体"/>
                <w:b/>
                <w:szCs w:val="21"/>
              </w:rPr>
            </w:pPr>
            <w:r>
              <w:rPr>
                <w:rFonts w:hint="eastAsia" w:ascii="宋体" w:hAnsi="宋体" w:cs="宋体"/>
                <w:b/>
                <w:szCs w:val="21"/>
              </w:rPr>
              <w:t>联系人及</w:t>
            </w:r>
          </w:p>
          <w:p w14:paraId="679A842B">
            <w:pPr>
              <w:pStyle w:val="24"/>
              <w:jc w:val="center"/>
              <w:rPr>
                <w:rFonts w:hint="eastAsia" w:ascii="宋体" w:hAnsi="宋体" w:cs="宋体"/>
                <w:b/>
                <w:szCs w:val="21"/>
              </w:rPr>
            </w:pPr>
            <w:r>
              <w:rPr>
                <w:rFonts w:hint="eastAsia" w:ascii="宋体" w:hAnsi="宋体" w:cs="宋体"/>
                <w:b/>
                <w:szCs w:val="21"/>
              </w:rPr>
              <w:t>联系电话</w:t>
            </w:r>
          </w:p>
        </w:tc>
      </w:tr>
      <w:tr w14:paraId="0191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DC4C1F2">
            <w:pPr>
              <w:pStyle w:val="24"/>
              <w:rPr>
                <w:rFonts w:hint="eastAsia" w:ascii="宋体" w:hAnsi="宋体" w:cs="宋体"/>
                <w:b/>
              </w:rPr>
            </w:pPr>
          </w:p>
        </w:tc>
        <w:tc>
          <w:tcPr>
            <w:tcW w:w="1264" w:type="pct"/>
          </w:tcPr>
          <w:p w14:paraId="28B3B316">
            <w:pPr>
              <w:pStyle w:val="24"/>
              <w:rPr>
                <w:rFonts w:hint="eastAsia" w:ascii="宋体" w:hAnsi="宋体" w:cs="宋体"/>
                <w:b/>
              </w:rPr>
            </w:pPr>
          </w:p>
        </w:tc>
        <w:tc>
          <w:tcPr>
            <w:tcW w:w="1144" w:type="pct"/>
          </w:tcPr>
          <w:p w14:paraId="52470360">
            <w:pPr>
              <w:pStyle w:val="24"/>
              <w:rPr>
                <w:rFonts w:hint="eastAsia" w:ascii="宋体" w:hAnsi="宋体" w:cs="宋体"/>
                <w:b/>
              </w:rPr>
            </w:pPr>
          </w:p>
        </w:tc>
        <w:tc>
          <w:tcPr>
            <w:tcW w:w="688" w:type="pct"/>
          </w:tcPr>
          <w:p w14:paraId="5E2AAB33">
            <w:pPr>
              <w:pStyle w:val="24"/>
              <w:rPr>
                <w:rFonts w:hint="eastAsia" w:ascii="宋体" w:hAnsi="宋体" w:cs="宋体"/>
                <w:b/>
              </w:rPr>
            </w:pPr>
          </w:p>
        </w:tc>
        <w:tc>
          <w:tcPr>
            <w:tcW w:w="611" w:type="pct"/>
          </w:tcPr>
          <w:p w14:paraId="42F0CD96">
            <w:pPr>
              <w:pStyle w:val="24"/>
              <w:rPr>
                <w:rFonts w:hint="eastAsia" w:ascii="宋体" w:hAnsi="宋体" w:cs="宋体"/>
                <w:b/>
              </w:rPr>
            </w:pPr>
          </w:p>
        </w:tc>
        <w:tc>
          <w:tcPr>
            <w:tcW w:w="819" w:type="pct"/>
          </w:tcPr>
          <w:p w14:paraId="5DD5B85E">
            <w:pPr>
              <w:pStyle w:val="24"/>
              <w:rPr>
                <w:rFonts w:hint="eastAsia" w:ascii="宋体" w:hAnsi="宋体" w:cs="宋体"/>
                <w:b/>
              </w:rPr>
            </w:pPr>
          </w:p>
        </w:tc>
      </w:tr>
      <w:tr w14:paraId="3BFE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D9CC08">
            <w:pPr>
              <w:pStyle w:val="24"/>
              <w:rPr>
                <w:rFonts w:hint="eastAsia" w:ascii="宋体" w:hAnsi="宋体" w:cs="宋体"/>
                <w:b/>
              </w:rPr>
            </w:pPr>
          </w:p>
        </w:tc>
        <w:tc>
          <w:tcPr>
            <w:tcW w:w="1264" w:type="pct"/>
          </w:tcPr>
          <w:p w14:paraId="322CDADB">
            <w:pPr>
              <w:pStyle w:val="24"/>
              <w:rPr>
                <w:rFonts w:hint="eastAsia" w:ascii="宋体" w:hAnsi="宋体" w:cs="宋体"/>
                <w:b/>
              </w:rPr>
            </w:pPr>
          </w:p>
        </w:tc>
        <w:tc>
          <w:tcPr>
            <w:tcW w:w="1144" w:type="pct"/>
          </w:tcPr>
          <w:p w14:paraId="10B42AA8">
            <w:pPr>
              <w:pStyle w:val="24"/>
              <w:rPr>
                <w:rFonts w:hint="eastAsia" w:ascii="宋体" w:hAnsi="宋体" w:cs="宋体"/>
                <w:b/>
              </w:rPr>
            </w:pPr>
          </w:p>
        </w:tc>
        <w:tc>
          <w:tcPr>
            <w:tcW w:w="688" w:type="pct"/>
          </w:tcPr>
          <w:p w14:paraId="5C45E0F9">
            <w:pPr>
              <w:pStyle w:val="24"/>
              <w:rPr>
                <w:rFonts w:hint="eastAsia" w:ascii="宋体" w:hAnsi="宋体" w:cs="宋体"/>
                <w:b/>
              </w:rPr>
            </w:pPr>
          </w:p>
        </w:tc>
        <w:tc>
          <w:tcPr>
            <w:tcW w:w="611" w:type="pct"/>
          </w:tcPr>
          <w:p w14:paraId="1282B0EE">
            <w:pPr>
              <w:pStyle w:val="24"/>
              <w:rPr>
                <w:rFonts w:hint="eastAsia" w:ascii="宋体" w:hAnsi="宋体" w:cs="宋体"/>
                <w:b/>
              </w:rPr>
            </w:pPr>
          </w:p>
        </w:tc>
        <w:tc>
          <w:tcPr>
            <w:tcW w:w="819" w:type="pct"/>
          </w:tcPr>
          <w:p w14:paraId="3F107CB2">
            <w:pPr>
              <w:pStyle w:val="24"/>
              <w:rPr>
                <w:rFonts w:hint="eastAsia" w:ascii="宋体" w:hAnsi="宋体" w:cs="宋体"/>
                <w:b/>
              </w:rPr>
            </w:pPr>
          </w:p>
        </w:tc>
      </w:tr>
      <w:tr w14:paraId="3209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4017A5">
            <w:pPr>
              <w:pStyle w:val="24"/>
              <w:rPr>
                <w:rFonts w:hint="eastAsia" w:ascii="宋体" w:hAnsi="宋体" w:cs="宋体"/>
                <w:b/>
              </w:rPr>
            </w:pPr>
          </w:p>
        </w:tc>
        <w:tc>
          <w:tcPr>
            <w:tcW w:w="1264" w:type="pct"/>
          </w:tcPr>
          <w:p w14:paraId="0063ABC4">
            <w:pPr>
              <w:pStyle w:val="24"/>
              <w:rPr>
                <w:rFonts w:hint="eastAsia" w:ascii="宋体" w:hAnsi="宋体" w:cs="宋体"/>
                <w:b/>
              </w:rPr>
            </w:pPr>
          </w:p>
        </w:tc>
        <w:tc>
          <w:tcPr>
            <w:tcW w:w="1144" w:type="pct"/>
          </w:tcPr>
          <w:p w14:paraId="4F5A22A2">
            <w:pPr>
              <w:pStyle w:val="24"/>
              <w:rPr>
                <w:rFonts w:hint="eastAsia" w:ascii="宋体" w:hAnsi="宋体" w:cs="宋体"/>
                <w:b/>
              </w:rPr>
            </w:pPr>
          </w:p>
        </w:tc>
        <w:tc>
          <w:tcPr>
            <w:tcW w:w="688" w:type="pct"/>
          </w:tcPr>
          <w:p w14:paraId="2947C3F6">
            <w:pPr>
              <w:pStyle w:val="24"/>
              <w:rPr>
                <w:rFonts w:hint="eastAsia" w:ascii="宋体" w:hAnsi="宋体" w:cs="宋体"/>
                <w:b/>
              </w:rPr>
            </w:pPr>
          </w:p>
        </w:tc>
        <w:tc>
          <w:tcPr>
            <w:tcW w:w="611" w:type="pct"/>
          </w:tcPr>
          <w:p w14:paraId="1C492750">
            <w:pPr>
              <w:pStyle w:val="24"/>
              <w:rPr>
                <w:rFonts w:hint="eastAsia" w:ascii="宋体" w:hAnsi="宋体" w:cs="宋体"/>
                <w:b/>
              </w:rPr>
            </w:pPr>
          </w:p>
        </w:tc>
        <w:tc>
          <w:tcPr>
            <w:tcW w:w="819" w:type="pct"/>
          </w:tcPr>
          <w:p w14:paraId="1860CD60">
            <w:pPr>
              <w:pStyle w:val="24"/>
              <w:rPr>
                <w:rFonts w:hint="eastAsia" w:ascii="宋体" w:hAnsi="宋体" w:cs="宋体"/>
                <w:b/>
              </w:rPr>
            </w:pPr>
          </w:p>
        </w:tc>
      </w:tr>
      <w:tr w14:paraId="2DE7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3444308">
            <w:pPr>
              <w:pStyle w:val="24"/>
              <w:rPr>
                <w:rFonts w:hint="eastAsia" w:ascii="宋体" w:hAnsi="宋体" w:cs="宋体"/>
                <w:b/>
              </w:rPr>
            </w:pPr>
          </w:p>
        </w:tc>
        <w:tc>
          <w:tcPr>
            <w:tcW w:w="1264" w:type="pct"/>
          </w:tcPr>
          <w:p w14:paraId="687B9CBB">
            <w:pPr>
              <w:pStyle w:val="24"/>
              <w:rPr>
                <w:rFonts w:hint="eastAsia" w:ascii="宋体" w:hAnsi="宋体" w:cs="宋体"/>
                <w:b/>
              </w:rPr>
            </w:pPr>
          </w:p>
        </w:tc>
        <w:tc>
          <w:tcPr>
            <w:tcW w:w="1144" w:type="pct"/>
          </w:tcPr>
          <w:p w14:paraId="231882C6">
            <w:pPr>
              <w:pStyle w:val="24"/>
              <w:rPr>
                <w:rFonts w:hint="eastAsia" w:ascii="宋体" w:hAnsi="宋体" w:cs="宋体"/>
                <w:b/>
              </w:rPr>
            </w:pPr>
          </w:p>
        </w:tc>
        <w:tc>
          <w:tcPr>
            <w:tcW w:w="688" w:type="pct"/>
          </w:tcPr>
          <w:p w14:paraId="086331A0">
            <w:pPr>
              <w:pStyle w:val="24"/>
              <w:rPr>
                <w:rFonts w:hint="eastAsia" w:ascii="宋体" w:hAnsi="宋体" w:cs="宋体"/>
                <w:b/>
              </w:rPr>
            </w:pPr>
          </w:p>
        </w:tc>
        <w:tc>
          <w:tcPr>
            <w:tcW w:w="611" w:type="pct"/>
          </w:tcPr>
          <w:p w14:paraId="5AA8F4B9">
            <w:pPr>
              <w:pStyle w:val="24"/>
              <w:rPr>
                <w:rFonts w:hint="eastAsia" w:ascii="宋体" w:hAnsi="宋体" w:cs="宋体"/>
                <w:b/>
              </w:rPr>
            </w:pPr>
          </w:p>
        </w:tc>
        <w:tc>
          <w:tcPr>
            <w:tcW w:w="819" w:type="pct"/>
          </w:tcPr>
          <w:p w14:paraId="69AECCFD">
            <w:pPr>
              <w:pStyle w:val="24"/>
              <w:rPr>
                <w:rFonts w:hint="eastAsia" w:ascii="宋体" w:hAnsi="宋体" w:cs="宋体"/>
                <w:b/>
              </w:rPr>
            </w:pPr>
          </w:p>
        </w:tc>
      </w:tr>
      <w:tr w14:paraId="3969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FE9E88F">
            <w:pPr>
              <w:pStyle w:val="24"/>
              <w:rPr>
                <w:rFonts w:hint="eastAsia" w:ascii="宋体" w:hAnsi="宋体" w:cs="宋体"/>
                <w:b/>
              </w:rPr>
            </w:pPr>
          </w:p>
        </w:tc>
        <w:tc>
          <w:tcPr>
            <w:tcW w:w="1264" w:type="pct"/>
          </w:tcPr>
          <w:p w14:paraId="446799B3">
            <w:pPr>
              <w:pStyle w:val="24"/>
              <w:rPr>
                <w:rFonts w:hint="eastAsia" w:ascii="宋体" w:hAnsi="宋体" w:cs="宋体"/>
                <w:b/>
              </w:rPr>
            </w:pPr>
          </w:p>
        </w:tc>
        <w:tc>
          <w:tcPr>
            <w:tcW w:w="1144" w:type="pct"/>
          </w:tcPr>
          <w:p w14:paraId="48E9982D">
            <w:pPr>
              <w:pStyle w:val="24"/>
              <w:rPr>
                <w:rFonts w:hint="eastAsia" w:ascii="宋体" w:hAnsi="宋体" w:cs="宋体"/>
                <w:b/>
              </w:rPr>
            </w:pPr>
          </w:p>
        </w:tc>
        <w:tc>
          <w:tcPr>
            <w:tcW w:w="688" w:type="pct"/>
          </w:tcPr>
          <w:p w14:paraId="27C92FA4">
            <w:pPr>
              <w:pStyle w:val="24"/>
              <w:rPr>
                <w:rFonts w:hint="eastAsia" w:ascii="宋体" w:hAnsi="宋体" w:cs="宋体"/>
                <w:b/>
              </w:rPr>
            </w:pPr>
          </w:p>
        </w:tc>
        <w:tc>
          <w:tcPr>
            <w:tcW w:w="611" w:type="pct"/>
          </w:tcPr>
          <w:p w14:paraId="1292C0B5">
            <w:pPr>
              <w:pStyle w:val="24"/>
              <w:rPr>
                <w:rFonts w:hint="eastAsia" w:ascii="宋体" w:hAnsi="宋体" w:cs="宋体"/>
                <w:b/>
              </w:rPr>
            </w:pPr>
          </w:p>
        </w:tc>
        <w:tc>
          <w:tcPr>
            <w:tcW w:w="819" w:type="pct"/>
          </w:tcPr>
          <w:p w14:paraId="22862D0A">
            <w:pPr>
              <w:pStyle w:val="24"/>
              <w:rPr>
                <w:rFonts w:hint="eastAsia" w:ascii="宋体" w:hAnsi="宋体" w:cs="宋体"/>
                <w:b/>
              </w:rPr>
            </w:pPr>
          </w:p>
        </w:tc>
      </w:tr>
      <w:tr w14:paraId="2774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C214D9A">
            <w:pPr>
              <w:pStyle w:val="24"/>
              <w:rPr>
                <w:rFonts w:hint="eastAsia" w:ascii="宋体" w:hAnsi="宋体" w:cs="宋体"/>
                <w:b/>
              </w:rPr>
            </w:pPr>
          </w:p>
        </w:tc>
        <w:tc>
          <w:tcPr>
            <w:tcW w:w="1264" w:type="pct"/>
          </w:tcPr>
          <w:p w14:paraId="3CE4E8AB">
            <w:pPr>
              <w:pStyle w:val="24"/>
              <w:rPr>
                <w:rFonts w:hint="eastAsia" w:ascii="宋体" w:hAnsi="宋体" w:cs="宋体"/>
                <w:b/>
              </w:rPr>
            </w:pPr>
          </w:p>
        </w:tc>
        <w:tc>
          <w:tcPr>
            <w:tcW w:w="1144" w:type="pct"/>
          </w:tcPr>
          <w:p w14:paraId="1B0EF5B6">
            <w:pPr>
              <w:pStyle w:val="24"/>
              <w:rPr>
                <w:rFonts w:hint="eastAsia" w:ascii="宋体" w:hAnsi="宋体" w:cs="宋体"/>
                <w:b/>
              </w:rPr>
            </w:pPr>
          </w:p>
        </w:tc>
        <w:tc>
          <w:tcPr>
            <w:tcW w:w="688" w:type="pct"/>
          </w:tcPr>
          <w:p w14:paraId="41D98932">
            <w:pPr>
              <w:pStyle w:val="24"/>
              <w:rPr>
                <w:rFonts w:hint="eastAsia" w:ascii="宋体" w:hAnsi="宋体" w:cs="宋体"/>
                <w:b/>
              </w:rPr>
            </w:pPr>
          </w:p>
        </w:tc>
        <w:tc>
          <w:tcPr>
            <w:tcW w:w="611" w:type="pct"/>
          </w:tcPr>
          <w:p w14:paraId="06C1E626">
            <w:pPr>
              <w:pStyle w:val="24"/>
              <w:rPr>
                <w:rFonts w:hint="eastAsia" w:ascii="宋体" w:hAnsi="宋体" w:cs="宋体"/>
                <w:b/>
              </w:rPr>
            </w:pPr>
          </w:p>
        </w:tc>
        <w:tc>
          <w:tcPr>
            <w:tcW w:w="819" w:type="pct"/>
          </w:tcPr>
          <w:p w14:paraId="0BB9B1EE">
            <w:pPr>
              <w:pStyle w:val="24"/>
              <w:rPr>
                <w:rFonts w:hint="eastAsia" w:ascii="宋体" w:hAnsi="宋体" w:cs="宋体"/>
                <w:b/>
              </w:rPr>
            </w:pPr>
          </w:p>
        </w:tc>
      </w:tr>
      <w:tr w14:paraId="1550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488F311">
            <w:pPr>
              <w:pStyle w:val="24"/>
              <w:rPr>
                <w:rFonts w:hint="eastAsia" w:ascii="宋体" w:hAnsi="宋体" w:cs="宋体"/>
                <w:b/>
              </w:rPr>
            </w:pPr>
          </w:p>
        </w:tc>
        <w:tc>
          <w:tcPr>
            <w:tcW w:w="1264" w:type="pct"/>
          </w:tcPr>
          <w:p w14:paraId="3789D06E">
            <w:pPr>
              <w:pStyle w:val="24"/>
              <w:rPr>
                <w:rFonts w:hint="eastAsia" w:ascii="宋体" w:hAnsi="宋体" w:cs="宋体"/>
                <w:b/>
              </w:rPr>
            </w:pPr>
          </w:p>
        </w:tc>
        <w:tc>
          <w:tcPr>
            <w:tcW w:w="1144" w:type="pct"/>
          </w:tcPr>
          <w:p w14:paraId="426205AB">
            <w:pPr>
              <w:pStyle w:val="24"/>
              <w:rPr>
                <w:rFonts w:hint="eastAsia" w:ascii="宋体" w:hAnsi="宋体" w:cs="宋体"/>
                <w:b/>
              </w:rPr>
            </w:pPr>
          </w:p>
        </w:tc>
        <w:tc>
          <w:tcPr>
            <w:tcW w:w="688" w:type="pct"/>
          </w:tcPr>
          <w:p w14:paraId="3C45A746">
            <w:pPr>
              <w:pStyle w:val="24"/>
              <w:rPr>
                <w:rFonts w:hint="eastAsia" w:ascii="宋体" w:hAnsi="宋体" w:cs="宋体"/>
                <w:b/>
              </w:rPr>
            </w:pPr>
          </w:p>
        </w:tc>
        <w:tc>
          <w:tcPr>
            <w:tcW w:w="611" w:type="pct"/>
          </w:tcPr>
          <w:p w14:paraId="76ADF4D8">
            <w:pPr>
              <w:pStyle w:val="24"/>
              <w:rPr>
                <w:rFonts w:hint="eastAsia" w:ascii="宋体" w:hAnsi="宋体" w:cs="宋体"/>
                <w:b/>
              </w:rPr>
            </w:pPr>
          </w:p>
        </w:tc>
        <w:tc>
          <w:tcPr>
            <w:tcW w:w="819" w:type="pct"/>
          </w:tcPr>
          <w:p w14:paraId="709D49F8">
            <w:pPr>
              <w:pStyle w:val="24"/>
              <w:rPr>
                <w:rFonts w:hint="eastAsia" w:ascii="宋体" w:hAnsi="宋体" w:cs="宋体"/>
                <w:b/>
              </w:rPr>
            </w:pPr>
          </w:p>
        </w:tc>
      </w:tr>
      <w:tr w14:paraId="0424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1914DB2">
            <w:pPr>
              <w:pStyle w:val="24"/>
              <w:rPr>
                <w:rFonts w:hint="eastAsia" w:ascii="宋体" w:hAnsi="宋体" w:cs="宋体"/>
                <w:b/>
              </w:rPr>
            </w:pPr>
          </w:p>
        </w:tc>
        <w:tc>
          <w:tcPr>
            <w:tcW w:w="1264" w:type="pct"/>
          </w:tcPr>
          <w:p w14:paraId="12461726">
            <w:pPr>
              <w:pStyle w:val="24"/>
              <w:rPr>
                <w:rFonts w:hint="eastAsia" w:ascii="宋体" w:hAnsi="宋体" w:cs="宋体"/>
                <w:b/>
              </w:rPr>
            </w:pPr>
          </w:p>
        </w:tc>
        <w:tc>
          <w:tcPr>
            <w:tcW w:w="1144" w:type="pct"/>
          </w:tcPr>
          <w:p w14:paraId="6730D102">
            <w:pPr>
              <w:pStyle w:val="24"/>
              <w:rPr>
                <w:rFonts w:hint="eastAsia" w:ascii="宋体" w:hAnsi="宋体" w:cs="宋体"/>
                <w:b/>
              </w:rPr>
            </w:pPr>
          </w:p>
        </w:tc>
        <w:tc>
          <w:tcPr>
            <w:tcW w:w="688" w:type="pct"/>
          </w:tcPr>
          <w:p w14:paraId="00503E10">
            <w:pPr>
              <w:pStyle w:val="24"/>
              <w:rPr>
                <w:rFonts w:hint="eastAsia" w:ascii="宋体" w:hAnsi="宋体" w:cs="宋体"/>
                <w:b/>
              </w:rPr>
            </w:pPr>
          </w:p>
        </w:tc>
        <w:tc>
          <w:tcPr>
            <w:tcW w:w="611" w:type="pct"/>
          </w:tcPr>
          <w:p w14:paraId="30529321">
            <w:pPr>
              <w:pStyle w:val="24"/>
              <w:rPr>
                <w:rFonts w:hint="eastAsia" w:ascii="宋体" w:hAnsi="宋体" w:cs="宋体"/>
                <w:b/>
              </w:rPr>
            </w:pPr>
          </w:p>
        </w:tc>
        <w:tc>
          <w:tcPr>
            <w:tcW w:w="819" w:type="pct"/>
          </w:tcPr>
          <w:p w14:paraId="333FCFAE">
            <w:pPr>
              <w:pStyle w:val="24"/>
              <w:rPr>
                <w:rFonts w:hint="eastAsia" w:ascii="宋体" w:hAnsi="宋体" w:cs="宋体"/>
                <w:b/>
              </w:rPr>
            </w:pPr>
          </w:p>
        </w:tc>
      </w:tr>
      <w:tr w14:paraId="2ABF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D0EB814">
            <w:pPr>
              <w:pStyle w:val="24"/>
              <w:rPr>
                <w:rFonts w:hint="eastAsia" w:ascii="宋体" w:hAnsi="宋体" w:cs="宋体"/>
                <w:b/>
              </w:rPr>
            </w:pPr>
          </w:p>
        </w:tc>
        <w:tc>
          <w:tcPr>
            <w:tcW w:w="1264" w:type="pct"/>
          </w:tcPr>
          <w:p w14:paraId="1050F72A">
            <w:pPr>
              <w:pStyle w:val="24"/>
              <w:rPr>
                <w:rFonts w:hint="eastAsia" w:ascii="宋体" w:hAnsi="宋体" w:cs="宋体"/>
                <w:b/>
              </w:rPr>
            </w:pPr>
          </w:p>
        </w:tc>
        <w:tc>
          <w:tcPr>
            <w:tcW w:w="1144" w:type="pct"/>
          </w:tcPr>
          <w:p w14:paraId="62067CA3">
            <w:pPr>
              <w:pStyle w:val="24"/>
              <w:rPr>
                <w:rFonts w:hint="eastAsia" w:ascii="宋体" w:hAnsi="宋体" w:cs="宋体"/>
                <w:b/>
              </w:rPr>
            </w:pPr>
          </w:p>
        </w:tc>
        <w:tc>
          <w:tcPr>
            <w:tcW w:w="688" w:type="pct"/>
          </w:tcPr>
          <w:p w14:paraId="07E1C9D2">
            <w:pPr>
              <w:pStyle w:val="24"/>
              <w:rPr>
                <w:rFonts w:hint="eastAsia" w:ascii="宋体" w:hAnsi="宋体" w:cs="宋体"/>
                <w:b/>
              </w:rPr>
            </w:pPr>
          </w:p>
        </w:tc>
        <w:tc>
          <w:tcPr>
            <w:tcW w:w="611" w:type="pct"/>
          </w:tcPr>
          <w:p w14:paraId="61A796F7">
            <w:pPr>
              <w:pStyle w:val="24"/>
              <w:rPr>
                <w:rFonts w:hint="eastAsia" w:ascii="宋体" w:hAnsi="宋体" w:cs="宋体"/>
                <w:b/>
              </w:rPr>
            </w:pPr>
          </w:p>
        </w:tc>
        <w:tc>
          <w:tcPr>
            <w:tcW w:w="819" w:type="pct"/>
          </w:tcPr>
          <w:p w14:paraId="3AB71F93">
            <w:pPr>
              <w:pStyle w:val="24"/>
              <w:rPr>
                <w:rFonts w:hint="eastAsia" w:ascii="宋体" w:hAnsi="宋体" w:cs="宋体"/>
                <w:b/>
              </w:rPr>
            </w:pPr>
          </w:p>
        </w:tc>
      </w:tr>
      <w:tr w14:paraId="2D57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4F1E656">
            <w:pPr>
              <w:pStyle w:val="24"/>
              <w:rPr>
                <w:rFonts w:hint="eastAsia" w:ascii="宋体" w:hAnsi="宋体" w:cs="宋体"/>
                <w:b/>
              </w:rPr>
            </w:pPr>
          </w:p>
        </w:tc>
        <w:tc>
          <w:tcPr>
            <w:tcW w:w="1264" w:type="pct"/>
          </w:tcPr>
          <w:p w14:paraId="3F0ABA0B">
            <w:pPr>
              <w:pStyle w:val="24"/>
              <w:rPr>
                <w:rFonts w:hint="eastAsia" w:ascii="宋体" w:hAnsi="宋体" w:cs="宋体"/>
                <w:b/>
              </w:rPr>
            </w:pPr>
          </w:p>
        </w:tc>
        <w:tc>
          <w:tcPr>
            <w:tcW w:w="1144" w:type="pct"/>
          </w:tcPr>
          <w:p w14:paraId="7715E954">
            <w:pPr>
              <w:pStyle w:val="24"/>
              <w:rPr>
                <w:rFonts w:hint="eastAsia" w:ascii="宋体" w:hAnsi="宋体" w:cs="宋体"/>
                <w:b/>
              </w:rPr>
            </w:pPr>
          </w:p>
        </w:tc>
        <w:tc>
          <w:tcPr>
            <w:tcW w:w="688" w:type="pct"/>
          </w:tcPr>
          <w:p w14:paraId="109C004E">
            <w:pPr>
              <w:pStyle w:val="24"/>
              <w:rPr>
                <w:rFonts w:hint="eastAsia" w:ascii="宋体" w:hAnsi="宋体" w:cs="宋体"/>
                <w:b/>
              </w:rPr>
            </w:pPr>
          </w:p>
        </w:tc>
        <w:tc>
          <w:tcPr>
            <w:tcW w:w="611" w:type="pct"/>
          </w:tcPr>
          <w:p w14:paraId="128F9026">
            <w:pPr>
              <w:pStyle w:val="24"/>
              <w:rPr>
                <w:rFonts w:hint="eastAsia" w:ascii="宋体" w:hAnsi="宋体" w:cs="宋体"/>
                <w:b/>
              </w:rPr>
            </w:pPr>
          </w:p>
        </w:tc>
        <w:tc>
          <w:tcPr>
            <w:tcW w:w="819" w:type="pct"/>
          </w:tcPr>
          <w:p w14:paraId="25EBAD02">
            <w:pPr>
              <w:pStyle w:val="24"/>
              <w:rPr>
                <w:rFonts w:hint="eastAsia" w:ascii="宋体" w:hAnsi="宋体" w:cs="宋体"/>
                <w:b/>
              </w:rPr>
            </w:pPr>
          </w:p>
        </w:tc>
      </w:tr>
      <w:tr w14:paraId="7D08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60FC5E9">
            <w:pPr>
              <w:pStyle w:val="24"/>
              <w:rPr>
                <w:rFonts w:hint="eastAsia" w:ascii="宋体" w:hAnsi="宋体" w:cs="宋体"/>
                <w:b/>
              </w:rPr>
            </w:pPr>
          </w:p>
        </w:tc>
        <w:tc>
          <w:tcPr>
            <w:tcW w:w="1264" w:type="pct"/>
          </w:tcPr>
          <w:p w14:paraId="1D352A16">
            <w:pPr>
              <w:pStyle w:val="24"/>
              <w:rPr>
                <w:rFonts w:hint="eastAsia" w:ascii="宋体" w:hAnsi="宋体" w:cs="宋体"/>
                <w:b/>
              </w:rPr>
            </w:pPr>
          </w:p>
        </w:tc>
        <w:tc>
          <w:tcPr>
            <w:tcW w:w="1144" w:type="pct"/>
          </w:tcPr>
          <w:p w14:paraId="184A41F0">
            <w:pPr>
              <w:pStyle w:val="24"/>
              <w:rPr>
                <w:rFonts w:hint="eastAsia" w:ascii="宋体" w:hAnsi="宋体" w:cs="宋体"/>
                <w:b/>
              </w:rPr>
            </w:pPr>
          </w:p>
        </w:tc>
        <w:tc>
          <w:tcPr>
            <w:tcW w:w="688" w:type="pct"/>
          </w:tcPr>
          <w:p w14:paraId="35159973">
            <w:pPr>
              <w:pStyle w:val="24"/>
              <w:rPr>
                <w:rFonts w:hint="eastAsia" w:ascii="宋体" w:hAnsi="宋体" w:cs="宋体"/>
                <w:b/>
              </w:rPr>
            </w:pPr>
          </w:p>
        </w:tc>
        <w:tc>
          <w:tcPr>
            <w:tcW w:w="611" w:type="pct"/>
          </w:tcPr>
          <w:p w14:paraId="41CFFEEC">
            <w:pPr>
              <w:pStyle w:val="24"/>
              <w:rPr>
                <w:rFonts w:hint="eastAsia" w:ascii="宋体" w:hAnsi="宋体" w:cs="宋体"/>
                <w:b/>
              </w:rPr>
            </w:pPr>
          </w:p>
        </w:tc>
        <w:tc>
          <w:tcPr>
            <w:tcW w:w="819" w:type="pct"/>
          </w:tcPr>
          <w:p w14:paraId="023F9C4C">
            <w:pPr>
              <w:pStyle w:val="24"/>
              <w:rPr>
                <w:rFonts w:hint="eastAsia" w:ascii="宋体" w:hAnsi="宋体" w:cs="宋体"/>
                <w:b/>
              </w:rPr>
            </w:pPr>
          </w:p>
        </w:tc>
      </w:tr>
      <w:tr w14:paraId="6A38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8C459F0">
            <w:pPr>
              <w:pStyle w:val="24"/>
              <w:rPr>
                <w:rFonts w:hint="eastAsia" w:ascii="宋体" w:hAnsi="宋体" w:cs="宋体"/>
                <w:b/>
              </w:rPr>
            </w:pPr>
          </w:p>
        </w:tc>
        <w:tc>
          <w:tcPr>
            <w:tcW w:w="1264" w:type="pct"/>
          </w:tcPr>
          <w:p w14:paraId="2DDFF6D1">
            <w:pPr>
              <w:pStyle w:val="24"/>
              <w:rPr>
                <w:rFonts w:hint="eastAsia" w:ascii="宋体" w:hAnsi="宋体" w:cs="宋体"/>
                <w:b/>
              </w:rPr>
            </w:pPr>
          </w:p>
        </w:tc>
        <w:tc>
          <w:tcPr>
            <w:tcW w:w="1144" w:type="pct"/>
          </w:tcPr>
          <w:p w14:paraId="735D054D">
            <w:pPr>
              <w:pStyle w:val="24"/>
              <w:rPr>
                <w:rFonts w:hint="eastAsia" w:ascii="宋体" w:hAnsi="宋体" w:cs="宋体"/>
                <w:b/>
              </w:rPr>
            </w:pPr>
          </w:p>
        </w:tc>
        <w:tc>
          <w:tcPr>
            <w:tcW w:w="688" w:type="pct"/>
          </w:tcPr>
          <w:p w14:paraId="6C3D736D">
            <w:pPr>
              <w:pStyle w:val="24"/>
              <w:rPr>
                <w:rFonts w:hint="eastAsia" w:ascii="宋体" w:hAnsi="宋体" w:cs="宋体"/>
                <w:b/>
              </w:rPr>
            </w:pPr>
          </w:p>
        </w:tc>
        <w:tc>
          <w:tcPr>
            <w:tcW w:w="611" w:type="pct"/>
          </w:tcPr>
          <w:p w14:paraId="42CBF0C1">
            <w:pPr>
              <w:pStyle w:val="24"/>
              <w:rPr>
                <w:rFonts w:hint="eastAsia" w:ascii="宋体" w:hAnsi="宋体" w:cs="宋体"/>
                <w:b/>
              </w:rPr>
            </w:pPr>
          </w:p>
        </w:tc>
        <w:tc>
          <w:tcPr>
            <w:tcW w:w="819" w:type="pct"/>
          </w:tcPr>
          <w:p w14:paraId="622DB360">
            <w:pPr>
              <w:pStyle w:val="24"/>
              <w:rPr>
                <w:rFonts w:hint="eastAsia" w:ascii="宋体" w:hAnsi="宋体" w:cs="宋体"/>
                <w:b/>
              </w:rPr>
            </w:pPr>
          </w:p>
        </w:tc>
      </w:tr>
      <w:tr w14:paraId="518F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97049B0">
            <w:pPr>
              <w:pStyle w:val="24"/>
              <w:rPr>
                <w:rFonts w:hint="eastAsia" w:ascii="宋体" w:hAnsi="宋体" w:cs="宋体"/>
                <w:b/>
              </w:rPr>
            </w:pPr>
          </w:p>
        </w:tc>
        <w:tc>
          <w:tcPr>
            <w:tcW w:w="1264" w:type="pct"/>
          </w:tcPr>
          <w:p w14:paraId="107842E4">
            <w:pPr>
              <w:pStyle w:val="24"/>
              <w:rPr>
                <w:rFonts w:hint="eastAsia" w:ascii="宋体" w:hAnsi="宋体" w:cs="宋体"/>
                <w:b/>
              </w:rPr>
            </w:pPr>
          </w:p>
        </w:tc>
        <w:tc>
          <w:tcPr>
            <w:tcW w:w="1144" w:type="pct"/>
          </w:tcPr>
          <w:p w14:paraId="6EBF2611">
            <w:pPr>
              <w:pStyle w:val="24"/>
              <w:rPr>
                <w:rFonts w:hint="eastAsia" w:ascii="宋体" w:hAnsi="宋体" w:cs="宋体"/>
                <w:b/>
              </w:rPr>
            </w:pPr>
          </w:p>
        </w:tc>
        <w:tc>
          <w:tcPr>
            <w:tcW w:w="688" w:type="pct"/>
          </w:tcPr>
          <w:p w14:paraId="6F6A1106">
            <w:pPr>
              <w:pStyle w:val="24"/>
              <w:rPr>
                <w:rFonts w:hint="eastAsia" w:ascii="宋体" w:hAnsi="宋体" w:cs="宋体"/>
                <w:b/>
              </w:rPr>
            </w:pPr>
          </w:p>
        </w:tc>
        <w:tc>
          <w:tcPr>
            <w:tcW w:w="611" w:type="pct"/>
          </w:tcPr>
          <w:p w14:paraId="3ED48E77">
            <w:pPr>
              <w:pStyle w:val="24"/>
              <w:rPr>
                <w:rFonts w:hint="eastAsia" w:ascii="宋体" w:hAnsi="宋体" w:cs="宋体"/>
                <w:b/>
              </w:rPr>
            </w:pPr>
          </w:p>
        </w:tc>
        <w:tc>
          <w:tcPr>
            <w:tcW w:w="819" w:type="pct"/>
          </w:tcPr>
          <w:p w14:paraId="01A211A3">
            <w:pPr>
              <w:pStyle w:val="24"/>
              <w:rPr>
                <w:rFonts w:hint="eastAsia" w:ascii="宋体" w:hAnsi="宋体" w:cs="宋体"/>
                <w:b/>
              </w:rPr>
            </w:pPr>
          </w:p>
        </w:tc>
      </w:tr>
    </w:tbl>
    <w:p w14:paraId="699C0000">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14D9A580">
      <w:pPr>
        <w:tabs>
          <w:tab w:val="left" w:pos="1578"/>
          <w:tab w:val="left" w:pos="10083"/>
        </w:tabs>
        <w:spacing w:line="500" w:lineRule="exact"/>
        <w:rPr>
          <w:rFonts w:hint="eastAsia" w:ascii="宋体" w:hAnsi="宋体" w:cs="宋体"/>
          <w:sz w:val="24"/>
        </w:rPr>
      </w:pPr>
    </w:p>
    <w:p w14:paraId="209EF717">
      <w:pPr>
        <w:spacing w:line="660" w:lineRule="exact"/>
        <w:rPr>
          <w:rFonts w:hint="eastAsia" w:ascii="宋体" w:hAnsi="宋体" w:cs="宋体"/>
          <w:sz w:val="24"/>
        </w:rPr>
      </w:pPr>
      <w:r>
        <w:rPr>
          <w:rFonts w:hint="eastAsia" w:ascii="宋体" w:hAnsi="宋体" w:cs="宋体"/>
          <w:sz w:val="24"/>
        </w:rPr>
        <w:t>投标人：（盖章）</w:t>
      </w:r>
    </w:p>
    <w:p w14:paraId="4A3C39C0">
      <w:pPr>
        <w:spacing w:line="660" w:lineRule="exact"/>
        <w:rPr>
          <w:rFonts w:hint="eastAsia" w:ascii="宋体" w:hAnsi="宋体" w:cs="宋体"/>
          <w:sz w:val="24"/>
        </w:rPr>
      </w:pPr>
      <w:r>
        <w:rPr>
          <w:rFonts w:hint="eastAsia" w:ascii="宋体" w:hAnsi="宋体" w:cs="宋体"/>
          <w:sz w:val="24"/>
        </w:rPr>
        <w:t>法定代表人（委托代理人）：（签字）</w:t>
      </w:r>
    </w:p>
    <w:p w14:paraId="739025FA">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32CD8ED">
      <w:pPr>
        <w:rPr>
          <w:rFonts w:hint="eastAsia" w:ascii="宋体" w:hAnsi="宋体" w:cs="宋体"/>
          <w:b/>
          <w:bCs/>
          <w:color w:val="000000"/>
          <w:sz w:val="28"/>
        </w:rPr>
      </w:pPr>
    </w:p>
    <w:p w14:paraId="72656A09">
      <w:pPr>
        <w:rPr>
          <w:rFonts w:hint="eastAsia" w:ascii="宋体" w:hAnsi="宋体" w:cs="宋体"/>
          <w:b/>
          <w:bCs/>
          <w:color w:val="000000"/>
          <w:sz w:val="28"/>
          <w:szCs w:val="22"/>
        </w:rPr>
      </w:pPr>
    </w:p>
    <w:p w14:paraId="22DC8C68">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3241EC92">
      <w:pPr>
        <w:pStyle w:val="85"/>
        <w:rPr>
          <w:rFonts w:hint="eastAsia" w:ascii="宋体" w:hAnsi="宋体" w:eastAsia="宋体" w:cs="宋体"/>
        </w:rPr>
      </w:pPr>
      <w:r>
        <w:rPr>
          <w:rFonts w:hint="eastAsia" w:ascii="宋体" w:hAnsi="宋体" w:eastAsia="宋体" w:cs="宋体"/>
        </w:rPr>
        <w:t>附件6 质量承诺函</w:t>
      </w:r>
    </w:p>
    <w:p w14:paraId="5426DDAA">
      <w:pPr>
        <w:spacing w:line="240" w:lineRule="exact"/>
        <w:rPr>
          <w:rFonts w:hint="eastAsia" w:ascii="宋体" w:hAnsi="宋体" w:cs="宋体"/>
        </w:rPr>
      </w:pPr>
      <w:r>
        <w:rPr>
          <w:rFonts w:hint="eastAsia" w:ascii="宋体" w:hAnsi="宋体" w:cs="宋体"/>
        </w:rPr>
        <w:t xml:space="preserve">                                               </w:t>
      </w:r>
    </w:p>
    <w:p w14:paraId="2D339D6C">
      <w:pPr>
        <w:spacing w:line="360" w:lineRule="auto"/>
        <w:rPr>
          <w:rFonts w:hint="eastAsia"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r>
        <w:rPr>
          <w:rFonts w:hint="eastAsia" w:ascii="宋体" w:hAnsi="宋体" w:cs="宋体"/>
          <w:color w:val="000000"/>
          <w:sz w:val="24"/>
          <w:szCs w:val="24"/>
          <w:u w:val="single"/>
        </w:rPr>
        <w:t>产品试验检测中心莱芜园区消防维保项目</w:t>
      </w:r>
      <w:r>
        <w:rPr>
          <w:rFonts w:hint="eastAsia" w:ascii="宋体" w:hAnsi="宋体" w:cs="宋体"/>
          <w:sz w:val="24"/>
          <w:u w:val="single"/>
        </w:rPr>
        <w:t xml:space="preserve"> </w:t>
      </w:r>
    </w:p>
    <w:p w14:paraId="1F3E2039">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4BB3CE3D">
      <w:pPr>
        <w:spacing w:line="360" w:lineRule="auto"/>
        <w:ind w:firstLine="480" w:firstLineChars="200"/>
        <w:rPr>
          <w:rFonts w:hint="eastAsia" w:ascii="宋体" w:hAnsi="宋体" w:cs="宋体"/>
          <w:sz w:val="24"/>
        </w:rPr>
      </w:pPr>
      <w:r>
        <w:rPr>
          <w:rFonts w:hint="eastAsia" w:ascii="宋体" w:hAnsi="宋体" w:cs="宋体"/>
          <w:sz w:val="24"/>
        </w:rPr>
        <w:t>我代表(投标单位名称)为保证中标产品的质量特作如下承诺：</w:t>
      </w:r>
    </w:p>
    <w:p w14:paraId="4AF50E0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E456D3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9DC235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350769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15E102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9D1494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3D8E51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E206EC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0F9DB7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A29BFE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8EC503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6D169F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CA7882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8F6D653">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DD7871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8D1E60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80D902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82F50B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F2BDBE7">
      <w:pPr>
        <w:spacing w:line="360" w:lineRule="auto"/>
        <w:ind w:left="480"/>
        <w:rPr>
          <w:rFonts w:hint="eastAsia" w:ascii="宋体" w:hAnsi="宋体" w:cs="宋体"/>
          <w:sz w:val="24"/>
        </w:rPr>
      </w:pPr>
      <w:r>
        <w:rPr>
          <w:rFonts w:hint="eastAsia" w:ascii="宋体" w:hAnsi="宋体" w:cs="宋体"/>
          <w:sz w:val="24"/>
        </w:rPr>
        <w:t xml:space="preserve">                           </w:t>
      </w:r>
    </w:p>
    <w:p w14:paraId="5BA4A6BC">
      <w:pPr>
        <w:spacing w:line="660" w:lineRule="exact"/>
        <w:rPr>
          <w:rFonts w:hint="eastAsia" w:ascii="宋体" w:hAnsi="宋体" w:cs="宋体"/>
          <w:sz w:val="24"/>
        </w:rPr>
      </w:pPr>
      <w:r>
        <w:rPr>
          <w:rFonts w:hint="eastAsia" w:ascii="宋体" w:hAnsi="宋体" w:cs="宋体"/>
          <w:sz w:val="24"/>
        </w:rPr>
        <w:t>投标人：（盖章）</w:t>
      </w:r>
    </w:p>
    <w:p w14:paraId="450AF73A">
      <w:pPr>
        <w:spacing w:line="660" w:lineRule="exact"/>
        <w:rPr>
          <w:rFonts w:hint="eastAsia" w:ascii="宋体" w:hAnsi="宋体" w:cs="宋体"/>
          <w:sz w:val="24"/>
        </w:rPr>
      </w:pPr>
      <w:r>
        <w:rPr>
          <w:rFonts w:hint="eastAsia" w:ascii="宋体" w:hAnsi="宋体" w:cs="宋体"/>
          <w:sz w:val="24"/>
        </w:rPr>
        <w:t>法定代表人（委托代理人）：（签字）</w:t>
      </w:r>
    </w:p>
    <w:p w14:paraId="5256484F">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7B2E6E3">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DD0F355">
      <w:pPr>
        <w:pStyle w:val="85"/>
        <w:rPr>
          <w:rFonts w:hint="eastAsia" w:ascii="宋体" w:hAnsi="宋体" w:eastAsia="宋体" w:cs="宋体"/>
        </w:rPr>
      </w:pPr>
      <w:r>
        <w:rPr>
          <w:rFonts w:hint="eastAsia" w:ascii="宋体" w:hAnsi="宋体" w:eastAsia="宋体" w:cs="宋体"/>
        </w:rPr>
        <w:t>附件7 开标一览表</w:t>
      </w:r>
    </w:p>
    <w:p w14:paraId="153F3E23">
      <w:pPr>
        <w:pStyle w:val="79"/>
        <w:ind w:firstLine="482"/>
        <w:rPr>
          <w:rFonts w:hint="eastAsia" w:eastAsia="宋体" w:cs="宋体"/>
          <w:b/>
        </w:rPr>
      </w:pPr>
      <w:r>
        <w:rPr>
          <w:rFonts w:hint="eastAsia" w:eastAsia="宋体" w:cs="宋体"/>
          <w:b/>
        </w:rPr>
        <w:t>《开标一览表》单独封存，以备唱标使用</w:t>
      </w:r>
    </w:p>
    <w:p w14:paraId="36C77667">
      <w:pPr>
        <w:pStyle w:val="79"/>
        <w:ind w:firstLine="480"/>
        <w:rPr>
          <w:rFonts w:hint="eastAsia" w:eastAsia="宋体" w:cs="宋体"/>
        </w:rPr>
      </w:pPr>
      <w:r>
        <w:rPr>
          <w:rFonts w:hint="eastAsia" w:eastAsia="宋体" w:cs="宋体"/>
        </w:rPr>
        <w:t>项目名称：产品试验检测中心莱芜园区消防维保项目</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14:paraId="4902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7792E17C">
            <w:pPr>
              <w:pStyle w:val="83"/>
              <w:rPr>
                <w:rFonts w:hint="eastAsia" w:ascii="宋体" w:hAnsi="宋体" w:eastAsia="宋体" w:cs="宋体"/>
              </w:rPr>
            </w:pPr>
            <w:r>
              <w:rPr>
                <w:rFonts w:hint="eastAsia" w:ascii="宋体" w:hAnsi="宋体" w:eastAsia="宋体" w:cs="宋体"/>
              </w:rPr>
              <w:t>报价单</w:t>
            </w:r>
          </w:p>
        </w:tc>
      </w:tr>
      <w:tr w14:paraId="68C0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0F091C3A">
            <w:pPr>
              <w:pStyle w:val="83"/>
              <w:rPr>
                <w:rFonts w:hint="eastAsia" w:ascii="宋体" w:hAnsi="宋体" w:eastAsia="宋体" w:cs="宋体"/>
              </w:rPr>
            </w:pPr>
            <w:r>
              <w:rPr>
                <w:rFonts w:hint="eastAsia" w:ascii="宋体" w:hAnsi="宋体" w:eastAsia="宋体" w:cs="宋体"/>
              </w:rPr>
              <w:t>序号</w:t>
            </w:r>
          </w:p>
        </w:tc>
        <w:tc>
          <w:tcPr>
            <w:tcW w:w="751" w:type="pct"/>
            <w:vAlign w:val="center"/>
          </w:tcPr>
          <w:p w14:paraId="275B8745">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14:paraId="0A20E14B">
            <w:pPr>
              <w:pStyle w:val="83"/>
              <w:rPr>
                <w:rFonts w:hint="eastAsia" w:ascii="宋体" w:hAnsi="宋体" w:eastAsia="宋体" w:cs="宋体"/>
              </w:rPr>
            </w:pPr>
            <w:r>
              <w:rPr>
                <w:rFonts w:hint="eastAsia" w:ascii="宋体" w:hAnsi="宋体" w:eastAsia="宋体" w:cs="宋体"/>
              </w:rPr>
              <w:t>投标总价</w:t>
            </w:r>
          </w:p>
          <w:p w14:paraId="1A47A001">
            <w:pPr>
              <w:pStyle w:val="83"/>
              <w:rPr>
                <w:rFonts w:hint="eastAsia" w:ascii="宋体" w:hAnsi="宋体" w:eastAsia="宋体" w:cs="宋体"/>
              </w:rPr>
            </w:pPr>
            <w:r>
              <w:rPr>
                <w:rFonts w:hint="eastAsia" w:ascii="宋体" w:hAnsi="宋体" w:eastAsia="宋体" w:cs="宋体"/>
              </w:rPr>
              <w:t>（元）</w:t>
            </w:r>
          </w:p>
        </w:tc>
        <w:tc>
          <w:tcPr>
            <w:tcW w:w="381" w:type="pct"/>
            <w:vAlign w:val="center"/>
          </w:tcPr>
          <w:p w14:paraId="047DDD2D">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1242BC75">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437948FD">
            <w:pPr>
              <w:pStyle w:val="83"/>
              <w:rPr>
                <w:rFonts w:hint="eastAsia" w:ascii="宋体" w:hAnsi="宋体" w:eastAsia="宋体" w:cs="宋体"/>
              </w:rPr>
            </w:pPr>
            <w:r>
              <w:rPr>
                <w:rFonts w:hint="eastAsia" w:ascii="宋体" w:hAnsi="宋体" w:eastAsia="宋体" w:cs="宋体"/>
              </w:rPr>
              <w:t>质保期</w:t>
            </w:r>
          </w:p>
          <w:p w14:paraId="7A4CBED2">
            <w:pPr>
              <w:pStyle w:val="83"/>
              <w:rPr>
                <w:rFonts w:hint="eastAsia" w:ascii="宋体" w:hAnsi="宋体" w:eastAsia="宋体" w:cs="宋体"/>
              </w:rPr>
            </w:pPr>
            <w:r>
              <w:rPr>
                <w:rFonts w:hint="eastAsia" w:ascii="宋体" w:hAnsi="宋体" w:eastAsia="宋体" w:cs="宋体"/>
              </w:rPr>
              <w:t>（若有）</w:t>
            </w:r>
          </w:p>
        </w:tc>
        <w:tc>
          <w:tcPr>
            <w:tcW w:w="831" w:type="pct"/>
            <w:vAlign w:val="center"/>
          </w:tcPr>
          <w:p w14:paraId="713C8FF0">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6F78F66A">
            <w:pPr>
              <w:pStyle w:val="83"/>
              <w:rPr>
                <w:rFonts w:hint="eastAsia" w:ascii="宋体" w:hAnsi="宋体" w:eastAsia="宋体" w:cs="宋体"/>
              </w:rPr>
            </w:pPr>
            <w:r>
              <w:rPr>
                <w:rFonts w:hint="eastAsia" w:ascii="宋体" w:hAnsi="宋体" w:eastAsia="宋体" w:cs="宋体"/>
              </w:rPr>
              <w:t>付款方式及比例是否偏离</w:t>
            </w:r>
          </w:p>
        </w:tc>
      </w:tr>
      <w:tr w14:paraId="6459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382F6916">
            <w:pPr>
              <w:pStyle w:val="83"/>
              <w:rPr>
                <w:rFonts w:hint="eastAsia" w:ascii="宋体" w:hAnsi="宋体" w:eastAsia="宋体" w:cs="宋体"/>
              </w:rPr>
            </w:pPr>
            <w:r>
              <w:rPr>
                <w:rFonts w:hint="eastAsia" w:ascii="宋体" w:hAnsi="宋体" w:eastAsia="宋体" w:cs="宋体"/>
              </w:rPr>
              <w:t>1</w:t>
            </w:r>
          </w:p>
        </w:tc>
        <w:tc>
          <w:tcPr>
            <w:tcW w:w="751" w:type="pct"/>
            <w:vAlign w:val="center"/>
          </w:tcPr>
          <w:p w14:paraId="2C7756C9">
            <w:pPr>
              <w:pStyle w:val="83"/>
              <w:rPr>
                <w:rFonts w:hint="eastAsia" w:ascii="宋体" w:hAnsi="宋体" w:eastAsia="宋体" w:cs="宋体"/>
              </w:rPr>
            </w:pPr>
            <w:r>
              <w:rPr>
                <w:rFonts w:hint="eastAsia" w:ascii="宋体" w:hAnsi="宋体" w:eastAsia="宋体" w:cs="宋体"/>
                <w:color w:val="000000"/>
                <w:sz w:val="24"/>
                <w:szCs w:val="24"/>
              </w:rPr>
              <w:t>产品试验检测中心莱芜园区消防维保项目</w:t>
            </w:r>
          </w:p>
        </w:tc>
        <w:tc>
          <w:tcPr>
            <w:tcW w:w="614" w:type="pct"/>
            <w:vAlign w:val="center"/>
          </w:tcPr>
          <w:p w14:paraId="2D0255CD">
            <w:pPr>
              <w:pStyle w:val="83"/>
              <w:rPr>
                <w:rFonts w:hint="eastAsia" w:ascii="宋体" w:hAnsi="宋体" w:eastAsia="宋体" w:cs="宋体"/>
              </w:rPr>
            </w:pPr>
          </w:p>
        </w:tc>
        <w:tc>
          <w:tcPr>
            <w:tcW w:w="381" w:type="pct"/>
            <w:vAlign w:val="center"/>
          </w:tcPr>
          <w:p w14:paraId="782700B3">
            <w:pPr>
              <w:pStyle w:val="83"/>
              <w:rPr>
                <w:rFonts w:hint="eastAsia" w:ascii="宋体" w:hAnsi="宋体" w:eastAsia="宋体" w:cs="宋体"/>
              </w:rPr>
            </w:pPr>
          </w:p>
        </w:tc>
        <w:tc>
          <w:tcPr>
            <w:tcW w:w="363" w:type="pct"/>
            <w:vAlign w:val="center"/>
          </w:tcPr>
          <w:p w14:paraId="40E014D4">
            <w:pPr>
              <w:pStyle w:val="83"/>
              <w:rPr>
                <w:rFonts w:hint="eastAsia" w:ascii="宋体" w:hAnsi="宋体" w:eastAsia="宋体" w:cs="宋体"/>
              </w:rPr>
            </w:pPr>
          </w:p>
        </w:tc>
        <w:tc>
          <w:tcPr>
            <w:tcW w:w="650" w:type="pct"/>
            <w:vAlign w:val="center"/>
          </w:tcPr>
          <w:p w14:paraId="354D2E81">
            <w:pPr>
              <w:pStyle w:val="83"/>
              <w:rPr>
                <w:rFonts w:hint="eastAsia" w:ascii="宋体" w:hAnsi="宋体" w:eastAsia="宋体" w:cs="宋体"/>
              </w:rPr>
            </w:pPr>
          </w:p>
        </w:tc>
        <w:tc>
          <w:tcPr>
            <w:tcW w:w="831" w:type="pct"/>
            <w:vAlign w:val="center"/>
          </w:tcPr>
          <w:p w14:paraId="7CD7D8CA">
            <w:pPr>
              <w:pStyle w:val="83"/>
              <w:rPr>
                <w:rFonts w:hint="eastAsia" w:ascii="宋体" w:hAnsi="宋体" w:eastAsia="宋体" w:cs="宋体"/>
              </w:rPr>
            </w:pPr>
          </w:p>
        </w:tc>
        <w:tc>
          <w:tcPr>
            <w:tcW w:w="1109" w:type="pct"/>
            <w:vAlign w:val="center"/>
          </w:tcPr>
          <w:p w14:paraId="7CD79BBF">
            <w:pPr>
              <w:pStyle w:val="83"/>
              <w:rPr>
                <w:rFonts w:hint="eastAsia" w:ascii="宋体" w:hAnsi="宋体" w:eastAsia="宋体" w:cs="宋体"/>
              </w:rPr>
            </w:pPr>
          </w:p>
        </w:tc>
      </w:tr>
      <w:tr w14:paraId="7B67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27067737">
            <w:pPr>
              <w:pStyle w:val="83"/>
              <w:rPr>
                <w:rFonts w:hint="eastAsia" w:ascii="宋体" w:hAnsi="宋体" w:eastAsia="宋体" w:cs="宋体"/>
              </w:rPr>
            </w:pPr>
            <w:r>
              <w:rPr>
                <w:rFonts w:hint="eastAsia" w:ascii="宋体" w:hAnsi="宋体" w:eastAsia="宋体" w:cs="宋体"/>
              </w:rPr>
              <w:t>2</w:t>
            </w:r>
          </w:p>
        </w:tc>
        <w:tc>
          <w:tcPr>
            <w:tcW w:w="751" w:type="pct"/>
            <w:vAlign w:val="center"/>
          </w:tcPr>
          <w:p w14:paraId="2F6BE800">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20E370D7">
            <w:pPr>
              <w:pStyle w:val="83"/>
              <w:rPr>
                <w:rFonts w:hint="eastAsia" w:ascii="宋体" w:hAnsi="宋体" w:eastAsia="宋体" w:cs="宋体"/>
              </w:rPr>
            </w:pPr>
          </w:p>
        </w:tc>
      </w:tr>
    </w:tbl>
    <w:p w14:paraId="141F1F95">
      <w:pPr>
        <w:pStyle w:val="79"/>
        <w:ind w:firstLine="0" w:firstLineChars="0"/>
        <w:rPr>
          <w:rFonts w:hint="eastAsia" w:eastAsia="宋体" w:cs="宋体"/>
          <w:szCs w:val="21"/>
        </w:rPr>
      </w:pPr>
      <w:r>
        <w:rPr>
          <w:rFonts w:hint="eastAsia" w:eastAsia="宋体" w:cs="宋体"/>
          <w:b/>
          <w:bCs/>
          <w:szCs w:val="21"/>
        </w:rPr>
        <w:t>注：</w:t>
      </w:r>
    </w:p>
    <w:p w14:paraId="06C2297E">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14:paraId="6153C102">
      <w:pPr>
        <w:spacing w:line="300" w:lineRule="auto"/>
        <w:rPr>
          <w:rFonts w:hint="eastAsia" w:ascii="宋体" w:hAnsi="宋体" w:cs="宋体"/>
          <w:b/>
          <w:bCs/>
          <w:szCs w:val="21"/>
        </w:rPr>
      </w:pPr>
      <w:r>
        <w:rPr>
          <w:rFonts w:hint="eastAsia" w:ascii="宋体" w:hAnsi="宋体" w:cs="宋体"/>
          <w:b/>
          <w:bCs/>
          <w:szCs w:val="21"/>
        </w:rPr>
        <w:t>2、附件789单独封装一份，否则不予唱标。</w:t>
      </w:r>
    </w:p>
    <w:p w14:paraId="1A1DF8BF">
      <w:pPr>
        <w:spacing w:line="300" w:lineRule="auto"/>
        <w:rPr>
          <w:rFonts w:hint="eastAsia" w:ascii="宋体" w:hAnsi="宋体" w:cs="宋体"/>
          <w:b/>
          <w:bCs/>
          <w:szCs w:val="21"/>
        </w:rPr>
      </w:pPr>
      <w:r>
        <w:rPr>
          <w:rFonts w:hint="eastAsia" w:ascii="宋体" w:hAnsi="宋体" w:cs="宋体"/>
          <w:b/>
          <w:bCs/>
          <w:szCs w:val="21"/>
        </w:rPr>
        <w:t>3、需写明含税价、不含税价格、税率。</w:t>
      </w:r>
    </w:p>
    <w:p w14:paraId="446CF44F">
      <w:pPr>
        <w:spacing w:line="660" w:lineRule="exact"/>
        <w:rPr>
          <w:rFonts w:hint="eastAsia" w:ascii="宋体" w:hAnsi="宋体" w:cs="宋体"/>
          <w:sz w:val="24"/>
        </w:rPr>
      </w:pPr>
    </w:p>
    <w:p w14:paraId="37C98C82">
      <w:pPr>
        <w:spacing w:line="660" w:lineRule="exact"/>
        <w:rPr>
          <w:rFonts w:hint="eastAsia" w:ascii="宋体" w:hAnsi="宋体" w:cs="宋体"/>
          <w:sz w:val="24"/>
        </w:rPr>
      </w:pPr>
    </w:p>
    <w:p w14:paraId="21251E7C">
      <w:pPr>
        <w:spacing w:line="660" w:lineRule="exact"/>
        <w:rPr>
          <w:rFonts w:hint="eastAsia" w:ascii="宋体" w:hAnsi="宋体" w:cs="宋体"/>
          <w:sz w:val="24"/>
        </w:rPr>
      </w:pPr>
    </w:p>
    <w:p w14:paraId="627B0AE7">
      <w:pPr>
        <w:spacing w:line="660" w:lineRule="exact"/>
        <w:ind w:firstLine="3360" w:firstLineChars="1400"/>
        <w:rPr>
          <w:rFonts w:hint="eastAsia" w:ascii="宋体" w:hAnsi="宋体" w:cs="宋体"/>
          <w:sz w:val="24"/>
        </w:rPr>
      </w:pPr>
      <w:r>
        <w:rPr>
          <w:rFonts w:hint="eastAsia" w:ascii="宋体" w:hAnsi="宋体" w:cs="宋体"/>
          <w:sz w:val="24"/>
        </w:rPr>
        <w:t>投标人：（盖章）</w:t>
      </w:r>
    </w:p>
    <w:p w14:paraId="565E49C5">
      <w:pPr>
        <w:spacing w:line="660" w:lineRule="exact"/>
        <w:ind w:firstLine="3360" w:firstLineChars="1400"/>
        <w:rPr>
          <w:rFonts w:hint="eastAsia" w:ascii="宋体" w:hAnsi="宋体" w:cs="宋体"/>
          <w:sz w:val="24"/>
        </w:rPr>
      </w:pPr>
      <w:r>
        <w:rPr>
          <w:rFonts w:hint="eastAsia" w:ascii="宋体" w:hAnsi="宋体" w:cs="宋体"/>
          <w:sz w:val="24"/>
        </w:rPr>
        <w:t>法定代表人（委托代理人）：（签字）</w:t>
      </w:r>
    </w:p>
    <w:p w14:paraId="24341C98">
      <w:pPr>
        <w:spacing w:line="660" w:lineRule="exact"/>
        <w:ind w:firstLine="3360" w:firstLineChars="1400"/>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BD445B2">
      <w:pPr>
        <w:ind w:firstLine="480"/>
        <w:rPr>
          <w:rFonts w:hint="eastAsia" w:ascii="宋体" w:hAnsi="宋体" w:cs="宋体"/>
          <w:color w:val="000000"/>
          <w:sz w:val="24"/>
          <w:szCs w:val="24"/>
        </w:rPr>
      </w:pPr>
    </w:p>
    <w:p w14:paraId="2D2D27FF">
      <w:pPr>
        <w:ind w:firstLine="480"/>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3E173E25">
      <w:pPr>
        <w:pStyle w:val="85"/>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附件8 投标报价明细表</w:t>
      </w:r>
      <w:bookmarkEnd w:id="10"/>
      <w:bookmarkEnd w:id="11"/>
      <w:bookmarkEnd w:id="12"/>
    </w:p>
    <w:p w14:paraId="6AC9CD27">
      <w:pPr>
        <w:pStyle w:val="79"/>
        <w:ind w:firstLine="480"/>
        <w:rPr>
          <w:rFonts w:hint="eastAsia" w:eastAsia="宋体" w:cs="宋体"/>
        </w:rPr>
      </w:pPr>
      <w:r>
        <w:rPr>
          <w:rFonts w:hint="eastAsia" w:eastAsia="宋体" w:cs="宋体"/>
        </w:rPr>
        <w:t>项目名称：产品试验检测中心莱芜园区消防维保项目</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708"/>
        <w:gridCol w:w="663"/>
        <w:gridCol w:w="1375"/>
        <w:gridCol w:w="774"/>
        <w:gridCol w:w="1865"/>
        <w:gridCol w:w="2038"/>
      </w:tblGrid>
      <w:tr w14:paraId="2258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14" w:type="dxa"/>
          </w:tcPr>
          <w:p w14:paraId="1330464D">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序号</w:t>
            </w:r>
          </w:p>
        </w:tc>
        <w:tc>
          <w:tcPr>
            <w:tcW w:w="1708" w:type="dxa"/>
          </w:tcPr>
          <w:p w14:paraId="3CB329ED">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项目名称</w:t>
            </w:r>
          </w:p>
        </w:tc>
        <w:tc>
          <w:tcPr>
            <w:tcW w:w="663" w:type="dxa"/>
          </w:tcPr>
          <w:p w14:paraId="7808DE21">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单位</w:t>
            </w:r>
          </w:p>
        </w:tc>
        <w:tc>
          <w:tcPr>
            <w:tcW w:w="1375" w:type="dxa"/>
          </w:tcPr>
          <w:p w14:paraId="5BCA8B68">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单价（含税）</w:t>
            </w:r>
          </w:p>
        </w:tc>
        <w:tc>
          <w:tcPr>
            <w:tcW w:w="774" w:type="dxa"/>
          </w:tcPr>
          <w:p w14:paraId="64139D27">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数量</w:t>
            </w:r>
          </w:p>
        </w:tc>
        <w:tc>
          <w:tcPr>
            <w:tcW w:w="1865" w:type="dxa"/>
          </w:tcPr>
          <w:p w14:paraId="07B27333">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分项总价（含税）</w:t>
            </w:r>
          </w:p>
        </w:tc>
        <w:tc>
          <w:tcPr>
            <w:tcW w:w="2038" w:type="dxa"/>
          </w:tcPr>
          <w:p w14:paraId="7A923808">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备注</w:t>
            </w:r>
          </w:p>
        </w:tc>
      </w:tr>
      <w:tr w14:paraId="36E8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14" w:type="dxa"/>
            <w:vAlign w:val="center"/>
          </w:tcPr>
          <w:p w14:paraId="26A17F68">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w:t>
            </w:r>
          </w:p>
        </w:tc>
        <w:tc>
          <w:tcPr>
            <w:tcW w:w="1708" w:type="dxa"/>
            <w:vAlign w:val="center"/>
          </w:tcPr>
          <w:p w14:paraId="664DC2FB">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火灾自动报警联动系统</w:t>
            </w:r>
          </w:p>
        </w:tc>
        <w:tc>
          <w:tcPr>
            <w:tcW w:w="663" w:type="dxa"/>
            <w:vAlign w:val="center"/>
          </w:tcPr>
          <w:p w14:paraId="50CC4855">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个</w:t>
            </w:r>
          </w:p>
        </w:tc>
        <w:tc>
          <w:tcPr>
            <w:tcW w:w="1375" w:type="dxa"/>
          </w:tcPr>
          <w:p w14:paraId="31E83C26">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57D2A376">
            <w:pPr>
              <w:widowControl/>
              <w:jc w:val="center"/>
              <w:textAlignment w:val="center"/>
              <w:rPr>
                <w:rFonts w:hint="eastAsia" w:ascii="宋体" w:hAnsi="宋体" w:cs="宋体" w:eastAsiaTheme="minorEastAsia"/>
                <w:color w:val="000000"/>
                <w:kern w:val="0"/>
                <w:sz w:val="22"/>
                <w:szCs w:val="22"/>
                <w:highlight w:val="none"/>
              </w:rPr>
            </w:pPr>
            <w:r>
              <w:rPr>
                <w:rFonts w:hint="eastAsia" w:ascii="宋体" w:hAnsi="宋体" w:eastAsia="Times New Roman" w:cs="宋体"/>
                <w:color w:val="000000"/>
                <w:kern w:val="0"/>
                <w:sz w:val="22"/>
                <w:szCs w:val="22"/>
              </w:rPr>
              <w:t>1550</w:t>
            </w:r>
          </w:p>
        </w:tc>
        <w:tc>
          <w:tcPr>
            <w:tcW w:w="1865" w:type="dxa"/>
          </w:tcPr>
          <w:p w14:paraId="62B5E8C1">
            <w:pPr>
              <w:widowControl/>
              <w:jc w:val="center"/>
              <w:textAlignment w:val="center"/>
              <w:rPr>
                <w:rFonts w:ascii="宋体" w:hAnsi="宋体" w:eastAsia="Times New Roman" w:cs="宋体"/>
                <w:color w:val="000000"/>
                <w:kern w:val="0"/>
                <w:sz w:val="22"/>
                <w:szCs w:val="22"/>
                <w:highlight w:val="none"/>
              </w:rPr>
            </w:pPr>
          </w:p>
        </w:tc>
        <w:tc>
          <w:tcPr>
            <w:tcW w:w="2038" w:type="dxa"/>
          </w:tcPr>
          <w:p w14:paraId="0CF29601">
            <w:pPr>
              <w:widowControl/>
              <w:jc w:val="center"/>
              <w:textAlignment w:val="center"/>
              <w:rPr>
                <w:rFonts w:ascii="宋体" w:hAnsi="宋体" w:eastAsia="Times New Roman" w:cs="宋体"/>
                <w:color w:val="000000"/>
                <w:kern w:val="0"/>
                <w:sz w:val="22"/>
                <w:szCs w:val="22"/>
              </w:rPr>
            </w:pPr>
          </w:p>
        </w:tc>
      </w:tr>
      <w:tr w14:paraId="6F8D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dxa"/>
            <w:vAlign w:val="center"/>
          </w:tcPr>
          <w:p w14:paraId="2AC5D9FF">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2</w:t>
            </w:r>
          </w:p>
        </w:tc>
        <w:tc>
          <w:tcPr>
            <w:tcW w:w="1708" w:type="dxa"/>
            <w:vAlign w:val="center"/>
          </w:tcPr>
          <w:p w14:paraId="5F2F6E07">
            <w:pPr>
              <w:widowControl/>
              <w:jc w:val="center"/>
              <w:textAlignment w:val="center"/>
              <w:rPr>
                <w:rFonts w:ascii="宋体" w:hAnsi="宋体" w:eastAsia="Times New Roman" w:cs="宋体"/>
                <w:color w:val="000000"/>
                <w:kern w:val="0"/>
                <w:sz w:val="22"/>
                <w:szCs w:val="22"/>
                <w:highlight w:val="none"/>
              </w:rPr>
            </w:pPr>
            <w:r>
              <w:rPr>
                <w:rFonts w:hint="eastAsia" w:ascii="宋体" w:hAnsi="宋体" w:eastAsia="Times New Roman" w:cs="宋体"/>
                <w:color w:val="000000"/>
                <w:kern w:val="0"/>
                <w:sz w:val="22"/>
                <w:szCs w:val="22"/>
                <w:highlight w:val="none"/>
              </w:rPr>
              <w:t>高压细水雾</w:t>
            </w:r>
            <w:r>
              <w:rPr>
                <w:rFonts w:ascii="宋体" w:hAnsi="宋体" w:eastAsia="Times New Roman" w:cs="宋体"/>
                <w:color w:val="000000"/>
                <w:kern w:val="0"/>
                <w:sz w:val="22"/>
                <w:szCs w:val="22"/>
                <w:highlight w:val="none"/>
              </w:rPr>
              <w:t>自动喷水灭火系统</w:t>
            </w:r>
          </w:p>
        </w:tc>
        <w:tc>
          <w:tcPr>
            <w:tcW w:w="663" w:type="dxa"/>
            <w:vAlign w:val="center"/>
          </w:tcPr>
          <w:p w14:paraId="1F02F0D0">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项</w:t>
            </w:r>
          </w:p>
        </w:tc>
        <w:tc>
          <w:tcPr>
            <w:tcW w:w="1375" w:type="dxa"/>
          </w:tcPr>
          <w:p w14:paraId="6EC94134">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2AC2AE44">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rPr>
              <w:t>1</w:t>
            </w:r>
          </w:p>
        </w:tc>
        <w:tc>
          <w:tcPr>
            <w:tcW w:w="1865" w:type="dxa"/>
          </w:tcPr>
          <w:p w14:paraId="1E63D228">
            <w:pPr>
              <w:widowControl/>
              <w:jc w:val="center"/>
              <w:textAlignment w:val="center"/>
              <w:rPr>
                <w:rFonts w:ascii="宋体" w:hAnsi="宋体" w:eastAsia="Times New Roman" w:cs="宋体"/>
                <w:color w:val="000000"/>
                <w:kern w:val="0"/>
                <w:sz w:val="22"/>
                <w:szCs w:val="22"/>
              </w:rPr>
            </w:pPr>
          </w:p>
        </w:tc>
        <w:tc>
          <w:tcPr>
            <w:tcW w:w="2038" w:type="dxa"/>
          </w:tcPr>
          <w:p w14:paraId="26880EA9">
            <w:pPr>
              <w:widowControl/>
              <w:jc w:val="center"/>
              <w:textAlignment w:val="center"/>
              <w:rPr>
                <w:rFonts w:ascii="宋体" w:hAnsi="宋体" w:eastAsia="Times New Roman" w:cs="宋体"/>
                <w:color w:val="000000"/>
                <w:kern w:val="0"/>
                <w:sz w:val="22"/>
                <w:szCs w:val="22"/>
              </w:rPr>
            </w:pPr>
          </w:p>
        </w:tc>
      </w:tr>
      <w:tr w14:paraId="4701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14" w:type="dxa"/>
            <w:vAlign w:val="center"/>
          </w:tcPr>
          <w:p w14:paraId="5694EFDD">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3</w:t>
            </w:r>
          </w:p>
        </w:tc>
        <w:tc>
          <w:tcPr>
            <w:tcW w:w="1708" w:type="dxa"/>
            <w:vAlign w:val="center"/>
          </w:tcPr>
          <w:p w14:paraId="1769ECA3">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防排烟系统</w:t>
            </w:r>
          </w:p>
        </w:tc>
        <w:tc>
          <w:tcPr>
            <w:tcW w:w="663" w:type="dxa"/>
            <w:vAlign w:val="center"/>
          </w:tcPr>
          <w:p w14:paraId="5A6CD23E">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项</w:t>
            </w:r>
          </w:p>
        </w:tc>
        <w:tc>
          <w:tcPr>
            <w:tcW w:w="1375" w:type="dxa"/>
          </w:tcPr>
          <w:p w14:paraId="0EE522F0">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62C35D7A">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rPr>
              <w:t>1</w:t>
            </w:r>
          </w:p>
        </w:tc>
        <w:tc>
          <w:tcPr>
            <w:tcW w:w="1865" w:type="dxa"/>
          </w:tcPr>
          <w:p w14:paraId="04757671">
            <w:pPr>
              <w:widowControl/>
              <w:jc w:val="center"/>
              <w:textAlignment w:val="center"/>
              <w:rPr>
                <w:rFonts w:ascii="宋体" w:hAnsi="宋体" w:eastAsia="Times New Roman" w:cs="宋体"/>
                <w:color w:val="000000"/>
                <w:kern w:val="0"/>
                <w:sz w:val="22"/>
                <w:szCs w:val="22"/>
              </w:rPr>
            </w:pPr>
          </w:p>
        </w:tc>
        <w:tc>
          <w:tcPr>
            <w:tcW w:w="2038" w:type="dxa"/>
          </w:tcPr>
          <w:p w14:paraId="569AD04B">
            <w:pPr>
              <w:widowControl/>
              <w:jc w:val="center"/>
              <w:textAlignment w:val="center"/>
              <w:rPr>
                <w:rFonts w:ascii="宋体" w:hAnsi="宋体" w:eastAsia="Times New Roman" w:cs="宋体"/>
                <w:color w:val="000000"/>
                <w:kern w:val="0"/>
                <w:sz w:val="22"/>
                <w:szCs w:val="22"/>
              </w:rPr>
            </w:pPr>
          </w:p>
        </w:tc>
      </w:tr>
      <w:tr w14:paraId="5BC4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14" w:type="dxa"/>
            <w:vAlign w:val="center"/>
          </w:tcPr>
          <w:p w14:paraId="53E47FF6">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4</w:t>
            </w:r>
          </w:p>
        </w:tc>
        <w:tc>
          <w:tcPr>
            <w:tcW w:w="1708" w:type="dxa"/>
            <w:vAlign w:val="center"/>
          </w:tcPr>
          <w:p w14:paraId="2CE7F816">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消防给水系统</w:t>
            </w:r>
          </w:p>
        </w:tc>
        <w:tc>
          <w:tcPr>
            <w:tcW w:w="663" w:type="dxa"/>
            <w:vAlign w:val="center"/>
          </w:tcPr>
          <w:p w14:paraId="2E08AC1A">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项</w:t>
            </w:r>
          </w:p>
        </w:tc>
        <w:tc>
          <w:tcPr>
            <w:tcW w:w="1375" w:type="dxa"/>
          </w:tcPr>
          <w:p w14:paraId="06DB49F6">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4FA936CF">
            <w:pPr>
              <w:widowControl/>
              <w:jc w:val="center"/>
              <w:textAlignment w:val="center"/>
              <w:rPr>
                <w:rFonts w:hint="eastAsia" w:ascii="宋体" w:hAnsi="宋体" w:cs="宋体" w:eastAsiaTheme="minorEastAsia"/>
                <w:color w:val="000000"/>
                <w:kern w:val="0"/>
                <w:sz w:val="22"/>
                <w:szCs w:val="22"/>
                <w:highlight w:val="none"/>
              </w:rPr>
            </w:pPr>
            <w:r>
              <w:rPr>
                <w:rFonts w:ascii="宋体" w:hAnsi="宋体" w:eastAsia="Times New Roman" w:cs="宋体"/>
                <w:color w:val="000000"/>
                <w:kern w:val="0"/>
                <w:sz w:val="22"/>
                <w:szCs w:val="22"/>
              </w:rPr>
              <w:t>1</w:t>
            </w:r>
          </w:p>
        </w:tc>
        <w:tc>
          <w:tcPr>
            <w:tcW w:w="1865" w:type="dxa"/>
          </w:tcPr>
          <w:p w14:paraId="47E262BF">
            <w:pPr>
              <w:widowControl/>
              <w:jc w:val="center"/>
              <w:textAlignment w:val="center"/>
              <w:rPr>
                <w:rFonts w:ascii="宋体" w:hAnsi="宋体" w:eastAsia="Times New Roman" w:cs="宋体"/>
                <w:color w:val="000000"/>
                <w:kern w:val="0"/>
                <w:sz w:val="22"/>
                <w:szCs w:val="22"/>
              </w:rPr>
            </w:pPr>
          </w:p>
        </w:tc>
        <w:tc>
          <w:tcPr>
            <w:tcW w:w="2038" w:type="dxa"/>
          </w:tcPr>
          <w:p w14:paraId="2323C4A7">
            <w:pPr>
              <w:widowControl/>
              <w:jc w:val="center"/>
              <w:textAlignment w:val="center"/>
              <w:rPr>
                <w:rFonts w:ascii="宋体" w:hAnsi="宋体" w:eastAsia="Times New Roman" w:cs="宋体"/>
                <w:color w:val="000000"/>
                <w:kern w:val="0"/>
                <w:sz w:val="22"/>
                <w:szCs w:val="22"/>
              </w:rPr>
            </w:pPr>
          </w:p>
        </w:tc>
      </w:tr>
      <w:tr w14:paraId="21EA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14:paraId="5EF20866">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5</w:t>
            </w:r>
          </w:p>
        </w:tc>
        <w:tc>
          <w:tcPr>
            <w:tcW w:w="1708" w:type="dxa"/>
            <w:vAlign w:val="center"/>
          </w:tcPr>
          <w:p w14:paraId="0C851D65">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防火分隔设施</w:t>
            </w:r>
          </w:p>
        </w:tc>
        <w:tc>
          <w:tcPr>
            <w:tcW w:w="663" w:type="dxa"/>
            <w:vAlign w:val="center"/>
          </w:tcPr>
          <w:p w14:paraId="5A7762E9">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项</w:t>
            </w:r>
          </w:p>
        </w:tc>
        <w:tc>
          <w:tcPr>
            <w:tcW w:w="1375" w:type="dxa"/>
          </w:tcPr>
          <w:p w14:paraId="4D9EC9F0">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0E926669">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rPr>
              <w:t>30</w:t>
            </w:r>
          </w:p>
        </w:tc>
        <w:tc>
          <w:tcPr>
            <w:tcW w:w="1865" w:type="dxa"/>
          </w:tcPr>
          <w:p w14:paraId="59E0F9DE">
            <w:pPr>
              <w:widowControl/>
              <w:jc w:val="center"/>
              <w:textAlignment w:val="center"/>
              <w:rPr>
                <w:rFonts w:ascii="宋体" w:hAnsi="宋体" w:eastAsia="Times New Roman" w:cs="宋体"/>
                <w:color w:val="000000"/>
                <w:kern w:val="0"/>
                <w:sz w:val="22"/>
                <w:szCs w:val="22"/>
              </w:rPr>
            </w:pPr>
          </w:p>
        </w:tc>
        <w:tc>
          <w:tcPr>
            <w:tcW w:w="2038" w:type="dxa"/>
          </w:tcPr>
          <w:p w14:paraId="4E9BD52A">
            <w:pPr>
              <w:widowControl/>
              <w:jc w:val="center"/>
              <w:textAlignment w:val="center"/>
              <w:rPr>
                <w:rFonts w:ascii="宋体" w:hAnsi="宋体" w:eastAsia="Times New Roman" w:cs="宋体"/>
                <w:color w:val="000000"/>
                <w:kern w:val="0"/>
                <w:sz w:val="22"/>
                <w:szCs w:val="22"/>
              </w:rPr>
            </w:pPr>
          </w:p>
        </w:tc>
      </w:tr>
      <w:tr w14:paraId="44A8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14:paraId="747CC08D">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6</w:t>
            </w:r>
          </w:p>
        </w:tc>
        <w:tc>
          <w:tcPr>
            <w:tcW w:w="1708" w:type="dxa"/>
            <w:vAlign w:val="center"/>
          </w:tcPr>
          <w:p w14:paraId="4432E868">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EPS应急电源柜及配电设施系统</w:t>
            </w:r>
          </w:p>
        </w:tc>
        <w:tc>
          <w:tcPr>
            <w:tcW w:w="663" w:type="dxa"/>
            <w:vAlign w:val="center"/>
          </w:tcPr>
          <w:p w14:paraId="2A440788">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项</w:t>
            </w:r>
          </w:p>
        </w:tc>
        <w:tc>
          <w:tcPr>
            <w:tcW w:w="1375" w:type="dxa"/>
          </w:tcPr>
          <w:p w14:paraId="5209D86E">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4EE53549">
            <w:pPr>
              <w:widowControl/>
              <w:jc w:val="center"/>
              <w:textAlignment w:val="center"/>
              <w:rPr>
                <w:rFonts w:hint="eastAsia" w:ascii="宋体" w:hAnsi="宋体" w:cs="宋体" w:eastAsiaTheme="minorEastAsia"/>
                <w:color w:val="000000"/>
                <w:kern w:val="0"/>
                <w:sz w:val="22"/>
                <w:szCs w:val="22"/>
                <w:highlight w:val="none"/>
              </w:rPr>
            </w:pPr>
            <w:r>
              <w:rPr>
                <w:rFonts w:ascii="宋体" w:hAnsi="宋体" w:eastAsia="Times New Roman" w:cs="宋体"/>
                <w:color w:val="000000"/>
                <w:kern w:val="0"/>
                <w:sz w:val="22"/>
                <w:szCs w:val="22"/>
              </w:rPr>
              <w:t>1</w:t>
            </w:r>
          </w:p>
        </w:tc>
        <w:tc>
          <w:tcPr>
            <w:tcW w:w="1865" w:type="dxa"/>
          </w:tcPr>
          <w:p w14:paraId="01F069A8">
            <w:pPr>
              <w:widowControl/>
              <w:jc w:val="center"/>
              <w:textAlignment w:val="center"/>
              <w:rPr>
                <w:rFonts w:ascii="宋体" w:hAnsi="宋体" w:eastAsia="Times New Roman" w:cs="宋体"/>
                <w:color w:val="000000"/>
                <w:kern w:val="0"/>
                <w:sz w:val="22"/>
                <w:szCs w:val="22"/>
              </w:rPr>
            </w:pPr>
          </w:p>
        </w:tc>
        <w:tc>
          <w:tcPr>
            <w:tcW w:w="2038" w:type="dxa"/>
          </w:tcPr>
          <w:p w14:paraId="06652224">
            <w:pPr>
              <w:widowControl/>
              <w:jc w:val="center"/>
              <w:textAlignment w:val="center"/>
              <w:rPr>
                <w:rFonts w:ascii="宋体" w:hAnsi="宋体" w:eastAsia="Times New Roman" w:cs="宋体"/>
                <w:color w:val="000000"/>
                <w:kern w:val="0"/>
                <w:sz w:val="22"/>
                <w:szCs w:val="22"/>
              </w:rPr>
            </w:pPr>
          </w:p>
        </w:tc>
      </w:tr>
      <w:tr w14:paraId="63F1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14:paraId="00060848">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7</w:t>
            </w:r>
          </w:p>
        </w:tc>
        <w:tc>
          <w:tcPr>
            <w:tcW w:w="1708" w:type="dxa"/>
            <w:vAlign w:val="center"/>
          </w:tcPr>
          <w:p w14:paraId="590A8EC7">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应急照明系统、广播及疏散指示标志系统</w:t>
            </w:r>
          </w:p>
        </w:tc>
        <w:tc>
          <w:tcPr>
            <w:tcW w:w="663" w:type="dxa"/>
            <w:vAlign w:val="center"/>
          </w:tcPr>
          <w:p w14:paraId="5E8867EA">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项</w:t>
            </w:r>
          </w:p>
        </w:tc>
        <w:tc>
          <w:tcPr>
            <w:tcW w:w="1375" w:type="dxa"/>
          </w:tcPr>
          <w:p w14:paraId="72668F13">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242EE599">
            <w:pPr>
              <w:widowControl/>
              <w:jc w:val="center"/>
              <w:textAlignment w:val="center"/>
              <w:rPr>
                <w:rFonts w:ascii="宋体" w:hAnsi="宋体" w:eastAsia="Times New Roman" w:cs="宋体"/>
                <w:color w:val="000000"/>
                <w:kern w:val="0"/>
                <w:sz w:val="22"/>
                <w:szCs w:val="22"/>
                <w:highlight w:val="none"/>
              </w:rPr>
            </w:pPr>
            <w:r>
              <w:rPr>
                <w:rFonts w:hint="eastAsia" w:ascii="宋体" w:hAnsi="宋体" w:eastAsia="Times New Roman" w:cs="宋体"/>
                <w:color w:val="000000"/>
                <w:kern w:val="0"/>
                <w:sz w:val="22"/>
                <w:szCs w:val="22"/>
              </w:rPr>
              <w:t>1</w:t>
            </w:r>
          </w:p>
        </w:tc>
        <w:tc>
          <w:tcPr>
            <w:tcW w:w="1865" w:type="dxa"/>
          </w:tcPr>
          <w:p w14:paraId="60FCF81F">
            <w:pPr>
              <w:widowControl/>
              <w:jc w:val="center"/>
              <w:textAlignment w:val="center"/>
              <w:rPr>
                <w:rFonts w:ascii="宋体" w:hAnsi="宋体" w:eastAsia="Times New Roman" w:cs="宋体"/>
                <w:color w:val="000000"/>
                <w:kern w:val="0"/>
                <w:sz w:val="22"/>
                <w:szCs w:val="22"/>
              </w:rPr>
            </w:pPr>
          </w:p>
        </w:tc>
        <w:tc>
          <w:tcPr>
            <w:tcW w:w="2038" w:type="dxa"/>
          </w:tcPr>
          <w:p w14:paraId="36B941F8">
            <w:pPr>
              <w:widowControl/>
              <w:jc w:val="center"/>
              <w:textAlignment w:val="center"/>
              <w:rPr>
                <w:rFonts w:ascii="宋体" w:hAnsi="宋体" w:eastAsia="Times New Roman" w:cs="宋体"/>
                <w:color w:val="000000"/>
                <w:kern w:val="0"/>
                <w:sz w:val="22"/>
                <w:szCs w:val="22"/>
              </w:rPr>
            </w:pPr>
          </w:p>
        </w:tc>
      </w:tr>
      <w:tr w14:paraId="64CA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14:paraId="3DEBCF34">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8</w:t>
            </w:r>
          </w:p>
        </w:tc>
        <w:tc>
          <w:tcPr>
            <w:tcW w:w="1708" w:type="dxa"/>
            <w:vAlign w:val="center"/>
          </w:tcPr>
          <w:p w14:paraId="76E2FFEC">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消防中控柜机组、机房专业清洁</w:t>
            </w:r>
          </w:p>
        </w:tc>
        <w:tc>
          <w:tcPr>
            <w:tcW w:w="663" w:type="dxa"/>
            <w:vAlign w:val="center"/>
          </w:tcPr>
          <w:p w14:paraId="19389E82">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次</w:t>
            </w:r>
          </w:p>
        </w:tc>
        <w:tc>
          <w:tcPr>
            <w:tcW w:w="1375" w:type="dxa"/>
          </w:tcPr>
          <w:p w14:paraId="058952DD">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65BC29CD">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rPr>
              <w:t>1</w:t>
            </w:r>
          </w:p>
        </w:tc>
        <w:tc>
          <w:tcPr>
            <w:tcW w:w="1865" w:type="dxa"/>
          </w:tcPr>
          <w:p w14:paraId="636FF431">
            <w:pPr>
              <w:widowControl/>
              <w:jc w:val="center"/>
              <w:textAlignment w:val="center"/>
              <w:rPr>
                <w:rFonts w:ascii="宋体" w:hAnsi="宋体" w:eastAsia="Times New Roman" w:cs="宋体"/>
                <w:color w:val="000000"/>
                <w:kern w:val="0"/>
                <w:sz w:val="22"/>
                <w:szCs w:val="22"/>
              </w:rPr>
            </w:pPr>
          </w:p>
        </w:tc>
        <w:tc>
          <w:tcPr>
            <w:tcW w:w="2038" w:type="dxa"/>
          </w:tcPr>
          <w:p w14:paraId="03F6F971">
            <w:pPr>
              <w:widowControl/>
              <w:jc w:val="center"/>
              <w:textAlignment w:val="center"/>
              <w:rPr>
                <w:rFonts w:ascii="宋体" w:hAnsi="宋体" w:eastAsia="Times New Roman" w:cs="宋体"/>
                <w:color w:val="000000"/>
                <w:kern w:val="0"/>
                <w:sz w:val="22"/>
                <w:szCs w:val="22"/>
              </w:rPr>
            </w:pPr>
          </w:p>
        </w:tc>
      </w:tr>
      <w:tr w14:paraId="3676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14:paraId="1DC5ADD1">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9</w:t>
            </w:r>
          </w:p>
        </w:tc>
        <w:tc>
          <w:tcPr>
            <w:tcW w:w="1708" w:type="dxa"/>
            <w:vAlign w:val="center"/>
          </w:tcPr>
          <w:p w14:paraId="2C47DBA7">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消防设备、设施清洁</w:t>
            </w:r>
          </w:p>
        </w:tc>
        <w:tc>
          <w:tcPr>
            <w:tcW w:w="663" w:type="dxa"/>
            <w:vAlign w:val="center"/>
          </w:tcPr>
          <w:p w14:paraId="3ABEB14E">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项</w:t>
            </w:r>
          </w:p>
        </w:tc>
        <w:tc>
          <w:tcPr>
            <w:tcW w:w="1375" w:type="dxa"/>
          </w:tcPr>
          <w:p w14:paraId="7B3CFA30">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4E91D41C">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rPr>
              <w:t>1</w:t>
            </w:r>
          </w:p>
        </w:tc>
        <w:tc>
          <w:tcPr>
            <w:tcW w:w="1865" w:type="dxa"/>
          </w:tcPr>
          <w:p w14:paraId="2BB4FE6E">
            <w:pPr>
              <w:widowControl/>
              <w:jc w:val="center"/>
              <w:textAlignment w:val="center"/>
              <w:rPr>
                <w:rFonts w:ascii="宋体" w:hAnsi="宋体" w:eastAsia="Times New Roman" w:cs="宋体"/>
                <w:color w:val="000000"/>
                <w:kern w:val="0"/>
                <w:sz w:val="22"/>
                <w:szCs w:val="22"/>
              </w:rPr>
            </w:pPr>
          </w:p>
        </w:tc>
        <w:tc>
          <w:tcPr>
            <w:tcW w:w="2038" w:type="dxa"/>
          </w:tcPr>
          <w:p w14:paraId="2843C231">
            <w:pPr>
              <w:widowControl/>
              <w:jc w:val="center"/>
              <w:textAlignment w:val="center"/>
              <w:rPr>
                <w:rFonts w:ascii="宋体" w:hAnsi="宋体" w:eastAsia="Times New Roman" w:cs="宋体"/>
                <w:color w:val="000000"/>
                <w:kern w:val="0"/>
                <w:sz w:val="22"/>
                <w:szCs w:val="22"/>
              </w:rPr>
            </w:pPr>
          </w:p>
        </w:tc>
      </w:tr>
      <w:tr w14:paraId="2B7F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14:paraId="4418C83F">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10</w:t>
            </w:r>
          </w:p>
        </w:tc>
        <w:tc>
          <w:tcPr>
            <w:tcW w:w="1708" w:type="dxa"/>
            <w:vAlign w:val="center"/>
          </w:tcPr>
          <w:p w14:paraId="46063E24">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消防</w:t>
            </w:r>
            <w:r>
              <w:rPr>
                <w:rFonts w:hint="eastAsia" w:ascii="宋体" w:hAnsi="宋体" w:eastAsia="Times New Roman" w:cs="宋体"/>
                <w:color w:val="000000"/>
                <w:kern w:val="0"/>
                <w:sz w:val="22"/>
                <w:szCs w:val="22"/>
                <w:highlight w:val="none"/>
              </w:rPr>
              <w:t>维保</w:t>
            </w:r>
            <w:r>
              <w:rPr>
                <w:rFonts w:ascii="宋体" w:hAnsi="宋体" w:eastAsia="Times New Roman" w:cs="宋体"/>
                <w:color w:val="000000"/>
                <w:kern w:val="0"/>
                <w:sz w:val="22"/>
                <w:szCs w:val="22"/>
                <w:highlight w:val="none"/>
              </w:rPr>
              <w:t>巡检人员（</w:t>
            </w:r>
            <w:r>
              <w:rPr>
                <w:rFonts w:hint="eastAsia" w:ascii="宋体" w:hAnsi="宋体" w:eastAsia="Times New Roman" w:cs="宋体"/>
                <w:color w:val="000000"/>
                <w:kern w:val="0"/>
                <w:sz w:val="22"/>
                <w:szCs w:val="22"/>
                <w:highlight w:val="none"/>
              </w:rPr>
              <w:t>注册一级消防工程师不少于1人</w:t>
            </w:r>
            <w:r>
              <w:rPr>
                <w:rFonts w:ascii="宋体" w:hAnsi="宋体" w:eastAsia="Times New Roman" w:cs="宋体"/>
                <w:color w:val="000000"/>
                <w:kern w:val="0"/>
                <w:sz w:val="22"/>
                <w:szCs w:val="22"/>
                <w:highlight w:val="none"/>
              </w:rPr>
              <w:t>,含管理人员</w:t>
            </w:r>
            <w:r>
              <w:rPr>
                <w:rFonts w:hint="eastAsia" w:ascii="宋体" w:hAnsi="宋体" w:eastAsia="Times New Roman" w:cs="宋体"/>
                <w:color w:val="000000"/>
                <w:kern w:val="0"/>
                <w:sz w:val="22"/>
                <w:szCs w:val="22"/>
                <w:highlight w:val="none"/>
              </w:rPr>
              <w:t>1</w:t>
            </w:r>
            <w:r>
              <w:rPr>
                <w:rFonts w:ascii="宋体" w:hAnsi="宋体" w:eastAsia="Times New Roman" w:cs="宋体"/>
                <w:color w:val="000000"/>
                <w:kern w:val="0"/>
                <w:sz w:val="22"/>
                <w:szCs w:val="22"/>
                <w:highlight w:val="none"/>
              </w:rPr>
              <w:t>名）</w:t>
            </w:r>
          </w:p>
        </w:tc>
        <w:tc>
          <w:tcPr>
            <w:tcW w:w="663" w:type="dxa"/>
            <w:vAlign w:val="center"/>
          </w:tcPr>
          <w:p w14:paraId="0C8C6DFE">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个/年</w:t>
            </w:r>
          </w:p>
        </w:tc>
        <w:tc>
          <w:tcPr>
            <w:tcW w:w="1375" w:type="dxa"/>
          </w:tcPr>
          <w:p w14:paraId="0705CD11">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101ED4C7">
            <w:pPr>
              <w:widowControl/>
              <w:jc w:val="center"/>
              <w:textAlignment w:val="center"/>
              <w:rPr>
                <w:rFonts w:ascii="宋体" w:hAnsi="宋体" w:eastAsia="Times New Roman" w:cs="宋体"/>
                <w:color w:val="000000"/>
                <w:kern w:val="0"/>
                <w:sz w:val="22"/>
                <w:szCs w:val="22"/>
                <w:highlight w:val="none"/>
              </w:rPr>
            </w:pPr>
            <w:r>
              <w:rPr>
                <w:rFonts w:hint="eastAsia" w:ascii="宋体" w:hAnsi="宋体" w:cs="宋体"/>
                <w:color w:val="000000"/>
                <w:kern w:val="0"/>
                <w:sz w:val="22"/>
                <w:szCs w:val="22"/>
                <w:lang w:val="en-US" w:eastAsia="zh-CN"/>
              </w:rPr>
              <w:t>≥2</w:t>
            </w:r>
          </w:p>
        </w:tc>
        <w:tc>
          <w:tcPr>
            <w:tcW w:w="1865" w:type="dxa"/>
          </w:tcPr>
          <w:p w14:paraId="43021C46">
            <w:pPr>
              <w:widowControl/>
              <w:jc w:val="center"/>
              <w:textAlignment w:val="center"/>
              <w:rPr>
                <w:rFonts w:ascii="宋体" w:hAnsi="宋体" w:eastAsia="Times New Roman" w:cs="宋体"/>
                <w:color w:val="000000"/>
                <w:kern w:val="0"/>
                <w:sz w:val="22"/>
                <w:szCs w:val="22"/>
              </w:rPr>
            </w:pPr>
          </w:p>
        </w:tc>
        <w:tc>
          <w:tcPr>
            <w:tcW w:w="2038" w:type="dxa"/>
          </w:tcPr>
          <w:p w14:paraId="5E6406A7">
            <w:pPr>
              <w:widowControl/>
              <w:jc w:val="center"/>
              <w:textAlignment w:val="center"/>
              <w:rPr>
                <w:rFonts w:ascii="宋体" w:hAnsi="宋体" w:eastAsia="Times New Roman" w:cs="宋体"/>
                <w:color w:val="000000"/>
                <w:kern w:val="0"/>
                <w:sz w:val="22"/>
                <w:szCs w:val="22"/>
              </w:rPr>
            </w:pPr>
          </w:p>
        </w:tc>
      </w:tr>
      <w:tr w14:paraId="5A71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14:paraId="5DA4C176">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11</w:t>
            </w:r>
          </w:p>
        </w:tc>
        <w:tc>
          <w:tcPr>
            <w:tcW w:w="1708" w:type="dxa"/>
            <w:vAlign w:val="center"/>
          </w:tcPr>
          <w:p w14:paraId="6EE63E9A">
            <w:pPr>
              <w:widowControl/>
              <w:jc w:val="center"/>
              <w:textAlignment w:val="center"/>
              <w:rPr>
                <w:rFonts w:ascii="宋体" w:hAnsi="宋体" w:eastAsia="Times New Roman" w:cs="宋体"/>
                <w:color w:val="000000"/>
                <w:kern w:val="0"/>
                <w:sz w:val="22"/>
                <w:szCs w:val="22"/>
                <w:highlight w:val="none"/>
              </w:rPr>
            </w:pPr>
            <w:r>
              <w:rPr>
                <w:rFonts w:hint="eastAsia" w:ascii="宋体" w:hAnsi="宋体" w:eastAsia="Times New Roman" w:cs="宋体"/>
                <w:color w:val="000000"/>
                <w:kern w:val="0"/>
                <w:sz w:val="22"/>
                <w:szCs w:val="22"/>
                <w:highlight w:val="none"/>
              </w:rPr>
              <w:t>消防中控室24小时带证（</w:t>
            </w:r>
            <w:r>
              <w:rPr>
                <w:rFonts w:ascii="宋体" w:hAnsi="宋体" w:eastAsia="Times New Roman" w:cs="宋体"/>
                <w:color w:val="000000"/>
                <w:kern w:val="0"/>
                <w:sz w:val="22"/>
                <w:szCs w:val="22"/>
                <w:highlight w:val="none"/>
              </w:rPr>
              <w:t>中级操作员</w:t>
            </w:r>
            <w:r>
              <w:rPr>
                <w:rFonts w:hint="eastAsia" w:ascii="宋体" w:hAnsi="宋体" w:eastAsia="Times New Roman" w:cs="宋体"/>
                <w:color w:val="000000"/>
                <w:kern w:val="0"/>
                <w:sz w:val="22"/>
                <w:szCs w:val="22"/>
                <w:highlight w:val="none"/>
              </w:rPr>
              <w:t>）值班人员（每班2人）</w:t>
            </w:r>
          </w:p>
        </w:tc>
        <w:tc>
          <w:tcPr>
            <w:tcW w:w="663" w:type="dxa"/>
            <w:vAlign w:val="center"/>
          </w:tcPr>
          <w:p w14:paraId="598F107A">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个/年</w:t>
            </w:r>
          </w:p>
        </w:tc>
        <w:tc>
          <w:tcPr>
            <w:tcW w:w="1375" w:type="dxa"/>
          </w:tcPr>
          <w:p w14:paraId="4D5C5250">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601AD304">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rPr>
              <w:t>8</w:t>
            </w:r>
          </w:p>
        </w:tc>
        <w:tc>
          <w:tcPr>
            <w:tcW w:w="1865" w:type="dxa"/>
          </w:tcPr>
          <w:p w14:paraId="48F3E470">
            <w:pPr>
              <w:widowControl/>
              <w:jc w:val="center"/>
              <w:textAlignment w:val="center"/>
              <w:rPr>
                <w:rFonts w:ascii="宋体" w:hAnsi="宋体" w:eastAsia="Times New Roman" w:cs="宋体"/>
                <w:color w:val="000000"/>
                <w:kern w:val="0"/>
                <w:sz w:val="22"/>
                <w:szCs w:val="22"/>
              </w:rPr>
            </w:pPr>
          </w:p>
        </w:tc>
        <w:tc>
          <w:tcPr>
            <w:tcW w:w="2038" w:type="dxa"/>
          </w:tcPr>
          <w:p w14:paraId="4A363205">
            <w:pPr>
              <w:widowControl/>
              <w:jc w:val="center"/>
              <w:textAlignment w:val="center"/>
              <w:rPr>
                <w:rFonts w:ascii="宋体" w:hAnsi="宋体" w:eastAsia="Times New Roman" w:cs="宋体"/>
                <w:color w:val="000000"/>
                <w:kern w:val="0"/>
                <w:sz w:val="22"/>
                <w:szCs w:val="22"/>
              </w:rPr>
            </w:pPr>
          </w:p>
        </w:tc>
      </w:tr>
      <w:tr w14:paraId="63B3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14:paraId="5A425F7D">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12</w:t>
            </w:r>
          </w:p>
        </w:tc>
        <w:tc>
          <w:tcPr>
            <w:tcW w:w="1708" w:type="dxa"/>
            <w:vAlign w:val="center"/>
          </w:tcPr>
          <w:p w14:paraId="73B8F208">
            <w:pPr>
              <w:widowControl/>
              <w:jc w:val="center"/>
              <w:textAlignment w:val="center"/>
              <w:rPr>
                <w:rFonts w:ascii="宋体" w:hAnsi="宋体" w:eastAsia="Times New Roman" w:cs="宋体"/>
                <w:color w:val="000000"/>
                <w:kern w:val="0"/>
                <w:sz w:val="22"/>
                <w:szCs w:val="22"/>
                <w:highlight w:val="none"/>
              </w:rPr>
            </w:pPr>
            <w:r>
              <w:rPr>
                <w:rFonts w:hint="eastAsia" w:ascii="宋体" w:hAnsi="宋体" w:eastAsia="Times New Roman" w:cs="宋体"/>
                <w:color w:val="000000"/>
                <w:kern w:val="0"/>
                <w:sz w:val="22"/>
                <w:szCs w:val="22"/>
                <w:highlight w:val="none"/>
              </w:rPr>
              <w:t>消防设施检测服务费用</w:t>
            </w:r>
          </w:p>
        </w:tc>
        <w:tc>
          <w:tcPr>
            <w:tcW w:w="663" w:type="dxa"/>
            <w:vAlign w:val="center"/>
          </w:tcPr>
          <w:p w14:paraId="4800BC67">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平米</w:t>
            </w:r>
          </w:p>
        </w:tc>
        <w:tc>
          <w:tcPr>
            <w:tcW w:w="1375" w:type="dxa"/>
          </w:tcPr>
          <w:p w14:paraId="7078C4F1">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4ED5DA5B">
            <w:pPr>
              <w:widowControl/>
              <w:jc w:val="center"/>
              <w:textAlignment w:val="center"/>
              <w:rPr>
                <w:rFonts w:hint="eastAsia" w:ascii="宋体" w:hAnsi="宋体" w:cs="宋体" w:eastAsiaTheme="minorEastAsia"/>
                <w:color w:val="000000"/>
                <w:kern w:val="0"/>
                <w:sz w:val="22"/>
                <w:szCs w:val="22"/>
                <w:highlight w:val="none"/>
              </w:rPr>
            </w:pPr>
            <w:r>
              <w:rPr>
                <w:rFonts w:ascii="宋体" w:hAnsi="宋体" w:eastAsia="Times New Roman" w:cs="宋体"/>
                <w:color w:val="000000"/>
                <w:kern w:val="0"/>
                <w:sz w:val="22"/>
                <w:szCs w:val="22"/>
              </w:rPr>
              <w:t>33000</w:t>
            </w:r>
          </w:p>
        </w:tc>
        <w:tc>
          <w:tcPr>
            <w:tcW w:w="1865" w:type="dxa"/>
          </w:tcPr>
          <w:p w14:paraId="06A656E5">
            <w:pPr>
              <w:widowControl/>
              <w:jc w:val="center"/>
              <w:textAlignment w:val="center"/>
              <w:rPr>
                <w:rFonts w:ascii="宋体" w:hAnsi="宋体" w:eastAsia="Times New Roman" w:cs="宋体"/>
                <w:color w:val="000000"/>
                <w:kern w:val="0"/>
                <w:sz w:val="22"/>
                <w:szCs w:val="22"/>
              </w:rPr>
            </w:pPr>
          </w:p>
        </w:tc>
        <w:tc>
          <w:tcPr>
            <w:tcW w:w="2038" w:type="dxa"/>
          </w:tcPr>
          <w:p w14:paraId="189380E1">
            <w:pPr>
              <w:widowControl/>
              <w:jc w:val="center"/>
              <w:textAlignment w:val="center"/>
              <w:rPr>
                <w:rFonts w:ascii="宋体" w:hAnsi="宋体" w:eastAsia="Times New Roman" w:cs="宋体"/>
                <w:color w:val="000000"/>
                <w:kern w:val="0"/>
                <w:sz w:val="22"/>
                <w:szCs w:val="22"/>
              </w:rPr>
            </w:pPr>
          </w:p>
        </w:tc>
      </w:tr>
      <w:tr w14:paraId="1BE6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14:paraId="67394669">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13</w:t>
            </w:r>
          </w:p>
        </w:tc>
        <w:tc>
          <w:tcPr>
            <w:tcW w:w="1708" w:type="dxa"/>
            <w:vAlign w:val="center"/>
          </w:tcPr>
          <w:p w14:paraId="3532CDB9">
            <w:pPr>
              <w:widowControl/>
              <w:jc w:val="center"/>
              <w:textAlignment w:val="center"/>
              <w:rPr>
                <w:rFonts w:ascii="宋体" w:hAnsi="宋体" w:eastAsia="Times New Roman" w:cs="宋体"/>
                <w:color w:val="000000"/>
                <w:kern w:val="0"/>
                <w:sz w:val="22"/>
                <w:szCs w:val="22"/>
                <w:highlight w:val="none"/>
              </w:rPr>
            </w:pPr>
            <w:r>
              <w:rPr>
                <w:rFonts w:hint="eastAsia" w:ascii="宋体" w:hAnsi="宋体" w:eastAsia="Times New Roman" w:cs="宋体"/>
                <w:color w:val="000000"/>
                <w:kern w:val="0"/>
                <w:sz w:val="22"/>
                <w:szCs w:val="22"/>
                <w:highlight w:val="none"/>
              </w:rPr>
              <w:t>电气防火检测服务费用</w:t>
            </w:r>
          </w:p>
        </w:tc>
        <w:tc>
          <w:tcPr>
            <w:tcW w:w="663" w:type="dxa"/>
            <w:vAlign w:val="center"/>
          </w:tcPr>
          <w:p w14:paraId="01DC5B39">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平米</w:t>
            </w:r>
          </w:p>
        </w:tc>
        <w:tc>
          <w:tcPr>
            <w:tcW w:w="1375" w:type="dxa"/>
          </w:tcPr>
          <w:p w14:paraId="7E87BED6">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26B8C85E">
            <w:pPr>
              <w:widowControl/>
              <w:jc w:val="center"/>
              <w:textAlignment w:val="center"/>
              <w:rPr>
                <w:rFonts w:hint="eastAsia" w:ascii="宋体" w:hAnsi="宋体" w:cs="宋体" w:eastAsiaTheme="minorEastAsia"/>
                <w:color w:val="000000"/>
                <w:kern w:val="0"/>
                <w:sz w:val="22"/>
                <w:szCs w:val="22"/>
                <w:highlight w:val="none"/>
              </w:rPr>
            </w:pPr>
            <w:r>
              <w:rPr>
                <w:rFonts w:ascii="宋体" w:hAnsi="宋体" w:eastAsia="Times New Roman" w:cs="宋体"/>
                <w:color w:val="000000"/>
                <w:kern w:val="0"/>
                <w:sz w:val="22"/>
                <w:szCs w:val="22"/>
              </w:rPr>
              <w:t>33000</w:t>
            </w:r>
          </w:p>
        </w:tc>
        <w:tc>
          <w:tcPr>
            <w:tcW w:w="1865" w:type="dxa"/>
          </w:tcPr>
          <w:p w14:paraId="59E889AA">
            <w:pPr>
              <w:widowControl/>
              <w:jc w:val="center"/>
              <w:textAlignment w:val="center"/>
              <w:rPr>
                <w:rFonts w:ascii="宋体" w:hAnsi="宋体" w:eastAsia="Times New Roman" w:cs="宋体"/>
                <w:color w:val="000000"/>
                <w:kern w:val="0"/>
                <w:sz w:val="22"/>
                <w:szCs w:val="22"/>
              </w:rPr>
            </w:pPr>
          </w:p>
        </w:tc>
        <w:tc>
          <w:tcPr>
            <w:tcW w:w="2038" w:type="dxa"/>
          </w:tcPr>
          <w:p w14:paraId="274F1A01">
            <w:pPr>
              <w:widowControl/>
              <w:jc w:val="center"/>
              <w:textAlignment w:val="center"/>
              <w:rPr>
                <w:rFonts w:ascii="宋体" w:hAnsi="宋体" w:eastAsia="Times New Roman" w:cs="宋体"/>
                <w:color w:val="000000"/>
                <w:kern w:val="0"/>
                <w:sz w:val="22"/>
                <w:szCs w:val="22"/>
              </w:rPr>
            </w:pPr>
          </w:p>
        </w:tc>
      </w:tr>
      <w:tr w14:paraId="3C8C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4" w:type="dxa"/>
            <w:vAlign w:val="center"/>
          </w:tcPr>
          <w:p w14:paraId="3C3BF093">
            <w:pPr>
              <w:widowControl/>
              <w:jc w:val="center"/>
              <w:textAlignment w:val="center"/>
              <w:rPr>
                <w:rFonts w:ascii="宋体" w:hAnsi="宋体" w:eastAsia="Times New Roman" w:cs="宋体"/>
                <w:color w:val="000000"/>
                <w:kern w:val="0"/>
                <w:sz w:val="22"/>
                <w:szCs w:val="22"/>
              </w:rPr>
            </w:pPr>
            <w:r>
              <w:rPr>
                <w:rFonts w:hint="eastAsia" w:ascii="宋体" w:hAnsi="宋体" w:eastAsia="Times New Roman" w:cs="宋体"/>
                <w:color w:val="000000"/>
                <w:kern w:val="0"/>
                <w:sz w:val="22"/>
                <w:szCs w:val="22"/>
              </w:rPr>
              <w:t>14</w:t>
            </w:r>
          </w:p>
        </w:tc>
        <w:tc>
          <w:tcPr>
            <w:tcW w:w="1708" w:type="dxa"/>
            <w:vAlign w:val="center"/>
          </w:tcPr>
          <w:p w14:paraId="1E779260">
            <w:pPr>
              <w:widowControl/>
              <w:jc w:val="center"/>
              <w:textAlignment w:val="center"/>
              <w:rPr>
                <w:rFonts w:ascii="宋体" w:hAnsi="宋体" w:eastAsia="Times New Roman" w:cs="宋体"/>
                <w:color w:val="000000"/>
                <w:kern w:val="0"/>
                <w:sz w:val="22"/>
                <w:szCs w:val="22"/>
                <w:highlight w:val="none"/>
              </w:rPr>
            </w:pPr>
            <w:r>
              <w:rPr>
                <w:rFonts w:hint="eastAsia" w:ascii="宋体" w:hAnsi="宋体" w:eastAsia="Times New Roman" w:cs="宋体"/>
                <w:color w:val="000000"/>
                <w:kern w:val="0"/>
                <w:sz w:val="22"/>
                <w:szCs w:val="22"/>
                <w:highlight w:val="none"/>
              </w:rPr>
              <w:t>消防安全评估</w:t>
            </w:r>
          </w:p>
        </w:tc>
        <w:tc>
          <w:tcPr>
            <w:tcW w:w="663" w:type="dxa"/>
            <w:vAlign w:val="center"/>
          </w:tcPr>
          <w:p w14:paraId="70E40529">
            <w:pPr>
              <w:widowControl/>
              <w:jc w:val="center"/>
              <w:textAlignment w:val="center"/>
              <w:rPr>
                <w:rFonts w:ascii="宋体" w:hAnsi="宋体" w:eastAsia="Times New Roman" w:cs="宋体"/>
                <w:color w:val="000000"/>
                <w:kern w:val="0"/>
                <w:sz w:val="22"/>
                <w:szCs w:val="22"/>
                <w:highlight w:val="none"/>
              </w:rPr>
            </w:pPr>
            <w:r>
              <w:rPr>
                <w:rFonts w:ascii="宋体" w:hAnsi="宋体" w:eastAsia="Times New Roman" w:cs="宋体"/>
                <w:color w:val="000000"/>
                <w:kern w:val="0"/>
                <w:sz w:val="22"/>
                <w:szCs w:val="22"/>
                <w:highlight w:val="none"/>
              </w:rPr>
              <w:t>平米</w:t>
            </w:r>
          </w:p>
        </w:tc>
        <w:tc>
          <w:tcPr>
            <w:tcW w:w="1375" w:type="dxa"/>
          </w:tcPr>
          <w:p w14:paraId="0552EFF4">
            <w:pPr>
              <w:widowControl/>
              <w:jc w:val="center"/>
              <w:textAlignment w:val="center"/>
              <w:rPr>
                <w:rFonts w:ascii="宋体" w:hAnsi="宋体" w:eastAsia="Times New Roman" w:cs="宋体"/>
                <w:color w:val="000000"/>
                <w:kern w:val="0"/>
                <w:sz w:val="22"/>
                <w:szCs w:val="22"/>
                <w:highlight w:val="none"/>
              </w:rPr>
            </w:pPr>
          </w:p>
        </w:tc>
        <w:tc>
          <w:tcPr>
            <w:tcW w:w="774" w:type="dxa"/>
            <w:vAlign w:val="center"/>
          </w:tcPr>
          <w:p w14:paraId="16A48A41">
            <w:pPr>
              <w:widowControl/>
              <w:jc w:val="center"/>
              <w:textAlignment w:val="center"/>
              <w:rPr>
                <w:rFonts w:hint="eastAsia" w:ascii="宋体" w:hAnsi="宋体" w:cs="宋体" w:eastAsiaTheme="minorEastAsia"/>
                <w:color w:val="000000"/>
                <w:kern w:val="0"/>
                <w:sz w:val="22"/>
                <w:szCs w:val="22"/>
                <w:highlight w:val="none"/>
              </w:rPr>
            </w:pPr>
            <w:r>
              <w:rPr>
                <w:rFonts w:hint="eastAsia" w:ascii="宋体" w:hAnsi="宋体" w:eastAsia="Times New Roman" w:cs="宋体"/>
                <w:color w:val="000000"/>
                <w:kern w:val="0"/>
                <w:sz w:val="22"/>
                <w:szCs w:val="22"/>
              </w:rPr>
              <w:t>33000</w:t>
            </w:r>
          </w:p>
        </w:tc>
        <w:tc>
          <w:tcPr>
            <w:tcW w:w="1865" w:type="dxa"/>
          </w:tcPr>
          <w:p w14:paraId="119B37F7">
            <w:pPr>
              <w:widowControl/>
              <w:jc w:val="center"/>
              <w:textAlignment w:val="center"/>
              <w:rPr>
                <w:rFonts w:ascii="宋体" w:hAnsi="宋体" w:eastAsia="Times New Roman" w:cs="宋体"/>
                <w:color w:val="000000"/>
                <w:kern w:val="0"/>
                <w:sz w:val="22"/>
                <w:szCs w:val="22"/>
              </w:rPr>
            </w:pPr>
          </w:p>
        </w:tc>
        <w:tc>
          <w:tcPr>
            <w:tcW w:w="2038" w:type="dxa"/>
          </w:tcPr>
          <w:p w14:paraId="7E95CB5E">
            <w:pPr>
              <w:widowControl/>
              <w:jc w:val="center"/>
              <w:textAlignment w:val="center"/>
              <w:rPr>
                <w:rFonts w:ascii="宋体" w:hAnsi="宋体" w:eastAsia="Times New Roman" w:cs="宋体"/>
                <w:color w:val="000000"/>
                <w:kern w:val="0"/>
                <w:sz w:val="22"/>
                <w:szCs w:val="22"/>
              </w:rPr>
            </w:pPr>
          </w:p>
        </w:tc>
      </w:tr>
    </w:tbl>
    <w:p w14:paraId="0591F8BB">
      <w:pPr>
        <w:pStyle w:val="79"/>
        <w:ind w:firstLine="482"/>
        <w:rPr>
          <w:rFonts w:hint="eastAsia" w:eastAsia="宋体" w:cs="宋体"/>
          <w:b/>
        </w:rPr>
      </w:pPr>
      <w:r>
        <w:rPr>
          <w:rFonts w:hint="eastAsia" w:eastAsia="宋体" w:cs="宋体"/>
          <w:b/>
        </w:rPr>
        <w:t>注：</w:t>
      </w:r>
    </w:p>
    <w:p w14:paraId="762B9687">
      <w:pPr>
        <w:pStyle w:val="79"/>
        <w:ind w:firstLine="482"/>
        <w:rPr>
          <w:rFonts w:hint="eastAsia" w:eastAsia="宋体" w:cs="宋体"/>
          <w:b/>
        </w:rPr>
      </w:pPr>
      <w:r>
        <w:rPr>
          <w:rFonts w:hint="eastAsia" w:eastAsia="宋体" w:cs="宋体"/>
          <w:b/>
        </w:rPr>
        <w:t>1、选购件不包括在本报价表内，应另附纸分项单报。</w:t>
      </w:r>
    </w:p>
    <w:p w14:paraId="32BEF7EA">
      <w:pPr>
        <w:pStyle w:val="79"/>
        <w:ind w:firstLine="482"/>
        <w:rPr>
          <w:rFonts w:hint="eastAsia" w:eastAsia="宋体" w:cs="宋体"/>
          <w:b/>
        </w:rPr>
      </w:pPr>
      <w:r>
        <w:rPr>
          <w:rFonts w:hint="eastAsia" w:eastAsia="宋体" w:cs="宋体"/>
          <w:b/>
        </w:rPr>
        <w:t>2、如上表中的有关费用投标人免费提供，请注明“免费”字样。</w:t>
      </w:r>
    </w:p>
    <w:p w14:paraId="2D7CC8EC">
      <w:pPr>
        <w:pStyle w:val="79"/>
        <w:ind w:firstLine="482"/>
        <w:rPr>
          <w:rFonts w:hint="eastAsia" w:eastAsia="宋体" w:cs="宋体"/>
          <w:b/>
        </w:rPr>
      </w:pPr>
      <w:r>
        <w:rPr>
          <w:rFonts w:hint="eastAsia" w:eastAsia="宋体" w:cs="宋体"/>
          <w:b/>
        </w:rPr>
        <w:t>3、需写明含税价、不含税价格、税率。</w:t>
      </w:r>
    </w:p>
    <w:p w14:paraId="4F8F6657">
      <w:pPr>
        <w:spacing w:line="660" w:lineRule="exact"/>
        <w:rPr>
          <w:rFonts w:hint="eastAsia" w:ascii="宋体" w:hAnsi="宋体" w:cs="宋体"/>
          <w:sz w:val="24"/>
        </w:rPr>
      </w:pPr>
      <w:r>
        <w:rPr>
          <w:rFonts w:hint="eastAsia" w:ascii="宋体" w:hAnsi="宋体" w:cs="宋体"/>
          <w:sz w:val="24"/>
        </w:rPr>
        <w:t>投标人：（盖章）</w:t>
      </w:r>
    </w:p>
    <w:p w14:paraId="1D05D2E4">
      <w:pPr>
        <w:spacing w:line="660" w:lineRule="exact"/>
        <w:rPr>
          <w:rFonts w:hint="eastAsia" w:ascii="宋体" w:hAnsi="宋体" w:cs="宋体"/>
          <w:sz w:val="24"/>
        </w:rPr>
      </w:pPr>
      <w:r>
        <w:rPr>
          <w:rFonts w:hint="eastAsia" w:ascii="宋体" w:hAnsi="宋体" w:cs="宋体"/>
          <w:sz w:val="24"/>
        </w:rPr>
        <w:t>法定代表人（委托代理人）：（签字）</w:t>
      </w:r>
    </w:p>
    <w:p w14:paraId="7E8715BC">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BEBBC28">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0D1517CD">
      <w:pPr>
        <w:pStyle w:val="85"/>
        <w:rPr>
          <w:rFonts w:hint="eastAsia" w:ascii="宋体" w:hAnsi="宋体" w:eastAsia="宋体" w:cs="宋体"/>
        </w:rPr>
      </w:pPr>
      <w:r>
        <w:rPr>
          <w:rFonts w:hint="eastAsia" w:ascii="宋体" w:hAnsi="宋体" w:eastAsia="宋体" w:cs="宋体"/>
        </w:rPr>
        <w:t>附件9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098EAA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52A17EE">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2FB1B338">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4048B29F">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46847425">
            <w:pPr>
              <w:pStyle w:val="83"/>
              <w:rPr>
                <w:rFonts w:hint="eastAsia" w:ascii="宋体" w:hAnsi="宋体" w:eastAsia="宋体" w:cs="宋体"/>
              </w:rPr>
            </w:pPr>
            <w:r>
              <w:rPr>
                <w:rFonts w:hint="eastAsia" w:ascii="宋体" w:hAnsi="宋体" w:eastAsia="宋体" w:cs="宋体"/>
              </w:rPr>
              <w:t>是否偏离</w:t>
            </w:r>
          </w:p>
          <w:p w14:paraId="1C8E1E00">
            <w:pPr>
              <w:pStyle w:val="83"/>
              <w:rPr>
                <w:rFonts w:hint="eastAsia" w:ascii="宋体" w:hAnsi="宋体" w:eastAsia="宋体" w:cs="宋体"/>
              </w:rPr>
            </w:pPr>
            <w:r>
              <w:rPr>
                <w:rFonts w:hint="eastAsia" w:ascii="宋体" w:hAnsi="宋体" w:eastAsia="宋体" w:cs="宋体"/>
              </w:rPr>
              <w:t>（提供说明）</w:t>
            </w:r>
          </w:p>
        </w:tc>
      </w:tr>
      <w:tr w14:paraId="0DFD31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8E50D78">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3490DEE3">
            <w:pPr>
              <w:pStyle w:val="83"/>
              <w:rPr>
                <w:rFonts w:hint="eastAsia" w:ascii="宋体" w:hAnsi="宋体" w:eastAsia="宋体" w:cs="宋体"/>
                <w:szCs w:val="21"/>
              </w:rPr>
            </w:pPr>
            <w:r>
              <w:rPr>
                <w:rFonts w:hint="eastAsia" w:ascii="宋体" w:hAnsi="宋体" w:eastAsia="宋体" w:cs="宋体"/>
                <w:b w:val="0"/>
                <w:color w:val="000000"/>
                <w:kern w:val="0"/>
                <w:sz w:val="22"/>
              </w:rPr>
              <w:t>按月以半年期商业汇票（包括银行承兑汇票和商业承兑汇票）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14:paraId="6C5B63D8">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C2B4BB2">
            <w:pPr>
              <w:pStyle w:val="83"/>
              <w:rPr>
                <w:rFonts w:hint="eastAsia" w:ascii="宋体" w:hAnsi="宋体" w:eastAsia="宋体" w:cs="宋体"/>
              </w:rPr>
            </w:pPr>
          </w:p>
        </w:tc>
      </w:tr>
      <w:tr w14:paraId="5DB114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E79B9C3">
            <w:pPr>
              <w:pStyle w:val="83"/>
              <w:rPr>
                <w:rFonts w:hint="eastAsia" w:ascii="宋体" w:hAnsi="宋体" w:eastAsia="宋体" w:cs="宋体"/>
                <w:highlight w:val="none"/>
              </w:rPr>
            </w:pPr>
            <w:r>
              <w:rPr>
                <w:rFonts w:hint="eastAsia" w:ascii="宋体" w:hAnsi="宋体" w:eastAsia="宋体" w:cs="宋体"/>
                <w:highlight w:val="none"/>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24E5D681">
            <w:pPr>
              <w:numPr>
                <w:ilvl w:val="0"/>
                <w:numId w:val="7"/>
              </w:numPr>
              <w:spacing w:line="360" w:lineRule="auto"/>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消防中控室7×24小时双人值班，消防中控室值班人员不少于8人，须持有消防中控值班人员证书。</w:t>
            </w:r>
          </w:p>
          <w:p w14:paraId="0629C1F8">
            <w:pPr>
              <w:numPr>
                <w:ilvl w:val="0"/>
                <w:numId w:val="7"/>
              </w:numPr>
              <w:spacing w:line="360" w:lineRule="auto"/>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驻场维保技术人员不少</w:t>
            </w:r>
            <w:r>
              <w:rPr>
                <w:rFonts w:hint="eastAsia" w:ascii="宋体" w:hAnsi="宋体" w:cs="宋体"/>
                <w:kern w:val="0"/>
                <w:sz w:val="22"/>
                <w:szCs w:val="22"/>
                <w:highlight w:val="none"/>
              </w:rPr>
              <w:t>于</w:t>
            </w:r>
            <w:r>
              <w:rPr>
                <w:rFonts w:hint="eastAsia" w:ascii="宋体" w:hAnsi="宋体" w:cs="宋体"/>
                <w:kern w:val="0"/>
                <w:sz w:val="22"/>
                <w:szCs w:val="22"/>
                <w:highlight w:val="none"/>
                <w:lang w:val="en-US" w:eastAsia="zh-CN"/>
              </w:rPr>
              <w:t>2</w:t>
            </w:r>
            <w:r>
              <w:rPr>
                <w:rFonts w:hint="eastAsia" w:ascii="宋体" w:hAnsi="宋体" w:cs="宋体"/>
                <w:kern w:val="0"/>
                <w:sz w:val="22"/>
                <w:szCs w:val="22"/>
                <w:highlight w:val="none"/>
              </w:rPr>
              <w:t>人</w:t>
            </w:r>
            <w:r>
              <w:rPr>
                <w:rFonts w:hint="eastAsia" w:ascii="宋体" w:hAnsi="宋体" w:cs="宋体"/>
                <w:color w:val="000000"/>
                <w:kern w:val="0"/>
                <w:sz w:val="22"/>
                <w:szCs w:val="22"/>
                <w:highlight w:val="none"/>
              </w:rPr>
              <w:t>，（含1名主管，注册一级消防工程师不少于1人）</w:t>
            </w:r>
            <w:r>
              <w:rPr>
                <w:rFonts w:hint="eastAsia" w:ascii="宋体" w:hAnsi="宋体" w:cs="宋体"/>
                <w:color w:val="000000"/>
                <w:kern w:val="0"/>
                <w:sz w:val="22"/>
                <w:szCs w:val="22"/>
                <w:highlight w:val="none"/>
                <w:lang w:eastAsia="zh-CN"/>
              </w:rPr>
              <w:t>，</w:t>
            </w:r>
            <w:r>
              <w:rPr>
                <w:rFonts w:hint="eastAsia" w:ascii="宋体" w:hAnsi="宋体" w:cs="宋体"/>
                <w:color w:val="000000"/>
                <w:kern w:val="0"/>
                <w:sz w:val="22"/>
                <w:szCs w:val="22"/>
                <w:highlight w:val="none"/>
                <w:lang w:val="en-US" w:eastAsia="zh-CN"/>
              </w:rPr>
              <w:t>二期项目交付后需考虑相应的工作量。</w:t>
            </w:r>
          </w:p>
          <w:p w14:paraId="52011148">
            <w:pPr>
              <w:spacing w:line="360" w:lineRule="auto"/>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3、制定年度、月度维保计划，按国家、地区和行业现行标准，对甲方消防设备设施进行巡检、规范保养，及时更换易损件每月提交消防设备设施维护保养报告。</w:t>
            </w:r>
          </w:p>
          <w:p w14:paraId="2CFEDE62">
            <w:pPr>
              <w:spacing w:line="360" w:lineRule="auto"/>
              <w:jc w:val="left"/>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4、每年不少于1次消防安全评估、消防设施及电气设施检测。</w:t>
            </w:r>
          </w:p>
          <w:p w14:paraId="72374C5C">
            <w:pPr>
              <w:pStyle w:val="32"/>
              <w:ind w:left="0" w:leftChars="0" w:firstLine="0"/>
              <w:rPr>
                <w:highlight w:val="none"/>
                <w:lang w:val="en-US" w:eastAsia="zh-CN"/>
              </w:rPr>
            </w:pPr>
            <w:r>
              <w:rPr>
                <w:rFonts w:hint="eastAsia" w:ascii="宋体" w:hAnsi="宋体" w:cs="宋体"/>
                <w:color w:val="000000"/>
                <w:szCs w:val="22"/>
                <w:highlight w:val="none"/>
                <w:lang w:val="en-US" w:eastAsia="zh-CN"/>
              </w:rPr>
              <w:t>5、协助甲方开展消防专业技术培训。</w:t>
            </w:r>
          </w:p>
          <w:p w14:paraId="746F52B9">
            <w:pPr>
              <w:pStyle w:val="83"/>
              <w:rPr>
                <w:rFonts w:hint="eastAsia" w:ascii="宋体" w:hAnsi="宋体" w:eastAsia="宋体" w:cs="宋体"/>
                <w:szCs w:val="21"/>
                <w:highlight w:val="none"/>
              </w:rPr>
            </w:pPr>
          </w:p>
        </w:tc>
        <w:tc>
          <w:tcPr>
            <w:tcW w:w="1593" w:type="pct"/>
            <w:tcBorders>
              <w:top w:val="single" w:color="auto" w:sz="4" w:space="0"/>
              <w:left w:val="single" w:color="auto" w:sz="4" w:space="0"/>
              <w:bottom w:val="single" w:color="auto" w:sz="4" w:space="0"/>
              <w:right w:val="single" w:color="auto" w:sz="4" w:space="0"/>
            </w:tcBorders>
            <w:vAlign w:val="center"/>
          </w:tcPr>
          <w:p w14:paraId="2F48CAB0">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7C17D8B">
            <w:pPr>
              <w:pStyle w:val="83"/>
              <w:rPr>
                <w:rFonts w:hint="eastAsia" w:ascii="宋体" w:hAnsi="宋体" w:eastAsia="宋体" w:cs="宋体"/>
                <w:szCs w:val="21"/>
              </w:rPr>
            </w:pPr>
          </w:p>
          <w:p w14:paraId="29E28C9E">
            <w:pPr>
              <w:pStyle w:val="83"/>
              <w:rPr>
                <w:rFonts w:hint="eastAsia" w:ascii="宋体" w:hAnsi="宋体" w:eastAsia="宋体" w:cs="宋体"/>
                <w:szCs w:val="21"/>
              </w:rPr>
            </w:pPr>
          </w:p>
          <w:p w14:paraId="56201D35">
            <w:pPr>
              <w:pStyle w:val="83"/>
              <w:rPr>
                <w:rFonts w:hint="eastAsia" w:ascii="宋体" w:hAnsi="宋体" w:eastAsia="宋体" w:cs="宋体"/>
                <w:szCs w:val="21"/>
              </w:rPr>
            </w:pPr>
          </w:p>
          <w:p w14:paraId="0A355BAB">
            <w:pPr>
              <w:pStyle w:val="83"/>
              <w:rPr>
                <w:rFonts w:hint="eastAsia" w:ascii="宋体" w:hAnsi="宋体" w:eastAsia="宋体" w:cs="宋体"/>
                <w:szCs w:val="21"/>
              </w:rPr>
            </w:pPr>
          </w:p>
          <w:p w14:paraId="3A0C100F">
            <w:pPr>
              <w:pStyle w:val="83"/>
              <w:rPr>
                <w:rFonts w:hint="eastAsia" w:ascii="宋体" w:hAnsi="宋体" w:eastAsia="宋体" w:cs="宋体"/>
                <w:szCs w:val="21"/>
              </w:rPr>
            </w:pPr>
          </w:p>
          <w:p w14:paraId="1F848807">
            <w:pPr>
              <w:pStyle w:val="83"/>
              <w:rPr>
                <w:rFonts w:hint="eastAsia" w:ascii="宋体" w:hAnsi="宋体" w:eastAsia="宋体" w:cs="宋体"/>
                <w:szCs w:val="21"/>
              </w:rPr>
            </w:pPr>
          </w:p>
          <w:p w14:paraId="794FD1B6">
            <w:pPr>
              <w:pStyle w:val="83"/>
              <w:rPr>
                <w:rFonts w:hint="eastAsia" w:ascii="宋体" w:hAnsi="宋体" w:eastAsia="宋体" w:cs="宋体"/>
                <w:szCs w:val="21"/>
              </w:rPr>
            </w:pPr>
          </w:p>
          <w:p w14:paraId="2F1538D1">
            <w:pPr>
              <w:pStyle w:val="83"/>
              <w:rPr>
                <w:rFonts w:hint="eastAsia" w:ascii="宋体" w:hAnsi="宋体" w:eastAsia="宋体" w:cs="宋体"/>
                <w:szCs w:val="21"/>
              </w:rPr>
            </w:pPr>
          </w:p>
          <w:p w14:paraId="418AF866">
            <w:pPr>
              <w:pStyle w:val="83"/>
              <w:rPr>
                <w:rFonts w:hint="eastAsia" w:ascii="宋体" w:hAnsi="宋体" w:eastAsia="宋体" w:cs="宋体"/>
                <w:szCs w:val="21"/>
              </w:rPr>
            </w:pPr>
          </w:p>
          <w:p w14:paraId="4AFF7129">
            <w:pPr>
              <w:pStyle w:val="83"/>
              <w:rPr>
                <w:rFonts w:hint="eastAsia" w:ascii="宋体" w:hAnsi="宋体" w:eastAsia="宋体" w:cs="宋体"/>
                <w:szCs w:val="21"/>
              </w:rPr>
            </w:pPr>
          </w:p>
          <w:p w14:paraId="627681AB">
            <w:pPr>
              <w:pStyle w:val="83"/>
              <w:rPr>
                <w:rFonts w:hint="eastAsia" w:ascii="宋体" w:hAnsi="宋体" w:eastAsia="宋体" w:cs="宋体"/>
                <w:szCs w:val="21"/>
              </w:rPr>
            </w:pPr>
          </w:p>
          <w:p w14:paraId="5017D257">
            <w:pPr>
              <w:pStyle w:val="83"/>
              <w:rPr>
                <w:rFonts w:hint="eastAsia" w:ascii="宋体" w:hAnsi="宋体" w:eastAsia="宋体" w:cs="宋体"/>
                <w:szCs w:val="21"/>
              </w:rPr>
            </w:pPr>
          </w:p>
          <w:p w14:paraId="427D82AB">
            <w:pPr>
              <w:pStyle w:val="83"/>
              <w:rPr>
                <w:rFonts w:hint="eastAsia" w:ascii="宋体" w:hAnsi="宋体" w:eastAsia="宋体" w:cs="宋体"/>
                <w:szCs w:val="21"/>
              </w:rPr>
            </w:pPr>
          </w:p>
          <w:p w14:paraId="55522937">
            <w:pPr>
              <w:pStyle w:val="83"/>
              <w:rPr>
                <w:rFonts w:hint="eastAsia" w:ascii="宋体" w:hAnsi="宋体" w:eastAsia="宋体" w:cs="宋体"/>
                <w:szCs w:val="21"/>
              </w:rPr>
            </w:pPr>
          </w:p>
          <w:p w14:paraId="0A1C56D7">
            <w:pPr>
              <w:pStyle w:val="83"/>
              <w:rPr>
                <w:rFonts w:hint="eastAsia" w:ascii="宋体" w:hAnsi="宋体" w:eastAsia="宋体" w:cs="宋体"/>
                <w:szCs w:val="21"/>
              </w:rPr>
            </w:pPr>
          </w:p>
          <w:p w14:paraId="66A5910C">
            <w:pPr>
              <w:pStyle w:val="83"/>
              <w:rPr>
                <w:rFonts w:hint="eastAsia" w:ascii="宋体" w:hAnsi="宋体" w:eastAsia="宋体" w:cs="宋体"/>
                <w:szCs w:val="21"/>
              </w:rPr>
            </w:pPr>
          </w:p>
          <w:p w14:paraId="76C120A7">
            <w:pPr>
              <w:pStyle w:val="83"/>
              <w:rPr>
                <w:rFonts w:hint="eastAsia" w:ascii="宋体" w:hAnsi="宋体" w:eastAsia="宋体" w:cs="宋体"/>
              </w:rPr>
            </w:pPr>
          </w:p>
        </w:tc>
      </w:tr>
    </w:tbl>
    <w:p w14:paraId="19BED16B">
      <w:pPr>
        <w:pStyle w:val="79"/>
        <w:ind w:firstLine="480"/>
        <w:rPr>
          <w:rFonts w:hint="eastAsia" w:eastAsia="宋体" w:cs="宋体"/>
        </w:rPr>
      </w:pPr>
      <w:r>
        <w:rPr>
          <w:rFonts w:hint="eastAsia" w:eastAsia="宋体" w:cs="宋体"/>
        </w:rPr>
        <w:t>投标人名称：                   授权代表签字：            日期：</w:t>
      </w:r>
    </w:p>
    <w:p w14:paraId="7AB36145">
      <w:pPr>
        <w:pStyle w:val="79"/>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14:paraId="76DF86F2">
      <w:pPr>
        <w:rPr>
          <w:rFonts w:hint="eastAsia" w:ascii="宋体" w:hAnsi="宋体" w:cs="宋体"/>
        </w:rPr>
      </w:pPr>
    </w:p>
    <w:p w14:paraId="05E1D2BF">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F8AC384">
      <w:pPr>
        <w:pStyle w:val="85"/>
        <w:rPr>
          <w:rFonts w:hint="eastAsia" w:ascii="宋体" w:hAnsi="宋体" w:eastAsia="宋体" w:cs="宋体"/>
        </w:rPr>
      </w:pPr>
      <w:r>
        <w:rPr>
          <w:rFonts w:hint="eastAsia" w:ascii="宋体" w:hAnsi="宋体" w:eastAsia="宋体" w:cs="宋体"/>
        </w:rPr>
        <w:t>附件10 服务承诺函</w:t>
      </w:r>
    </w:p>
    <w:p w14:paraId="7DB40209">
      <w:pPr>
        <w:spacing w:line="240" w:lineRule="exact"/>
        <w:jc w:val="center"/>
        <w:rPr>
          <w:rFonts w:hint="eastAsia" w:ascii="宋体" w:hAnsi="宋体" w:cs="宋体"/>
          <w:b/>
          <w:bCs/>
          <w:sz w:val="36"/>
        </w:rPr>
      </w:pPr>
    </w:p>
    <w:p w14:paraId="4110A66E">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color w:val="000000"/>
          <w:sz w:val="24"/>
          <w:szCs w:val="24"/>
          <w:u w:val="single"/>
        </w:rPr>
        <w:t>产品试验检测中心莱芜园区消防维保项目</w:t>
      </w:r>
      <w:r>
        <w:rPr>
          <w:rFonts w:hint="eastAsia" w:ascii="宋体" w:hAnsi="宋体" w:cs="宋体"/>
          <w:sz w:val="24"/>
          <w:u w:val="single"/>
        </w:rPr>
        <w:t xml:space="preserve"> </w:t>
      </w:r>
    </w:p>
    <w:p w14:paraId="3C5E42FE">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056F5403">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14:paraId="2963F94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B4B37C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84501C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12AEC4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D387D7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C27FFE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3ADA7C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0DE778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F5BA29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539922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6645FC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6E254F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4A9898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443051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6FC477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558DBD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F096D3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673D6C8">
      <w:pPr>
        <w:spacing w:line="360" w:lineRule="auto"/>
        <w:ind w:firstLine="480" w:firstLineChars="200"/>
        <w:rPr>
          <w:rFonts w:hint="eastAsia" w:ascii="宋体" w:hAnsi="宋体" w:cs="宋体"/>
          <w:sz w:val="24"/>
          <w:u w:val="single"/>
        </w:rPr>
      </w:pPr>
    </w:p>
    <w:p w14:paraId="1B9F1C69">
      <w:pPr>
        <w:pStyle w:val="79"/>
        <w:ind w:firstLine="480"/>
        <w:rPr>
          <w:rFonts w:hint="eastAsia" w:eastAsia="宋体" w:cs="宋体"/>
        </w:rPr>
      </w:pPr>
      <w:r>
        <w:rPr>
          <w:rFonts w:hint="eastAsia" w:eastAsia="宋体" w:cs="宋体"/>
        </w:rPr>
        <w:t>投标人：（盖章）</w:t>
      </w:r>
    </w:p>
    <w:p w14:paraId="1BF8FC88">
      <w:pPr>
        <w:pStyle w:val="79"/>
        <w:ind w:firstLine="480"/>
        <w:rPr>
          <w:rFonts w:hint="eastAsia" w:eastAsia="宋体" w:cs="宋体"/>
        </w:rPr>
      </w:pPr>
      <w:r>
        <w:rPr>
          <w:rFonts w:hint="eastAsia" w:eastAsia="宋体" w:cs="宋体"/>
        </w:rPr>
        <w:t>法定代表人（委托代理人）：（签字）</w:t>
      </w:r>
    </w:p>
    <w:p w14:paraId="21675DB5">
      <w:pPr>
        <w:pStyle w:val="79"/>
        <w:ind w:firstLine="480"/>
        <w:rPr>
          <w:rFonts w:hint="eastAsia" w:eastAsia="宋体" w:cs="宋体"/>
        </w:rPr>
      </w:pPr>
      <w:r>
        <w:rPr>
          <w:rFonts w:hint="eastAsia" w:eastAsia="宋体" w:cs="宋体"/>
        </w:rPr>
        <w:t>日  期：       年    月    日</w:t>
      </w:r>
    </w:p>
    <w:p w14:paraId="3FCE9DD4">
      <w:pPr>
        <w:rPr>
          <w:rFonts w:hint="eastAsia" w:ascii="宋体" w:hAnsi="宋体" w:cs="宋体"/>
          <w:b/>
          <w:bCs/>
          <w:color w:val="000000"/>
          <w:sz w:val="28"/>
        </w:rPr>
      </w:pPr>
      <w:bookmarkStart w:id="13" w:name="_Toc9193"/>
      <w:bookmarkStart w:id="14" w:name="_Toc353881022"/>
      <w:bookmarkStart w:id="15" w:name="_Toc639013"/>
    </w:p>
    <w:p w14:paraId="33BBA750">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7163DFC0">
      <w:pPr>
        <w:pStyle w:val="85"/>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212369556"/>
      <w:bookmarkStart w:id="20" w:name="_Toc15535"/>
      <w:r>
        <w:rPr>
          <w:rFonts w:hint="eastAsia" w:ascii="宋体" w:hAnsi="宋体" w:eastAsia="宋体" w:cs="宋体"/>
        </w:rPr>
        <w:t>1投标文件封面及封口</w:t>
      </w:r>
      <w:bookmarkEnd w:id="16"/>
      <w:r>
        <w:rPr>
          <w:rFonts w:hint="eastAsia" w:ascii="宋体" w:hAnsi="宋体" w:eastAsia="宋体" w:cs="宋体"/>
        </w:rPr>
        <w:t>格式</w:t>
      </w:r>
      <w:bookmarkEnd w:id="17"/>
      <w:bookmarkEnd w:id="18"/>
      <w:bookmarkEnd w:id="19"/>
      <w:bookmarkEnd w:id="20"/>
    </w:p>
    <w:p w14:paraId="266A452D">
      <w:pPr>
        <w:pStyle w:val="79"/>
        <w:ind w:firstLine="480"/>
        <w:rPr>
          <w:rFonts w:hint="eastAsia" w:eastAsia="宋体" w:cs="宋体"/>
        </w:rPr>
      </w:pPr>
      <w:r>
        <w:rPr>
          <w:rFonts w:hint="eastAsia"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70E0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9CCFE90">
            <w:pPr>
              <w:pStyle w:val="83"/>
              <w:rPr>
                <w:rFonts w:hint="eastAsia" w:ascii="宋体" w:hAnsi="宋体" w:eastAsia="宋体" w:cs="宋体"/>
              </w:rPr>
            </w:pPr>
          </w:p>
          <w:p w14:paraId="144D6435">
            <w:pPr>
              <w:pStyle w:val="83"/>
              <w:rPr>
                <w:rFonts w:hint="eastAsia" w:ascii="宋体" w:hAnsi="宋体" w:eastAsia="宋体" w:cs="宋体"/>
                <w:sz w:val="30"/>
                <w:szCs w:val="30"/>
              </w:rPr>
            </w:pPr>
            <w:r>
              <w:rPr>
                <w:rFonts w:hint="eastAsia" w:ascii="宋体" w:hAnsi="宋体" w:eastAsia="宋体" w:cs="宋体"/>
                <w:sz w:val="30"/>
                <w:szCs w:val="30"/>
              </w:rPr>
              <w:t>投标文件</w:t>
            </w:r>
          </w:p>
          <w:p w14:paraId="61E1310F">
            <w:pPr>
              <w:pStyle w:val="83"/>
              <w:jc w:val="both"/>
              <w:rPr>
                <w:rFonts w:hint="eastAsia" w:ascii="宋体" w:hAnsi="宋体" w:eastAsia="宋体" w:cs="宋体"/>
                <w:sz w:val="30"/>
                <w:szCs w:val="30"/>
              </w:rPr>
            </w:pPr>
          </w:p>
          <w:p w14:paraId="07008E84">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2EFD3F19">
            <w:pPr>
              <w:pStyle w:val="83"/>
              <w:rPr>
                <w:rFonts w:hint="eastAsia" w:ascii="宋体" w:hAnsi="宋体" w:eastAsia="宋体" w:cs="宋体"/>
              </w:rPr>
            </w:pPr>
          </w:p>
          <w:p w14:paraId="3A0A4C9F">
            <w:pPr>
              <w:pStyle w:val="83"/>
              <w:rPr>
                <w:rFonts w:hint="eastAsia" w:ascii="宋体" w:hAnsi="宋体" w:eastAsia="宋体" w:cs="宋体"/>
              </w:rPr>
            </w:pPr>
          </w:p>
          <w:p w14:paraId="19B22D7F">
            <w:pPr>
              <w:pStyle w:val="83"/>
              <w:rPr>
                <w:rFonts w:hint="eastAsia" w:ascii="宋体" w:hAnsi="宋体" w:eastAsia="宋体" w:cs="宋体"/>
              </w:rPr>
            </w:pPr>
            <w:r>
              <w:rPr>
                <w:rFonts w:hint="eastAsia" w:ascii="宋体" w:hAnsi="宋体" w:eastAsia="宋体" w:cs="宋体"/>
              </w:rPr>
              <w:t>项目名称：</w:t>
            </w:r>
          </w:p>
          <w:p w14:paraId="66620CA6">
            <w:pPr>
              <w:pStyle w:val="83"/>
              <w:rPr>
                <w:rFonts w:hint="eastAsia" w:ascii="宋体" w:hAnsi="宋体" w:eastAsia="宋体" w:cs="宋体"/>
              </w:rPr>
            </w:pPr>
            <w:r>
              <w:rPr>
                <w:rFonts w:hint="eastAsia" w:ascii="宋体" w:hAnsi="宋体" w:eastAsia="宋体" w:cs="宋体"/>
              </w:rPr>
              <w:t>投标人名称（公章）：</w:t>
            </w:r>
          </w:p>
          <w:p w14:paraId="3BE166A9">
            <w:pPr>
              <w:pStyle w:val="83"/>
              <w:rPr>
                <w:rFonts w:hint="eastAsia" w:ascii="宋体" w:hAnsi="宋体" w:eastAsia="宋体" w:cs="宋体"/>
              </w:rPr>
            </w:pPr>
            <w:r>
              <w:rPr>
                <w:rFonts w:hint="eastAsia" w:ascii="宋体" w:hAnsi="宋体" w:eastAsia="宋体" w:cs="宋体"/>
              </w:rPr>
              <w:t>地址：</w:t>
            </w:r>
          </w:p>
          <w:p w14:paraId="15F494CF">
            <w:pPr>
              <w:pStyle w:val="83"/>
              <w:rPr>
                <w:rFonts w:hint="eastAsia" w:ascii="宋体" w:hAnsi="宋体" w:eastAsia="宋体" w:cs="宋体"/>
              </w:rPr>
            </w:pPr>
            <w:r>
              <w:rPr>
                <w:rFonts w:hint="eastAsia" w:ascii="宋体" w:hAnsi="宋体" w:eastAsia="宋体" w:cs="宋体"/>
              </w:rPr>
              <w:t>授权代表电话：</w:t>
            </w:r>
          </w:p>
          <w:p w14:paraId="6AE01712">
            <w:pPr>
              <w:pStyle w:val="83"/>
              <w:rPr>
                <w:rFonts w:hint="eastAsia" w:ascii="宋体" w:hAnsi="宋体" w:eastAsia="宋体" w:cs="宋体"/>
              </w:rPr>
            </w:pPr>
            <w:r>
              <w:rPr>
                <w:rFonts w:hint="eastAsia" w:ascii="宋体" w:hAnsi="宋体" w:eastAsia="宋体" w:cs="宋体"/>
              </w:rPr>
              <w:t>传真：</w:t>
            </w:r>
          </w:p>
          <w:p w14:paraId="244026BA">
            <w:pPr>
              <w:pStyle w:val="83"/>
              <w:rPr>
                <w:rFonts w:hint="eastAsia" w:ascii="宋体" w:hAnsi="宋体" w:eastAsia="宋体" w:cs="宋体"/>
              </w:rPr>
            </w:pPr>
          </w:p>
          <w:p w14:paraId="2E0E22BA">
            <w:pPr>
              <w:pStyle w:val="83"/>
              <w:rPr>
                <w:rFonts w:hint="eastAsia" w:ascii="宋体" w:hAnsi="宋体" w:eastAsia="宋体" w:cs="宋体"/>
              </w:rPr>
            </w:pPr>
          </w:p>
        </w:tc>
      </w:tr>
    </w:tbl>
    <w:p w14:paraId="04A1E81D">
      <w:pPr>
        <w:pStyle w:val="79"/>
        <w:ind w:firstLine="480"/>
        <w:rPr>
          <w:rFonts w:hint="eastAsia" w:eastAsia="宋体" w:cs="宋体"/>
        </w:rPr>
      </w:pPr>
      <w:r>
        <w:rPr>
          <w:rFonts w:hint="eastAsia" w:eastAsia="宋体" w:cs="宋体"/>
        </w:rPr>
        <w:t>投标人名称：                   授权代表签字：                  日期</w:t>
      </w:r>
    </w:p>
    <w:p w14:paraId="4F6C9E0A">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7F87F654">
      <w:pPr>
        <w:pStyle w:val="15"/>
        <w:ind w:firstLine="482" w:firstLineChars="200"/>
        <w:outlineLvl w:val="2"/>
        <w:rPr>
          <w:rFonts w:hint="eastAsia" w:hAnsi="宋体" w:cs="宋体"/>
          <w:b/>
          <w:bCs/>
          <w:color w:val="000000"/>
          <w:sz w:val="24"/>
          <w:szCs w:val="24"/>
        </w:rPr>
      </w:pPr>
      <w:r>
        <w:rPr>
          <w:rFonts w:hint="eastAsia" w:hAnsi="宋体" w:cs="宋体"/>
          <w:b/>
          <w:bCs/>
          <w:color w:val="000000"/>
          <w:sz w:val="24"/>
          <w:szCs w:val="24"/>
        </w:rPr>
        <w:t>附件12 SRM非生产供应商注册操作手册（登录界面可下载完整版操作手册）</w:t>
      </w:r>
    </w:p>
    <w:p w14:paraId="3AF8A759">
      <w:pPr>
        <w:adjustRightInd w:val="0"/>
        <w:snapToGrid w:val="0"/>
        <w:jc w:val="left"/>
        <w:rPr>
          <w:rFonts w:hint="eastAsia" w:ascii="宋体" w:hAnsi="宋体" w:cs="宋体"/>
          <w:sz w:val="24"/>
          <w:szCs w:val="24"/>
        </w:rPr>
      </w:pPr>
    </w:p>
    <w:p w14:paraId="7F114C3C">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14:paraId="4522F193">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https://ecaitong.sinotruk.com:8012/#/login</w:t>
      </w:r>
      <w:r>
        <w:rPr>
          <w:rFonts w:hint="eastAsia" w:ascii="宋体" w:hAnsi="宋体" w:cs="宋体"/>
          <w:sz w:val="24"/>
          <w:szCs w:val="24"/>
        </w:rPr>
        <w:fldChar w:fldCharType="end"/>
      </w:r>
    </w:p>
    <w:p w14:paraId="63C385E2">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14:paraId="2421656B">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63AA0C01">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14:paraId="56C77C7A">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3559CCCE">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7DFCE902">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7A268E39">
      <w:pPr>
        <w:spacing w:line="360" w:lineRule="auto"/>
        <w:rPr>
          <w:rFonts w:hint="eastAsia" w:ascii="宋体" w:hAnsi="宋体" w:cs="宋体"/>
          <w:sz w:val="24"/>
          <w:szCs w:val="28"/>
        </w:rPr>
      </w:pPr>
      <w:r>
        <w:rPr>
          <w:rFonts w:hint="eastAsia" w:ascii="宋体" w:hAnsi="宋体" w:cs="宋体"/>
          <w:color w:val="000000"/>
          <w:sz w:val="24"/>
          <w:szCs w:val="28"/>
        </w:rPr>
        <w:t>4.点击新增</w:t>
      </w:r>
    </w:p>
    <w:p w14:paraId="3EA9E712">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2FA7D8E3">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.按要求填写所有信息，注意非生产类要填写合作单位，最后提交审批（具体注册流程详见登录页-供应商用户手册）</w:t>
      </w:r>
    </w:p>
    <w:p w14:paraId="5376E91F">
      <w:pPr>
        <w:spacing w:line="360" w:lineRule="auto"/>
        <w:rPr>
          <w:rFonts w:hint="eastAsia" w:ascii="宋体" w:hAnsi="宋体" w:cs="宋体"/>
          <w:sz w:val="24"/>
          <w:szCs w:val="28"/>
        </w:rPr>
      </w:pPr>
    </w:p>
    <w:p w14:paraId="240D74E2">
      <w:pPr>
        <w:rPr>
          <w:rFonts w:hint="eastAsia" w:ascii="宋体" w:hAnsi="宋体" w:cs="宋体"/>
          <w:color w:val="000000"/>
        </w:rPr>
      </w:pPr>
    </w:p>
    <w:p w14:paraId="7868679F">
      <w:pPr>
        <w:rPr>
          <w:rFonts w:hint="eastAsia"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4B8040C1">
      <w:pPr>
        <w:pStyle w:val="15"/>
        <w:rPr>
          <w:rFonts w:hint="eastAsia" w:hAnsi="宋体" w:cs="宋体"/>
        </w:r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759E591D">
      <w:pPr>
        <w:pStyle w:val="15"/>
        <w:rPr>
          <w:rFonts w:hint="eastAsia" w:hAnsi="宋体" w:cs="宋体"/>
          <w:b/>
          <w:bCs/>
          <w:sz w:val="24"/>
          <w:szCs w:val="28"/>
          <w:highlight w:val="yellow"/>
        </w:rPr>
      </w:pPr>
    </w:p>
    <w:p w14:paraId="7A3D7B83">
      <w:pPr>
        <w:pStyle w:val="15"/>
        <w:rPr>
          <w:rFonts w:hint="eastAsia" w:hAnsi="宋体" w:cs="宋体"/>
          <w:b/>
          <w:bCs/>
          <w:sz w:val="24"/>
          <w:szCs w:val="28"/>
          <w:highlight w:val="yellow"/>
        </w:rPr>
      </w:pPr>
      <w:r>
        <w:rPr>
          <w:rFonts w:hint="eastAsia" w:hAnsi="宋体" w:cs="宋体"/>
          <w:b/>
          <w:bCs/>
          <w:sz w:val="24"/>
          <w:szCs w:val="28"/>
          <w:highlight w:val="yellow"/>
        </w:rPr>
        <w:t>注册注意事项：</w:t>
      </w:r>
    </w:p>
    <w:p w14:paraId="1E028E06">
      <w:pPr>
        <w:pStyle w:val="15"/>
        <w:numPr>
          <w:ilvl w:val="0"/>
          <w:numId w:val="8"/>
        </w:numPr>
        <w:rPr>
          <w:rFonts w:hint="eastAsia" w:hAnsi="宋体" w:cs="宋体"/>
          <w:b/>
          <w:bCs/>
          <w:sz w:val="24"/>
          <w:szCs w:val="28"/>
          <w:highlight w:val="yellow"/>
        </w:rPr>
      </w:pPr>
      <w:r>
        <w:rPr>
          <w:rFonts w:hint="eastAsia" w:hAnsi="宋体" w:cs="宋体"/>
          <w:b/>
          <w:bCs/>
          <w:sz w:val="24"/>
          <w:szCs w:val="28"/>
          <w:highlight w:val="yellow"/>
        </w:rPr>
        <w:t>E采通注册时的所有信息，除个别非关键信息或实在是本公司没有的，其他信息必填，尤其是财务数据等重要信息，不填审核无法通过。</w:t>
      </w:r>
    </w:p>
    <w:p w14:paraId="7FA0B8B9">
      <w:pPr>
        <w:pStyle w:val="15"/>
        <w:numPr>
          <w:ilvl w:val="0"/>
          <w:numId w:val="8"/>
        </w:numPr>
        <w:rPr>
          <w:rFonts w:hint="eastAsia" w:hAnsi="宋体" w:cs="宋体"/>
          <w:b/>
          <w:bCs/>
          <w:sz w:val="24"/>
          <w:szCs w:val="28"/>
          <w:highlight w:val="yellow"/>
        </w:rPr>
      </w:pPr>
      <w:r>
        <w:rPr>
          <w:rFonts w:hint="eastAsia" w:hAnsi="宋体" w:cs="宋体"/>
          <w:b/>
          <w:bCs/>
          <w:sz w:val="24"/>
          <w:szCs w:val="28"/>
          <w:highlight w:val="yellow"/>
        </w:rPr>
        <w:t>注册时供应商属性请选择非生产供方，管理单位选择直管单位，意向配套单位选择直管单位。</w:t>
      </w:r>
    </w:p>
    <w:p w14:paraId="1DC7F08B">
      <w:pPr>
        <w:pStyle w:val="15"/>
        <w:numPr>
          <w:ilvl w:val="0"/>
          <w:numId w:val="8"/>
        </w:numPr>
        <w:rPr>
          <w:b/>
          <w:bCs/>
          <w:sz w:val="24"/>
          <w:szCs w:val="28"/>
          <w:highlight w:val="yellow"/>
        </w:rPr>
      </w:pPr>
      <w:r>
        <w:rPr>
          <w:rFonts w:hint="eastAsia" w:hAnsi="宋体" w:cs="宋体"/>
          <w:b/>
          <w:bCs/>
          <w:sz w:val="24"/>
          <w:szCs w:val="28"/>
          <w:highlight w:val="yellow"/>
        </w:rPr>
        <w:t>供货类别请选择：直管单位非生产招标 / 服务 / 安全消防。</w:t>
      </w:r>
    </w:p>
    <w:p w14:paraId="05F619CE">
      <w:pPr>
        <w:pStyle w:val="15"/>
        <w:rPr>
          <w:b/>
          <w:bCs/>
          <w:sz w:val="24"/>
          <w:szCs w:val="28"/>
          <w:highlight w:val="yellow"/>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rPr>
        <w:t>4.详细注册流程及注意事项，请在注册在登录界面下载供应商用户手册参考</w:t>
      </w:r>
    </w:p>
    <w:p w14:paraId="1AB90D9C">
      <w:pPr>
        <w:pStyle w:val="15"/>
        <w:ind w:firstLine="482" w:firstLineChars="200"/>
        <w:outlineLvl w:val="2"/>
        <w:rPr>
          <w:rFonts w:hint="eastAsia" w:hAnsi="宋体" w:cs="宋体"/>
          <w:b/>
          <w:color w:val="000000"/>
          <w:sz w:val="24"/>
          <w:szCs w:val="24"/>
        </w:rPr>
      </w:pPr>
      <w:r>
        <w:rPr>
          <w:rFonts w:hint="eastAsia" w:hAnsi="宋体" w:cs="宋体"/>
          <w:b/>
          <w:bCs/>
          <w:color w:val="000000"/>
          <w:sz w:val="24"/>
          <w:szCs w:val="24"/>
        </w:rPr>
        <w:t xml:space="preserve">附件13 </w:t>
      </w:r>
      <w:r>
        <w:rPr>
          <w:rFonts w:hint="eastAsia" w:hAnsi="宋体" w:cs="宋体"/>
          <w:b/>
          <w:color w:val="000000"/>
          <w:sz w:val="24"/>
          <w:szCs w:val="24"/>
        </w:rPr>
        <w:t>SRM系统供应商用户手册</w:t>
      </w:r>
    </w:p>
    <w:p w14:paraId="02CBA078">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https://ecaitong.sinotruk.com:8012/</w:t>
      </w:r>
      <w:r>
        <w:rPr>
          <w:rStyle w:val="39"/>
          <w:rFonts w:hint="eastAsia" w:ascii="宋体" w:hAnsi="宋体" w:cs="宋体"/>
          <w:sz w:val="24"/>
          <w:szCs w:val="24"/>
        </w:rPr>
        <w:fldChar w:fldCharType="end"/>
      </w:r>
    </w:p>
    <w:p w14:paraId="5B3302E9">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14:paraId="4C9C8A2F">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详见注册成功后短信</w:t>
      </w:r>
    </w:p>
    <w:p w14:paraId="3A4A2662">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25385C20">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14:paraId="4FF4C1DF">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14:paraId="59213B0D">
      <w:pPr>
        <w:rPr>
          <w:rFonts w:hint="eastAsia"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03714450">
      <w:pPr>
        <w:rPr>
          <w:rFonts w:hint="eastAsia" w:ascii="宋体" w:hAnsi="宋体" w:cs="宋体"/>
        </w:rPr>
      </w:pPr>
    </w:p>
    <w:p w14:paraId="0ACDDD5A">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417CF3A1">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14:paraId="528F83EF">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41245D2E">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3A18F624">
      <w:pPr>
        <w:pStyle w:val="5"/>
        <w:ind w:left="425" w:hanging="425"/>
        <w:rPr>
          <w:rFonts w:hint="eastAsia" w:ascii="宋体" w:hAnsi="宋体" w:cs="宋体"/>
          <w:color w:val="000000"/>
        </w:rPr>
      </w:pPr>
      <w:r>
        <w:rPr>
          <w:rFonts w:hint="eastAsia" w:ascii="宋体" w:hAnsi="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78B3F44">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7C7A8D69">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路径：招投标中心-非生产类招投标-供应商技术标澄清函</w:t>
      </w:r>
    </w:p>
    <w:p w14:paraId="2518C90D">
      <w:pPr>
        <w:spacing w:line="360" w:lineRule="auto"/>
        <w:rPr>
          <w:rFonts w:hint="eastAsia" w:ascii="宋体" w:hAnsi="宋体" w:cs="宋体"/>
          <w:sz w:val="24"/>
          <w:szCs w:val="24"/>
        </w:rPr>
      </w:pPr>
      <w:r>
        <w:rPr>
          <w:rFonts w:hint="eastAsia" w:ascii="宋体" w:hAnsi="宋体" w:cs="宋体"/>
          <w:color w:val="000000"/>
          <w:sz w:val="24"/>
          <w:szCs w:val="24"/>
        </w:rPr>
        <w:t>点击编辑按钮进入系统，上传技术标澄清函。</w:t>
      </w:r>
    </w:p>
    <w:p w14:paraId="2B52FA10">
      <w:pPr>
        <w:spacing w:line="360" w:lineRule="auto"/>
        <w:rPr>
          <w:rFonts w:hint="eastAsia"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0B6F8AF5">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084D3E99">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14:paraId="1321B12D">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7EA2A5E9">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16D1F3B1">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14:paraId="428AEA6E">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6436302">
      <w:pPr>
        <w:pStyle w:val="5"/>
        <w:ind w:left="425" w:hanging="425"/>
        <w:rPr>
          <w:rFonts w:hint="eastAsia" w:ascii="宋体" w:hAnsi="宋体" w:cs="宋体"/>
          <w:color w:val="000000"/>
        </w:rPr>
      </w:pPr>
      <w:r>
        <w:rPr>
          <w:rFonts w:hint="eastAsia" w:ascii="宋体" w:hAnsi="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7911849E">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0CBDC529">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14:paraId="6FB1CB2C">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14:paraId="33B96E81">
      <w:pPr>
        <w:rPr>
          <w:rFonts w:hint="eastAsia"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4DF85F20">
      <w:pPr>
        <w:pStyle w:val="15"/>
        <w:rPr>
          <w:rFonts w:hint="eastAsia" w:hAnsi="宋体" w:cs="宋体"/>
          <w:b/>
          <w:color w:val="000000"/>
          <w:sz w:val="24"/>
          <w:szCs w:val="24"/>
        </w:rPr>
      </w:pPr>
    </w:p>
    <w:p w14:paraId="393A5D81">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0AAC8D0F">
      <w:pPr>
        <w:outlineLvl w:val="2"/>
        <w:rPr>
          <w:rFonts w:hint="eastAsia" w:ascii="宋体" w:hAnsi="宋体" w:cs="宋体"/>
          <w:b/>
          <w:bCs/>
          <w:color w:val="000000"/>
          <w:sz w:val="24"/>
          <w:szCs w:val="24"/>
        </w:rPr>
      </w:pPr>
      <w:r>
        <w:rPr>
          <w:rFonts w:hint="eastAsia" w:ascii="宋体" w:hAnsi="宋体" w:cs="宋体"/>
          <w:b/>
          <w:bCs/>
          <w:color w:val="000000"/>
          <w:sz w:val="24"/>
          <w:szCs w:val="24"/>
        </w:rPr>
        <w:t>附件14技术标评分标准</w:t>
      </w:r>
    </w:p>
    <w:p w14:paraId="22D75023">
      <w:pPr>
        <w:pStyle w:val="2"/>
        <w:jc w:val="center"/>
        <w:rPr>
          <w:rFonts w:hint="eastAsia" w:ascii="宋体" w:hAnsi="宋体" w:eastAsia="宋体" w:cs="宋体"/>
          <w:sz w:val="24"/>
          <w:szCs w:val="24"/>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3"/>
        <w:tblpPr w:leftFromText="180" w:rightFromText="180" w:vertAnchor="text" w:horzAnchor="page" w:tblpX="1239" w:tblpY="99"/>
        <w:tblOverlap w:val="never"/>
        <w:tblW w:w="9176" w:type="dxa"/>
        <w:tblInd w:w="0" w:type="dxa"/>
        <w:tblLayout w:type="autofit"/>
        <w:tblCellMar>
          <w:top w:w="0" w:type="dxa"/>
          <w:left w:w="108" w:type="dxa"/>
          <w:bottom w:w="0" w:type="dxa"/>
          <w:right w:w="108" w:type="dxa"/>
        </w:tblCellMar>
      </w:tblPr>
      <w:tblGrid>
        <w:gridCol w:w="778"/>
        <w:gridCol w:w="1212"/>
        <w:gridCol w:w="809"/>
        <w:gridCol w:w="1304"/>
        <w:gridCol w:w="1043"/>
        <w:gridCol w:w="4030"/>
      </w:tblGrid>
      <w:tr w14:paraId="16CFF9BE">
        <w:tblPrEx>
          <w:tblCellMar>
            <w:top w:w="0" w:type="dxa"/>
            <w:left w:w="108" w:type="dxa"/>
            <w:bottom w:w="0" w:type="dxa"/>
            <w:right w:w="108" w:type="dxa"/>
          </w:tblCellMar>
        </w:tblPrEx>
        <w:trPr>
          <w:trHeight w:val="467" w:hRule="atLeast"/>
        </w:trPr>
        <w:tc>
          <w:tcPr>
            <w:tcW w:w="778" w:type="dxa"/>
            <w:tcBorders>
              <w:top w:val="single" w:color="000000" w:sz="4" w:space="0"/>
              <w:left w:val="single" w:color="000000" w:sz="4" w:space="0"/>
              <w:bottom w:val="single" w:color="000000" w:sz="4" w:space="0"/>
              <w:right w:val="single" w:color="000000" w:sz="4" w:space="0"/>
            </w:tcBorders>
            <w:noWrap/>
            <w:vAlign w:val="center"/>
          </w:tcPr>
          <w:p w14:paraId="0876DFFB">
            <w:pPr>
              <w:widowControl/>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序号</w:t>
            </w:r>
          </w:p>
        </w:tc>
        <w:tc>
          <w:tcPr>
            <w:tcW w:w="1212" w:type="dxa"/>
            <w:tcBorders>
              <w:top w:val="single" w:color="000000" w:sz="4" w:space="0"/>
              <w:left w:val="single" w:color="000000" w:sz="4" w:space="0"/>
              <w:bottom w:val="single" w:color="000000" w:sz="4" w:space="0"/>
              <w:right w:val="single" w:color="000000" w:sz="4" w:space="0"/>
            </w:tcBorders>
            <w:vAlign w:val="center"/>
          </w:tcPr>
          <w:p w14:paraId="5D9C73A9">
            <w:pPr>
              <w:widowControl/>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评价因素</w:t>
            </w:r>
          </w:p>
        </w:tc>
        <w:tc>
          <w:tcPr>
            <w:tcW w:w="809" w:type="dxa"/>
            <w:tcBorders>
              <w:top w:val="single" w:color="000000" w:sz="4" w:space="0"/>
              <w:left w:val="single" w:color="000000" w:sz="4" w:space="0"/>
              <w:bottom w:val="single" w:color="000000" w:sz="4" w:space="0"/>
              <w:right w:val="single" w:color="000000" w:sz="4" w:space="0"/>
            </w:tcBorders>
            <w:vAlign w:val="center"/>
          </w:tcPr>
          <w:p w14:paraId="675C344B">
            <w:pPr>
              <w:widowControl/>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总分</w:t>
            </w:r>
          </w:p>
        </w:tc>
        <w:tc>
          <w:tcPr>
            <w:tcW w:w="1304" w:type="dxa"/>
            <w:tcBorders>
              <w:top w:val="single" w:color="000000" w:sz="4" w:space="0"/>
              <w:left w:val="single" w:color="000000" w:sz="4" w:space="0"/>
              <w:bottom w:val="single" w:color="auto" w:sz="4" w:space="0"/>
              <w:right w:val="single" w:color="000000" w:sz="4" w:space="0"/>
            </w:tcBorders>
            <w:vAlign w:val="center"/>
          </w:tcPr>
          <w:p w14:paraId="5059E803">
            <w:pPr>
              <w:widowControl/>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评分项目</w:t>
            </w:r>
          </w:p>
        </w:tc>
        <w:tc>
          <w:tcPr>
            <w:tcW w:w="1043" w:type="dxa"/>
            <w:tcBorders>
              <w:top w:val="single" w:color="000000" w:sz="4" w:space="0"/>
              <w:left w:val="single" w:color="000000" w:sz="4" w:space="0"/>
              <w:bottom w:val="single" w:color="000000" w:sz="4" w:space="0"/>
              <w:right w:val="single" w:color="000000" w:sz="4" w:space="0"/>
            </w:tcBorders>
            <w:vAlign w:val="center"/>
          </w:tcPr>
          <w:p w14:paraId="40197FA8">
            <w:pPr>
              <w:widowControl/>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得分</w:t>
            </w:r>
          </w:p>
        </w:tc>
        <w:tc>
          <w:tcPr>
            <w:tcW w:w="4030" w:type="dxa"/>
            <w:tcBorders>
              <w:top w:val="single" w:color="000000" w:sz="4" w:space="0"/>
              <w:left w:val="single" w:color="000000" w:sz="4" w:space="0"/>
              <w:bottom w:val="single" w:color="000000" w:sz="4" w:space="0"/>
              <w:right w:val="single" w:color="000000" w:sz="4" w:space="0"/>
            </w:tcBorders>
            <w:vAlign w:val="center"/>
          </w:tcPr>
          <w:p w14:paraId="45A16F3D">
            <w:pPr>
              <w:widowControl/>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评分标准</w:t>
            </w:r>
          </w:p>
        </w:tc>
      </w:tr>
      <w:tr w14:paraId="6BFAFA4D">
        <w:tblPrEx>
          <w:tblCellMar>
            <w:top w:w="0" w:type="dxa"/>
            <w:left w:w="108" w:type="dxa"/>
            <w:bottom w:w="0" w:type="dxa"/>
            <w:right w:w="108" w:type="dxa"/>
          </w:tblCellMar>
        </w:tblPrEx>
        <w:trPr>
          <w:trHeight w:val="420" w:hRule="atLeast"/>
        </w:trPr>
        <w:tc>
          <w:tcPr>
            <w:tcW w:w="778" w:type="dxa"/>
            <w:vMerge w:val="restart"/>
            <w:tcBorders>
              <w:top w:val="single" w:color="000000" w:sz="4" w:space="0"/>
              <w:left w:val="single" w:color="000000" w:sz="4" w:space="0"/>
              <w:right w:val="single" w:color="000000" w:sz="4" w:space="0"/>
            </w:tcBorders>
            <w:noWrap/>
            <w:vAlign w:val="center"/>
          </w:tcPr>
          <w:p w14:paraId="69624F06">
            <w:pPr>
              <w:widowControl/>
              <w:jc w:val="center"/>
              <w:textAlignment w:val="center"/>
              <w:rPr>
                <w:rFonts w:hint="eastAsia" w:ascii="宋体" w:hAnsi="宋体" w:cs="宋体"/>
                <w:color w:val="000000"/>
                <w:sz w:val="24"/>
              </w:rPr>
            </w:pPr>
            <w:r>
              <w:rPr>
                <w:rFonts w:hint="eastAsia" w:ascii="宋体" w:hAnsi="宋体" w:cs="宋体"/>
                <w:color w:val="000000"/>
                <w:kern w:val="0"/>
                <w:sz w:val="24"/>
              </w:rPr>
              <w:t>1</w:t>
            </w:r>
          </w:p>
        </w:tc>
        <w:tc>
          <w:tcPr>
            <w:tcW w:w="1212" w:type="dxa"/>
            <w:vMerge w:val="restart"/>
            <w:tcBorders>
              <w:top w:val="single" w:color="000000" w:sz="4" w:space="0"/>
              <w:left w:val="single" w:color="000000" w:sz="4" w:space="0"/>
              <w:right w:val="single" w:color="000000" w:sz="4" w:space="0"/>
            </w:tcBorders>
            <w:vAlign w:val="center"/>
          </w:tcPr>
          <w:p w14:paraId="36C7573C">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rPr>
              <w:t>技术标</w:t>
            </w:r>
          </w:p>
        </w:tc>
        <w:tc>
          <w:tcPr>
            <w:tcW w:w="809" w:type="dxa"/>
            <w:vMerge w:val="restart"/>
            <w:tcBorders>
              <w:top w:val="single" w:color="000000" w:sz="4" w:space="0"/>
              <w:left w:val="single" w:color="000000" w:sz="4" w:space="0"/>
              <w:right w:val="single" w:color="auto" w:sz="4" w:space="0"/>
            </w:tcBorders>
            <w:vAlign w:val="center"/>
          </w:tcPr>
          <w:p w14:paraId="3F81E070">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rPr>
              <w:t>100</w:t>
            </w:r>
          </w:p>
        </w:tc>
        <w:tc>
          <w:tcPr>
            <w:tcW w:w="1304" w:type="dxa"/>
            <w:vMerge w:val="restart"/>
            <w:tcBorders>
              <w:top w:val="single" w:color="auto" w:sz="4" w:space="0"/>
              <w:left w:val="single" w:color="auto" w:sz="4" w:space="0"/>
              <w:right w:val="single" w:color="auto" w:sz="4" w:space="0"/>
            </w:tcBorders>
            <w:vAlign w:val="center"/>
          </w:tcPr>
          <w:p w14:paraId="5CA5C119">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相关资质及维保能力</w:t>
            </w:r>
          </w:p>
        </w:tc>
        <w:tc>
          <w:tcPr>
            <w:tcW w:w="1043" w:type="dxa"/>
            <w:vMerge w:val="restart"/>
            <w:tcBorders>
              <w:top w:val="single" w:color="000000" w:sz="4" w:space="0"/>
              <w:left w:val="single" w:color="auto" w:sz="4" w:space="0"/>
              <w:right w:val="single" w:color="000000" w:sz="4" w:space="0"/>
            </w:tcBorders>
            <w:vAlign w:val="center"/>
          </w:tcPr>
          <w:p w14:paraId="256E3D5F">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85</w:t>
            </w:r>
          </w:p>
        </w:tc>
        <w:tc>
          <w:tcPr>
            <w:tcW w:w="4030" w:type="dxa"/>
            <w:tcBorders>
              <w:top w:val="single" w:color="000000" w:sz="4" w:space="0"/>
              <w:left w:val="single" w:color="000000" w:sz="4" w:space="0"/>
              <w:bottom w:val="single" w:color="000000" w:sz="4" w:space="0"/>
              <w:right w:val="single" w:color="000000" w:sz="4" w:space="0"/>
            </w:tcBorders>
            <w:vAlign w:val="center"/>
          </w:tcPr>
          <w:p w14:paraId="03B7E15C">
            <w:pPr>
              <w:widowControl/>
              <w:jc w:val="left"/>
              <w:textAlignment w:val="center"/>
              <w:rPr>
                <w:rFonts w:hint="eastAsia" w:ascii="宋体" w:hAnsi="宋体" w:cs="宋体"/>
                <w:szCs w:val="21"/>
              </w:rPr>
            </w:pPr>
            <w:r>
              <w:rPr>
                <w:rFonts w:hint="eastAsia" w:ascii="宋体" w:hAnsi="宋体" w:cs="宋体"/>
                <w:kern w:val="0"/>
                <w:szCs w:val="21"/>
              </w:rPr>
              <w:t>（1）符合消防维保从业条件，得5分。</w:t>
            </w:r>
          </w:p>
        </w:tc>
      </w:tr>
      <w:tr w14:paraId="79883E4D">
        <w:tblPrEx>
          <w:tblCellMar>
            <w:top w:w="0" w:type="dxa"/>
            <w:left w:w="108" w:type="dxa"/>
            <w:bottom w:w="0" w:type="dxa"/>
            <w:right w:w="108" w:type="dxa"/>
          </w:tblCellMar>
        </w:tblPrEx>
        <w:trPr>
          <w:trHeight w:val="640" w:hRule="atLeast"/>
        </w:trPr>
        <w:tc>
          <w:tcPr>
            <w:tcW w:w="778" w:type="dxa"/>
            <w:vMerge w:val="continue"/>
            <w:tcBorders>
              <w:left w:val="single" w:color="000000" w:sz="4" w:space="0"/>
              <w:right w:val="single" w:color="000000" w:sz="4" w:space="0"/>
            </w:tcBorders>
            <w:noWrap/>
            <w:vAlign w:val="center"/>
          </w:tcPr>
          <w:p w14:paraId="724D3E4F">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3DB50118">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28642B22">
            <w:pPr>
              <w:jc w:val="center"/>
              <w:rPr>
                <w:rFonts w:hint="eastAsia"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14:paraId="64B1E949">
            <w:pPr>
              <w:jc w:val="center"/>
              <w:rPr>
                <w:rFonts w:hint="eastAsia" w:ascii="宋体" w:hAnsi="宋体" w:cs="宋体"/>
                <w:color w:val="000000"/>
                <w:szCs w:val="21"/>
              </w:rPr>
            </w:pPr>
          </w:p>
        </w:tc>
        <w:tc>
          <w:tcPr>
            <w:tcW w:w="1043" w:type="dxa"/>
            <w:vMerge w:val="continue"/>
            <w:tcBorders>
              <w:left w:val="single" w:color="auto" w:sz="4" w:space="0"/>
              <w:right w:val="single" w:color="000000" w:sz="4" w:space="0"/>
            </w:tcBorders>
            <w:vAlign w:val="center"/>
          </w:tcPr>
          <w:p w14:paraId="1F201AA4">
            <w:pPr>
              <w:jc w:val="center"/>
              <w:rPr>
                <w:rFonts w:hint="eastAsia"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345231EE">
            <w:pPr>
              <w:widowControl/>
              <w:jc w:val="left"/>
              <w:textAlignment w:val="center"/>
              <w:rPr>
                <w:rFonts w:hint="eastAsia" w:ascii="宋体" w:hAnsi="宋体" w:cs="宋体"/>
                <w:szCs w:val="21"/>
              </w:rPr>
            </w:pPr>
            <w:r>
              <w:rPr>
                <w:rFonts w:hint="eastAsia" w:ascii="宋体" w:hAnsi="宋体" w:cs="宋体"/>
                <w:kern w:val="0"/>
                <w:szCs w:val="21"/>
              </w:rPr>
              <w:t>（2）具有消防设施工程专业承包施工资质二级及以上，得3分。</w:t>
            </w:r>
          </w:p>
        </w:tc>
      </w:tr>
      <w:tr w14:paraId="63113A90">
        <w:tblPrEx>
          <w:tblCellMar>
            <w:top w:w="0" w:type="dxa"/>
            <w:left w:w="108" w:type="dxa"/>
            <w:bottom w:w="0" w:type="dxa"/>
            <w:right w:w="108" w:type="dxa"/>
          </w:tblCellMar>
        </w:tblPrEx>
        <w:trPr>
          <w:trHeight w:val="580" w:hRule="atLeast"/>
        </w:trPr>
        <w:tc>
          <w:tcPr>
            <w:tcW w:w="778" w:type="dxa"/>
            <w:vMerge w:val="continue"/>
            <w:tcBorders>
              <w:left w:val="single" w:color="000000" w:sz="4" w:space="0"/>
              <w:right w:val="single" w:color="000000" w:sz="4" w:space="0"/>
            </w:tcBorders>
            <w:noWrap/>
            <w:vAlign w:val="center"/>
          </w:tcPr>
          <w:p w14:paraId="1EDD5D98">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3E8E718E">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1C48922A">
            <w:pPr>
              <w:jc w:val="center"/>
              <w:rPr>
                <w:rFonts w:hint="eastAsia"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14:paraId="401D7B5B">
            <w:pPr>
              <w:jc w:val="center"/>
              <w:rPr>
                <w:rFonts w:hint="eastAsia" w:ascii="宋体" w:hAnsi="宋体" w:cs="宋体"/>
                <w:color w:val="000000"/>
                <w:szCs w:val="21"/>
              </w:rPr>
            </w:pPr>
          </w:p>
        </w:tc>
        <w:tc>
          <w:tcPr>
            <w:tcW w:w="1043" w:type="dxa"/>
            <w:vMerge w:val="continue"/>
            <w:tcBorders>
              <w:left w:val="single" w:color="auto" w:sz="4" w:space="0"/>
              <w:right w:val="single" w:color="000000" w:sz="4" w:space="0"/>
            </w:tcBorders>
            <w:vAlign w:val="center"/>
          </w:tcPr>
          <w:p w14:paraId="5BA09327">
            <w:pPr>
              <w:jc w:val="center"/>
              <w:rPr>
                <w:rFonts w:hint="eastAsia"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16AA2EA8">
            <w:pPr>
              <w:widowControl/>
              <w:jc w:val="left"/>
              <w:textAlignment w:val="center"/>
              <w:rPr>
                <w:rFonts w:hint="eastAsia" w:ascii="宋体" w:hAnsi="宋体" w:cs="宋体"/>
                <w:szCs w:val="21"/>
              </w:rPr>
            </w:pPr>
            <w:r>
              <w:rPr>
                <w:rFonts w:hint="eastAsia" w:ascii="宋体" w:hAnsi="宋体" w:cs="宋体"/>
                <w:kern w:val="0"/>
                <w:szCs w:val="21"/>
              </w:rPr>
              <w:t>（3）具有消防检测资质和消防安全评估资质，得8分；</w:t>
            </w:r>
          </w:p>
        </w:tc>
      </w:tr>
      <w:tr w14:paraId="35F98BF4">
        <w:tblPrEx>
          <w:tblCellMar>
            <w:top w:w="0" w:type="dxa"/>
            <w:left w:w="108" w:type="dxa"/>
            <w:bottom w:w="0" w:type="dxa"/>
            <w:right w:w="108" w:type="dxa"/>
          </w:tblCellMar>
        </w:tblPrEx>
        <w:trPr>
          <w:trHeight w:val="600" w:hRule="atLeast"/>
        </w:trPr>
        <w:tc>
          <w:tcPr>
            <w:tcW w:w="778" w:type="dxa"/>
            <w:vMerge w:val="continue"/>
            <w:tcBorders>
              <w:left w:val="single" w:color="000000" w:sz="4" w:space="0"/>
              <w:right w:val="single" w:color="000000" w:sz="4" w:space="0"/>
            </w:tcBorders>
            <w:noWrap/>
            <w:vAlign w:val="center"/>
          </w:tcPr>
          <w:p w14:paraId="7215099D">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3A1D78A3">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75AC3520">
            <w:pPr>
              <w:jc w:val="center"/>
              <w:rPr>
                <w:rFonts w:hint="eastAsia"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14:paraId="6E714898">
            <w:pPr>
              <w:jc w:val="center"/>
              <w:rPr>
                <w:rFonts w:hint="eastAsia" w:ascii="宋体" w:hAnsi="宋体" w:cs="宋体"/>
                <w:color w:val="000000"/>
                <w:szCs w:val="21"/>
              </w:rPr>
            </w:pPr>
          </w:p>
        </w:tc>
        <w:tc>
          <w:tcPr>
            <w:tcW w:w="1043" w:type="dxa"/>
            <w:vMerge w:val="continue"/>
            <w:tcBorders>
              <w:left w:val="single" w:color="auto" w:sz="4" w:space="0"/>
              <w:right w:val="single" w:color="000000" w:sz="4" w:space="0"/>
            </w:tcBorders>
            <w:vAlign w:val="center"/>
          </w:tcPr>
          <w:p w14:paraId="2C2ECB4E">
            <w:pPr>
              <w:jc w:val="center"/>
              <w:rPr>
                <w:rFonts w:hint="eastAsia"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7491C8C8">
            <w:pPr>
              <w:widowControl/>
              <w:jc w:val="left"/>
              <w:textAlignment w:val="center"/>
              <w:rPr>
                <w:rFonts w:hint="eastAsia" w:ascii="宋体" w:hAnsi="宋体" w:cs="宋体"/>
                <w:szCs w:val="21"/>
              </w:rPr>
            </w:pPr>
            <w:r>
              <w:rPr>
                <w:rFonts w:hint="eastAsia" w:ascii="宋体" w:hAnsi="宋体" w:cs="宋体"/>
                <w:kern w:val="0"/>
                <w:szCs w:val="21"/>
              </w:rPr>
              <w:t>（4）具有机电工程施工总承包贰级及以上资质，得3分。</w:t>
            </w:r>
          </w:p>
        </w:tc>
      </w:tr>
      <w:tr w14:paraId="561E9C3A">
        <w:tblPrEx>
          <w:tblCellMar>
            <w:top w:w="0" w:type="dxa"/>
            <w:left w:w="108" w:type="dxa"/>
            <w:bottom w:w="0" w:type="dxa"/>
            <w:right w:w="108" w:type="dxa"/>
          </w:tblCellMar>
        </w:tblPrEx>
        <w:trPr>
          <w:trHeight w:val="480" w:hRule="atLeast"/>
        </w:trPr>
        <w:tc>
          <w:tcPr>
            <w:tcW w:w="778" w:type="dxa"/>
            <w:vMerge w:val="continue"/>
            <w:tcBorders>
              <w:left w:val="single" w:color="000000" w:sz="4" w:space="0"/>
              <w:right w:val="single" w:color="000000" w:sz="4" w:space="0"/>
            </w:tcBorders>
            <w:noWrap/>
            <w:vAlign w:val="center"/>
          </w:tcPr>
          <w:p w14:paraId="3103E69E">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3CCF7865">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5293DF11">
            <w:pPr>
              <w:jc w:val="center"/>
              <w:rPr>
                <w:rFonts w:hint="eastAsia"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14:paraId="7BFC6CFF">
            <w:pPr>
              <w:jc w:val="center"/>
              <w:rPr>
                <w:rFonts w:hint="eastAsia" w:ascii="宋体" w:hAnsi="宋体" w:cs="宋体"/>
                <w:color w:val="000000"/>
                <w:szCs w:val="21"/>
              </w:rPr>
            </w:pPr>
          </w:p>
        </w:tc>
        <w:tc>
          <w:tcPr>
            <w:tcW w:w="1043" w:type="dxa"/>
            <w:vMerge w:val="continue"/>
            <w:tcBorders>
              <w:left w:val="single" w:color="auto" w:sz="4" w:space="0"/>
              <w:right w:val="single" w:color="000000" w:sz="4" w:space="0"/>
            </w:tcBorders>
            <w:vAlign w:val="center"/>
          </w:tcPr>
          <w:p w14:paraId="1F1F387F">
            <w:pPr>
              <w:jc w:val="center"/>
              <w:rPr>
                <w:rFonts w:hint="eastAsia"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0983C263">
            <w:pPr>
              <w:widowControl/>
              <w:jc w:val="left"/>
              <w:textAlignment w:val="center"/>
            </w:pPr>
            <w:r>
              <w:rPr>
                <w:rFonts w:hint="eastAsia" w:ascii="宋体" w:hAnsi="宋体" w:cs="宋体"/>
                <w:kern w:val="0"/>
                <w:szCs w:val="21"/>
              </w:rPr>
              <w:t>（5）具有建筑工程AAA级信用企业证书，得8分</w:t>
            </w:r>
          </w:p>
        </w:tc>
      </w:tr>
      <w:tr w14:paraId="61F7ED16">
        <w:tblPrEx>
          <w:tblCellMar>
            <w:top w:w="0" w:type="dxa"/>
            <w:left w:w="108" w:type="dxa"/>
            <w:bottom w:w="0" w:type="dxa"/>
            <w:right w:w="108" w:type="dxa"/>
          </w:tblCellMar>
        </w:tblPrEx>
        <w:trPr>
          <w:trHeight w:val="765" w:hRule="atLeast"/>
        </w:trPr>
        <w:tc>
          <w:tcPr>
            <w:tcW w:w="778" w:type="dxa"/>
            <w:vMerge w:val="continue"/>
            <w:tcBorders>
              <w:left w:val="single" w:color="000000" w:sz="4" w:space="0"/>
              <w:right w:val="single" w:color="000000" w:sz="4" w:space="0"/>
            </w:tcBorders>
            <w:noWrap/>
            <w:vAlign w:val="center"/>
          </w:tcPr>
          <w:p w14:paraId="4DAEF387">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63B9C4C6">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412847C8">
            <w:pPr>
              <w:jc w:val="center"/>
              <w:rPr>
                <w:rFonts w:hint="eastAsia"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14:paraId="1B18703C">
            <w:pPr>
              <w:jc w:val="center"/>
              <w:rPr>
                <w:rFonts w:hint="eastAsia" w:ascii="宋体" w:hAnsi="宋体" w:cs="宋体"/>
                <w:color w:val="000000"/>
                <w:szCs w:val="21"/>
              </w:rPr>
            </w:pPr>
          </w:p>
        </w:tc>
        <w:tc>
          <w:tcPr>
            <w:tcW w:w="1043" w:type="dxa"/>
            <w:vMerge w:val="continue"/>
            <w:tcBorders>
              <w:left w:val="single" w:color="auto" w:sz="4" w:space="0"/>
              <w:right w:val="single" w:color="000000" w:sz="4" w:space="0"/>
            </w:tcBorders>
            <w:vAlign w:val="center"/>
          </w:tcPr>
          <w:p w14:paraId="35133418">
            <w:pPr>
              <w:jc w:val="center"/>
              <w:rPr>
                <w:rFonts w:hint="eastAsia"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581C0B72">
            <w:pPr>
              <w:widowControl/>
              <w:jc w:val="left"/>
              <w:textAlignment w:val="center"/>
              <w:rPr>
                <w:rFonts w:hint="eastAsia" w:ascii="宋体" w:hAnsi="宋体" w:cs="宋体"/>
                <w:kern w:val="0"/>
                <w:szCs w:val="21"/>
              </w:rPr>
            </w:pPr>
            <w:r>
              <w:rPr>
                <w:rFonts w:hint="eastAsia" w:ascii="宋体" w:hAnsi="宋体" w:cs="宋体"/>
                <w:kern w:val="0"/>
                <w:szCs w:val="21"/>
              </w:rPr>
              <w:t>（6）具有高新技术企业认证体系认证得8分。</w:t>
            </w:r>
          </w:p>
        </w:tc>
      </w:tr>
      <w:tr w14:paraId="611D4902">
        <w:tblPrEx>
          <w:tblCellMar>
            <w:top w:w="0" w:type="dxa"/>
            <w:left w:w="108" w:type="dxa"/>
            <w:bottom w:w="0" w:type="dxa"/>
            <w:right w:w="108" w:type="dxa"/>
          </w:tblCellMar>
        </w:tblPrEx>
        <w:trPr>
          <w:trHeight w:val="860" w:hRule="atLeast"/>
        </w:trPr>
        <w:tc>
          <w:tcPr>
            <w:tcW w:w="778" w:type="dxa"/>
            <w:vMerge w:val="continue"/>
            <w:tcBorders>
              <w:left w:val="single" w:color="000000" w:sz="4" w:space="0"/>
              <w:right w:val="single" w:color="000000" w:sz="4" w:space="0"/>
            </w:tcBorders>
            <w:noWrap/>
            <w:vAlign w:val="center"/>
          </w:tcPr>
          <w:p w14:paraId="15BF297F">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3B59029E">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5836B6FB">
            <w:pPr>
              <w:jc w:val="center"/>
              <w:rPr>
                <w:rFonts w:hint="eastAsia"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14:paraId="0FA0875B">
            <w:pPr>
              <w:jc w:val="center"/>
              <w:rPr>
                <w:rFonts w:hint="eastAsia" w:ascii="宋体" w:hAnsi="宋体" w:cs="宋体"/>
                <w:color w:val="000000"/>
                <w:szCs w:val="21"/>
              </w:rPr>
            </w:pPr>
          </w:p>
        </w:tc>
        <w:tc>
          <w:tcPr>
            <w:tcW w:w="1043" w:type="dxa"/>
            <w:vMerge w:val="continue"/>
            <w:tcBorders>
              <w:left w:val="single" w:color="auto" w:sz="4" w:space="0"/>
              <w:right w:val="single" w:color="000000" w:sz="4" w:space="0"/>
            </w:tcBorders>
            <w:vAlign w:val="center"/>
          </w:tcPr>
          <w:p w14:paraId="26979D19">
            <w:pPr>
              <w:jc w:val="center"/>
              <w:rPr>
                <w:rFonts w:hint="eastAsia"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7327E70B">
            <w:pPr>
              <w:widowControl/>
              <w:jc w:val="left"/>
              <w:textAlignment w:val="center"/>
              <w:rPr>
                <w:rFonts w:hint="eastAsia" w:ascii="宋体" w:hAnsi="宋体" w:cs="宋体"/>
                <w:kern w:val="0"/>
                <w:szCs w:val="21"/>
              </w:rPr>
            </w:pPr>
            <w:r>
              <w:rPr>
                <w:rFonts w:hint="eastAsia" w:ascii="宋体" w:hAnsi="宋体" w:cs="宋体"/>
                <w:kern w:val="0"/>
                <w:szCs w:val="21"/>
                <w:highlight w:val="none"/>
              </w:rPr>
              <w:t>（7）维保技术人员具有机电工程注册建造师资质证书，一级得2分，每名工程师得2分，最高得6分。</w:t>
            </w:r>
          </w:p>
        </w:tc>
      </w:tr>
      <w:tr w14:paraId="5B6FE6DE">
        <w:tblPrEx>
          <w:tblCellMar>
            <w:top w:w="0" w:type="dxa"/>
            <w:left w:w="108" w:type="dxa"/>
            <w:bottom w:w="0" w:type="dxa"/>
            <w:right w:w="108" w:type="dxa"/>
          </w:tblCellMar>
        </w:tblPrEx>
        <w:trPr>
          <w:trHeight w:val="692" w:hRule="atLeast"/>
        </w:trPr>
        <w:tc>
          <w:tcPr>
            <w:tcW w:w="778" w:type="dxa"/>
            <w:vMerge w:val="continue"/>
            <w:tcBorders>
              <w:left w:val="single" w:color="000000" w:sz="4" w:space="0"/>
              <w:right w:val="single" w:color="000000" w:sz="4" w:space="0"/>
            </w:tcBorders>
            <w:noWrap/>
            <w:vAlign w:val="center"/>
          </w:tcPr>
          <w:p w14:paraId="10E18B2D">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15D9B480">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447561F0">
            <w:pPr>
              <w:jc w:val="center"/>
              <w:rPr>
                <w:rFonts w:hint="eastAsia"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14:paraId="01271C1C">
            <w:pPr>
              <w:jc w:val="center"/>
              <w:rPr>
                <w:rFonts w:hint="eastAsia" w:ascii="宋体" w:hAnsi="宋体" w:cs="宋体"/>
                <w:color w:val="000000"/>
                <w:szCs w:val="21"/>
              </w:rPr>
            </w:pPr>
          </w:p>
        </w:tc>
        <w:tc>
          <w:tcPr>
            <w:tcW w:w="1043" w:type="dxa"/>
            <w:vMerge w:val="continue"/>
            <w:tcBorders>
              <w:left w:val="single" w:color="auto" w:sz="4" w:space="0"/>
              <w:right w:val="single" w:color="000000" w:sz="4" w:space="0"/>
            </w:tcBorders>
            <w:vAlign w:val="center"/>
          </w:tcPr>
          <w:p w14:paraId="026E8A5A">
            <w:pPr>
              <w:jc w:val="center"/>
              <w:rPr>
                <w:rFonts w:hint="eastAsia"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386DBB90">
            <w:pPr>
              <w:widowControl/>
              <w:jc w:val="left"/>
              <w:textAlignment w:val="center"/>
              <w:rPr>
                <w:rFonts w:hint="eastAsia" w:ascii="宋体" w:hAnsi="宋体" w:cs="宋体"/>
                <w:szCs w:val="21"/>
              </w:rPr>
            </w:pPr>
            <w:r>
              <w:rPr>
                <w:rFonts w:hint="eastAsia" w:ascii="宋体" w:hAnsi="宋体" w:cs="宋体"/>
                <w:kern w:val="0"/>
                <w:szCs w:val="21"/>
              </w:rPr>
              <w:t>（8）维保技术人员、项目负责人应具有消防工程师证书；一级得4分，最高得12分。</w:t>
            </w:r>
          </w:p>
        </w:tc>
      </w:tr>
      <w:tr w14:paraId="4EEEBCD9">
        <w:tblPrEx>
          <w:tblCellMar>
            <w:top w:w="0" w:type="dxa"/>
            <w:left w:w="108" w:type="dxa"/>
            <w:bottom w:w="0" w:type="dxa"/>
            <w:right w:w="108" w:type="dxa"/>
          </w:tblCellMar>
        </w:tblPrEx>
        <w:trPr>
          <w:trHeight w:val="625" w:hRule="atLeast"/>
        </w:trPr>
        <w:tc>
          <w:tcPr>
            <w:tcW w:w="778" w:type="dxa"/>
            <w:vMerge w:val="continue"/>
            <w:tcBorders>
              <w:left w:val="single" w:color="000000" w:sz="4" w:space="0"/>
              <w:right w:val="single" w:color="000000" w:sz="4" w:space="0"/>
            </w:tcBorders>
            <w:noWrap/>
            <w:vAlign w:val="center"/>
          </w:tcPr>
          <w:p w14:paraId="093E4176">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50D53BD1">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1F8A6B57">
            <w:pPr>
              <w:jc w:val="center"/>
              <w:rPr>
                <w:rFonts w:hint="eastAsia"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14:paraId="45AE2541">
            <w:pPr>
              <w:jc w:val="center"/>
              <w:rPr>
                <w:rFonts w:hint="eastAsia" w:ascii="宋体" w:hAnsi="宋体" w:cs="宋体"/>
                <w:color w:val="000000"/>
                <w:szCs w:val="21"/>
              </w:rPr>
            </w:pPr>
          </w:p>
        </w:tc>
        <w:tc>
          <w:tcPr>
            <w:tcW w:w="1043" w:type="dxa"/>
            <w:vMerge w:val="continue"/>
            <w:tcBorders>
              <w:left w:val="single" w:color="auto" w:sz="4" w:space="0"/>
              <w:right w:val="single" w:color="000000" w:sz="4" w:space="0"/>
            </w:tcBorders>
            <w:vAlign w:val="center"/>
          </w:tcPr>
          <w:p w14:paraId="60AC9699">
            <w:pPr>
              <w:jc w:val="center"/>
              <w:rPr>
                <w:rFonts w:hint="eastAsia"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0BC9A5A4">
            <w:pPr>
              <w:widowControl/>
              <w:jc w:val="left"/>
              <w:textAlignment w:val="center"/>
              <w:rPr>
                <w:rFonts w:hint="eastAsia" w:ascii="宋体" w:hAnsi="宋体" w:cs="宋体"/>
                <w:szCs w:val="21"/>
              </w:rPr>
            </w:pPr>
            <w:r>
              <w:rPr>
                <w:rFonts w:hint="eastAsia" w:ascii="宋体" w:hAnsi="宋体" w:cs="宋体"/>
                <w:kern w:val="0"/>
                <w:szCs w:val="21"/>
              </w:rPr>
              <w:t>（9）维保技术人员应具有建筑构消防员资质证书，每名工程师得2分，最高得6分。</w:t>
            </w:r>
          </w:p>
        </w:tc>
      </w:tr>
      <w:tr w14:paraId="4C175EAC">
        <w:tblPrEx>
          <w:tblCellMar>
            <w:top w:w="0" w:type="dxa"/>
            <w:left w:w="108" w:type="dxa"/>
            <w:bottom w:w="0" w:type="dxa"/>
            <w:right w:w="108" w:type="dxa"/>
          </w:tblCellMar>
        </w:tblPrEx>
        <w:trPr>
          <w:trHeight w:val="817" w:hRule="atLeast"/>
        </w:trPr>
        <w:tc>
          <w:tcPr>
            <w:tcW w:w="778" w:type="dxa"/>
            <w:vMerge w:val="continue"/>
            <w:tcBorders>
              <w:left w:val="single" w:color="000000" w:sz="4" w:space="0"/>
              <w:right w:val="single" w:color="000000" w:sz="4" w:space="0"/>
            </w:tcBorders>
            <w:noWrap/>
            <w:vAlign w:val="center"/>
          </w:tcPr>
          <w:p w14:paraId="69BFCBE6">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6E571AD9">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08EC14AF">
            <w:pPr>
              <w:jc w:val="center"/>
              <w:rPr>
                <w:rFonts w:hint="eastAsia"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14:paraId="7876E456">
            <w:pPr>
              <w:jc w:val="center"/>
              <w:rPr>
                <w:rFonts w:hint="eastAsia" w:ascii="宋体" w:hAnsi="宋体" w:cs="宋体"/>
                <w:color w:val="000000"/>
                <w:szCs w:val="21"/>
              </w:rPr>
            </w:pPr>
          </w:p>
        </w:tc>
        <w:tc>
          <w:tcPr>
            <w:tcW w:w="1043" w:type="dxa"/>
            <w:vMerge w:val="continue"/>
            <w:tcBorders>
              <w:left w:val="single" w:color="auto" w:sz="4" w:space="0"/>
              <w:right w:val="single" w:color="000000" w:sz="4" w:space="0"/>
            </w:tcBorders>
            <w:vAlign w:val="center"/>
          </w:tcPr>
          <w:p w14:paraId="5EB5F6E6">
            <w:pPr>
              <w:jc w:val="center"/>
              <w:rPr>
                <w:rFonts w:hint="eastAsia"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139276AE">
            <w:pPr>
              <w:widowControl/>
              <w:jc w:val="left"/>
              <w:textAlignment w:val="center"/>
              <w:rPr>
                <w:rFonts w:hint="eastAsia" w:ascii="宋体" w:hAnsi="宋体" w:cs="宋体"/>
                <w:szCs w:val="21"/>
              </w:rPr>
            </w:pPr>
            <w:r>
              <w:rPr>
                <w:rFonts w:hint="eastAsia" w:ascii="宋体" w:hAnsi="宋体" w:cs="宋体"/>
                <w:kern w:val="0"/>
                <w:szCs w:val="21"/>
              </w:rPr>
              <w:t>（10）维保技术人员具有中华人民共和国应急管理部颁发的电工相关证书，每名的2分，最高得6分。</w:t>
            </w:r>
          </w:p>
        </w:tc>
      </w:tr>
      <w:tr w14:paraId="4BFFE312">
        <w:tblPrEx>
          <w:tblCellMar>
            <w:top w:w="0" w:type="dxa"/>
            <w:left w:w="108" w:type="dxa"/>
            <w:bottom w:w="0" w:type="dxa"/>
            <w:right w:w="108" w:type="dxa"/>
          </w:tblCellMar>
        </w:tblPrEx>
        <w:trPr>
          <w:trHeight w:val="545" w:hRule="atLeast"/>
        </w:trPr>
        <w:tc>
          <w:tcPr>
            <w:tcW w:w="778" w:type="dxa"/>
            <w:vMerge w:val="continue"/>
            <w:tcBorders>
              <w:left w:val="single" w:color="000000" w:sz="4" w:space="0"/>
              <w:right w:val="single" w:color="000000" w:sz="4" w:space="0"/>
            </w:tcBorders>
            <w:noWrap/>
            <w:vAlign w:val="center"/>
          </w:tcPr>
          <w:p w14:paraId="3FDDCDC8">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39C48D30">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3CFB63B1">
            <w:pPr>
              <w:jc w:val="center"/>
              <w:rPr>
                <w:rFonts w:hint="eastAsia" w:ascii="宋体" w:hAnsi="宋体" w:cs="宋体"/>
                <w:color w:val="000000"/>
                <w:sz w:val="22"/>
                <w:szCs w:val="22"/>
              </w:rPr>
            </w:pPr>
          </w:p>
        </w:tc>
        <w:tc>
          <w:tcPr>
            <w:tcW w:w="1304" w:type="dxa"/>
            <w:vMerge w:val="continue"/>
            <w:tcBorders>
              <w:left w:val="single" w:color="auto" w:sz="4" w:space="0"/>
              <w:right w:val="single" w:color="auto" w:sz="4" w:space="0"/>
            </w:tcBorders>
            <w:vAlign w:val="center"/>
          </w:tcPr>
          <w:p w14:paraId="222AA1F7">
            <w:pPr>
              <w:jc w:val="center"/>
              <w:rPr>
                <w:rFonts w:hint="eastAsia" w:ascii="宋体" w:hAnsi="宋体" w:cs="宋体"/>
                <w:color w:val="000000"/>
                <w:szCs w:val="21"/>
              </w:rPr>
            </w:pPr>
          </w:p>
        </w:tc>
        <w:tc>
          <w:tcPr>
            <w:tcW w:w="1043" w:type="dxa"/>
            <w:vMerge w:val="continue"/>
            <w:tcBorders>
              <w:left w:val="single" w:color="auto" w:sz="4" w:space="0"/>
              <w:right w:val="single" w:color="000000" w:sz="4" w:space="0"/>
            </w:tcBorders>
            <w:vAlign w:val="center"/>
          </w:tcPr>
          <w:p w14:paraId="5DCA1A90">
            <w:pPr>
              <w:jc w:val="center"/>
              <w:rPr>
                <w:rFonts w:hint="eastAsia" w:ascii="宋体" w:hAnsi="宋体" w:cs="宋体"/>
                <w:color w:val="00000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6B3649E2">
            <w:pPr>
              <w:widowControl/>
              <w:jc w:val="left"/>
              <w:textAlignment w:val="center"/>
              <w:rPr>
                <w:rFonts w:hint="eastAsia" w:ascii="宋体" w:hAnsi="宋体" w:cs="宋体"/>
                <w:szCs w:val="21"/>
              </w:rPr>
            </w:pPr>
            <w:r>
              <w:rPr>
                <w:rFonts w:hint="eastAsia" w:ascii="宋体" w:hAnsi="宋体" w:cs="宋体"/>
                <w:kern w:val="0"/>
                <w:szCs w:val="21"/>
              </w:rPr>
              <w:t>（11）中控室值班人员具备中级职业操作证书，每名得1分，最高8分。</w:t>
            </w:r>
          </w:p>
        </w:tc>
      </w:tr>
      <w:tr w14:paraId="1379C9C7">
        <w:tblPrEx>
          <w:tblCellMar>
            <w:top w:w="0" w:type="dxa"/>
            <w:left w:w="108" w:type="dxa"/>
            <w:bottom w:w="0" w:type="dxa"/>
            <w:right w:w="108" w:type="dxa"/>
          </w:tblCellMar>
        </w:tblPrEx>
        <w:trPr>
          <w:trHeight w:val="560" w:hRule="atLeast"/>
        </w:trPr>
        <w:tc>
          <w:tcPr>
            <w:tcW w:w="778" w:type="dxa"/>
            <w:vMerge w:val="continue"/>
            <w:tcBorders>
              <w:left w:val="single" w:color="000000" w:sz="4" w:space="0"/>
              <w:right w:val="single" w:color="000000" w:sz="4" w:space="0"/>
            </w:tcBorders>
            <w:noWrap/>
            <w:vAlign w:val="center"/>
          </w:tcPr>
          <w:p w14:paraId="44AFAE56">
            <w:pPr>
              <w:jc w:val="center"/>
              <w:rPr>
                <w:rFonts w:hint="eastAsia" w:ascii="宋体" w:hAnsi="宋体" w:cs="宋体"/>
                <w:color w:val="000000"/>
                <w:sz w:val="24"/>
              </w:rPr>
            </w:pPr>
          </w:p>
        </w:tc>
        <w:tc>
          <w:tcPr>
            <w:tcW w:w="1212" w:type="dxa"/>
            <w:vMerge w:val="continue"/>
            <w:tcBorders>
              <w:left w:val="single" w:color="000000" w:sz="4" w:space="0"/>
              <w:right w:val="single" w:color="000000" w:sz="4" w:space="0"/>
            </w:tcBorders>
            <w:vAlign w:val="center"/>
          </w:tcPr>
          <w:p w14:paraId="01313CF7">
            <w:pPr>
              <w:jc w:val="center"/>
              <w:rPr>
                <w:rFonts w:hint="eastAsia" w:ascii="宋体" w:hAnsi="宋体" w:cs="宋体"/>
                <w:color w:val="000000"/>
                <w:sz w:val="22"/>
                <w:szCs w:val="22"/>
              </w:rPr>
            </w:pPr>
          </w:p>
        </w:tc>
        <w:tc>
          <w:tcPr>
            <w:tcW w:w="809" w:type="dxa"/>
            <w:vMerge w:val="continue"/>
            <w:tcBorders>
              <w:left w:val="single" w:color="000000" w:sz="4" w:space="0"/>
              <w:right w:val="single" w:color="auto" w:sz="4" w:space="0"/>
            </w:tcBorders>
            <w:vAlign w:val="center"/>
          </w:tcPr>
          <w:p w14:paraId="3006F61E">
            <w:pPr>
              <w:jc w:val="center"/>
              <w:rPr>
                <w:rFonts w:hint="eastAsia" w:ascii="宋体" w:hAnsi="宋体" w:cs="宋体"/>
                <w:color w:val="000000"/>
                <w:sz w:val="22"/>
                <w:szCs w:val="22"/>
              </w:rPr>
            </w:pPr>
          </w:p>
        </w:tc>
        <w:tc>
          <w:tcPr>
            <w:tcW w:w="1304" w:type="dxa"/>
            <w:vMerge w:val="continue"/>
            <w:tcBorders>
              <w:left w:val="single" w:color="auto" w:sz="4" w:space="0"/>
              <w:bottom w:val="single" w:color="auto" w:sz="4" w:space="0"/>
              <w:right w:val="single" w:color="auto" w:sz="4" w:space="0"/>
            </w:tcBorders>
            <w:vAlign w:val="center"/>
          </w:tcPr>
          <w:p w14:paraId="6B5FE3E4">
            <w:pPr>
              <w:widowControl/>
              <w:jc w:val="center"/>
              <w:textAlignment w:val="center"/>
              <w:rPr>
                <w:rFonts w:hint="eastAsia" w:ascii="宋体" w:hAnsi="宋体" w:cs="宋体"/>
                <w:color w:val="000000"/>
                <w:kern w:val="0"/>
                <w:szCs w:val="21"/>
              </w:rPr>
            </w:pPr>
          </w:p>
        </w:tc>
        <w:tc>
          <w:tcPr>
            <w:tcW w:w="1043" w:type="dxa"/>
            <w:vMerge w:val="continue"/>
            <w:tcBorders>
              <w:left w:val="single" w:color="auto" w:sz="4" w:space="0"/>
              <w:bottom w:val="single" w:color="000000" w:sz="4" w:space="0"/>
              <w:right w:val="single" w:color="000000" w:sz="4" w:space="0"/>
            </w:tcBorders>
            <w:vAlign w:val="center"/>
          </w:tcPr>
          <w:p w14:paraId="1CE36B46">
            <w:pPr>
              <w:widowControl/>
              <w:jc w:val="center"/>
              <w:textAlignment w:val="center"/>
              <w:rPr>
                <w:rFonts w:hint="eastAsia" w:ascii="宋体" w:hAnsi="宋体" w:cs="宋体"/>
                <w:color w:val="000000"/>
                <w:kern w:val="0"/>
                <w:szCs w:val="21"/>
              </w:rPr>
            </w:pPr>
          </w:p>
        </w:tc>
        <w:tc>
          <w:tcPr>
            <w:tcW w:w="4030" w:type="dxa"/>
            <w:tcBorders>
              <w:top w:val="single" w:color="000000" w:sz="4" w:space="0"/>
              <w:left w:val="single" w:color="000000" w:sz="4" w:space="0"/>
              <w:bottom w:val="single" w:color="000000" w:sz="4" w:space="0"/>
              <w:right w:val="single" w:color="000000" w:sz="4" w:space="0"/>
            </w:tcBorders>
            <w:vAlign w:val="center"/>
          </w:tcPr>
          <w:p w14:paraId="3E7E5DF8">
            <w:pPr>
              <w:widowControl/>
              <w:jc w:val="left"/>
              <w:textAlignment w:val="center"/>
              <w:rPr>
                <w:rFonts w:hint="eastAsia" w:ascii="宋体" w:hAnsi="宋体" w:cs="宋体"/>
                <w:kern w:val="0"/>
                <w:szCs w:val="21"/>
              </w:rPr>
            </w:pPr>
            <w:r>
              <w:rPr>
                <w:rFonts w:hint="eastAsia" w:ascii="宋体" w:hAnsi="宋体" w:cs="宋体"/>
                <w:kern w:val="0"/>
                <w:szCs w:val="21"/>
              </w:rPr>
              <w:t>（12）近三年消防设施维护、保养、及消防设施检测、电气防火检测、消防安全评估，每个项目检测面积≥20万㎡，得4分；每个项目监测面积＜20万㎡的，得2分，最多得12分。</w:t>
            </w:r>
          </w:p>
        </w:tc>
      </w:tr>
      <w:tr w14:paraId="7B1E2813">
        <w:tblPrEx>
          <w:tblCellMar>
            <w:top w:w="0" w:type="dxa"/>
            <w:left w:w="108" w:type="dxa"/>
            <w:bottom w:w="0" w:type="dxa"/>
            <w:right w:w="108" w:type="dxa"/>
          </w:tblCellMar>
        </w:tblPrEx>
        <w:trPr>
          <w:trHeight w:val="560" w:hRule="atLeast"/>
        </w:trPr>
        <w:tc>
          <w:tcPr>
            <w:tcW w:w="778" w:type="dxa"/>
            <w:vMerge w:val="continue"/>
            <w:tcBorders>
              <w:left w:val="single" w:color="000000" w:sz="4" w:space="0"/>
              <w:bottom w:val="single" w:color="000000" w:sz="4" w:space="0"/>
              <w:right w:val="single" w:color="000000" w:sz="4" w:space="0"/>
            </w:tcBorders>
            <w:noWrap/>
            <w:vAlign w:val="center"/>
          </w:tcPr>
          <w:p w14:paraId="56BE27A7">
            <w:pPr>
              <w:jc w:val="center"/>
              <w:rPr>
                <w:rFonts w:hint="eastAsia" w:ascii="宋体" w:hAnsi="宋体" w:cs="宋体"/>
                <w:color w:val="000000"/>
                <w:sz w:val="24"/>
              </w:rPr>
            </w:pPr>
          </w:p>
        </w:tc>
        <w:tc>
          <w:tcPr>
            <w:tcW w:w="1212" w:type="dxa"/>
            <w:vMerge w:val="continue"/>
            <w:tcBorders>
              <w:left w:val="single" w:color="000000" w:sz="4" w:space="0"/>
              <w:bottom w:val="single" w:color="000000" w:sz="4" w:space="0"/>
              <w:right w:val="single" w:color="000000" w:sz="4" w:space="0"/>
            </w:tcBorders>
            <w:vAlign w:val="center"/>
          </w:tcPr>
          <w:p w14:paraId="0C5626B6">
            <w:pPr>
              <w:jc w:val="center"/>
              <w:rPr>
                <w:rFonts w:hint="eastAsia" w:ascii="宋体" w:hAnsi="宋体" w:cs="宋体"/>
                <w:color w:val="000000"/>
                <w:sz w:val="22"/>
                <w:szCs w:val="22"/>
              </w:rPr>
            </w:pPr>
          </w:p>
        </w:tc>
        <w:tc>
          <w:tcPr>
            <w:tcW w:w="809" w:type="dxa"/>
            <w:vMerge w:val="continue"/>
            <w:tcBorders>
              <w:left w:val="single" w:color="000000" w:sz="4" w:space="0"/>
              <w:bottom w:val="single" w:color="000000" w:sz="4" w:space="0"/>
              <w:right w:val="single" w:color="auto" w:sz="4" w:space="0"/>
            </w:tcBorders>
            <w:vAlign w:val="center"/>
          </w:tcPr>
          <w:p w14:paraId="78F489ED">
            <w:pPr>
              <w:jc w:val="center"/>
              <w:rPr>
                <w:rFonts w:hint="eastAsia" w:ascii="宋体" w:hAnsi="宋体" w:cs="宋体"/>
                <w:color w:val="000000"/>
                <w:sz w:val="22"/>
                <w:szCs w:val="22"/>
              </w:rPr>
            </w:pPr>
          </w:p>
        </w:tc>
        <w:tc>
          <w:tcPr>
            <w:tcW w:w="1304" w:type="dxa"/>
            <w:tcBorders>
              <w:top w:val="single" w:color="000000" w:sz="4" w:space="0"/>
              <w:left w:val="single" w:color="auto" w:sz="4" w:space="0"/>
              <w:bottom w:val="single" w:color="auto" w:sz="4" w:space="0"/>
              <w:right w:val="single" w:color="auto" w:sz="4" w:space="0"/>
            </w:tcBorders>
            <w:vAlign w:val="center"/>
          </w:tcPr>
          <w:p w14:paraId="0AEB27CC">
            <w:pPr>
              <w:widowControl/>
              <w:jc w:val="center"/>
              <w:textAlignment w:val="center"/>
              <w:rPr>
                <w:rFonts w:hint="eastAsia" w:ascii="宋体" w:hAnsi="宋体" w:cs="宋体"/>
                <w:color w:val="000000"/>
                <w:kern w:val="0"/>
                <w:szCs w:val="21"/>
              </w:rPr>
            </w:pPr>
            <w:r>
              <w:rPr>
                <w:rFonts w:hint="eastAsia" w:ascii="宋体" w:hAnsi="宋体" w:cs="宋体"/>
                <w:color w:val="000000"/>
                <w:szCs w:val="21"/>
              </w:rPr>
              <w:t>技术方案</w:t>
            </w:r>
          </w:p>
        </w:tc>
        <w:tc>
          <w:tcPr>
            <w:tcW w:w="1043" w:type="dxa"/>
            <w:tcBorders>
              <w:top w:val="single" w:color="000000" w:sz="4" w:space="0"/>
              <w:left w:val="single" w:color="auto" w:sz="4" w:space="0"/>
              <w:bottom w:val="single" w:color="000000" w:sz="4" w:space="0"/>
              <w:right w:val="single" w:color="000000" w:sz="4" w:space="0"/>
            </w:tcBorders>
            <w:vAlign w:val="center"/>
          </w:tcPr>
          <w:p w14:paraId="239D4A85">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15</w:t>
            </w:r>
          </w:p>
        </w:tc>
        <w:tc>
          <w:tcPr>
            <w:tcW w:w="4030" w:type="dxa"/>
            <w:tcBorders>
              <w:top w:val="single" w:color="000000" w:sz="4" w:space="0"/>
              <w:left w:val="single" w:color="000000" w:sz="4" w:space="0"/>
              <w:bottom w:val="single" w:color="000000" w:sz="4" w:space="0"/>
              <w:right w:val="single" w:color="000000" w:sz="4" w:space="0"/>
            </w:tcBorders>
            <w:vAlign w:val="center"/>
          </w:tcPr>
          <w:p w14:paraId="46ED5A60">
            <w:pPr>
              <w:widowControl/>
              <w:jc w:val="left"/>
              <w:textAlignment w:val="center"/>
              <w:rPr>
                <w:rFonts w:hint="eastAsia" w:ascii="宋体" w:hAnsi="宋体" w:cs="宋体"/>
                <w:kern w:val="0"/>
                <w:szCs w:val="21"/>
              </w:rPr>
            </w:pPr>
            <w:r>
              <w:rPr>
                <w:rFonts w:hint="eastAsia" w:ascii="宋体" w:hAnsi="宋体" w:cs="宋体"/>
                <w:kern w:val="0"/>
                <w:szCs w:val="21"/>
              </w:rPr>
              <w:t>有详细完善的维保技术方案，得10分；维保计划，得5分；最多得15分。</w:t>
            </w:r>
          </w:p>
        </w:tc>
      </w:tr>
      <w:tr w14:paraId="01F3DC7C">
        <w:tblPrEx>
          <w:tblCellMar>
            <w:top w:w="0" w:type="dxa"/>
            <w:left w:w="108" w:type="dxa"/>
            <w:bottom w:w="0" w:type="dxa"/>
            <w:right w:w="108" w:type="dxa"/>
          </w:tblCellMar>
        </w:tblPrEx>
        <w:trPr>
          <w:trHeight w:val="266" w:hRule="atLeast"/>
        </w:trPr>
        <w:tc>
          <w:tcPr>
            <w:tcW w:w="9176" w:type="dxa"/>
            <w:gridSpan w:val="6"/>
            <w:tcBorders>
              <w:top w:val="single" w:color="000000" w:sz="4" w:space="0"/>
              <w:left w:val="single" w:color="000000" w:sz="4" w:space="0"/>
              <w:bottom w:val="single" w:color="000000" w:sz="4" w:space="0"/>
              <w:right w:val="single" w:color="000000" w:sz="4" w:space="0"/>
            </w:tcBorders>
            <w:vAlign w:val="center"/>
          </w:tcPr>
          <w:p w14:paraId="157D5D25">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1、工程师技术能力中所要求各专业人员，均需提供专业人员的资质证书否则不作得分依据。</w:t>
            </w:r>
          </w:p>
        </w:tc>
      </w:tr>
      <w:tr w14:paraId="3A9777C7">
        <w:tblPrEx>
          <w:tblCellMar>
            <w:top w:w="0" w:type="dxa"/>
            <w:left w:w="108" w:type="dxa"/>
            <w:bottom w:w="0" w:type="dxa"/>
            <w:right w:w="108" w:type="dxa"/>
          </w:tblCellMar>
        </w:tblPrEx>
        <w:trPr>
          <w:trHeight w:val="555" w:hRule="atLeast"/>
        </w:trPr>
        <w:tc>
          <w:tcPr>
            <w:tcW w:w="9176" w:type="dxa"/>
            <w:gridSpan w:val="6"/>
            <w:tcBorders>
              <w:top w:val="single" w:color="000000" w:sz="4" w:space="0"/>
              <w:left w:val="single" w:color="000000" w:sz="4" w:space="0"/>
              <w:bottom w:val="single" w:color="000000" w:sz="4" w:space="0"/>
              <w:right w:val="single" w:color="000000" w:sz="4" w:space="0"/>
            </w:tcBorders>
            <w:vAlign w:val="center"/>
          </w:tcPr>
          <w:p w14:paraId="50C98B89">
            <w:pPr>
              <w:widowControl/>
              <w:jc w:val="left"/>
              <w:textAlignment w:val="center"/>
              <w:rPr>
                <w:rFonts w:hint="eastAsia" w:ascii="宋体" w:hAnsi="宋体" w:cs="宋体"/>
                <w:color w:val="000000"/>
                <w:szCs w:val="21"/>
              </w:rPr>
            </w:pPr>
            <w:r>
              <w:rPr>
                <w:rFonts w:hint="eastAsia" w:ascii="宋体" w:hAnsi="宋体" w:cs="宋体"/>
                <w:color w:val="000000"/>
                <w:kern w:val="0"/>
                <w:szCs w:val="21"/>
              </w:rPr>
              <w:t>2、所提供的注册消防工程师、注册一级建造师证件必须注册于所报公司内，并提供所在公司不少1年社保缴费记录。</w:t>
            </w:r>
          </w:p>
        </w:tc>
      </w:tr>
    </w:tbl>
    <w:p w14:paraId="3805D8FB">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注：</w:t>
      </w:r>
    </w:p>
    <w:p w14:paraId="58637FA4">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1、投标人技术标的最终得分为所有评委打分汇总后的算术平均值。</w:t>
      </w:r>
    </w:p>
    <w:p w14:paraId="1CC510C9">
      <w:pPr>
        <w:pStyle w:val="59"/>
        <w:spacing w:line="360" w:lineRule="auto"/>
        <w:jc w:val="left"/>
        <w:rPr>
          <w:rFonts w:hint="eastAsia" w:ascii="宋体" w:hAnsi="宋体" w:eastAsia="宋体" w:cs="宋体"/>
        </w:rPr>
      </w:pPr>
      <w:r>
        <w:rPr>
          <w:rFonts w:hint="eastAsia" w:ascii="宋体" w:hAnsi="宋体" w:eastAsia="宋体" w:cs="宋体"/>
          <w:b/>
          <w:sz w:val="24"/>
        </w:rPr>
        <w:t>2、技术标根据评分办法进行打分，技术标评标小组推荐至少3家技术得分80分（含）以上的投标人入围。技术入围投标人不足三家时，本次按废标处理，招标人有权根据招标采购管理流程重新组织招标。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45CCE859">
      <w:pPr>
        <w:pStyle w:val="81"/>
        <w:rPr>
          <w:rFonts w:hint="eastAsia" w:eastAsia="宋体" w:cs="宋体"/>
        </w:rPr>
      </w:pPr>
      <w:r>
        <w:rPr>
          <w:rFonts w:hint="eastAsia" w:eastAsia="宋体" w:cs="宋体"/>
        </w:rPr>
        <w:t>一、项目说明</w:t>
      </w:r>
    </w:p>
    <w:p w14:paraId="33FCDF30">
      <w:pPr>
        <w:spacing w:line="360" w:lineRule="auto"/>
        <w:ind w:right="2" w:firstLine="480" w:firstLineChars="200"/>
        <w:rPr>
          <w:rFonts w:hint="eastAsia"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产品试验检测中心莱芜园区消防维保</w:t>
      </w:r>
      <w:r>
        <w:rPr>
          <w:rFonts w:hint="eastAsia" w:ascii="宋体" w:hAnsi="宋体" w:cs="宋体"/>
          <w:color w:val="000000"/>
          <w:sz w:val="24"/>
          <w:szCs w:val="24"/>
          <w:u w:val="single"/>
          <w:lang w:val="en-US" w:eastAsia="zh-CN"/>
        </w:rPr>
        <w:t>值班</w:t>
      </w:r>
      <w:r>
        <w:rPr>
          <w:rFonts w:hint="eastAsia" w:ascii="宋体" w:hAnsi="宋体" w:cs="宋体"/>
          <w:color w:val="000000"/>
          <w:sz w:val="24"/>
          <w:szCs w:val="24"/>
          <w:u w:val="single"/>
        </w:rPr>
        <w:t>项目</w:t>
      </w:r>
    </w:p>
    <w:p w14:paraId="3AAC7D9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项目地点：济南市</w:t>
      </w:r>
      <w:r>
        <w:rPr>
          <w:rFonts w:hint="eastAsia" w:hAnsi="宋体" w:cs="宋体"/>
          <w:color w:val="000000"/>
          <w:sz w:val="24"/>
          <w:szCs w:val="24"/>
        </w:rPr>
        <w:t>莱芜区口镇街道莱城大道1188号</w:t>
      </w:r>
    </w:p>
    <w:p w14:paraId="763DAB4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项目概况：</w:t>
      </w:r>
    </w:p>
    <w:p w14:paraId="5489B59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本项目位于济南市莱芜区口镇街道</w:t>
      </w:r>
      <w:r>
        <w:rPr>
          <w:rFonts w:hint="eastAsia" w:hAnsi="宋体" w:cs="宋体"/>
          <w:color w:val="000000"/>
          <w:sz w:val="24"/>
          <w:szCs w:val="24"/>
          <w:highlight w:val="none"/>
        </w:rPr>
        <w:t>莱城大道1188号</w:t>
      </w:r>
      <w:r>
        <w:rPr>
          <w:rFonts w:hint="eastAsia" w:ascii="宋体" w:hAnsi="宋体" w:cs="宋体"/>
          <w:sz w:val="24"/>
          <w:szCs w:val="24"/>
          <w:highlight w:val="none"/>
        </w:rPr>
        <w:t>，项目</w:t>
      </w:r>
      <w:r>
        <w:rPr>
          <w:rFonts w:hint="eastAsia" w:ascii="宋体" w:hAnsi="宋体" w:cs="宋体"/>
          <w:sz w:val="24"/>
          <w:szCs w:val="24"/>
          <w:highlight w:val="none"/>
          <w:lang w:val="en-US" w:eastAsia="zh-CN"/>
        </w:rPr>
        <w:t>于2025年交付使用（一期在用）</w:t>
      </w:r>
      <w:r>
        <w:rPr>
          <w:rFonts w:hint="eastAsia" w:ascii="宋体" w:hAnsi="宋体" w:cs="宋体"/>
          <w:sz w:val="24"/>
          <w:szCs w:val="24"/>
          <w:highlight w:val="none"/>
        </w:rPr>
        <w:t>建筑面积</w:t>
      </w:r>
      <w:r>
        <w:rPr>
          <w:rFonts w:hint="eastAsia" w:ascii="宋体" w:hAnsi="宋体" w:cs="宋体"/>
          <w:sz w:val="24"/>
          <w:szCs w:val="24"/>
          <w:highlight w:val="none"/>
          <w:lang w:val="en-US" w:eastAsia="zh-CN"/>
        </w:rPr>
        <w:t>33000㎡，2026年底即将新增交付（二期）建筑面积45789</w:t>
      </w:r>
      <w:r>
        <w:rPr>
          <w:rFonts w:hint="eastAsia" w:ascii="宋体" w:hAnsi="宋体" w:cs="宋体"/>
          <w:sz w:val="24"/>
          <w:szCs w:val="24"/>
          <w:highlight w:val="none"/>
        </w:rPr>
        <w:t>㎡</w:t>
      </w:r>
      <w:r>
        <w:rPr>
          <w:rFonts w:hint="eastAsia" w:ascii="宋体" w:hAnsi="宋体" w:cs="宋体"/>
          <w:sz w:val="24"/>
          <w:szCs w:val="24"/>
          <w:highlight w:val="none"/>
          <w:lang w:eastAsia="zh-CN"/>
        </w:rPr>
        <w:t>，</w:t>
      </w:r>
      <w:r>
        <w:rPr>
          <w:rFonts w:hint="eastAsia" w:ascii="宋体" w:hAnsi="宋体" w:cs="宋体"/>
          <w:sz w:val="24"/>
          <w:szCs w:val="24"/>
          <w:highlight w:val="none"/>
        </w:rPr>
        <w:t>主要消防设施共包含火灾报警联动系统、</w:t>
      </w:r>
      <w:r>
        <w:rPr>
          <w:rFonts w:hint="eastAsia" w:ascii="宋体" w:hAnsi="宋体" w:cs="宋体"/>
          <w:sz w:val="24"/>
          <w:szCs w:val="24"/>
          <w:highlight w:val="none"/>
          <w:lang w:val="en-US" w:eastAsia="zh-CN"/>
        </w:rPr>
        <w:t>普通水喷淋灭火系统（新增）、</w:t>
      </w:r>
      <w:r>
        <w:rPr>
          <w:rFonts w:hint="eastAsia" w:ascii="宋体" w:hAnsi="宋体" w:cs="宋体"/>
          <w:sz w:val="24"/>
          <w:szCs w:val="24"/>
          <w:highlight w:val="none"/>
        </w:rPr>
        <w:t>高压细水雾自动喷水灭火系统、消防给水系统、防火分隔设施、EPS应急电源柜及配电设施系统、应急照明系统、广播及疏散指示标志系统。</w:t>
      </w:r>
    </w:p>
    <w:p w14:paraId="73F3DE8B">
      <w:pPr>
        <w:spacing w:line="360" w:lineRule="auto"/>
        <w:ind w:firstLine="482" w:firstLineChars="200"/>
        <w:rPr>
          <w:rFonts w:hint="eastAsia" w:ascii="宋体" w:hAnsi="宋体" w:cs="宋体"/>
          <w:b/>
          <w:color w:val="000000"/>
          <w:sz w:val="24"/>
          <w:szCs w:val="24"/>
        </w:rPr>
      </w:pPr>
      <w:r>
        <w:rPr>
          <w:rFonts w:hint="eastAsia" w:ascii="宋体" w:hAnsi="宋体" w:cs="宋体"/>
          <w:b/>
          <w:color w:val="000000"/>
          <w:sz w:val="24"/>
          <w:szCs w:val="24"/>
        </w:rPr>
        <w:t>设备信息：</w:t>
      </w:r>
    </w:p>
    <w:tbl>
      <w:tblPr>
        <w:tblStyle w:val="33"/>
        <w:tblW w:w="8877" w:type="dxa"/>
        <w:tblInd w:w="0" w:type="dxa"/>
        <w:tblLayout w:type="fixed"/>
        <w:tblCellMar>
          <w:top w:w="0" w:type="dxa"/>
          <w:left w:w="108" w:type="dxa"/>
          <w:bottom w:w="0" w:type="dxa"/>
          <w:right w:w="108" w:type="dxa"/>
        </w:tblCellMar>
      </w:tblPr>
      <w:tblGrid>
        <w:gridCol w:w="696"/>
        <w:gridCol w:w="2193"/>
        <w:gridCol w:w="3092"/>
        <w:gridCol w:w="969"/>
        <w:gridCol w:w="981"/>
        <w:gridCol w:w="946"/>
      </w:tblGrid>
      <w:tr w14:paraId="52F348BA">
        <w:tblPrEx>
          <w:tblCellMar>
            <w:top w:w="0" w:type="dxa"/>
            <w:left w:w="108" w:type="dxa"/>
            <w:bottom w:w="0" w:type="dxa"/>
            <w:right w:w="108" w:type="dxa"/>
          </w:tblCellMar>
        </w:tblPrEx>
        <w:trPr>
          <w:trHeight w:val="427"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5041">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A8B7">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设备名称</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8FE5">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型号规格</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0146">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6FEE">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7D1E4">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备注</w:t>
            </w:r>
          </w:p>
        </w:tc>
      </w:tr>
      <w:tr w14:paraId="62BC47D5">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57B18">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5CA07">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感烟探测器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289E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JTY-GD-JBF5100A</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8CC74">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783</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812B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9CC2">
            <w:pPr>
              <w:widowControl/>
              <w:jc w:val="center"/>
              <w:textAlignment w:val="center"/>
              <w:rPr>
                <w:rFonts w:ascii="宋体" w:hAnsi="宋体" w:cs="宋体"/>
                <w:color w:val="000000"/>
                <w:kern w:val="0"/>
                <w:sz w:val="22"/>
                <w:szCs w:val="22"/>
              </w:rPr>
            </w:pPr>
          </w:p>
        </w:tc>
      </w:tr>
      <w:tr w14:paraId="09BCA290">
        <w:tblPrEx>
          <w:tblCellMar>
            <w:top w:w="0" w:type="dxa"/>
            <w:left w:w="108" w:type="dxa"/>
            <w:bottom w:w="0" w:type="dxa"/>
            <w:right w:w="108" w:type="dxa"/>
          </w:tblCellMar>
        </w:tblPrEx>
        <w:trPr>
          <w:trHeight w:val="907"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951B">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996B">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带火警电话插孔的</w:t>
            </w:r>
            <w:r>
              <w:rPr>
                <w:rFonts w:ascii="宋体" w:hAnsi="宋体" w:cs="宋体"/>
                <w:color w:val="000000"/>
                <w:kern w:val="0"/>
                <w:sz w:val="22"/>
                <w:szCs w:val="22"/>
              </w:rPr>
              <w:br w:type="textWrapping"/>
            </w:r>
            <w:r>
              <w:rPr>
                <w:rFonts w:ascii="宋体" w:hAnsi="宋体" w:cs="宋体"/>
                <w:color w:val="000000"/>
                <w:kern w:val="0"/>
                <w:sz w:val="22"/>
                <w:szCs w:val="22"/>
              </w:rPr>
              <w:t>手动报警按钮</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82B5">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JBF5121-P</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8C92">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91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B11C">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092A1">
            <w:pPr>
              <w:widowControl/>
              <w:jc w:val="center"/>
              <w:textAlignment w:val="center"/>
              <w:rPr>
                <w:rFonts w:ascii="宋体" w:hAnsi="宋体" w:cs="宋体"/>
                <w:color w:val="000000"/>
                <w:kern w:val="0"/>
                <w:sz w:val="22"/>
                <w:szCs w:val="22"/>
              </w:rPr>
            </w:pPr>
          </w:p>
        </w:tc>
      </w:tr>
      <w:tr w14:paraId="6BAD789D">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4FAD2">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906B">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消火栓启泵按钮</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BB802">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JBF5123</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E95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132</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9B48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A76E">
            <w:pPr>
              <w:widowControl/>
              <w:jc w:val="center"/>
              <w:textAlignment w:val="center"/>
              <w:rPr>
                <w:rFonts w:ascii="宋体" w:hAnsi="宋体" w:cs="宋体"/>
                <w:color w:val="000000"/>
                <w:kern w:val="0"/>
                <w:sz w:val="22"/>
                <w:szCs w:val="22"/>
              </w:rPr>
            </w:pPr>
          </w:p>
        </w:tc>
      </w:tr>
      <w:tr w14:paraId="32452795">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17053">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A401C">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火灾声光报警器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D7E2">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JBF5176A</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0121">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CE07">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DF59">
            <w:pPr>
              <w:widowControl/>
              <w:jc w:val="center"/>
              <w:textAlignment w:val="center"/>
              <w:rPr>
                <w:rFonts w:ascii="宋体" w:hAnsi="宋体" w:cs="宋体"/>
                <w:color w:val="000000"/>
                <w:kern w:val="0"/>
                <w:sz w:val="22"/>
                <w:szCs w:val="22"/>
              </w:rPr>
            </w:pPr>
          </w:p>
        </w:tc>
      </w:tr>
      <w:tr w14:paraId="3207E394">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E5B86">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5544">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感温探测器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4E9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JTY-ZD-JBF5100A</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4EDC3">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BEF3">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5BF5E">
            <w:pPr>
              <w:widowControl/>
              <w:jc w:val="center"/>
              <w:textAlignment w:val="center"/>
              <w:rPr>
                <w:rFonts w:ascii="宋体" w:hAnsi="宋体" w:cs="宋体"/>
                <w:color w:val="000000"/>
                <w:kern w:val="0"/>
                <w:sz w:val="22"/>
                <w:szCs w:val="22"/>
              </w:rPr>
            </w:pPr>
          </w:p>
        </w:tc>
      </w:tr>
      <w:tr w14:paraId="47B01F3C">
        <w:tblPrEx>
          <w:tblCellMar>
            <w:top w:w="0" w:type="dxa"/>
            <w:left w:w="108" w:type="dxa"/>
            <w:bottom w:w="0" w:type="dxa"/>
            <w:right w:w="108" w:type="dxa"/>
          </w:tblCellMar>
        </w:tblPrEx>
        <w:trPr>
          <w:trHeight w:val="309"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74A4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8971C">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可燃气体探测器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C3DC">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LW560I/A（H2）</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ADD0">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20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1DF9">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C723">
            <w:pPr>
              <w:widowControl/>
              <w:jc w:val="center"/>
              <w:textAlignment w:val="center"/>
              <w:rPr>
                <w:rFonts w:ascii="宋体" w:hAnsi="宋体" w:cs="宋体"/>
                <w:color w:val="000000"/>
                <w:kern w:val="0"/>
                <w:sz w:val="22"/>
                <w:szCs w:val="22"/>
              </w:rPr>
            </w:pPr>
          </w:p>
        </w:tc>
      </w:tr>
      <w:tr w14:paraId="76B6D148">
        <w:tblPrEx>
          <w:tblCellMar>
            <w:top w:w="0" w:type="dxa"/>
            <w:left w:w="108" w:type="dxa"/>
            <w:bottom w:w="0" w:type="dxa"/>
            <w:right w:w="108" w:type="dxa"/>
          </w:tblCellMar>
        </w:tblPrEx>
        <w:trPr>
          <w:trHeight w:val="309"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090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8EE2">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氧气浓度探测器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545C">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LW560I/A（O2）</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442B4">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14</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27E6">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E96A">
            <w:pPr>
              <w:widowControl/>
              <w:jc w:val="center"/>
              <w:textAlignment w:val="center"/>
              <w:rPr>
                <w:rFonts w:ascii="宋体" w:hAnsi="宋体" w:cs="宋体"/>
                <w:color w:val="000000"/>
                <w:kern w:val="0"/>
                <w:sz w:val="22"/>
                <w:szCs w:val="22"/>
              </w:rPr>
            </w:pPr>
          </w:p>
        </w:tc>
      </w:tr>
      <w:tr w14:paraId="28DD8C5C">
        <w:tblPrEx>
          <w:tblCellMar>
            <w:top w:w="0" w:type="dxa"/>
            <w:left w:w="108" w:type="dxa"/>
            <w:bottom w:w="0" w:type="dxa"/>
            <w:right w:w="108" w:type="dxa"/>
          </w:tblCellMar>
        </w:tblPrEx>
        <w:trPr>
          <w:trHeight w:val="309"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ED80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4AB7">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有毒气体探测器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2AB9">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LW560I/A（柴油）</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04F0">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3978">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7AA1">
            <w:pPr>
              <w:widowControl/>
              <w:jc w:val="center"/>
              <w:textAlignment w:val="center"/>
              <w:rPr>
                <w:rFonts w:ascii="宋体" w:hAnsi="宋体" w:cs="宋体"/>
                <w:color w:val="000000"/>
                <w:kern w:val="0"/>
                <w:sz w:val="22"/>
                <w:szCs w:val="22"/>
              </w:rPr>
            </w:pPr>
          </w:p>
        </w:tc>
      </w:tr>
      <w:tr w14:paraId="1B3EACAA">
        <w:tblPrEx>
          <w:tblCellMar>
            <w:top w:w="0" w:type="dxa"/>
            <w:left w:w="108" w:type="dxa"/>
            <w:bottom w:w="0" w:type="dxa"/>
            <w:right w:w="108" w:type="dxa"/>
          </w:tblCellMar>
        </w:tblPrEx>
        <w:trPr>
          <w:trHeight w:val="309"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3E4F">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46F3">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挡烟垂壁</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9745F">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68BE">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27</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A217">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CE78">
            <w:pPr>
              <w:widowControl/>
              <w:jc w:val="center"/>
              <w:textAlignment w:val="center"/>
              <w:rPr>
                <w:rFonts w:ascii="宋体" w:hAnsi="宋体" w:cs="宋体"/>
                <w:color w:val="000000"/>
                <w:kern w:val="0"/>
                <w:sz w:val="22"/>
                <w:szCs w:val="22"/>
              </w:rPr>
            </w:pPr>
          </w:p>
        </w:tc>
      </w:tr>
      <w:tr w14:paraId="3679EC29">
        <w:tblPrEx>
          <w:tblCellMar>
            <w:top w:w="0" w:type="dxa"/>
            <w:left w:w="108" w:type="dxa"/>
            <w:bottom w:w="0" w:type="dxa"/>
            <w:right w:w="108" w:type="dxa"/>
          </w:tblCellMar>
        </w:tblPrEx>
        <w:trPr>
          <w:trHeight w:val="1804"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07022">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8C58">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EPS应急电源柜及配电设施系统</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4A2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1，AC220V/DC36V-J-D-0.5KVA-02P.2，AC220V/DC36V-J-D-1KVA-01.3，AC220V/J-C1S80G</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CAD4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34A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410B">
            <w:pPr>
              <w:widowControl/>
              <w:jc w:val="center"/>
              <w:textAlignment w:val="center"/>
              <w:rPr>
                <w:rFonts w:ascii="宋体" w:hAnsi="宋体" w:cs="宋体"/>
                <w:color w:val="000000"/>
                <w:kern w:val="0"/>
                <w:sz w:val="22"/>
                <w:szCs w:val="22"/>
              </w:rPr>
            </w:pPr>
          </w:p>
        </w:tc>
      </w:tr>
      <w:tr w14:paraId="12C53D81">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139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2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19E6">
            <w:pPr>
              <w:widowControl/>
              <w:jc w:val="center"/>
              <w:textAlignment w:val="center"/>
              <w:rPr>
                <w:rFonts w:ascii="宋体" w:hAnsi="宋体" w:cs="宋体"/>
                <w:color w:val="000000"/>
                <w:kern w:val="0"/>
                <w:sz w:val="22"/>
                <w:szCs w:val="22"/>
              </w:rPr>
            </w:pPr>
            <w:r>
              <w:rPr>
                <w:rFonts w:ascii="宋体" w:hAnsi="宋体" w:cs="宋体"/>
                <w:color w:val="000000"/>
                <w:kern w:val="0"/>
                <w:sz w:val="22"/>
                <w:szCs w:val="22"/>
              </w:rPr>
              <w:t>应急照明系统、广播及疏散指示标志系统</w:t>
            </w:r>
          </w:p>
        </w:tc>
        <w:tc>
          <w:tcPr>
            <w:tcW w:w="3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18CF">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1，J-BLJC-1LEII0.5W-12B5ZA,2，J-BLJC-1LREII0.5W-12B4XA.3，J-BLJC-1LREII0.5W-12B4XA.4,J-BLJC-10EII0.5W-12BIA(疏散指示）5，J-BLJC-1LEI0.5W-12BIZ-EX.6,J-BLJC-1REI0.5W-12B2-EX,7，J-ZFJC-E5W-16B4-EX</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F8587">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8DD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项</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D6A0">
            <w:pPr>
              <w:widowControl/>
              <w:jc w:val="center"/>
              <w:textAlignment w:val="center"/>
              <w:rPr>
                <w:rFonts w:ascii="宋体" w:hAnsi="宋体" w:cs="宋体"/>
                <w:color w:val="000000"/>
                <w:kern w:val="0"/>
                <w:sz w:val="22"/>
                <w:szCs w:val="22"/>
              </w:rPr>
            </w:pPr>
          </w:p>
        </w:tc>
      </w:tr>
      <w:tr w14:paraId="0DE0E262">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0AE86">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D369">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高压细水雾开式喷头K=1.5</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81F8">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XSW-T 1.5/5</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57856">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673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8DB62">
            <w:pPr>
              <w:widowControl/>
              <w:jc w:val="center"/>
              <w:textAlignment w:val="center"/>
              <w:rPr>
                <w:rFonts w:ascii="宋体" w:hAnsi="宋体" w:cs="宋体"/>
                <w:color w:val="000000"/>
                <w:kern w:val="0"/>
                <w:sz w:val="22"/>
                <w:szCs w:val="22"/>
              </w:rPr>
            </w:pPr>
          </w:p>
        </w:tc>
      </w:tr>
      <w:tr w14:paraId="5696297C">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6FEA5">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13</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BEBC">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高压细水雾开式喷头K=2.0</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1068">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XSW-T 2.0/5</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ADFB">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87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B28D9">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19BD">
            <w:pPr>
              <w:widowControl/>
              <w:jc w:val="center"/>
              <w:textAlignment w:val="center"/>
              <w:rPr>
                <w:rFonts w:ascii="宋体" w:hAnsi="宋体" w:cs="宋体"/>
                <w:color w:val="000000"/>
                <w:kern w:val="0"/>
                <w:sz w:val="22"/>
                <w:szCs w:val="22"/>
              </w:rPr>
            </w:pPr>
          </w:p>
        </w:tc>
      </w:tr>
      <w:tr w14:paraId="607B1D95">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3B33">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A0A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高压细水雾开式喷头K=4.0</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08D4E">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XSW-T 4.0/5</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4EC05">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223</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FDD6">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832AC">
            <w:pPr>
              <w:widowControl/>
              <w:jc w:val="center"/>
              <w:textAlignment w:val="center"/>
              <w:rPr>
                <w:rFonts w:ascii="宋体" w:hAnsi="宋体" w:cs="宋体"/>
                <w:color w:val="000000"/>
                <w:kern w:val="0"/>
                <w:sz w:val="22"/>
                <w:szCs w:val="22"/>
              </w:rPr>
            </w:pPr>
          </w:p>
        </w:tc>
      </w:tr>
      <w:tr w14:paraId="1BBEF122">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B7527">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48B4F">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高压细水雾开式区域阀组</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0CB2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XSW-FZ 40/14,(SVM 40)DN32</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CAB2">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BDA7">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9F26A">
            <w:pPr>
              <w:widowControl/>
              <w:jc w:val="center"/>
              <w:textAlignment w:val="center"/>
              <w:rPr>
                <w:rFonts w:ascii="宋体" w:hAnsi="宋体" w:cs="宋体"/>
                <w:color w:val="000000"/>
                <w:kern w:val="0"/>
                <w:sz w:val="22"/>
                <w:szCs w:val="22"/>
              </w:rPr>
            </w:pPr>
          </w:p>
        </w:tc>
      </w:tr>
      <w:tr w14:paraId="084EAC95">
        <w:tblPrEx>
          <w:tblCellMar>
            <w:top w:w="0" w:type="dxa"/>
            <w:left w:w="108" w:type="dxa"/>
            <w:bottom w:w="0" w:type="dxa"/>
            <w:right w:w="108" w:type="dxa"/>
          </w:tblCellMar>
        </w:tblPrEx>
        <w:trPr>
          <w:trHeight w:val="907"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AD7A9">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B749">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高压细水雾泵组</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6D6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XSWBG 742/13 LPU,Q=742L/min，P=13MPa</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2921">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445B6">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9ED28">
            <w:pPr>
              <w:widowControl/>
              <w:jc w:val="center"/>
              <w:textAlignment w:val="center"/>
              <w:rPr>
                <w:rFonts w:ascii="宋体" w:hAnsi="宋体" w:cs="宋体"/>
                <w:color w:val="000000"/>
                <w:kern w:val="0"/>
                <w:sz w:val="22"/>
                <w:szCs w:val="22"/>
              </w:rPr>
            </w:pPr>
          </w:p>
        </w:tc>
      </w:tr>
      <w:tr w14:paraId="6106BF5E">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0FE6">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96FB4">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进水精密过滤器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0233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过滤精度≤100μm</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78DC">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A6E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70C05">
            <w:pPr>
              <w:widowControl/>
              <w:jc w:val="center"/>
              <w:textAlignment w:val="center"/>
              <w:rPr>
                <w:rFonts w:ascii="宋体" w:hAnsi="宋体" w:cs="宋体"/>
                <w:color w:val="000000"/>
                <w:kern w:val="0"/>
                <w:sz w:val="22"/>
                <w:szCs w:val="22"/>
              </w:rPr>
            </w:pPr>
          </w:p>
        </w:tc>
      </w:tr>
      <w:tr w14:paraId="12DDC63B">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CF5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B8C9E">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高压细水雾喷枪</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B5681">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非标件</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F7D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EFDF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6F055">
            <w:pPr>
              <w:widowControl/>
              <w:jc w:val="center"/>
              <w:textAlignment w:val="center"/>
              <w:rPr>
                <w:rFonts w:ascii="宋体" w:hAnsi="宋体" w:cs="宋体"/>
                <w:color w:val="000000"/>
                <w:kern w:val="0"/>
                <w:sz w:val="22"/>
                <w:szCs w:val="22"/>
              </w:rPr>
            </w:pPr>
          </w:p>
        </w:tc>
      </w:tr>
      <w:tr w14:paraId="2CEE6ADF">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57EC">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19</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F58AB">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304不锈钢水箱</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F2A3">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3500*2500*3500mm，有效容积22.5m³</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023C">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AF36">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89B5">
            <w:pPr>
              <w:widowControl/>
              <w:jc w:val="center"/>
              <w:textAlignment w:val="center"/>
              <w:rPr>
                <w:rFonts w:ascii="宋体" w:hAnsi="宋体" w:cs="宋体"/>
                <w:color w:val="000000"/>
                <w:kern w:val="0"/>
                <w:sz w:val="22"/>
                <w:szCs w:val="22"/>
              </w:rPr>
            </w:pPr>
          </w:p>
        </w:tc>
      </w:tr>
      <w:tr w14:paraId="60C26BAA">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D7F9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43249">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给水增压泵</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FB4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Q=45m³/h，H=40m，P=12kw</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9022">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7025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4996">
            <w:pPr>
              <w:widowControl/>
              <w:jc w:val="center"/>
              <w:textAlignment w:val="center"/>
              <w:rPr>
                <w:rFonts w:ascii="宋体" w:hAnsi="宋体" w:cs="宋体"/>
                <w:color w:val="000000"/>
                <w:kern w:val="0"/>
                <w:sz w:val="22"/>
                <w:szCs w:val="22"/>
              </w:rPr>
            </w:pPr>
          </w:p>
        </w:tc>
      </w:tr>
      <w:tr w14:paraId="4637E8E1">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BD44">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21</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E8545">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火灾报警控制器</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EE05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JB-TGZ-GS8000,6回路，联动型</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157F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CD1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D0FE3">
            <w:pPr>
              <w:widowControl/>
              <w:jc w:val="center"/>
              <w:textAlignment w:val="center"/>
              <w:rPr>
                <w:rFonts w:ascii="宋体" w:hAnsi="宋体" w:cs="宋体"/>
                <w:color w:val="000000"/>
                <w:kern w:val="0"/>
                <w:sz w:val="22"/>
                <w:szCs w:val="22"/>
              </w:rPr>
            </w:pPr>
          </w:p>
        </w:tc>
      </w:tr>
      <w:tr w14:paraId="2D7EDAF0">
        <w:tblPrEx>
          <w:tblCellMar>
            <w:top w:w="0" w:type="dxa"/>
            <w:left w:w="108" w:type="dxa"/>
            <w:bottom w:w="0" w:type="dxa"/>
            <w:right w:w="108" w:type="dxa"/>
          </w:tblCellMar>
        </w:tblPrEx>
        <w:trPr>
          <w:trHeight w:val="60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B8DC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22</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0561">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火灾报警图形显示装置</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7C1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CRT，GS8060B,琴台式</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6C8A7">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71B7">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套</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36B61">
            <w:pPr>
              <w:widowControl/>
              <w:jc w:val="center"/>
              <w:textAlignment w:val="center"/>
              <w:rPr>
                <w:rFonts w:ascii="宋体" w:hAnsi="宋体" w:cs="宋体"/>
                <w:color w:val="000000"/>
                <w:kern w:val="0"/>
                <w:sz w:val="22"/>
                <w:szCs w:val="22"/>
              </w:rPr>
            </w:pPr>
          </w:p>
        </w:tc>
      </w:tr>
      <w:tr w14:paraId="4D561439">
        <w:tblPrEx>
          <w:tblCellMar>
            <w:top w:w="0" w:type="dxa"/>
            <w:left w:w="108" w:type="dxa"/>
            <w:bottom w:w="0" w:type="dxa"/>
            <w:right w:w="108" w:type="dxa"/>
          </w:tblCellMar>
        </w:tblPrEx>
        <w:trPr>
          <w:trHeight w:val="393"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828E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23</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11FD">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灭火操作盘</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86582">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GS-KD-QKP1</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EAFB">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17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2AD71">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项</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0C5B">
            <w:pPr>
              <w:widowControl/>
              <w:jc w:val="center"/>
              <w:textAlignment w:val="center"/>
              <w:rPr>
                <w:rFonts w:ascii="宋体" w:hAnsi="宋体" w:cs="宋体"/>
                <w:color w:val="000000"/>
                <w:kern w:val="0"/>
                <w:sz w:val="22"/>
                <w:szCs w:val="22"/>
              </w:rPr>
            </w:pPr>
          </w:p>
        </w:tc>
      </w:tr>
      <w:tr w14:paraId="78C5278F">
        <w:tblPrEx>
          <w:tblCellMar>
            <w:top w:w="0" w:type="dxa"/>
            <w:left w:w="108" w:type="dxa"/>
            <w:bottom w:w="0" w:type="dxa"/>
            <w:right w:w="108" w:type="dxa"/>
          </w:tblCellMar>
        </w:tblPrEx>
        <w:trPr>
          <w:trHeight w:val="907"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1F0DA">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24</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A485">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非编制三波段火焰探测器（隔爆型）</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5CF7">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JTGB-UF-7609/X</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34900">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49</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EDEB">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BD29A">
            <w:pPr>
              <w:widowControl/>
              <w:jc w:val="center"/>
              <w:textAlignment w:val="center"/>
              <w:rPr>
                <w:rFonts w:ascii="宋体" w:hAnsi="宋体" w:cs="宋体"/>
                <w:color w:val="000000"/>
                <w:kern w:val="0"/>
                <w:sz w:val="22"/>
                <w:szCs w:val="22"/>
              </w:rPr>
            </w:pPr>
          </w:p>
        </w:tc>
      </w:tr>
      <w:tr w14:paraId="257C8989">
        <w:tblPrEx>
          <w:tblCellMar>
            <w:top w:w="0" w:type="dxa"/>
            <w:left w:w="108" w:type="dxa"/>
            <w:bottom w:w="0" w:type="dxa"/>
            <w:right w:w="108" w:type="dxa"/>
          </w:tblCellMar>
        </w:tblPrEx>
        <w:trPr>
          <w:trHeight w:val="618"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6AC5">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25</w:t>
            </w:r>
          </w:p>
        </w:tc>
        <w:tc>
          <w:tcPr>
            <w:tcW w:w="2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639C">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单管吸气式火灾探测单元</w:t>
            </w:r>
          </w:p>
        </w:tc>
        <w:tc>
          <w:tcPr>
            <w:tcW w:w="30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D2E5">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空气采样报警，Micra25</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E86B">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34</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ADFC">
            <w:pPr>
              <w:widowControl/>
              <w:jc w:val="center"/>
              <w:textAlignment w:val="center"/>
              <w:rPr>
                <w:rFonts w:ascii="宋体" w:hAnsi="宋体" w:cs="宋体"/>
                <w:color w:val="000000"/>
                <w:kern w:val="0"/>
                <w:sz w:val="22"/>
                <w:szCs w:val="22"/>
              </w:rPr>
            </w:pPr>
            <w:r>
              <w:rPr>
                <w:rFonts w:hint="eastAsia" w:ascii="宋体" w:hAnsi="宋体" w:cs="宋体"/>
                <w:color w:val="000000"/>
                <w:kern w:val="0"/>
                <w:sz w:val="22"/>
                <w:szCs w:val="22"/>
              </w:rPr>
              <w:t>个</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C1266">
            <w:pPr>
              <w:widowControl/>
              <w:jc w:val="center"/>
              <w:textAlignment w:val="center"/>
              <w:rPr>
                <w:rFonts w:ascii="宋体" w:hAnsi="宋体" w:cs="宋体"/>
                <w:color w:val="000000"/>
                <w:kern w:val="0"/>
                <w:sz w:val="22"/>
                <w:szCs w:val="22"/>
              </w:rPr>
            </w:pPr>
          </w:p>
        </w:tc>
      </w:tr>
    </w:tbl>
    <w:p w14:paraId="29F2501B">
      <w:pPr>
        <w:pStyle w:val="81"/>
        <w:rPr>
          <w:rFonts w:hint="eastAsia" w:eastAsia="宋体" w:cs="宋体"/>
        </w:rPr>
      </w:pPr>
      <w:r>
        <w:rPr>
          <w:rFonts w:hint="eastAsia" w:eastAsia="宋体" w:cs="宋体"/>
          <w:highlight w:val="none"/>
        </w:rPr>
        <w:t>二、服务要求</w:t>
      </w:r>
    </w:p>
    <w:p w14:paraId="007419AC">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本项目涉及莱芜试验室消防设备设施的维护保养，</w:t>
      </w:r>
      <w:r>
        <w:rPr>
          <w:rFonts w:hint="eastAsia" w:ascii="宋体" w:hAnsi="宋体" w:cs="宋体"/>
          <w:sz w:val="24"/>
          <w:szCs w:val="24"/>
          <w:lang w:bidi="ar"/>
        </w:rPr>
        <w:t>乙方</w:t>
      </w:r>
      <w:r>
        <w:rPr>
          <w:rFonts w:hint="eastAsia" w:ascii="宋体" w:hAnsi="宋体" w:cs="宋体"/>
          <w:sz w:val="24"/>
          <w:szCs w:val="24"/>
        </w:rPr>
        <w:t>按国家、地区和行业现行标准、规范的进行维护保养，并按要求的人员数量及相应资质驻场进行7×24小时值守。维保</w:t>
      </w:r>
      <w:r>
        <w:rPr>
          <w:rFonts w:hint="eastAsia" w:ascii="宋体" w:hAnsi="宋体" w:cs="宋体"/>
          <w:sz w:val="24"/>
          <w:szCs w:val="24"/>
          <w:lang w:bidi="ar"/>
        </w:rPr>
        <w:t>期内乙方根据甲方要求制定维保计划对消防设备进行巡检、维护保养，发现故障及时抢修，并每月按时提交维保报告。</w:t>
      </w:r>
    </w:p>
    <w:p w14:paraId="41772C30">
      <w:pPr>
        <w:pStyle w:val="81"/>
        <w:rPr>
          <w:rFonts w:hint="eastAsia" w:eastAsia="宋体" w:cs="宋体"/>
        </w:rPr>
      </w:pPr>
      <w:bookmarkStart w:id="23" w:name="_Toc490750820"/>
      <w:bookmarkStart w:id="24" w:name="_Toc24049"/>
      <w:bookmarkStart w:id="25" w:name="_Toc10152"/>
      <w:bookmarkStart w:id="26" w:name="_Toc26699"/>
      <w:bookmarkStart w:id="27" w:name="_Toc385411768"/>
      <w:bookmarkStart w:id="28" w:name="_Toc31558"/>
      <w:r>
        <w:rPr>
          <w:rFonts w:hint="eastAsia" w:eastAsia="宋体" w:cs="宋体"/>
        </w:rPr>
        <w:t>三、技术要求</w:t>
      </w:r>
      <w:bookmarkEnd w:id="23"/>
      <w:bookmarkEnd w:id="24"/>
      <w:bookmarkEnd w:id="25"/>
      <w:bookmarkEnd w:id="26"/>
      <w:bookmarkEnd w:id="27"/>
      <w:bookmarkEnd w:id="28"/>
    </w:p>
    <w:p w14:paraId="39709B93">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rPr>
        <w:t>为保障园区消防系统安全、稳定运行，要求投标单位成立专业运维团队，团队成员不少于</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人</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具体人数由投标单位根据园区实际情况在维保方案中列明；所有人员必须为持证上岗且人证相符，年龄不得大于50岁，不得有挂靠人员，且对消防设施日常巡检内容熟悉，能掌握消防设施的操作及使用方法，懂消防法律法规，身体健康，无不良嗜好和犯罪前科），负责整个园区消防系统的巡检、维修和保养等项工作</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二期项目交付后需考虑相应的工作量。</w:t>
      </w:r>
    </w:p>
    <w:p w14:paraId="2011A743">
      <w:pPr>
        <w:numPr>
          <w:ilvl w:val="0"/>
          <w:numId w:val="9"/>
        </w:num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招标范围</w:t>
      </w:r>
      <w:r>
        <w:rPr>
          <w:rFonts w:hint="eastAsia" w:ascii="宋体" w:hAnsi="宋体" w:cs="宋体"/>
          <w:color w:val="000000"/>
          <w:sz w:val="24"/>
          <w:szCs w:val="24"/>
          <w:highlight w:val="none"/>
        </w:rPr>
        <w:tab/>
      </w:r>
    </w:p>
    <w:p w14:paraId="39A0F2C2">
      <w:pPr>
        <w:pStyle w:val="32"/>
        <w:numPr>
          <w:ilvl w:val="0"/>
          <w:numId w:val="9"/>
        </w:numPr>
        <w:rPr>
          <w:rFonts w:hint="eastAsia"/>
        </w:rPr>
      </w:pPr>
    </w:p>
    <w:p w14:paraId="3D2A212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1、负责园区自动消防系统及全部消防设施和消防标志标识的维修保养完善工作以及相关各项管理制度和消防档案、灭火应急疏散预案、演练方案的完善、提升；</w:t>
      </w:r>
    </w:p>
    <w:p w14:paraId="3828D31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2、定期对园区专（兼）职消防安全管理人、义务消防员及全体员工的防火、灭火、逃生知识培训；</w:t>
      </w:r>
    </w:p>
    <w:p w14:paraId="58A3C15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3、负责消防系统设备设施维护，查找存在的隐患及时告知甲方消防主管部门，并拿出整改方案及整改建议；</w:t>
      </w:r>
    </w:p>
    <w:p w14:paraId="7B3AA2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w:t>
      </w:r>
      <w:r>
        <w:rPr>
          <w:rFonts w:hint="eastAsia" w:ascii="宋体" w:hAnsi="宋体" w:cs="宋体"/>
          <w:color w:val="000000"/>
          <w:sz w:val="24"/>
          <w:szCs w:val="24"/>
          <w:highlight w:val="none"/>
          <w:lang w:val="en-US" w:eastAsia="zh-CN"/>
        </w:rPr>
        <w:t>参与</w:t>
      </w:r>
      <w:r>
        <w:rPr>
          <w:rFonts w:hint="eastAsia" w:ascii="宋体" w:hAnsi="宋体" w:cs="宋体"/>
          <w:color w:val="000000"/>
          <w:sz w:val="24"/>
          <w:szCs w:val="24"/>
          <w:highlight w:val="none"/>
        </w:rPr>
        <w:t>园区其它消防设施的日常巡检</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隐患整改的落实，并出具每日检查问题日报</w:t>
      </w:r>
      <w:r>
        <w:rPr>
          <w:rFonts w:hint="eastAsia" w:ascii="宋体" w:hAnsi="宋体" w:cs="宋体"/>
          <w:color w:val="000000"/>
          <w:sz w:val="24"/>
          <w:szCs w:val="24"/>
          <w:highlight w:val="none"/>
        </w:rPr>
        <w:t>；</w:t>
      </w:r>
    </w:p>
    <w:p w14:paraId="4B2547D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5、负责消防监控室24小时带证值班，及时处理涉及消防安全的巡查及报警事项；</w:t>
      </w:r>
    </w:p>
    <w:p w14:paraId="1E9F9DC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6、投标单位在消防维保初期必须协助甲方进行设备故障隐患排查、设备安全问题交接、设备功能及建设是否合理等相关交接工作；</w:t>
      </w:r>
    </w:p>
    <w:p w14:paraId="1A4F84B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7、负责协调与属地消防管理部门的对外联系工作；</w:t>
      </w:r>
    </w:p>
    <w:p w14:paraId="0FB1EE4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8、负责同消防管理部门的各项业务，确保不因消防问题而耽误其他工作的正常运行。</w:t>
      </w:r>
    </w:p>
    <w:p w14:paraId="0409097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（二）项目内容：</w:t>
      </w:r>
    </w:p>
    <w:p w14:paraId="7CDE414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1、火灾自动报警系统；</w:t>
      </w:r>
    </w:p>
    <w:p w14:paraId="7FD1612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2、消防给水设施；</w:t>
      </w:r>
    </w:p>
    <w:p w14:paraId="27596E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3、消火栓系统；</w:t>
      </w:r>
    </w:p>
    <w:p w14:paraId="58C4C45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4、自动喷水灭火系统（含消防泵房、消防水箱等）；</w:t>
      </w:r>
    </w:p>
    <w:p w14:paraId="170DEB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5、气体灭火系统；</w:t>
      </w:r>
    </w:p>
    <w:p w14:paraId="2988008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6、防火分隔（防火门、卷帘门）及防烟、排烟系统；</w:t>
      </w:r>
    </w:p>
    <w:p w14:paraId="639762C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7、消防电气和通讯设施；</w:t>
      </w:r>
    </w:p>
    <w:p w14:paraId="30290D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8、干粉灭火设施；</w:t>
      </w:r>
    </w:p>
    <w:p w14:paraId="3DBCE8FF">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9、移动式灭火器材；</w:t>
      </w:r>
    </w:p>
    <w:p w14:paraId="7EA1C79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10、应急疏散照明系统；</w:t>
      </w:r>
    </w:p>
    <w:p w14:paraId="5BF6548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11、园区消防系统及消防中控室双人7*24小时运维值守；</w:t>
      </w:r>
    </w:p>
    <w:p w14:paraId="51D05B8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12、其他设施。（详见建筑消防设施名录）</w:t>
      </w:r>
    </w:p>
    <w:p w14:paraId="58E892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（三）消防维保工作要求</w:t>
      </w:r>
    </w:p>
    <w:p w14:paraId="0C0F776F">
      <w:pPr>
        <w:spacing w:line="360" w:lineRule="auto"/>
        <w:ind w:right="2" w:firstLine="480" w:firstLineChars="200"/>
        <w:rPr>
          <w:rFonts w:hint="eastAsia" w:ascii="宋体" w:hAnsi="宋体" w:cs="宋体"/>
          <w:color w:val="000000"/>
          <w:sz w:val="24"/>
          <w:szCs w:val="24"/>
          <w:highlight w:val="none"/>
        </w:rPr>
      </w:pPr>
      <w:bookmarkStart w:id="29" w:name="_Toc449097076"/>
      <w:r>
        <w:rPr>
          <w:rFonts w:hint="eastAsia" w:ascii="宋体" w:hAnsi="宋体" w:cs="宋体"/>
          <w:color w:val="000000"/>
          <w:sz w:val="24"/>
          <w:szCs w:val="24"/>
          <w:highlight w:val="none"/>
        </w:rPr>
        <w:t>1、火灾自动报警系统</w:t>
      </w:r>
      <w:bookmarkEnd w:id="29"/>
    </w:p>
    <w:p w14:paraId="0D3A7F6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（1）检测部位：园区</w:t>
      </w:r>
    </w:p>
    <w:p w14:paraId="1953FDF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（2）检测流程：报警设备外观功能检查－联动设备功能检测－报警系统线路检查。</w:t>
      </w:r>
    </w:p>
    <w:p w14:paraId="4D4B3B3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14:paraId="4437395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首先到消防控制室查看报警主机工作状态，查看报警、故障情况，对报警控制器各项功能（包括消音、复位功能、故障报警功能、火灾优先功能、报警记忆功能和检索功能、电源和备用电源自动切换功能等）进行仔细检测，保证系统长期正常运行；</w:t>
      </w:r>
    </w:p>
    <w:p w14:paraId="61F19E4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B、对报警设备（包括火灾探测器、警铃、破玻按钮、消防广播、消防电话、手动报警按钮等设备进行功能检测），保证其能正常使用，每月不应少于总数</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53A9109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C、对报警系统线路进行检查，其是否有破损和存在隐患，每月不应少于总数</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438295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D、每季度对报警控制器、控制柜、模块接线箱进行一次卫生清洁。</w:t>
      </w:r>
    </w:p>
    <w:p w14:paraId="79EDAF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E、对火灾报警控制器及联动控制器进行外观检查、功能测试，每月不应少于总数</w:t>
      </w:r>
      <w:r>
        <w:rPr>
          <w:rFonts w:hint="eastAsia" w:ascii="宋体" w:hAnsi="宋体" w:cs="宋体"/>
          <w:color w:val="000000"/>
          <w:sz w:val="24"/>
          <w:szCs w:val="24"/>
          <w:highlight w:val="none"/>
          <w:lang w:val="en-US" w:eastAsia="zh-CN"/>
        </w:rPr>
        <w:t>100</w:t>
      </w:r>
      <w:r>
        <w:rPr>
          <w:rFonts w:hint="eastAsia" w:ascii="宋体" w:hAnsi="宋体" w:cs="宋体"/>
          <w:color w:val="000000"/>
          <w:sz w:val="24"/>
          <w:szCs w:val="24"/>
          <w:highlight w:val="none"/>
        </w:rPr>
        <w:t>%进行检测。</w:t>
      </w:r>
    </w:p>
    <w:p w14:paraId="30C8F76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F、每月对消防控制室图形显示装置进行一次外观检查，功能测试。</w:t>
      </w:r>
    </w:p>
    <w:p w14:paraId="03B650D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G、火灾探测器，外观检查，试验动作，确认灯显示，每月不应少于总数</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557AFE1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H、火灾警报器，外观检查，声光状态测试，每月不应少于总数</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11716D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I、手动报警按钮，按下报警试验测试报警功能，每月不应少于总数</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7252359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J、火灾显示盘，进行外观检查，功能测试,每月按照总数10%进行检查。</w:t>
      </w:r>
    </w:p>
    <w:p w14:paraId="689A8F6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K、消防应急广播，试验公共广播强制转入火灾应急广播功能，播放功能，每月按照总数100%进行检侧。</w:t>
      </w:r>
    </w:p>
    <w:p w14:paraId="0E2C277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L、消防电话与中控室联动功能测试，每月按照总数10%进行检查。</w:t>
      </w:r>
    </w:p>
    <w:p w14:paraId="6B4CFFA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M</w:t>
      </w:r>
      <w:r>
        <w:rPr>
          <w:rFonts w:hint="eastAsia" w:ascii="宋体" w:hAnsi="宋体" w:cs="宋体"/>
          <w:color w:val="000000"/>
          <w:sz w:val="24"/>
          <w:szCs w:val="24"/>
          <w:highlight w:val="none"/>
        </w:rPr>
        <w:t>、每月不低于</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次对火灾自动报警系统联动测试，自动状态下，控制功能试验。</w:t>
      </w:r>
    </w:p>
    <w:p w14:paraId="5664CB21">
      <w:pPr>
        <w:spacing w:line="360" w:lineRule="auto"/>
        <w:ind w:right="2" w:firstLine="480" w:firstLineChars="200"/>
        <w:rPr>
          <w:rFonts w:hint="eastAsia" w:ascii="宋体" w:hAnsi="宋体" w:cs="宋体"/>
          <w:color w:val="000000"/>
          <w:sz w:val="24"/>
          <w:szCs w:val="24"/>
          <w:highlight w:val="none"/>
        </w:rPr>
      </w:pPr>
      <w:bookmarkStart w:id="30" w:name="_Toc449097077"/>
      <w:r>
        <w:rPr>
          <w:rFonts w:hint="eastAsia" w:ascii="宋体" w:hAnsi="宋体" w:cs="宋体"/>
          <w:color w:val="000000"/>
          <w:sz w:val="24"/>
          <w:szCs w:val="24"/>
          <w:highlight w:val="none"/>
        </w:rPr>
        <w:t>2、自动喷水灭火系统</w:t>
      </w:r>
      <w:bookmarkEnd w:id="30"/>
    </w:p>
    <w:p w14:paraId="2841C5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（1）检测部位：园区</w:t>
      </w:r>
    </w:p>
    <w:p w14:paraId="28C0626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（2）检测流程：水泵、喷头、阀门、管网的外观检查－系统全面功能检测。</w:t>
      </w:r>
    </w:p>
    <w:p w14:paraId="3D758DF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14:paraId="1F8848B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A、检查湿式报警阀组及各部件、喷头是否有损坏。</w:t>
      </w:r>
    </w:p>
    <w:p w14:paraId="65BFC54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B、检查管道支、吊架，安装是否稳当可靠，外观是否需要补漆。</w:t>
      </w:r>
    </w:p>
    <w:p w14:paraId="1C4E26F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C、检查水流指示器是否有泄漏。</w:t>
      </w:r>
    </w:p>
    <w:p w14:paraId="6438D6A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D、检查阀门在正常的开启或闭合状态下是否有泄漏，所有水源供应、信号输送是否正常。</w:t>
      </w:r>
    </w:p>
    <w:p w14:paraId="78FBD3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E、检查喷淋末端的静压力是否符合规范要求，压力表是否有损坏。</w:t>
      </w:r>
    </w:p>
    <w:p w14:paraId="46612C0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F、检查管网充满水后压力是否符合设计工作压力，降压系数是否在允许范围内。</w:t>
      </w:r>
    </w:p>
    <w:p w14:paraId="5F82133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启动一只喷头或在末端试水装置处放水，相应水流指示器是否有输出报警信号，湿式报警阀是否能及时动作，水力警铃是否能发出报警声音。管网降压到压力开关设定压力后，压力开关输出信号是否能反馈到消防报警控制器，消防报警控制器是否能自动启动稳压泵。持续降压，压力降至主泵启动值后，天面稳压泵是否能停止，主泵能否自动启动。</w:t>
      </w:r>
    </w:p>
    <w:p w14:paraId="4AE0BC7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H、在喷淋水泵启动后，最不利点末端放水阀处压力表数值是否≥0.9Mpa。</w:t>
      </w:r>
    </w:p>
    <w:p w14:paraId="5C1EC0C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I、关闭喷淋末端试验阀，管网压力回升至停泵设定值时，主泵能自动停泵。</w:t>
      </w:r>
    </w:p>
    <w:p w14:paraId="092CC40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J、自动喷水灭火系统联动试验时,消防泵能否启动正常,主、备泵能否正常切换,消防控制室是否有信号显示。</w:t>
      </w:r>
    </w:p>
    <w:p w14:paraId="26B1D1A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管理人员按以上检测方法进行检查保养，水泵、控制柜、管网、喷头、阀门等检测正常、完整无损，挂牌标识齐全，及时为水泵、阀门除锈处理和添加润滑油。</w:t>
      </w:r>
    </w:p>
    <w:p w14:paraId="2DBFA74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K、消防水泵及控制柜，电源状况检查，运转状况试验，手/自动控制供水功能试验，每月按照总数100%进行检测。</w:t>
      </w:r>
    </w:p>
    <w:p w14:paraId="408D75B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L、稳（增）压设施，电源状况检查，运转状况检查，手/自动控制供水功能试验，每月按照总数100%进行检测。</w:t>
      </w:r>
    </w:p>
    <w:p w14:paraId="776CF5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M、高位消防水箱，外观检查，水位检查。</w:t>
      </w:r>
    </w:p>
    <w:p w14:paraId="3604BB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N、喷头，进行外观检查，每月不应少于总数</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32C521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O、信号阀，进行外观检查，启闭状态及灵活性检查，每季度不应少于总数</w:t>
      </w:r>
      <w:r>
        <w:rPr>
          <w:rFonts w:hint="eastAsia" w:ascii="宋体" w:hAnsi="宋体" w:cs="宋体"/>
          <w:color w:val="000000"/>
          <w:sz w:val="24"/>
          <w:szCs w:val="24"/>
          <w:highlight w:val="none"/>
          <w:lang w:val="en-US" w:eastAsia="zh-CN"/>
        </w:rPr>
        <w:t>3</w:t>
      </w:r>
      <w:r>
        <w:rPr>
          <w:rFonts w:hint="eastAsia" w:ascii="宋体" w:hAnsi="宋体" w:cs="宋体"/>
          <w:color w:val="000000"/>
          <w:sz w:val="24"/>
          <w:szCs w:val="24"/>
          <w:highlight w:val="none"/>
        </w:rPr>
        <w:t>0%进行检测。</w:t>
      </w:r>
    </w:p>
    <w:p w14:paraId="1D0C5E7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P</w:t>
      </w:r>
      <w:r>
        <w:rPr>
          <w:rFonts w:hint="eastAsia" w:ascii="宋体" w:hAnsi="宋体" w:cs="宋体"/>
          <w:color w:val="000000"/>
          <w:sz w:val="24"/>
          <w:szCs w:val="24"/>
          <w:highlight w:val="none"/>
        </w:rPr>
        <w:t>、水泵接合器，外观检查，接口、附件完好齐全，开闭状态检查，每月按照总数100%进行检测。</w:t>
      </w:r>
    </w:p>
    <w:p w14:paraId="5C65147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Q</w:t>
      </w:r>
      <w:r>
        <w:rPr>
          <w:rFonts w:hint="eastAsia" w:ascii="宋体" w:hAnsi="宋体" w:cs="宋体"/>
          <w:color w:val="000000"/>
          <w:sz w:val="24"/>
          <w:szCs w:val="24"/>
          <w:highlight w:val="none"/>
        </w:rPr>
        <w:t>、湿式系统联动功能测试，系统运行功能测试，每月按照总数10%进行检测。</w:t>
      </w:r>
    </w:p>
    <w:p w14:paraId="67CC1E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R</w:t>
      </w:r>
      <w:r>
        <w:rPr>
          <w:rFonts w:hint="eastAsia" w:ascii="宋体" w:hAnsi="宋体" w:cs="宋体"/>
          <w:color w:val="000000"/>
          <w:sz w:val="24"/>
          <w:szCs w:val="24"/>
          <w:highlight w:val="none"/>
        </w:rPr>
        <w:t>、雨淋系统联动功能测试，系统运行功能测试，每月按照总数10%进行检测。</w:t>
      </w:r>
    </w:p>
    <w:p w14:paraId="34FB9D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S</w:t>
      </w:r>
      <w:r>
        <w:rPr>
          <w:rFonts w:hint="eastAsia" w:ascii="宋体" w:hAnsi="宋体" w:cs="宋体"/>
          <w:color w:val="000000"/>
          <w:sz w:val="24"/>
          <w:szCs w:val="24"/>
          <w:highlight w:val="none"/>
        </w:rPr>
        <w:t>、末端试水装置，外观检查，系统压力检查，放水试验，每月按照总数10%进行检测。</w:t>
      </w:r>
    </w:p>
    <w:p w14:paraId="6F9B30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T</w:t>
      </w:r>
      <w:r>
        <w:rPr>
          <w:rFonts w:hint="eastAsia" w:ascii="宋体" w:hAnsi="宋体" w:cs="宋体"/>
          <w:color w:val="000000"/>
          <w:sz w:val="24"/>
          <w:szCs w:val="24"/>
          <w:highlight w:val="none"/>
        </w:rPr>
        <w:t>、水流指示器，外观检查，试验报警，每月按照总数10%进行检测。</w:t>
      </w:r>
    </w:p>
    <w:p w14:paraId="712AB5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U</w:t>
      </w:r>
      <w:r>
        <w:rPr>
          <w:rFonts w:hint="eastAsia" w:ascii="宋体" w:hAnsi="宋体" w:cs="宋体"/>
          <w:color w:val="000000"/>
          <w:sz w:val="24"/>
          <w:szCs w:val="24"/>
          <w:highlight w:val="none"/>
        </w:rPr>
        <w:t>、湿式报警阀组，外观检查，组件齐全完好，放水试验，启动性能试验，每月按照总数10%进行检测。</w:t>
      </w:r>
    </w:p>
    <w:p w14:paraId="5501516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V</w:t>
      </w:r>
      <w:r>
        <w:rPr>
          <w:rFonts w:hint="eastAsia" w:ascii="宋体" w:hAnsi="宋体" w:cs="宋体"/>
          <w:color w:val="000000"/>
          <w:sz w:val="24"/>
          <w:szCs w:val="24"/>
          <w:highlight w:val="none"/>
        </w:rPr>
        <w:t>、雨淋报警阀组，外观检查，组件齐全完好，放水试验，启动性能试验，每月按照总数10%进行检测。</w:t>
      </w:r>
    </w:p>
    <w:p w14:paraId="7C31B12F">
      <w:pPr>
        <w:spacing w:line="360" w:lineRule="auto"/>
        <w:ind w:right="2" w:firstLine="480" w:firstLineChars="200"/>
        <w:rPr>
          <w:rFonts w:hint="eastAsia" w:ascii="宋体" w:hAnsi="宋体" w:cs="宋体"/>
          <w:color w:val="000000"/>
          <w:sz w:val="24"/>
          <w:szCs w:val="24"/>
          <w:highlight w:val="none"/>
        </w:rPr>
      </w:pPr>
      <w:bookmarkStart w:id="31" w:name="_Toc449097078"/>
      <w:r>
        <w:rPr>
          <w:rFonts w:hint="eastAsia" w:ascii="宋体" w:hAnsi="宋体" w:cs="宋体"/>
          <w:color w:val="000000"/>
          <w:sz w:val="24"/>
          <w:szCs w:val="24"/>
          <w:highlight w:val="none"/>
        </w:rPr>
        <w:t>3、室内消火栓系统</w:t>
      </w:r>
      <w:bookmarkEnd w:id="31"/>
    </w:p>
    <w:p w14:paraId="1696D92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（1）检测部位：园区</w:t>
      </w:r>
    </w:p>
    <w:p w14:paraId="1A8D5B4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（2）检测流程：水泵、喷头、阀门、管网的外观检查－系统全面功能检测。</w:t>
      </w:r>
    </w:p>
    <w:p w14:paraId="37779F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14:paraId="0E9304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A、检查消防箱内各配件是否齐全和损坏并保持清洁。</w:t>
      </w:r>
    </w:p>
    <w:p w14:paraId="09B4F4B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B、检查管道支、吊架，安装是否稳当可靠，外观是否需要补漆。</w:t>
      </w:r>
    </w:p>
    <w:p w14:paraId="5B54E9C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C、检查水流指示器安装，无泄漏。</w:t>
      </w:r>
    </w:p>
    <w:p w14:paraId="720F510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D、检查阀门在正常的开启或闭合状态是否无泄漏，所有水源供应、信号输送是否正常。</w:t>
      </w:r>
    </w:p>
    <w:p w14:paraId="43BBBF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E、检查喷淋末端的静压力是否符合设计要求，压力表是否有损坏。</w:t>
      </w:r>
    </w:p>
    <w:p w14:paraId="5C567D3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检查管网充满水后压力是否符合设计工作压力，降压系数是否在允许范围内。按下消火栓按钮，火灾报警控制器是否收到正确的报警信号，火灾报警控制器再向警铃发出报警信号，警铃能否正常报警。与此同时，火灾报警控制器向消火栓水泵发出启动信息，消火栓水泵能否收到信号并正常启动加压。</w:t>
      </w:r>
    </w:p>
    <w:p w14:paraId="1ABBAB2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G、打开天面层试验消火栓，进行试射，试验消火栓喷射出充实水柱，水柱长度是否达到设计和规范要求。火灾报警控制器发出信号将消火栓按钮复位，警铃是否停止报警，水泵是否停止加压。</w:t>
      </w:r>
    </w:p>
    <w:p w14:paraId="1A4A9AB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管理人员按以上检测方法进行检查保养，本系统一直保持正常状态，管网、消防箱内配件、阀门等完整无损，挂牌标识齐全，及时为水泵、阀门做除锈处理和添加润滑油。</w:t>
      </w:r>
    </w:p>
    <w:p w14:paraId="69AA8A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H、消防水泵及控制柜，电源状况检查，运转状况试验，手/自动控制供水功能试验，每月按照总数100%进行检测。</w:t>
      </w:r>
    </w:p>
    <w:p w14:paraId="7164F0C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I、稳（增）压设施，电源状况检查，运转状况检查，手/自动控制供水功能试验，每月按照总数100%进行检测。</w:t>
      </w:r>
    </w:p>
    <w:p w14:paraId="08824D9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J、高位消防水箱，外观检查，水位检查，每月按照总数100%进行检测。</w:t>
      </w:r>
    </w:p>
    <w:p w14:paraId="3911B9B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K、室内消火栓，外观检查，组件齐全完好，漏水情况检查，每月不应少于总数</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 %进行检测。</w:t>
      </w:r>
    </w:p>
    <w:p w14:paraId="071F1B0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L、消火栓按钮，按下报警功能试验，每月不应少于总数</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 %进行检测。</w:t>
      </w:r>
    </w:p>
    <w:p w14:paraId="433D45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M、紧急报警按钮，按下报警功能试验，每月不应少于总数</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 %进行检测。</w:t>
      </w:r>
    </w:p>
    <w:p w14:paraId="490604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N、水泵接合器，外观检查，接口、附件完好齐全，开闭状态检查，每月按照总数100%进行检测。</w:t>
      </w:r>
    </w:p>
    <w:p w14:paraId="32838A9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O、管网控制阀门，外观检查，阀门灵活性检查，每月按照总数10%进行检测。</w:t>
      </w:r>
    </w:p>
    <w:p w14:paraId="6984898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P、室外消火栓，外观检查，组件完好齐全，漏水情况检查，每月按照总数10%进行检测。</w:t>
      </w:r>
    </w:p>
    <w:p w14:paraId="7C8F32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Q</w:t>
      </w:r>
      <w:r>
        <w:rPr>
          <w:rFonts w:hint="eastAsia" w:ascii="宋体" w:hAnsi="宋体" w:cs="宋体"/>
          <w:color w:val="000000"/>
          <w:sz w:val="24"/>
          <w:szCs w:val="24"/>
          <w:highlight w:val="none"/>
        </w:rPr>
        <w:t>、消火栓系统过滤器，外观检查，排渣，每月按照总数100%进行检测。</w:t>
      </w:r>
    </w:p>
    <w:p w14:paraId="288191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R</w:t>
      </w:r>
      <w:r>
        <w:rPr>
          <w:rFonts w:hint="eastAsia" w:ascii="宋体" w:hAnsi="宋体" w:cs="宋体"/>
          <w:color w:val="000000"/>
          <w:sz w:val="24"/>
          <w:szCs w:val="24"/>
          <w:highlight w:val="none"/>
        </w:rPr>
        <w:t>、消火栓系统功能，系统功能试验，连锁自动启泵试验，每月按照总数10%进行检测。</w:t>
      </w:r>
    </w:p>
    <w:p w14:paraId="6D5D5A12">
      <w:pPr>
        <w:spacing w:line="360" w:lineRule="auto"/>
        <w:ind w:right="2" w:firstLine="480" w:firstLineChars="200"/>
        <w:rPr>
          <w:rFonts w:hint="eastAsia" w:ascii="宋体" w:hAnsi="宋体" w:cs="宋体"/>
          <w:color w:val="000000"/>
          <w:sz w:val="24"/>
          <w:szCs w:val="24"/>
          <w:highlight w:val="none"/>
        </w:rPr>
      </w:pPr>
      <w:bookmarkStart w:id="32" w:name="_Toc449097079"/>
      <w:r>
        <w:rPr>
          <w:rFonts w:hint="eastAsia" w:ascii="宋体" w:hAnsi="宋体" w:cs="宋体"/>
          <w:color w:val="000000"/>
          <w:sz w:val="24"/>
          <w:szCs w:val="24"/>
          <w:highlight w:val="none"/>
        </w:rPr>
        <w:t>4、自动气体灭火系统</w:t>
      </w:r>
      <w:bookmarkEnd w:id="32"/>
    </w:p>
    <w:p w14:paraId="3A3064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（1）检测部位：机房、配电室等各气体灭火储存柜。</w:t>
      </w:r>
    </w:p>
    <w:p w14:paraId="42834C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（2）检测流程：灭火剂储存容器、高压软管、阀驱动装置、管网与喷嘴等全面功能检测。</w:t>
      </w:r>
    </w:p>
    <w:p w14:paraId="0AF3F0E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14:paraId="272E14D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A、检查灭火剂储存容器、高压软管、阀驱动装置、管网与喷嘴等系统部件外观有无机械损伤、锈蚀和镀层脱落，如存在缺陷，应及时更换。检查电磁阀与控制阀的连接导线是否完好，端子是否松动或脱落。</w:t>
      </w:r>
    </w:p>
    <w:p w14:paraId="07F63BF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检查自动气体灭火系统的灭火剂储存容器压力或重量，若压力损失超过设计值的10％或重量损失超过设计值的5％时，应予以填充或更换；检查气体灭火保护区内报警系统、气体灭火控制盘、紧急启动\停止装置、声光报警装置的运行状态；查看管道和喷嘴是否完整无损。</w:t>
      </w:r>
    </w:p>
    <w:p w14:paraId="6FFC81D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进行系统全面检测和联动试验。在各防护区进行探测器模拟烟温报警联动，检查气体灭火系统自动和手动控制启、停的可靠性，报警及延时的准确性和各报警控制装置、电磁阀动作的灵活性以及消防控制室的反馈信号显示功能等。</w:t>
      </w:r>
    </w:p>
    <w:p w14:paraId="4F758F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D、每月对气体灭火控制器，主备电转换，手自动转换检查，每月按照总数100%进行检测。</w:t>
      </w:r>
    </w:p>
    <w:p w14:paraId="3BB3DD7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E、气体灭火系统组件，外观检查，组件齐全有效，压力检查，每月按照总数10</w:t>
      </w:r>
      <w:r>
        <w:rPr>
          <w:rFonts w:hint="eastAsia" w:ascii="宋体" w:hAnsi="宋体" w:cs="宋体"/>
          <w:color w:val="000000"/>
          <w:sz w:val="24"/>
          <w:szCs w:val="24"/>
          <w:highlight w:val="none"/>
          <w:lang w:val="en-US" w:eastAsia="zh-CN"/>
        </w:rPr>
        <w:t>0</w:t>
      </w:r>
      <w:r>
        <w:rPr>
          <w:rFonts w:hint="eastAsia" w:ascii="宋体" w:hAnsi="宋体" w:cs="宋体"/>
          <w:color w:val="000000"/>
          <w:sz w:val="24"/>
          <w:szCs w:val="24"/>
          <w:highlight w:val="none"/>
        </w:rPr>
        <w:t>%进行检测。</w:t>
      </w:r>
    </w:p>
    <w:p w14:paraId="23A1388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F、气体灭火存储装置，外观检查，每月按照总数100%进行检测。</w:t>
      </w:r>
    </w:p>
    <w:p w14:paraId="352D2E6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G、气体灭火驱动装置，外观检查，组件齐全有效，压力检查，每月按照总数100%进行检测。</w:t>
      </w:r>
    </w:p>
    <w:p w14:paraId="79D759F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H、气体灭火喷嘴，外观检查，每月按照总数100%进行检测。</w:t>
      </w:r>
    </w:p>
    <w:p w14:paraId="0F3D85C8">
      <w:pPr>
        <w:spacing w:line="360" w:lineRule="auto"/>
        <w:ind w:right="2" w:firstLine="480" w:firstLineChars="200"/>
        <w:rPr>
          <w:rFonts w:hint="eastAsia" w:ascii="宋体" w:hAnsi="宋体" w:cs="宋体"/>
          <w:color w:val="000000"/>
          <w:sz w:val="24"/>
          <w:szCs w:val="24"/>
          <w:highlight w:val="none"/>
        </w:rPr>
      </w:pPr>
      <w:bookmarkStart w:id="33" w:name="_Toc449097080"/>
      <w:r>
        <w:rPr>
          <w:rFonts w:hint="eastAsia" w:ascii="宋体" w:hAnsi="宋体" w:cs="宋体"/>
          <w:color w:val="000000"/>
          <w:sz w:val="24"/>
          <w:szCs w:val="24"/>
          <w:highlight w:val="none"/>
        </w:rPr>
        <w:t>5、防排烟及加压送风系统</w:t>
      </w:r>
      <w:bookmarkEnd w:id="33"/>
    </w:p>
    <w:p w14:paraId="293E9E0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（1）检测流程：风机、风管、风阀外观功能检查－系统全面功能检测。</w:t>
      </w:r>
    </w:p>
    <w:p w14:paraId="548456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（2）检测部位：消防控制室、机房等。</w:t>
      </w:r>
    </w:p>
    <w:p w14:paraId="197185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14:paraId="1FFA5F1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A、当探测器发出报警信号或手动报警按钮发出报警信号→联动打开正压送风口→正压送风口打开信号反馈到报警主机→启动正压送风机。</w:t>
      </w:r>
    </w:p>
    <w:p w14:paraId="2E5D361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B、正压送风口的开启应按照人员疏散顺序开启，即开启报警层和报警层下下两层的正压送风口。</w:t>
      </w:r>
    </w:p>
    <w:p w14:paraId="4A715D9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C、消防控制室报警控制器应能显示正压送风口开启状态；</w:t>
      </w:r>
    </w:p>
    <w:p w14:paraId="46761F1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D、消防中心远程控制天面正压送风风机，风机应能启停正常。</w:t>
      </w:r>
    </w:p>
    <w:p w14:paraId="3BCB651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E、天面正压送风风机手动启停能否正常，消防中心能否接收信号正常；</w:t>
      </w:r>
    </w:p>
    <w:p w14:paraId="6E7113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F、测试天面加压送风风机消防联动功能、楼层风阀口风量是否正常。</w:t>
      </w:r>
    </w:p>
    <w:p w14:paraId="489D00D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G、烟排烟风机及控制柜，外观检查，组件齐全，手/自动启动运转试验，每月按照总数100%进行检测。</w:t>
      </w:r>
    </w:p>
    <w:p w14:paraId="3177D3E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H、排烟防火阀，外观检查，组件齐全，手/自动启动复位试验，确认性能可靠试验，每月不应少于</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76323C5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I、送风阀（口），外观检查，组件齐全，手/自动启动复位试验，确认性能可靠试验，每月不应少于</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7A6B03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J</w:t>
      </w:r>
      <w:r>
        <w:rPr>
          <w:rFonts w:hint="eastAsia" w:ascii="宋体" w:hAnsi="宋体" w:cs="宋体"/>
          <w:color w:val="000000"/>
          <w:sz w:val="24"/>
          <w:szCs w:val="24"/>
          <w:highlight w:val="none"/>
        </w:rPr>
        <w:t>、排烟阀（口），外观检查，组件齐全，手/自动启动复位试验，确认性能可靠试验，每月不应少于</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081143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K</w:t>
      </w:r>
      <w:r>
        <w:rPr>
          <w:rFonts w:hint="eastAsia" w:ascii="宋体" w:hAnsi="宋体" w:cs="宋体"/>
          <w:color w:val="000000"/>
          <w:sz w:val="24"/>
          <w:szCs w:val="24"/>
          <w:highlight w:val="none"/>
        </w:rPr>
        <w:t>、挡烟垂壁，外观检查，组件齐全，手/自动启动、复位试验，每月不应少于</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4F2914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L</w:t>
      </w:r>
      <w:r>
        <w:rPr>
          <w:rFonts w:hint="eastAsia" w:ascii="宋体" w:hAnsi="宋体" w:cs="宋体"/>
          <w:color w:val="000000"/>
          <w:sz w:val="24"/>
          <w:szCs w:val="24"/>
          <w:highlight w:val="none"/>
        </w:rPr>
        <w:t>、电动排烟窗，外观检查，手/自动启动、复位试验，每月不应少于</w:t>
      </w:r>
      <w:r>
        <w:rPr>
          <w:rFonts w:hint="eastAsia" w:ascii="宋体" w:hAnsi="宋体" w:cs="宋体"/>
          <w:color w:val="000000"/>
          <w:sz w:val="24"/>
          <w:szCs w:val="24"/>
          <w:highlight w:val="none"/>
          <w:lang w:val="en-US" w:eastAsia="zh-CN"/>
        </w:rPr>
        <w:t>10</w:t>
      </w:r>
      <w:r>
        <w:rPr>
          <w:rFonts w:hint="eastAsia" w:ascii="宋体" w:hAnsi="宋体" w:cs="宋体"/>
          <w:color w:val="000000"/>
          <w:sz w:val="24"/>
          <w:szCs w:val="24"/>
          <w:highlight w:val="none"/>
        </w:rPr>
        <w:t>%进行检测。</w:t>
      </w:r>
    </w:p>
    <w:p w14:paraId="2C20C8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M</w:t>
      </w:r>
      <w:r>
        <w:rPr>
          <w:rFonts w:hint="eastAsia" w:ascii="宋体" w:hAnsi="宋体" w:cs="宋体"/>
          <w:color w:val="000000"/>
          <w:sz w:val="24"/>
          <w:szCs w:val="24"/>
          <w:highlight w:val="none"/>
        </w:rPr>
        <w:t>、消防风管，外观检查，每月不应少于</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0%进行检测。</w:t>
      </w:r>
    </w:p>
    <w:p w14:paraId="4A2D554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N</w:t>
      </w:r>
      <w:r>
        <w:rPr>
          <w:rFonts w:hint="eastAsia" w:ascii="宋体" w:hAnsi="宋体" w:cs="宋体"/>
          <w:color w:val="000000"/>
          <w:sz w:val="24"/>
          <w:szCs w:val="24"/>
          <w:highlight w:val="none"/>
        </w:rPr>
        <w:t>、防烟排烟系统系统联动试验，系统功能测试，每月不应少于</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0%进行检测。</w:t>
      </w:r>
    </w:p>
    <w:p w14:paraId="6344B68D">
      <w:pPr>
        <w:spacing w:line="360" w:lineRule="auto"/>
        <w:ind w:right="2" w:firstLine="480" w:firstLineChars="200"/>
        <w:rPr>
          <w:rFonts w:hint="eastAsia" w:ascii="宋体" w:hAnsi="宋体" w:cs="宋体"/>
          <w:color w:val="000000"/>
          <w:sz w:val="24"/>
          <w:szCs w:val="24"/>
          <w:highlight w:val="none"/>
        </w:rPr>
      </w:pPr>
      <w:bookmarkStart w:id="34" w:name="_Toc449097081"/>
      <w:r>
        <w:rPr>
          <w:rFonts w:hint="eastAsia" w:ascii="宋体" w:hAnsi="宋体" w:cs="宋体"/>
          <w:color w:val="000000"/>
          <w:sz w:val="24"/>
          <w:szCs w:val="24"/>
          <w:highlight w:val="none"/>
        </w:rPr>
        <w:t>6、应急照明系统</w:t>
      </w:r>
      <w:bookmarkEnd w:id="34"/>
    </w:p>
    <w:p w14:paraId="60CE27E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（1）检测流程：应急灯外观检查－线路检查－在正常停电时功能检测。</w:t>
      </w:r>
    </w:p>
    <w:p w14:paraId="793D2DB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（2）检测部位：消防泵房、消防控制室、各</w:t>
      </w:r>
      <w:r>
        <w:rPr>
          <w:rFonts w:hint="eastAsia" w:ascii="宋体" w:hAnsi="宋体" w:cs="宋体"/>
          <w:color w:val="000000"/>
          <w:sz w:val="24"/>
          <w:szCs w:val="24"/>
          <w:highlight w:val="none"/>
          <w:lang w:val="en-US" w:eastAsia="zh-CN"/>
        </w:rPr>
        <w:t>试验室及辅房</w:t>
      </w:r>
      <w:r>
        <w:rPr>
          <w:rFonts w:hint="eastAsia" w:ascii="宋体" w:hAnsi="宋体" w:cs="宋体"/>
          <w:color w:val="000000"/>
          <w:sz w:val="24"/>
          <w:szCs w:val="24"/>
          <w:highlight w:val="none"/>
        </w:rPr>
        <w:t>等。</w:t>
      </w:r>
    </w:p>
    <w:p w14:paraId="3697C4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14:paraId="055D68A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应急灯检测数量10%，产品外观应整洁完好，固定应牢固，无影响使用的机械损伤；产品标志、质量检验标志、认证标志清晰齐全。在正常交流电源供电切断后，消防应急灯具应顺利转入应急工作状态。带有台阶、容易引起人员恐慌的部位应急照明转换时间不应大于0.25s，其它部位的应急照明转换时间不应大于5s。消防控制室、消防水泵房、配电室、风机房以及发生火灾时仍需正常工作的其它房间的消防应急照明，仍应保证正常照明的照度。</w:t>
      </w:r>
    </w:p>
    <w:p w14:paraId="000A3A5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B、应急照明灯具和疏散指示标志灯具，外观检查，手自动转换检查，每月按照总数10%进行检测。</w:t>
      </w:r>
    </w:p>
    <w:p w14:paraId="43843D9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C、急照明控制器，外观检查，功能测试，每月按照总数100%进行检测。</w:t>
      </w:r>
    </w:p>
    <w:p w14:paraId="2FD36C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D、应急照明集中电源，自检功能，主、备电源的自动转换功能，故障报警功能，消音功能，每月按照总数10%进行检测。</w:t>
      </w:r>
    </w:p>
    <w:p w14:paraId="3B49534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E、应急照明配电箱，外观检查，电源分配输出功能，每月按照总数10%进行检测。</w:t>
      </w:r>
    </w:p>
    <w:p w14:paraId="774685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F、消防应急照明和疏散指示系统功能，外观检查，功能测试，每月按照总数10%进行检测。</w:t>
      </w:r>
    </w:p>
    <w:p w14:paraId="18CCC2B9">
      <w:pPr>
        <w:spacing w:line="360" w:lineRule="auto"/>
        <w:ind w:right="2" w:firstLine="480" w:firstLineChars="200"/>
        <w:rPr>
          <w:rFonts w:hint="eastAsia" w:ascii="宋体" w:hAnsi="宋体" w:cs="宋体"/>
          <w:color w:val="000000"/>
          <w:sz w:val="24"/>
          <w:szCs w:val="24"/>
          <w:highlight w:val="none"/>
        </w:rPr>
      </w:pPr>
      <w:bookmarkStart w:id="35" w:name="_Toc64724161"/>
      <w:bookmarkStart w:id="36" w:name="_Toc63166709"/>
      <w:bookmarkStart w:id="37" w:name="_Toc65160191"/>
      <w:bookmarkStart w:id="38" w:name="_Toc17855"/>
      <w:bookmarkStart w:id="39" w:name="_Toc64562697"/>
      <w:bookmarkStart w:id="40" w:name="_Toc65160050"/>
      <w:r>
        <w:rPr>
          <w:rFonts w:hint="eastAsia" w:ascii="宋体" w:hAnsi="宋体" w:cs="宋体"/>
          <w:color w:val="000000"/>
          <w:sz w:val="24"/>
          <w:szCs w:val="24"/>
          <w:highlight w:val="none"/>
        </w:rPr>
        <w:t>7、防火分隔设施</w:t>
      </w:r>
      <w:bookmarkEnd w:id="35"/>
      <w:bookmarkEnd w:id="36"/>
      <w:bookmarkEnd w:id="37"/>
      <w:bookmarkEnd w:id="38"/>
      <w:bookmarkEnd w:id="39"/>
      <w:bookmarkEnd w:id="40"/>
    </w:p>
    <w:p w14:paraId="60CF63C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（1）检测流程：电动防火门、防火卷帘功能检查-系统全面检测</w:t>
      </w:r>
    </w:p>
    <w:p w14:paraId="44B895B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（2）检测部位：办公楼、各生产车间等</w:t>
      </w:r>
    </w:p>
    <w:p w14:paraId="2FCD73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14:paraId="55810A0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A、消防控制室手动或自动控制电动常开防火门，功能信号应正常。模拟火灾报警信号，观察防火门动作情况及消防控制室信号显示情况。</w:t>
      </w:r>
    </w:p>
    <w:p w14:paraId="662AD3D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B、防火门，外观检查，组件齐全，手动启闭防火门试验，每月按照总数10%进行检测。</w:t>
      </w:r>
    </w:p>
    <w:p w14:paraId="0860756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C、防火卷帘，外观检查，组件齐全，手动操作防火卷帘内外两侧控制器或按钮盒上的控制按钮，速放装置，手动拉链试验，每月按照总数10%进行检测。</w:t>
      </w:r>
    </w:p>
    <w:p w14:paraId="2889031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8、可燃气体探测报警系统</w:t>
      </w:r>
    </w:p>
    <w:p w14:paraId="222C03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（1）检测流程：可燃气体探测器、可燃气体控制器-消防中控室远程报警测试。</w:t>
      </w:r>
    </w:p>
    <w:p w14:paraId="43D17A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（2）检测部位：办公楼、餐厅、各生产车间。</w:t>
      </w:r>
    </w:p>
    <w:p w14:paraId="575101F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14:paraId="7A17C86F">
      <w:pPr>
        <w:spacing w:line="360" w:lineRule="auto"/>
        <w:ind w:right="2" w:firstLine="480" w:firstLineChars="20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A、外观应完好，无明显损伤；</w:t>
      </w:r>
    </w:p>
    <w:p w14:paraId="6B87ACF1">
      <w:pPr>
        <w:spacing w:line="360" w:lineRule="auto"/>
        <w:ind w:right="2" w:firstLine="480" w:firstLineChars="20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B、断开可燃气体探测器的电源或信号线路，火灾报警控制器应在100 s内收到故障信号；故障信号在排除后自动复位。</w:t>
      </w:r>
    </w:p>
    <w:p w14:paraId="35498B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维护方法：目测，手动检查，使控制器与任一可燃气体探测器之间的连接断路，用秒表测量控制器故障报警响应时间，</w:t>
      </w:r>
      <w:r>
        <w:rPr>
          <w:rFonts w:hint="eastAsia" w:ascii="宋体" w:hAnsi="宋体" w:cs="宋体"/>
          <w:color w:val="000000"/>
          <w:sz w:val="24"/>
          <w:szCs w:val="24"/>
          <w:highlight w:val="none"/>
        </w:rPr>
        <w:t>检查控制器故障信息显示情况。</w:t>
      </w:r>
    </w:p>
    <w:p w14:paraId="4002891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C、可燃气体报警控制器，外观检查、功能测试，每月按照总数100%进行检测。</w:t>
      </w:r>
    </w:p>
    <w:p w14:paraId="3C84AA3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D、可燃气体探测器，外观检查，每月按照总数10%进行检测。</w:t>
      </w:r>
    </w:p>
    <w:p w14:paraId="79EB9F1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9、电气火灾监控系统</w:t>
      </w:r>
    </w:p>
    <w:p w14:paraId="54B653E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（1）检测流程：电气火灾监控探测器、电气火灾监控控制器测试报警信号。</w:t>
      </w:r>
    </w:p>
    <w:p w14:paraId="697EE4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（2）检测部位：办公楼、餐厅、各生产车间。</w:t>
      </w:r>
    </w:p>
    <w:p w14:paraId="0DD1D3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（3）检测方法：</w:t>
      </w:r>
    </w:p>
    <w:p w14:paraId="4563ADA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A、外观应完好，无明显损伤；</w:t>
      </w:r>
    </w:p>
    <w:p w14:paraId="08AA2D1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B、监控设备应能接收来自探测器的监控报警信号，并在10 s内发出声、光报警信号，指示报警部位，记录报警时间，并予以保持，直至手动复位；</w:t>
      </w:r>
    </w:p>
    <w:p w14:paraId="347B07A3">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C、当监控设备发生下述故障时，应能在100 s内发出与监控报警信号有明显区别的声光故障信号：</w:t>
      </w:r>
    </w:p>
    <w:p w14:paraId="78F325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监控设备与探测器之间的连接线断路、短路；</w:t>
      </w:r>
    </w:p>
    <w:p w14:paraId="02478C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监控设备主电源欠压；</w:t>
      </w:r>
    </w:p>
    <w:p w14:paraId="3C37E9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给备用电源充电的充电器与备用电源间连接线的断路、短路。</w:t>
      </w:r>
    </w:p>
    <w:p w14:paraId="3074DC3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D、监控设备应有主电源和备用电源转换装置。当主电源断电时，能自动切换到备用电源。当主电源恢复时，能自动转换到主电源；</w:t>
      </w:r>
    </w:p>
    <w:p w14:paraId="1502F3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E、主、备电源的转换不应使监控设备发出报警信号。</w:t>
      </w:r>
    </w:p>
    <w:p w14:paraId="277F544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维护方法：目测，手动检查。使任一只非故障部位的探测器发出监控报警信号，用秒表测量监控设备监控报警响应时间，检查监控设备的报警信息记录和显示情况；分别使监控设备与任一现场部件之间的连线断路、短路，用秒表测量监控设备故障报警响应时间，检查监控设备故障信息显示情况；切断主电源，检查备用电源自动投入情况，观察工作指示灯显示情况；恢复主电源，检查主电源自动投入情况，观察工作指示灯显示情况。</w:t>
      </w:r>
    </w:p>
    <w:p w14:paraId="1E1758B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F、监控设备，外观检查、功能测试，每月按照总数10%进行检测。</w:t>
      </w:r>
    </w:p>
    <w:p w14:paraId="68D0B4F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G、剩余电流式电气火灾监控探测器，功能测试，每月按照总数10%进行检测。</w:t>
      </w:r>
    </w:p>
    <w:p w14:paraId="38A25C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F、测温式电气火灾监控探测器，功能测试，每月按照总数10%进行检测。</w:t>
      </w:r>
    </w:p>
    <w:p w14:paraId="2A3E802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（四）建筑消防设施检测技术规程及工作要求</w:t>
      </w:r>
    </w:p>
    <w:p w14:paraId="2189E83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1.范围</w:t>
      </w:r>
    </w:p>
    <w:p w14:paraId="4B421E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本章程规定了建筑消防设施的检测要求、检测数量、检测方法、检测器具、检验项目类别和判定原则，本规定用于建筑消防设施运行情况的综合检测评定，不对产品本身性能进行检测。</w:t>
      </w:r>
    </w:p>
    <w:p w14:paraId="3F6C088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2.主要术语和定义</w:t>
      </w:r>
    </w:p>
    <w:p w14:paraId="2FABC0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2.1A类项（关键项）typeA(keyitem)</w:t>
      </w:r>
    </w:p>
    <w:p w14:paraId="2CB5663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直接关系到消防系统运行功能存在的致命缺陷和可能对人身安全造成危害的项目。</w:t>
      </w:r>
    </w:p>
    <w:p w14:paraId="3EA23BC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2.2B类项（主要项）typeB（mainitem）</w:t>
      </w:r>
    </w:p>
    <w:p w14:paraId="476B1BF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对消防系统的工程质量有重要影响，可能间接影响消防系统运行功能可靠性的项目。</w:t>
      </w:r>
    </w:p>
    <w:p w14:paraId="7F62F18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2.3C类项（一般项）typeC（generalitem）</w:t>
      </w:r>
    </w:p>
    <w:p w14:paraId="6A555B6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对消防系统工程质量有一般影响的项目。</w:t>
      </w:r>
    </w:p>
    <w:p w14:paraId="4361582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3.人员和工作量要求</w:t>
      </w:r>
    </w:p>
    <w:p w14:paraId="26EE0D2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机构对建筑消防设施进行检测前应确定由具有一级注册消防工程师资格证书的人员担任项目负责人，由具有四级/中级工及以上职业资格证书的消防设施操作员（消防设施检测维修保养职业方向）实施检测。检测机构安排现场检测人员的数量和工作量应按照以下要求确定：合同建筑面积100000m2以上的不应少于5人；检测工作量不少于10人·日。</w:t>
      </w:r>
    </w:p>
    <w:p w14:paraId="26BD840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4.检测要求、检测数量、检测方法及检测器具</w:t>
      </w:r>
    </w:p>
    <w:p w14:paraId="338B70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4.1消防供配电设施</w:t>
      </w:r>
    </w:p>
    <w:p w14:paraId="4AC67F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073ECB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a)消防设备配电箱应有区别于其他配电箱的明显标志，不同消防设备的配电箱应有明显区分标识；（C类）</w:t>
      </w:r>
    </w:p>
    <w:p w14:paraId="6E826B1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b)消防控制室、消防水泵房、防烟和排烟风机房的消防用电设备及消防电梯等的供电，应在其配电线路的最末一级配电箱处设置自动切换装置；（A类）</w:t>
      </w:r>
    </w:p>
    <w:p w14:paraId="054BEDD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c)自备发电机的规格、额定功率应与设计文件相符；（A类）</w:t>
      </w:r>
    </w:p>
    <w:p w14:paraId="2EBEC65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d)自备发电机组的仪表、指示灯及开关按钮等应完好并显示正常；（C类）</w:t>
      </w:r>
    </w:p>
    <w:p w14:paraId="62CAC6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e)储油设施的油位显示应正常。（A类）</w:t>
      </w:r>
    </w:p>
    <w:p w14:paraId="0AFF5DC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9BCC57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检测方法：直观检查。对照设计文件，查看相关配电箱的设置。查看并切换备用电源，检验是否符合设计要求。</w:t>
      </w:r>
    </w:p>
    <w:p w14:paraId="3F1555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4.2火灾自动报警系统</w:t>
      </w:r>
    </w:p>
    <w:p w14:paraId="337D0A8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一般规定:</w:t>
      </w:r>
    </w:p>
    <w:p w14:paraId="278C2CC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a)火灾自动报警系统设备及配件的规格、型号应与设计文件相符；（A类）</w:t>
      </w:r>
    </w:p>
    <w:p w14:paraId="76D177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任一台火灾报警控制器所连接的火灾探测器、手动火灾报警按钮和模块等设备总数和地址总数，应与设计文件相符且不应超过3200点，其中每一总线回路连接设备的总数不宜超过200点，且应留有不少于额定容量10%的余量；（B类）</w:t>
      </w:r>
    </w:p>
    <w:p w14:paraId="0E14A72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c)任一台消防联动控制器地址总数或火灾报警控制器（联动型）所控制的各类模块总数不应超过1600点，每一联动总线回路连接设备的总数不宜超过100点，且应留有不少于额定容量10%的余量；（B类）</w:t>
      </w:r>
    </w:p>
    <w:p w14:paraId="26369F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d)系统总线上应设置总线短路隔离器，总线穿越防火分区时，应在穿越处设置总线短路隔离器；（A类）</w:t>
      </w:r>
    </w:p>
    <w:p w14:paraId="3157BD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e)每只总线短路隔离器保护的火灾探测器、手动火灾报警按钮和模块等消防设备的总数不应超过32点。（A类）</w:t>
      </w:r>
    </w:p>
    <w:p w14:paraId="4B17E1B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检测数量：火灾报警控制器、消防联动控制器全数100%检测。总线短路隔离器每回路应至少抽检1处。</w:t>
      </w:r>
    </w:p>
    <w:p w14:paraId="4E5365B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2E34CD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14:paraId="698EA73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b）核查火灾报警控制器连接设备的数量；</w:t>
      </w:r>
    </w:p>
    <w:p w14:paraId="5A24DC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c）核查消防联动控制器连接设备的数量；</w:t>
      </w:r>
    </w:p>
    <w:p w14:paraId="0ECDDDE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d）直观检查；</w:t>
      </w:r>
    </w:p>
    <w:p w14:paraId="40628DB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e）通过测试隔离器核查所连接数量。</w:t>
      </w:r>
    </w:p>
    <w:p w14:paraId="064E49F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4.3火灾报警控制器</w:t>
      </w:r>
    </w:p>
    <w:p w14:paraId="5090B78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基本要求:</w:t>
      </w:r>
    </w:p>
    <w:p w14:paraId="5A1FC31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a)控制器应具有中文功能标注和信息显示；（B类）</w:t>
      </w:r>
    </w:p>
    <w:p w14:paraId="3EA8CE2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b)文字符号和标志应明显、清晰；（C类）</w:t>
      </w:r>
    </w:p>
    <w:p w14:paraId="14BAA2F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c)控制器应安装牢固，不应倾斜；（C类）</w:t>
      </w:r>
    </w:p>
    <w:p w14:paraId="537CB8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d)安装在轻质墙上时，应采取加固措施；（B类）</w:t>
      </w:r>
    </w:p>
    <w:p w14:paraId="193005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e)配线应整齐，不宜交叉，并应固定牢靠；（C类）</w:t>
      </w:r>
    </w:p>
    <w:p w14:paraId="79F5849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f)电缆芯线和所配导线的端部，均应标明编号；（B类）</w:t>
      </w:r>
    </w:p>
    <w:p w14:paraId="164DFCB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g)端子板的每个接线端，接线不得超过2根；（B类）</w:t>
      </w:r>
    </w:p>
    <w:p w14:paraId="5A6C2CF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h)导线应绑扎成束。（C类）</w:t>
      </w:r>
    </w:p>
    <w:p w14:paraId="4F963EB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E9397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7AFE23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4.2.1控制器安装要求</w:t>
      </w:r>
    </w:p>
    <w:p w14:paraId="5A7E91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壁挂式安装要求</w:t>
      </w:r>
    </w:p>
    <w:p w14:paraId="14E568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C6A791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a)火灾报警控制器在墙上安装时，其底边距地（楼）面高度宜为1.3m～1.5m；（C类）</w:t>
      </w:r>
    </w:p>
    <w:p w14:paraId="5986FD7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b)靠近门轴的侧面距墙不应小于0.5m；（C类）</w:t>
      </w:r>
    </w:p>
    <w:p w14:paraId="5C8301B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c)正面操作距离不应小于1.2m。（C类）</w:t>
      </w:r>
    </w:p>
    <w:p w14:paraId="39ADD86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10D171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检测方法：尺量、直观检查。检测器具：钢卷尺。</w:t>
      </w:r>
    </w:p>
    <w:p w14:paraId="6794DF0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4.2.2落地式安装要求</w:t>
      </w:r>
    </w:p>
    <w:p w14:paraId="3730112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630782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a)单列布置时，设备面盘前的操作距离不应小于1.5m；（C类）</w:t>
      </w:r>
    </w:p>
    <w:p w14:paraId="38F3A9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b)双列布置时，设备面盘前的操作距离不应小于2m；（C类）</w:t>
      </w:r>
    </w:p>
    <w:p w14:paraId="2EF280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c)当其中一侧靠墙安装时，另一侧距墙不应小于1m；（C类）</w:t>
      </w:r>
    </w:p>
    <w:p w14:paraId="4E2970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d)设备面盘后的维修距离不宜小于1m；（C类）</w:t>
      </w:r>
    </w:p>
    <w:p w14:paraId="3F3A672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e)在值班人员经常工作的一面，设备面盘至墙的距离不应小于3m；（C类）</w:t>
      </w:r>
    </w:p>
    <w:p w14:paraId="324CC1F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f)底边宜高出地（楼）面0.1m～0.2m。（C类）</w:t>
      </w:r>
    </w:p>
    <w:p w14:paraId="097EEDE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293CCE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检测方法：尺量。检测器具：钢卷尺。</w:t>
      </w:r>
    </w:p>
    <w:p w14:paraId="256E954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4.2.3控制器接地要求</w:t>
      </w:r>
    </w:p>
    <w:p w14:paraId="014ED3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6942F0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a)控制器应有接地保护；（A类）</w:t>
      </w:r>
    </w:p>
    <w:p w14:paraId="2031438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b)接地应有标志，且标志应设置明显的永久性标识；（B类）</w:t>
      </w:r>
    </w:p>
    <w:p w14:paraId="291DE2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c)控制室内的控制器设备的金属外壳、机柜、机架和金属管、槽等，应采用等电位连接；（C类）</w:t>
      </w:r>
    </w:p>
    <w:p w14:paraId="20518D7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d)由消防控制室接地板引至各消防电子设备的专用接地线应选用铜芯绝缘导线，其线芯截面积不应小于4mm2；（B类）</w:t>
      </w:r>
    </w:p>
    <w:p w14:paraId="36DD07D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e)消防控制室接地板与建筑接地体之间，应采用线芯截面积不小于25mm2的铜芯绝缘导线连接；（B类）</w:t>
      </w:r>
    </w:p>
    <w:p w14:paraId="23F47CE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f)火灾自动报警系统采用专用接地装置时，其接地电阻值不应大于4Ω；（A类）</w:t>
      </w:r>
    </w:p>
    <w:p w14:paraId="5613742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g)火灾自动报警系统采用共用接地装置时，其接地电阻值不应大于1Ω。（A类）</w:t>
      </w:r>
    </w:p>
    <w:p w14:paraId="7D614AA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检测数量：100%全数检测。</w:t>
      </w:r>
    </w:p>
    <w:p w14:paraId="27E59BF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4F5A14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a）</w:t>
      </w:r>
      <w:r>
        <w:rPr>
          <w:rFonts w:hint="eastAsia" w:ascii="宋体" w:hAnsi="宋体" w:cs="宋体"/>
          <w:color w:val="000000"/>
          <w:sz w:val="24"/>
          <w:szCs w:val="24"/>
          <w:highlight w:val="none"/>
        </w:rPr>
        <w:t>～c）直观检查；</w:t>
      </w:r>
    </w:p>
    <w:p w14:paraId="516CCDE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d）e）尺量检查；</w:t>
      </w:r>
    </w:p>
    <w:p w14:paraId="4C667A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f)g）仪表测量。</w:t>
      </w:r>
    </w:p>
    <w:p w14:paraId="0DFD75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检测器具：游标卡尺、接地电阻测量仪。</w:t>
      </w:r>
    </w:p>
    <w:p w14:paraId="7184FE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4.2.4控制器电源设置要求</w:t>
      </w:r>
    </w:p>
    <w:p w14:paraId="184B193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A04980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a)火灾报警控制器应设主电源和直流备用电源。当主电源断电时，能自动切换到备用电源。当主电源恢复时，能自动转换到主电源，电源的转换不应使控制器产生误动作；（A类）</w:t>
      </w:r>
    </w:p>
    <w:p w14:paraId="4F142DA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b)控制器的主电源应有明显的永久性标识；（B类）</w:t>
      </w:r>
    </w:p>
    <w:p w14:paraId="62AF228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c)控制器的主电源应直接与消防电源连接，严禁使用电源插头。（A类）</w:t>
      </w:r>
    </w:p>
    <w:p w14:paraId="590BBAB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检测数量：100%全数检测。</w:t>
      </w:r>
    </w:p>
    <w:p w14:paraId="284246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3BBCAC9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4.2.5控制器基本功能</w:t>
      </w:r>
    </w:p>
    <w:p w14:paraId="241594C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CBFDED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a)控制器的自检、消音、复位、屏蔽、历史记录查询、火警优先等功能应正常；（A类）</w:t>
      </w:r>
    </w:p>
    <w:p w14:paraId="3571611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b)控制器应能直接或间接地接收来自火灾探测器及其它报警触发器件的火灾报警信号，发出声、光报警信号，指示火灾发生部位，记录火灾报警时间，并予以保持，直至手动复位；（A类）</w:t>
      </w:r>
    </w:p>
    <w:p w14:paraId="2362755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c)火灾报警声信号应能手动消除，当再有火灾报警信号输入时，应能再次启动；（A类）</w:t>
      </w:r>
    </w:p>
    <w:p w14:paraId="69FCAE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d)控制器使用打印机记录火灾报警时间时，应打印出月、日、时、分等信息；（A类）</w:t>
      </w:r>
    </w:p>
    <w:p w14:paraId="58A0FCE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e)当控制器内部、控制器与其连接的部件间产生故障时，应能在100s内发出与火灾报警信号有明显区别的故障声、光信号，故障声信号应能手动消除，再有故障信号输入时，应能再启动；（A类）</w:t>
      </w:r>
    </w:p>
    <w:p w14:paraId="404CE0D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C1B71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4BDDECD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触发自检键，观察控制器面板上所有指示灯、显示器和音响器件是否正常。当报警控制器处于报警状态时，触发消音键，应能消除声报警信号。触发复位键，系统应能恢复正常状态。启动屏蔽或取消屏蔽，观察地址和设备状态；</w:t>
      </w:r>
    </w:p>
    <w:p w14:paraId="260AB7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b）结合探测器报警功能测试，查看报警控制器显示的报警部位、类型是否与现场一致；</w:t>
      </w:r>
    </w:p>
    <w:p w14:paraId="6158539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c）手动消音后，再次模拟一个火灾报警信号，查看报警控制器显示情况；</w:t>
      </w:r>
    </w:p>
    <w:p w14:paraId="26B0390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d）结合探测器报警功能测试，查看打印机记录纸张信息是否完整；</w:t>
      </w:r>
    </w:p>
    <w:p w14:paraId="540BB80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e）模拟部件故障，用秒表记录故障报警时间；</w:t>
      </w:r>
    </w:p>
    <w:p w14:paraId="308E1E8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f）结合b、e项测试，观察控制器显示信息。</w:t>
      </w:r>
    </w:p>
    <w:p w14:paraId="34E1F4D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检测器具：秒表、感烟（温）探测器功能试验器。</w:t>
      </w:r>
    </w:p>
    <w:p w14:paraId="400F0B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4.3消防控制室图形显示装置</w:t>
      </w:r>
    </w:p>
    <w:p w14:paraId="4EFAC14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5B7B78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a)图形显示装置应与火灾报警控制器、消防联动控制器等消防设备相连，并应采用中文标注和中文界面显示；（A类）</w:t>
      </w:r>
    </w:p>
    <w:p w14:paraId="4A21125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b)图形显示装置应能准确显示相应信号的物理位置，并能优先显示火灾报警信号相对应的界面；（A类）</w:t>
      </w:r>
    </w:p>
    <w:p w14:paraId="23C9C65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c)消防控制室图形显示装置不能对控制器进行复位、系统设定以及联动设备的启动和停止等控制操作；（A类）</w:t>
      </w:r>
    </w:p>
    <w:p w14:paraId="625A13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d)消防控制室图形显示装置的消防设备运行状态显示功能应符合下列规定：消防控制室图形显示装置应接收并显示火灾报警控制器发送的火灾报警信息、故障信息、隔离信息、屏蔽信息和监管信息；（A类）</w:t>
      </w:r>
    </w:p>
    <w:p w14:paraId="32DA50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e)消防控制室图形显示装置应接收并显示消防联动控制器发送的联动控制信息、受控设备的动作反馈信息；（A类）</w:t>
      </w:r>
    </w:p>
    <w:p w14:paraId="075496A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f)消防控制室图形显示装置显示的信息应与控制器的显示信息一致；（A类）</w:t>
      </w:r>
    </w:p>
    <w:p w14:paraId="4B9D19B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g)消防控制室图形显示装置应显示消防联动控制器的直接手动启动、停止控制信号。（A类）检测数量：全数检测。</w:t>
      </w:r>
    </w:p>
    <w:p w14:paraId="4B16594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检测方法：直观检查、结合探测器或联动设备功能测试。</w:t>
      </w:r>
    </w:p>
    <w:p w14:paraId="234CB74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5D74B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14:paraId="3E22BA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4.4布线</w:t>
      </w:r>
    </w:p>
    <w:p w14:paraId="2F0F685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4.4.1导线选型</w:t>
      </w:r>
    </w:p>
    <w:p w14:paraId="596DBFF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511904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a)火灾自动报警系统的供电线路、消防联动控制线路的选型应与设计文件相符；（A类）</w:t>
      </w:r>
    </w:p>
    <w:p w14:paraId="17DF78C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b)灾自动报警系统传输线路的线芯截面积应与设计文件相符；（B类）</w:t>
      </w:r>
    </w:p>
    <w:p w14:paraId="2DFDD7A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c)同一工程中相同用途的导线颜色应一致。（C类）</w:t>
      </w:r>
    </w:p>
    <w:p w14:paraId="5F65855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检测数量：每个防火分区、每个楼层抽检不低于50处。</w:t>
      </w:r>
    </w:p>
    <w:p w14:paraId="4573A27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检测方法：a）b）对照设计文件。c）直观检查。</w:t>
      </w:r>
    </w:p>
    <w:p w14:paraId="73EDC36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4.4.2导线敷设</w:t>
      </w:r>
    </w:p>
    <w:p w14:paraId="3ED5974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0AB901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a)消防控制、通讯、警报和传输线路明敷敷设时，应采用金属管、可挠（金属）电气导管或金属封闭槽盒保护。矿物绝缘类不燃性电缆可直接明敷；（B类）</w:t>
      </w:r>
    </w:p>
    <w:p w14:paraId="04FA4E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b)敷设在多尘或潮湿场所管路的管口和管子连接处，均应作密封处理；（C类）</w:t>
      </w:r>
    </w:p>
    <w:p w14:paraId="5F30D39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c)绝缘导线采用穿管保护时，穿管应到位；（C类）</w:t>
      </w:r>
    </w:p>
    <w:p w14:paraId="323B71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d)明敷各类管路和槽盒时，应采用单独的卡具吊装或支撑物固定；(C类)</w:t>
      </w:r>
    </w:p>
    <w:p w14:paraId="310C1E7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e)火灾自动报警系统应单独布线，系统内不同电压等级、不同电流类别的线路，不应布在同一管内或槽盒的同一槽孔内。（B类）</w:t>
      </w:r>
    </w:p>
    <w:p w14:paraId="3F5FD6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检测数量：每个防火分区、每个楼层抽检不低于50处。</w:t>
      </w:r>
    </w:p>
    <w:p w14:paraId="7F0BA2A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检测方法：a）～e）直观检查；f）仪表测量</w:t>
      </w:r>
    </w:p>
    <w:p w14:paraId="534E69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4.5火灾显示盘</w:t>
      </w:r>
    </w:p>
    <w:p w14:paraId="34DCA68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4.5.1基本要求</w:t>
      </w:r>
    </w:p>
    <w:p w14:paraId="646DC39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E5F52B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a)火灾显示盘在墙上安装时，其底边距地（楼）面高度宜为1.3m～1.5m；（C类）</w:t>
      </w:r>
    </w:p>
    <w:p w14:paraId="666704F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b)安装牢固，不应倾斜；安装在轻质墙上时，应采取加固措施。（B类）</w:t>
      </w:r>
    </w:p>
    <w:p w14:paraId="32CFEB3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F5FA3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14:paraId="589381F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4F44A29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4.5.2火灾显示盘功能</w:t>
      </w:r>
    </w:p>
    <w:p w14:paraId="5C98C0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B09F45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a)火灾显示盘应能正确接收和显示火灾报警控制器发出的火灾报警信号；（A类）</w:t>
      </w:r>
    </w:p>
    <w:p w14:paraId="67F324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b)声报警信号应能手动消除，再次有火警信号输入时，应能再启动。（A类）</w:t>
      </w:r>
    </w:p>
    <w:p w14:paraId="7F18712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1CA22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检测方法：结合探测器报警功能测试，查看火灾显示盘状态。</w:t>
      </w:r>
    </w:p>
    <w:p w14:paraId="347AE3D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4.6火灾探测器</w:t>
      </w:r>
    </w:p>
    <w:p w14:paraId="5646B8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4.6.1基本要求</w:t>
      </w:r>
    </w:p>
    <w:p w14:paraId="17BB74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2E36B2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a)火灾探测器的规格、型号（类型）、安装位置应与设计文件相符；（A类）</w:t>
      </w:r>
    </w:p>
    <w:p w14:paraId="546080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b)火灾探测器接口编码应与竣工图标识、控制室显示相对应；</w:t>
      </w:r>
    </w:p>
    <w:p w14:paraId="3736EE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探测器底座安装应牢固，不得有明显松动，与导线连接必须可靠压接或焊接；（B类）</w:t>
      </w:r>
    </w:p>
    <w:p w14:paraId="6DD90F8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c)探测器的确认灯应朝向便于人员观察的主要入口方向；（C类）</w:t>
      </w:r>
    </w:p>
    <w:p w14:paraId="315C905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d)探测器的报警地址编码，应与竣工图标识、控制室显示相对应；（B类）</w:t>
      </w:r>
    </w:p>
    <w:p w14:paraId="136280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e)连接导线应在其端部应设置明显的永久性标识；（B类）</w:t>
      </w:r>
    </w:p>
    <w:p w14:paraId="59E6FC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穿线孔宜封堵，安装完毕的探测器底座应采取保护措施。（C类）</w:t>
      </w:r>
    </w:p>
    <w:p w14:paraId="5BF65A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71947A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3BE90FB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14:paraId="76EFF4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b）c）直观检查；</w:t>
      </w:r>
    </w:p>
    <w:p w14:paraId="08730F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d）采用感烟（温）探测器功能试验器，检查探测器的报警功能，检验报警地址编码是否正确。</w:t>
      </w:r>
    </w:p>
    <w:p w14:paraId="2857B7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14:paraId="2AB0175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4.6.2点型感烟、感温火灾探测器</w:t>
      </w:r>
    </w:p>
    <w:p w14:paraId="55531B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安装要求</w:t>
      </w:r>
    </w:p>
    <w:p w14:paraId="16AA3C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C2F303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a)探测器周围0.5m内不应有遮挡物；（C类）</w:t>
      </w:r>
    </w:p>
    <w:p w14:paraId="2CCF71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b)探测器至墙壁、梁边的水平距离，不应小于0.5m；（C类）</w:t>
      </w:r>
    </w:p>
    <w:p w14:paraId="2A7E1D6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c)探测器至空调送风口边缘的水平距离不应小于1.5m；（B类）</w:t>
      </w:r>
    </w:p>
    <w:p w14:paraId="6C76A6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d)探测器至多孔送风顶棚孔口边缘的水平距离不应小于0.5m；（B类）</w:t>
      </w:r>
    </w:p>
    <w:p w14:paraId="753446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e)在宽度小于3m的内走道顶棚上安装探测器时，宜居中安装。点型感温探测器的安装间距，不应超过l0m。点型感烟探测器的安装间距，不应超过15m。探测器至端墙的距离，不应大于安装间距的一半；（B类）</w:t>
      </w:r>
    </w:p>
    <w:p w14:paraId="0600CD8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f)探测器宜水平安装，当确需倾斜安装时，倾斜角不应大于45°。（B类）</w:t>
      </w:r>
    </w:p>
    <w:p w14:paraId="01C50AE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A3E51B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检测方法：尺量、数字坡度仪测量。</w:t>
      </w:r>
    </w:p>
    <w:p w14:paraId="0DF900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检测器具：钢卷尺、数字坡度仪。</w:t>
      </w:r>
    </w:p>
    <w:p w14:paraId="6135920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报警功能</w:t>
      </w:r>
    </w:p>
    <w:p w14:paraId="257D2CE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4AF5B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a)当被监视区域烟参数达到报警条件时，点型感烟火灾探测器应输出火灾报警信号；（A类）</w:t>
      </w:r>
    </w:p>
    <w:p w14:paraId="30EF338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b）当被监视区域温度参数达到报警条件时，点型感温火灾探测器应输出火灾报警信号；（A类）</w:t>
      </w:r>
    </w:p>
    <w:p w14:paraId="1081D7F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c)当被监视区域家用探测器达到报警条件时，应发出火灾报警声信号，声报警信号的A计权声压级应在45dB～75dB之间，并应采用逐渐增大的方式，初始声压级不应大于45dB。（C类）</w:t>
      </w:r>
    </w:p>
    <w:p w14:paraId="6BDEE23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359BD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检测方法：采用感烟（温）探测器功能试验器，检查探测器的报警和警报功能。检测器具：感烟（温）探测器功能试验器、声级计。</w:t>
      </w:r>
    </w:p>
    <w:p w14:paraId="68DDF3E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4.6.3线型火灾探测器</w:t>
      </w:r>
    </w:p>
    <w:p w14:paraId="374DBC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安装要求</w:t>
      </w:r>
    </w:p>
    <w:p w14:paraId="5D773B0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1EC0E5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线型光束感烟火灾探测器的设置应符合下列规定：</w:t>
      </w:r>
    </w:p>
    <w:p w14:paraId="3F4C4D8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a)发射器和接收器应安装牢固；（C类）</w:t>
      </w:r>
    </w:p>
    <w:p w14:paraId="479D1E1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b)当探测区域的高度不大于20m时，光束轴线至顶棚的垂直距离宜为0.3m～1.0m。当探测区域的高度大于20m时，光束轴线距探测区域的地（楼）面高度不宜超过20m；（C类）</w:t>
      </w:r>
    </w:p>
    <w:p w14:paraId="361A9E7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c)相邻两组探测器的水平距离不应大于14m，探测器至侧墙的水平距离不应大于7m，且不应小于0.5m；（C类）</w:t>
      </w:r>
    </w:p>
    <w:p w14:paraId="3527667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d)探测器的发射器和接收器（反射式探测器的探测器和反射板）之间的距离不宜超过100m；（C类）</w:t>
      </w:r>
    </w:p>
    <w:p w14:paraId="06CF6C7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e)发射器和接收器（反射式探测器的探测器和反射板）之间的光路上应无遮挡物。（C类）</w:t>
      </w:r>
    </w:p>
    <w:p w14:paraId="588E9D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f)缆式线型定温探测器在电缆桥架或支架上设置时，宜采用接触式布置。在各种皮带输送装置上设置时，宜设在装置的过热点附近；（C类）</w:t>
      </w:r>
    </w:p>
    <w:p w14:paraId="5A3C90A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g)敷设在顶棚下方的线型差温探测器至顶棚的距离宜为0.1m。相邻探测器之间的水平距离不宜大于5m。探测器至墙壁的距离宜为1.0m～1.5m；（C类）</w:t>
      </w:r>
    </w:p>
    <w:p w14:paraId="31D6559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h)线型感温探测器敏感部件应采用产品配套的固定装置固定，固定装置的间距不宜大于2m；（C类）</w:t>
      </w:r>
    </w:p>
    <w:p w14:paraId="3731648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h)缆式线型感温火灾探测器的敏感部件应采用连续无接头方式安装。如确需中间接线，应采用接线盒连接。敏感部件安装敷设时应避免重力挤压冲击，不应硬性折弯、扭转，探测器的弯曲半径宜大于0.2m；（C类）</w:t>
      </w:r>
    </w:p>
    <w:p w14:paraId="5AABBB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分布式线型光纤感温火灾探测器的感温光纤不应打结，光纤弯曲时，弯曲半径应大于50mm，每个光通道配接的感温光纤的始端及末端应各设置不小于8m的余量段，感温光纤穿越相邻的报警区域时，两侧应分别设置不小于8m的余量段。（C类）</w:t>
      </w:r>
    </w:p>
    <w:p w14:paraId="491DB1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g)光栅光纤线型感温火灾探测器的信号处理单元安装位置不应受强光直射，光纤光栅感温段的弯曲半径应大于0.3m。（C类）</w:t>
      </w:r>
    </w:p>
    <w:p w14:paraId="6A201E4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998BF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14:paraId="076B875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检测器具：钢卷尺、激光测距仪。</w:t>
      </w:r>
    </w:p>
    <w:p w14:paraId="0156E31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报警功能</w:t>
      </w:r>
    </w:p>
    <w:p w14:paraId="74D6727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097A12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a)在不可恢复的探测器上模拟火警和故障，探测器应能分别发出火灾报警和故障信号；（B类）</w:t>
      </w:r>
    </w:p>
    <w:p w14:paraId="2242760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b)可恢复的探测器可采用专用检测仪器或模拟火灾的办法使其发出火灾报警信号，并在终端盒上模拟故障，探测器应能分别发出火灾报警和故障信号。（B类）</w:t>
      </w:r>
    </w:p>
    <w:p w14:paraId="59E8473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检测数量：按实际安装数量的100检测，且不少于10处，少于10处的全数检测。</w:t>
      </w:r>
    </w:p>
    <w:p w14:paraId="33572F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检测方法：采用线型光束感烟探测器滤光片和末端短接的方法，检查探测器的报警功能。检测器具：线型光束感烟探测器滤光片。</w:t>
      </w:r>
    </w:p>
    <w:p w14:paraId="0388917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4.6.4火焰探测器和图像型探测器</w:t>
      </w:r>
    </w:p>
    <w:p w14:paraId="3A13391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安装要求</w:t>
      </w:r>
    </w:p>
    <w:p w14:paraId="679FD06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182279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a)探测器的探测视角内不应存在遮挡物；（B类）</w:t>
      </w:r>
    </w:p>
    <w:p w14:paraId="1F7C126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b)在室外或交通隧道场所安装时，应有防尘、防水措施。（B类）</w:t>
      </w:r>
    </w:p>
    <w:p w14:paraId="041963C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w:t>
      </w:r>
    </w:p>
    <w:p w14:paraId="2DB477B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06B47D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14:paraId="0B99634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b）c）直观检查；</w:t>
      </w:r>
    </w:p>
    <w:p w14:paraId="04FD1E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d）采用火焰探测器功能试验器，检查火焰探测器的报警功能，核对地址信息。模拟火灾的方法在探测器监视区域内最不利处检查图像探测器的报警功能，核对地址信息。</w:t>
      </w:r>
    </w:p>
    <w:p w14:paraId="150F21C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检测器具：火焰探测器功能试验器。</w:t>
      </w:r>
    </w:p>
    <w:p w14:paraId="163D1E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报警功能</w:t>
      </w:r>
    </w:p>
    <w:p w14:paraId="0DF4466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检测要求：当达到报警条件时，火灾探测器应输出火灾报警信号。（A类）</w:t>
      </w:r>
    </w:p>
    <w:p w14:paraId="761EAEE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检测数量：按实际安装数量的80%抽检，且不少于10只，少于10只的全数检测。</w:t>
      </w:r>
    </w:p>
    <w:p w14:paraId="415C287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检测方法：采用火焰探测器功能试验器，检查火焰探测器的报警功能。模拟火灾的方法在探测器监视区域内最不利处检查图像探测器的报警功能。</w:t>
      </w:r>
    </w:p>
    <w:p w14:paraId="49D00A2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检测器具：火焰探测器功能试验器。</w:t>
      </w:r>
    </w:p>
    <w:p w14:paraId="77D1EA6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4.6.5手动火灾报警按钮</w:t>
      </w:r>
    </w:p>
    <w:p w14:paraId="5C656FA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基本要求</w:t>
      </w:r>
    </w:p>
    <w:p w14:paraId="00E8578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7B99D3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a)组件应完整，有明显标志。表面无腐蚀、涂覆层脱落和起泡现象，无明显划伤、裂痕、毛刺等机械损伤。紧固部件无松动。启动零件不应破碎、变形或移位；（C类）</w:t>
      </w:r>
    </w:p>
    <w:p w14:paraId="7CE43D2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b)手动火灾报警按钮应安装在明显和便于操作的部位。当安装在墙上时，其底边距地（楼）面高度宜为1.3m～1.5m；（C类）</w:t>
      </w:r>
    </w:p>
    <w:p w14:paraId="26F4726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c)手动火灾报警按钮应安装牢固，不应倾斜；（B类）</w:t>
      </w:r>
    </w:p>
    <w:p w14:paraId="416CC93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d)连接导线应留有不小于150mm的余量，且在其端部应设置明显的永久性标识。（B类）</w:t>
      </w:r>
    </w:p>
    <w:p w14:paraId="682E892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4EBA65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01A1720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a）c）直观检查；</w:t>
      </w:r>
    </w:p>
    <w:p w14:paraId="00707CA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b）d）尺量。</w:t>
      </w:r>
    </w:p>
    <w:p w14:paraId="28A981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3AF7DB4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报警功能</w:t>
      </w:r>
    </w:p>
    <w:p w14:paraId="0081A4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检测要求：按下手动火灾报警按钮的启动零件，按钮应输出火灾报警信号。（A类）</w:t>
      </w:r>
    </w:p>
    <w:p w14:paraId="0994C1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AAE3B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检测方法：触发手动火灾报警按钮，查看火灾报警控制器报警信息。</w:t>
      </w:r>
    </w:p>
    <w:p w14:paraId="67D8AE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4.6.6火灾警报器</w:t>
      </w:r>
    </w:p>
    <w:p w14:paraId="45EFFC1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安装要求</w:t>
      </w:r>
    </w:p>
    <w:p w14:paraId="6A8EE7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504E84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a)火灾警报器安装应牢固可靠，表面不应有破损；（C类）</w:t>
      </w:r>
    </w:p>
    <w:p w14:paraId="5F1D72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当警报器采用壁挂式方式安装时，其底边距地面高度应大于2.2m；（C类）</w:t>
      </w:r>
    </w:p>
    <w:p w14:paraId="629BE6E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b)火灾声警报装置宜在报警区域内均匀安装；（C类）</w:t>
      </w:r>
    </w:p>
    <w:p w14:paraId="3B5058C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火灾光警报装置应安装在楼梯口、消防电梯前室、建筑内部拐角等处的明显部位，且不宜与消防应急疏散指示标志灯具安装在同一面墙上，确需安装在同一面墙上时，距离不应小于1m。（C类）</w:t>
      </w:r>
    </w:p>
    <w:p w14:paraId="24A31DC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2742D7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检测方法：a）直观检查；b）尺量。</w:t>
      </w:r>
    </w:p>
    <w:p w14:paraId="7532CB3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2E45F35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功能要求</w:t>
      </w:r>
    </w:p>
    <w:p w14:paraId="1CD3028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8599AD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a)警报器应在接收火灾报警控制器输出的控制信号后，发出声、光警报；（A类）</w:t>
      </w:r>
    </w:p>
    <w:p w14:paraId="5DC35E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b)警报器的报警声压级不应小于60dB（A）。环境噪声大于60dB（A）的场所，声警报的声压级应高于背景噪声15dB（A）。（B类）</w:t>
      </w:r>
    </w:p>
    <w:p w14:paraId="071155A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3B58CD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78308BB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a)火灾报警控制器设定为自动状态，模拟火灾信号，观察火灾警报器是否发出声、光警报；</w:t>
      </w:r>
    </w:p>
    <w:p w14:paraId="42EF5B8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b)采用数字声级计测量声压级。</w:t>
      </w:r>
    </w:p>
    <w:p w14:paraId="3E70CF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检测器具：数字声级计。</w:t>
      </w:r>
    </w:p>
    <w:p w14:paraId="023581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4.6.7模块</w:t>
      </w:r>
    </w:p>
    <w:p w14:paraId="22A5A0E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0F84D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a)每个报警区域内的模块宜相对集中设置在本报警区域内的金属模块箱中；（C类）</w:t>
      </w:r>
    </w:p>
    <w:p w14:paraId="19417FE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b)模块严禁设置在配电（控制）柜（箱）内；（A类）</w:t>
      </w:r>
    </w:p>
    <w:p w14:paraId="3DC088B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隐蔽安装时在安装处附近应设置检修孔和尺寸不小于100mm×100mm的永久性标识；（B类）</w:t>
      </w:r>
    </w:p>
    <w:p w14:paraId="1BCBD6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c)模块的终端部件应靠近连接部件安装；（C类）</w:t>
      </w:r>
    </w:p>
    <w:p w14:paraId="3E98A9D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7CB5A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检测方法：a)b)直观检查；c)尺量。检测器具：钢卷尺。</w:t>
      </w:r>
    </w:p>
    <w:p w14:paraId="5D0DC2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4.7消防应急广播</w:t>
      </w:r>
    </w:p>
    <w:p w14:paraId="4B6C7D9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基本要求</w:t>
      </w:r>
    </w:p>
    <w:p w14:paraId="7AAEC62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检测要求：消防应急广播系统的设置部位和设置方式应与设计文件相符。（A类）</w:t>
      </w:r>
    </w:p>
    <w:p w14:paraId="0982EA1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40ED113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14:paraId="046D98A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4.7.1广播扬声器的设置</w:t>
      </w:r>
    </w:p>
    <w:p w14:paraId="2D470CA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基本要求</w:t>
      </w:r>
    </w:p>
    <w:p w14:paraId="67048A6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35ECA2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广播扬声器表面无破损，安装应牢固可靠；（C类）</w:t>
      </w:r>
    </w:p>
    <w:p w14:paraId="2B71E7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额定功率应与设计文件相符。（B类）</w:t>
      </w:r>
    </w:p>
    <w:p w14:paraId="7C5E035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检测数量：每个防火分区、每个楼层抽检1处。</w:t>
      </w:r>
    </w:p>
    <w:p w14:paraId="2687FAE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检测方法：对照设计文直观检查。</w:t>
      </w:r>
    </w:p>
    <w:p w14:paraId="43CF91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4.7.2民用建筑广播扬声器的设置</w:t>
      </w:r>
    </w:p>
    <w:p w14:paraId="1256C3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B35D2C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a)扬声器的设置位置应与设计文件相符；（B类）</w:t>
      </w:r>
    </w:p>
    <w:p w14:paraId="5390C17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b)扬声器宜在报警区域内均匀安装；C类）</w:t>
      </w:r>
    </w:p>
    <w:p w14:paraId="467CC62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c)采用壁挂方式安装时，底边距地面高度应大于2.2m。（C类）</w:t>
      </w:r>
    </w:p>
    <w:p w14:paraId="586CD1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检测数量：每个防火分区、每个楼层抽检1处。</w:t>
      </w:r>
    </w:p>
    <w:p w14:paraId="7E97DB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检测方法：a)b)对照设计文件，直观检查；c)尺量。</w:t>
      </w:r>
    </w:p>
    <w:p w14:paraId="18710E7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527115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4.7.3环境噪声大于60dB（A）场所扬声器设置</w:t>
      </w:r>
    </w:p>
    <w:p w14:paraId="5F8C889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检测要求：扬声器在其播放范围内最远点的播放声压级应高于背景噪声15dB（A）。（B类）</w:t>
      </w:r>
    </w:p>
    <w:p w14:paraId="31BC705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检测数量：每个防火分区、每个楼层抽检1处。</w:t>
      </w:r>
    </w:p>
    <w:p w14:paraId="028C32D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检测方法：采用数字声级计测量声压级。检测器具：数字声级计。</w:t>
      </w:r>
    </w:p>
    <w:p w14:paraId="675766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4.7.4广播扩音机</w:t>
      </w:r>
    </w:p>
    <w:p w14:paraId="6FA515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0B1C17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a)消防应急广播设备应具有备用电源或备用电源接口；（A类）</w:t>
      </w:r>
    </w:p>
    <w:p w14:paraId="751A92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b)仪表、指示灯显示正常，开关和控制按钮动作灵活；（B类）</w:t>
      </w:r>
    </w:p>
    <w:p w14:paraId="47592B9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c)消防应急广播设备应具有监听功能且正常。（B类）</w:t>
      </w:r>
    </w:p>
    <w:p w14:paraId="63CA063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674AD0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52029F7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控制功能</w:t>
      </w:r>
    </w:p>
    <w:p w14:paraId="027EF21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C5A9AB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a)应能用话筒播音；（B类）</w:t>
      </w:r>
    </w:p>
    <w:p w14:paraId="468CEC8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b)扬声器语音广播音质应清晰；（B类）</w:t>
      </w:r>
    </w:p>
    <w:p w14:paraId="0F4B78E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c)火灾确认后，系统应能启动整个建筑内的消防广播扬声器；（A类）</w:t>
      </w:r>
    </w:p>
    <w:p w14:paraId="6803A96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d)火灾应急广播与公共广播合用时，应保证能在消防控制室将相关部位的扬声器和音响广播扩音机强制转入火灾应急广播状态。（A类）</w:t>
      </w:r>
    </w:p>
    <w:p w14:paraId="67E966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检测数量：每个防火分区、每个楼层抽检1处。</w:t>
      </w:r>
    </w:p>
    <w:p w14:paraId="23F9BD4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检测方法：直观检查，结合消防联动功能测试，检查广播的控制功能。</w:t>
      </w:r>
    </w:p>
    <w:p w14:paraId="66981A5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4.8消防电话系统</w:t>
      </w:r>
    </w:p>
    <w:p w14:paraId="35BED4D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消防电话总机性能</w:t>
      </w:r>
    </w:p>
    <w:p w14:paraId="3CE4EEB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2FB080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a)消防电话总机应能为消防电话分机和消防电话插孔供电；（B类）</w:t>
      </w:r>
    </w:p>
    <w:p w14:paraId="5CE769B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b)消防电话总机应能呼叫任意一部消防电话分机。（B类）</w:t>
      </w:r>
    </w:p>
    <w:p w14:paraId="6416EBC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检测数量：电话分机全数检测。电话插孔按按实际安装数量的60%抽检，且不少于10个，少于10只的全数检测。</w:t>
      </w:r>
    </w:p>
    <w:p w14:paraId="406FD2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检测方法：测试呼叫功能。</w:t>
      </w:r>
    </w:p>
    <w:p w14:paraId="113CEA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4.8.1消防电话分机设置与性能</w:t>
      </w:r>
    </w:p>
    <w:p w14:paraId="564DCB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DF0FD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a)消防水泵房、防烟排烟风机房等设置消防电话分机的部位应与设计文件相符；（A类）</w:t>
      </w:r>
    </w:p>
    <w:p w14:paraId="5E2E5EB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b)消防电话分机的正常监视状态应有光指示；（B类）</w:t>
      </w:r>
    </w:p>
    <w:p w14:paraId="43F544D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c)消防电话分机与消防电话总机的通话应清晰；（B类）</w:t>
      </w:r>
    </w:p>
    <w:p w14:paraId="709929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d)消防电话分机宜安装在明显、便于操作的位置，且应有明显的永久性标志；（C类）</w:t>
      </w:r>
    </w:p>
    <w:p w14:paraId="4377ECC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e)当消防电话分机在墙面上安装时，其底边距地(楼)面高度宜为1.3m～1.5m；（C类）</w:t>
      </w:r>
    </w:p>
    <w:p w14:paraId="04174C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f)避难层中，消防专用电话分机的安装间距不应大于20m。（B类）</w:t>
      </w:r>
    </w:p>
    <w:p w14:paraId="15123E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检测数量：全数检测。</w:t>
      </w:r>
    </w:p>
    <w:p w14:paraId="0B132A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6C5E55FC">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a）对照设计文件</w:t>
      </w:r>
      <w:r>
        <w:rPr>
          <w:rFonts w:hint="eastAsia" w:ascii="宋体" w:hAnsi="宋体" w:cs="宋体"/>
          <w:color w:val="000000"/>
          <w:sz w:val="24"/>
          <w:szCs w:val="24"/>
          <w:highlight w:val="none"/>
          <w:lang w:eastAsia="zh-CN"/>
        </w:rPr>
        <w:t>；</w:t>
      </w:r>
    </w:p>
    <w:p w14:paraId="31074CD9">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b）、d）直观检查</w:t>
      </w:r>
      <w:r>
        <w:rPr>
          <w:rFonts w:hint="eastAsia" w:ascii="宋体" w:hAnsi="宋体" w:cs="宋体"/>
          <w:color w:val="000000"/>
          <w:sz w:val="24"/>
          <w:szCs w:val="24"/>
          <w:highlight w:val="none"/>
          <w:lang w:eastAsia="zh-CN"/>
        </w:rPr>
        <w:t>；</w:t>
      </w:r>
    </w:p>
    <w:p w14:paraId="28B81070">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c）测试双工通话功能</w:t>
      </w:r>
      <w:r>
        <w:rPr>
          <w:rFonts w:hint="eastAsia" w:ascii="宋体" w:hAnsi="宋体" w:cs="宋体"/>
          <w:color w:val="000000"/>
          <w:sz w:val="24"/>
          <w:szCs w:val="24"/>
          <w:highlight w:val="none"/>
          <w:lang w:eastAsia="zh-CN"/>
        </w:rPr>
        <w:t>；</w:t>
      </w:r>
    </w:p>
    <w:p w14:paraId="76107AF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e）f)尺量。</w:t>
      </w:r>
    </w:p>
    <w:p w14:paraId="468B95B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检测器具：钢卷尺、激光测距仪。</w:t>
      </w:r>
    </w:p>
    <w:p w14:paraId="622A33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4.8.2消防电话插孔设置与性能</w:t>
      </w:r>
    </w:p>
    <w:p w14:paraId="4913D00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8D1DB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a)消防电话插孔宜安装在明显、便于操作的位置，且应有明显的永久性标志；（C类）</w:t>
      </w:r>
    </w:p>
    <w:p w14:paraId="122AD81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b)当消防电话插孔在墙面上安装时，其底边距地(楼)面高度宜为1.3m～1.5m；（C类）</w:t>
      </w:r>
    </w:p>
    <w:p w14:paraId="135B400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c)避难层中，消防电话插孔的安装间距不应大于20m；（A类）</w:t>
      </w:r>
    </w:p>
    <w:p w14:paraId="706215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d)电话插孔不应设置在消火栓箱内。（A类）</w:t>
      </w:r>
    </w:p>
    <w:p w14:paraId="33BA585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检测数量：按实际安装数量的60%抽检，且不少于10个，少于10个的全数检测。</w:t>
      </w:r>
    </w:p>
    <w:p w14:paraId="34B264A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检测方法：a）b）直观检查；c）d）尺量。</w:t>
      </w:r>
    </w:p>
    <w:p w14:paraId="6EDA5B6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检测器具：钢卷尺、激光测距仪。</w:t>
      </w:r>
    </w:p>
    <w:p w14:paraId="23AF402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4.9电梯</w:t>
      </w:r>
    </w:p>
    <w:p w14:paraId="24A8B85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E789FE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a)消防电梯的设置位置及数量应与设计文件相符；（A类）</w:t>
      </w:r>
    </w:p>
    <w:p w14:paraId="1D48A7C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b)消防控制室应能手动和自动控制电梯回落首层，功能、信号均应正常；（A类）</w:t>
      </w:r>
    </w:p>
    <w:p w14:paraId="20210F5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c)首层的消防电梯迫降按钮，应用透明罩保护；（C类）</w:t>
      </w:r>
    </w:p>
    <w:p w14:paraId="16589DA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d)当触发首层的电梯迫降按钮时，能控制电梯下降至首层，此时其他楼层按钮不能呼叫控制电梯，只能在轿厢内控制；（A类）</w:t>
      </w:r>
    </w:p>
    <w:p w14:paraId="34521A3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e)电梯从首层至顶层的运行时间不宜大于60s。（B类）</w:t>
      </w:r>
    </w:p>
    <w:p w14:paraId="3F46F19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EE0615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检测方法：直观检查按钮设置，结合联动控制功能，检查迫降控制功能，秒表检查运行时间。检测器具：秒表。</w:t>
      </w:r>
    </w:p>
    <w:p w14:paraId="6CCFDD6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4.10防火门监控器</w:t>
      </w:r>
    </w:p>
    <w:p w14:paraId="373E47E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一般规定</w:t>
      </w:r>
    </w:p>
    <w:p w14:paraId="012128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FF544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a)防火门监控器应设置在消防控制室内，未设置消防控制室时，应设置在有人值班的场所；（A类）</w:t>
      </w:r>
    </w:p>
    <w:p w14:paraId="6D278EE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b)防火门监控器应处于正常监视状态；（A类）</w:t>
      </w:r>
    </w:p>
    <w:p w14:paraId="331AFB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c)防火门监控器应控制报警区域内所有常开防火门关闭；（B类）</w:t>
      </w:r>
    </w:p>
    <w:p w14:paraId="3C791F4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d)防火门监控器控制防火门定位装置和释放装置动作后，常开防火门应完全闭合；（B类）</w:t>
      </w:r>
    </w:p>
    <w:p w14:paraId="701BEE8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e)常闭防火门处于开启状态后，监控器应能发出防火门故障报警声、光信号。（B类）</w:t>
      </w:r>
    </w:p>
    <w:p w14:paraId="4AC431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6D2EAB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51A4EB5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4.10.1监控器基本要求</w:t>
      </w:r>
    </w:p>
    <w:p w14:paraId="5DF2367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C33D8B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a)火灾报警控制器在墙上安装时，其底边距地（楼）面高度宜为1.3m～1.5m；（C类）</w:t>
      </w:r>
    </w:p>
    <w:p w14:paraId="787E086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b)靠近门轴的侧面距墙不应小于0.5m；（C类）</w:t>
      </w:r>
    </w:p>
    <w:p w14:paraId="6DCEBB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c)正面操作距离不应小于1.2m。（C类）</w:t>
      </w:r>
    </w:p>
    <w:p w14:paraId="01D1D9B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850FF2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4.10.2监控器安装要求</w:t>
      </w:r>
    </w:p>
    <w:p w14:paraId="025CA4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8672B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a)火灾报警控制器在墙上安装时，其底边距地（楼）面高度宜为1.3m～1.5m；（C类）</w:t>
      </w:r>
    </w:p>
    <w:p w14:paraId="2DCB4AC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b)靠近门轴的侧面距墙不应小于0.5m；（C类）</w:t>
      </w:r>
    </w:p>
    <w:p w14:paraId="256FE1F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c)正面操作距离不应小于1.2m。（C类）</w:t>
      </w:r>
    </w:p>
    <w:p w14:paraId="146AC7A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5CD75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4.10.3监控器接地要求</w:t>
      </w:r>
    </w:p>
    <w:p w14:paraId="40FE8C8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418855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a)控制器应有接地保护；（A类）</w:t>
      </w:r>
    </w:p>
    <w:p w14:paraId="7B03123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b)接地应有标志，且标志应设置明显的永久性标识；（B类）</w:t>
      </w:r>
    </w:p>
    <w:p w14:paraId="1921E2E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c)控制室内的控制器设备的金属外壳、机柜、机架和金属管、槽等，应采用等电位连接；（C类）</w:t>
      </w:r>
    </w:p>
    <w:p w14:paraId="4687E90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d)由消防控制室接地板引至各消防电子设备的专用接地线应选用铜芯绝缘导线，其线芯截面积不应小于4mm2；（B类）</w:t>
      </w:r>
    </w:p>
    <w:p w14:paraId="4CEB20D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e)消防控制室接地板与建筑接地体之间，应采用线芯截面积不小于25mm2的铜芯绝缘导线连接；（B类）</w:t>
      </w:r>
    </w:p>
    <w:p w14:paraId="733267D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f)火灾自动报警系统采用专用接地装置时，其接地电阻值不应大于4Ω；（A类）</w:t>
      </w:r>
    </w:p>
    <w:p w14:paraId="7408BB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g)火灾自动报警系统采用共用接地装置时，其接地电阻值不应大于1Ω。（A类）</w:t>
      </w:r>
    </w:p>
    <w:p w14:paraId="271DE4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281849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0AD369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a）～c）直观检查；</w:t>
      </w:r>
    </w:p>
    <w:p w14:paraId="2942884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d）e）尺量检查；</w:t>
      </w:r>
    </w:p>
    <w:p w14:paraId="765B0B2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f)g）仪表测量。</w:t>
      </w:r>
    </w:p>
    <w:p w14:paraId="24D2BB5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检测器具：游标卡尺、接地电阻测量仪。</w:t>
      </w:r>
    </w:p>
    <w:p w14:paraId="67F1D3D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4.10.4监控电源设置要求</w:t>
      </w:r>
    </w:p>
    <w:p w14:paraId="7106A8C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6D5FE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a)火灾报警控制器应设主电源和直流备用电源。当主电源断电时，能自动切换到备用电源。当主电源恢复时，能自动转换到主电源，电源的转换不应使控制器产生误动作；（A类）</w:t>
      </w:r>
    </w:p>
    <w:p w14:paraId="5454E0A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b)控制器的主电源应有明显的永久性标识；（B类）</w:t>
      </w:r>
    </w:p>
    <w:p w14:paraId="27B4638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c)控制器的主电源应直接与消防电源连接，严禁使用电源插头。（A类）</w:t>
      </w:r>
    </w:p>
    <w:p w14:paraId="2020128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42C450A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37ECC7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4.11消防水源</w:t>
      </w:r>
    </w:p>
    <w:p w14:paraId="706615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一般规定</w:t>
      </w:r>
    </w:p>
    <w:p w14:paraId="2392942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42A86C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消防水源的选择应与设计文件相符；（A类）</w:t>
      </w:r>
    </w:p>
    <w:p w14:paraId="6C3AEAA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易结冰地区的消防水池、水塔和高位消防水池等应采取防冻措施。（B类）</w:t>
      </w:r>
    </w:p>
    <w:p w14:paraId="01CE6D2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8CDDD8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14:paraId="59857F7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4.11.1消防水池</w:t>
      </w:r>
    </w:p>
    <w:p w14:paraId="50E9B99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8F584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a)当系统采用消防水池供水时，消防水池的有效容积应与设计文件相符，但不应小于100m3，当仅设有消火栓系统时不应小于50m3；（A类）</w:t>
      </w:r>
    </w:p>
    <w:p w14:paraId="66E482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b)消防用水与其他用水共用的水池，应采取确保消防用水量不作他用的技术措施；（A类）</w:t>
      </w:r>
    </w:p>
    <w:p w14:paraId="7E90B4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c)消防水池应设自动补水措施，进水管管径应与设计文件相符；（B类）</w:t>
      </w:r>
    </w:p>
    <w:p w14:paraId="20858A5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d)消防水池的出水管设置应与设计文件相符，并能保证消防水池的有效容积能被全部利用；（A类）</w:t>
      </w:r>
    </w:p>
    <w:p w14:paraId="34575A2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e)消防水池应设置就地水位显示装置，并应在消防控制中心或值班室等地点设置显示消防水池水位的装置；（C类）</w:t>
      </w:r>
    </w:p>
    <w:p w14:paraId="44A3B4A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f)消防水池应设置溢流水管和排水设施，并应采用间接排水。（C类）</w:t>
      </w:r>
    </w:p>
    <w:p w14:paraId="387E24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41442F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检测方法：对照设计文件，现场查看。检测器具：游标卡尺。</w:t>
      </w:r>
    </w:p>
    <w:p w14:paraId="028C7A6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4.11.2市政给水</w:t>
      </w:r>
    </w:p>
    <w:p w14:paraId="2BC24D9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检验要求：当系统采用市政供水时，进水管的接入位置、管径和数量及供水压力应与设计文件相符。（A类）</w:t>
      </w:r>
    </w:p>
    <w:p w14:paraId="109DAF7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5F5DDA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检测方法：对照设计文件，核查供水管径和数量是否与设计相符。</w:t>
      </w:r>
    </w:p>
    <w:p w14:paraId="0D07B44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4.11.3天然水源及其它</w:t>
      </w:r>
    </w:p>
    <w:p w14:paraId="0C2300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B82B42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a)当地表水作为室外消防水源时，应采取确保消防车、固定和移动消防水泵在枯水位取水的技术措施；（B类）</w:t>
      </w:r>
    </w:p>
    <w:p w14:paraId="4DF3A2F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b)当消防车取水时，最大吸水高度不应超过6.0m。（B类）</w:t>
      </w:r>
    </w:p>
    <w:p w14:paraId="3CA983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C73CD9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检测方法：直观检查、尺量。检测器具：钢卷尺。</w:t>
      </w:r>
    </w:p>
    <w:p w14:paraId="0344990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4.12室内(外)消火栓系统</w:t>
      </w:r>
    </w:p>
    <w:p w14:paraId="406B661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一般规定</w:t>
      </w:r>
    </w:p>
    <w:p w14:paraId="77602E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检测要求：消火栓系统的选型应与设计文件相符。（A类）</w:t>
      </w:r>
    </w:p>
    <w:p w14:paraId="57BE849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C3B436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14:paraId="4772BA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4.12.1室内消火栓系统</w:t>
      </w:r>
    </w:p>
    <w:p w14:paraId="3D83168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消防水泵及控制柜</w:t>
      </w:r>
    </w:p>
    <w:p w14:paraId="11B7F6B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80FD9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a)消防水泵的设置应符合以下要求：</w:t>
      </w:r>
    </w:p>
    <w:p w14:paraId="2369C3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1)消防水泵的规格型号、数量及性能指标应与设计文件相符；（A类）</w:t>
      </w:r>
    </w:p>
    <w:p w14:paraId="013BF04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2)消防水泵应有注明系统名称和供水范围的标志牌；(B类)</w:t>
      </w:r>
    </w:p>
    <w:p w14:paraId="6F4AA10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3)消防水泵设置备用泵的，其性能应与工作泵性能一致。当主泵故障时，备用泵应能切换运行。（A类）</w:t>
      </w:r>
    </w:p>
    <w:p w14:paraId="0B05D8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b)消防水泵的控制与操作应符合以下要求：</w:t>
      </w:r>
    </w:p>
    <w:p w14:paraId="1F62E10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1)当主泵故障时，备用泵应能切换运行；（A类）</w:t>
      </w:r>
    </w:p>
    <w:p w14:paraId="7CB57D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2)消防水泵应能手动启停和自动启动，且不应设置自动停泵的控制功能；（A类）</w:t>
      </w:r>
    </w:p>
    <w:p w14:paraId="23E47C5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3)消防控制柜或控制盘应设置专用线路连接的手动直接启泵按扭；（A类）</w:t>
      </w:r>
    </w:p>
    <w:p w14:paraId="5399D9E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4)消防水泵应确保从接到启泵信号到水泵正常运转的自动启动时间不应大于2min；（B类）</w:t>
      </w:r>
    </w:p>
    <w:p w14:paraId="3F7F8D0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5)消防水泵的启动、停止及故障信号应反馈至消防联动控制器。（B类）</w:t>
      </w:r>
    </w:p>
    <w:p w14:paraId="0D1E1DA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c)消防水泵吸水应符合下列规定：</w:t>
      </w:r>
    </w:p>
    <w:p w14:paraId="46F129B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1)消防水泵应采取自灌式吸水；（A类）</w:t>
      </w:r>
    </w:p>
    <w:p w14:paraId="1D5FAF6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2)消防水泵从市政管网直接抽水时，应在消防水泵出水管上设置有空气隔断的倒流防止器。（A类）</w:t>
      </w:r>
    </w:p>
    <w:p w14:paraId="719DC6F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d)消防水泵进、出水管及附件应符合以下要求：</w:t>
      </w:r>
    </w:p>
    <w:p w14:paraId="3E0E56E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1)消防水泵吸水管和出水管的管径应与设计文件相符,一组消防水泵吸水管不应少于2条，出水管应设不少于2条的输水干管与消防给水环状管网连接；（B类）</w:t>
      </w:r>
    </w:p>
    <w:p w14:paraId="5B87340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2)消防水泵的吸水管上应设置明杆闸阀或带自锁装置的蝶阀，但当设置暗杆阀门时应设有开启刻度和标志。变径连接处，应采用偏心异径管件并应采用管顶平接；(C类)</w:t>
      </w:r>
    </w:p>
    <w:p w14:paraId="6A87938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3)消防水泵的出水管上应设止回阀、明杆闸阀或带自锁装置的蝶阀、试验和检查用压力表、放水阀门；（A类）</w:t>
      </w:r>
    </w:p>
    <w:p w14:paraId="3E97E28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4)当系统存在超压可能时，出水管上应设置防超压设施；（A类）</w:t>
      </w:r>
    </w:p>
    <w:p w14:paraId="2A7F5E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5)消防水泵出水干管上应设置低压压力开关，压力设定值应与设计文件相符。（A类）</w:t>
      </w:r>
    </w:p>
    <w:p w14:paraId="4F6EC13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e)消防水泵控制柜应符合下列要求：</w:t>
      </w:r>
    </w:p>
    <w:p w14:paraId="5ABF435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1)消防水泵控制柜应注明所属系统，并在平时处于“自动”状态，其电源信息应反馈至消防控制室；（A类）</w:t>
      </w:r>
    </w:p>
    <w:p w14:paraId="4CDB011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2)按钮、指示灯及仪表应正常；（C类）</w:t>
      </w:r>
    </w:p>
    <w:p w14:paraId="614227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3)消防水泵控制柜应采取防止被水淹没的措施；（C类）</w:t>
      </w:r>
    </w:p>
    <w:p w14:paraId="5A3194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4)消防水泵控制柜应设置机械应急启泵功能。（A类）</w:t>
      </w:r>
    </w:p>
    <w:p w14:paraId="238859E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F9370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718CA00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a)直观检查消防水泵数量，查验其铭牌，核对设计要求。直观检查水泵是否标明所属系统及供水范围；</w:t>
      </w:r>
    </w:p>
    <w:p w14:paraId="555F095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在自动状态启动消防泵，模拟主泵故障，检查系统能否自动转入备泵运行。通过手动、自动、机械应急等方式对消防泵进行启停试验，查看是否存在自动停泵现象。直观检查在消防控制室中是否安装了独立于火灾自动报警系统的专用硬拉线路直接启泵装置。用秒表测量从接收到启泵信号到水泵正常运行的时间（含备泵投入）；进行消防水泵启停试验，查看控制室反馈信号；</w:t>
      </w:r>
    </w:p>
    <w:p w14:paraId="04A2F5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c)直观检查消防水泵吸水方式。从市政管网吸水时，观察是否安装倒流防止器；</w:t>
      </w:r>
    </w:p>
    <w:p w14:paraId="36A8410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直观检查进水管和出水管数量。查看吸水管上的检修阀门是否有锁定措施和标志。直观检查吸水管布置和水平段变径处理。直观检查是否按设计设置防超压设施，核对设定压力。消防水泵启动正常供水后观察出水干管上压力表的压力值，应与设计文件相符；</w:t>
      </w:r>
    </w:p>
    <w:p w14:paraId="3DE5DD3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e)直观检查系统标识、指示灯及仪表。直观检查控制柜是否在“自动”状态。切断消防水泵的供电电源，查看消防控制室是否收到报警信息。</w:t>
      </w:r>
    </w:p>
    <w:p w14:paraId="419B22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检测器具：秒表、游标卡尺。</w:t>
      </w:r>
    </w:p>
    <w:p w14:paraId="6D15EBA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4.12.2稳压泵</w:t>
      </w:r>
    </w:p>
    <w:p w14:paraId="522F409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DCE9C0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a)稳压泵规格、型号、数量和性能指标应与设计文件相符；（A类）</w:t>
      </w:r>
    </w:p>
    <w:p w14:paraId="084B567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b)稳压泵应完整、无损坏及腐蚀等；</w:t>
      </w:r>
    </w:p>
    <w:p w14:paraId="687BD0E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c)稳压泵应设置备用泵，其工作性能与主泵相同。当主泵故障时，备用泵应能切换运行；（A类）</w:t>
      </w:r>
    </w:p>
    <w:p w14:paraId="7B2C9AC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d)稳压泵手动、自动启停功能正常，且启泵与停泵压力应与设计文件相符；（A类）</w:t>
      </w:r>
    </w:p>
    <w:p w14:paraId="70D8303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e)稳压泵吸水管应设置明杆闸阀，稳压泵出水管应设置消声止回阀和明杆闸阀。（C类）检测数量：按实际安装数量的100%检测。</w:t>
      </w:r>
    </w:p>
    <w:p w14:paraId="1086091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7438347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a)查看铭牌，核对设计要求；</w:t>
      </w:r>
    </w:p>
    <w:p w14:paraId="74B006A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b)直观检查设备外观；</w:t>
      </w:r>
    </w:p>
    <w:p w14:paraId="723BCB7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c)查看备用泵铭牌，核对是否与主泵一致。将水泵控制柜打到“自动”状态，模拟主泵故障，观察是否自动切换至备用泵工作状态；</w:t>
      </w:r>
    </w:p>
    <w:p w14:paraId="5E8EDDC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d)在“手动”状态下，查看手动启停泵功能是否正常。在“自动”状态下，检查电接点压力表在达到设定的高、低压力位置时能否自动停止和启动稳压泵，核查压力设置的范围是否符合设计要求；</w:t>
      </w:r>
    </w:p>
    <w:p w14:paraId="5D0080B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e)直观检查闸阀设置情况。</w:t>
      </w:r>
    </w:p>
    <w:p w14:paraId="56814BD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4.12.3高位消防水箱</w:t>
      </w:r>
    </w:p>
    <w:p w14:paraId="2732545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F7599C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a)高位消防水箱的设置位置、防冻隔热措施、外观尺寸及容积应与设计文件相符；（A类）</w:t>
      </w:r>
    </w:p>
    <w:p w14:paraId="10048A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b)高位消防水箱与其他用水共用时，应采取确保消防用水量不作他用的技术措施，并应设置就地水位显示装置，同时在消防控制中心或值班室等地点设置显示消防水箱水位的装置；（A类）</w:t>
      </w:r>
    </w:p>
    <w:p w14:paraId="211FEEB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c)当高位消防水箱在屋顶露天设置时，水箱的人孔以及进出水管的阀门等应采取锁具或阀门箱等保护措施；（A类）</w:t>
      </w:r>
    </w:p>
    <w:p w14:paraId="3B211F5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高位消防水箱外壁与建筑本体结构墙面或其他池壁之间的净距，应满足施工或装配的需要，无管道的侧面，净距不宜小于0.7m。安装有管道的侧面，净距不宜小于1.0m，且管道外壁与建筑本体墙面之间的通道宽度不宜小于0.6m，设有人孔的水箱顶，其顶面与其上面的建筑物本体板底的净空不应小于0.8m；（C类）</w:t>
      </w:r>
    </w:p>
    <w:p w14:paraId="708F33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e)进水管的管径应与设计文件相符，进水管宜设置液位阀或浮球阀；（B类）</w:t>
      </w:r>
    </w:p>
    <w:p w14:paraId="7E5B901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f)溢流管的管径应与设计文件相符；（C类）</w:t>
      </w:r>
    </w:p>
    <w:p w14:paraId="529EF8D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g)出水管管径应与设计文件相符；（B类）</w:t>
      </w:r>
    </w:p>
    <w:p w14:paraId="6436C5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h)高位消防水箱出水管应安装流量开关并应设置防止消防用水进入高位消防水箱的止回阀。（B类）</w:t>
      </w:r>
    </w:p>
    <w:p w14:paraId="6701A21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780B08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036523C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a)尺量检查高位消防水箱长、宽及有效水深，核对设计要求，直观检查防冻隔热等保护措施是否安装到位；</w:t>
      </w:r>
    </w:p>
    <w:p w14:paraId="7B0C01E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b)直观检查不作他用的保护措施是否满足要求。查看就地及消防控制室液位显示是否准确、及时；</w:t>
      </w:r>
    </w:p>
    <w:p w14:paraId="4D70A58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c)直观检查保护措施是否到位；</w:t>
      </w:r>
    </w:p>
    <w:p w14:paraId="7AF7F2B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d)～g)尺量检查检修通道尺寸；</w:t>
      </w:r>
    </w:p>
    <w:p w14:paraId="4657A1F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h）直观检查。</w:t>
      </w:r>
    </w:p>
    <w:p w14:paraId="6DEB99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检测器具：钢卷尺、游标卡尺。</w:t>
      </w:r>
    </w:p>
    <w:p w14:paraId="694049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4.12.4气压水罐</w:t>
      </w:r>
    </w:p>
    <w:p w14:paraId="2D294CA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1C1EE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a)气压水罐安装位置、有效容积及设计压力应与设计文件相符，但有效储水容积不宜小于150L；(B类）</w:t>
      </w:r>
    </w:p>
    <w:p w14:paraId="43D3B71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b)气压水罐出水管上应设止回阀；（B类）</w:t>
      </w:r>
    </w:p>
    <w:p w14:paraId="525107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c)气压水罐安装时其四周应设检修通道，宽度不宜小于0.7m，设备顶部至楼板或梁底的距离不宜小于0.6m。（C类）</w:t>
      </w:r>
    </w:p>
    <w:p w14:paraId="7FBDCC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779960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检测方法：a)对照设计文件，查看设备铭牌，核对设备参数是否符合要求；b)查看止回阀是否安装，并确保其安装位置不得影响稳压泵向罐内供水；c)尺量检修通道距离。</w:t>
      </w:r>
    </w:p>
    <w:p w14:paraId="7C47BBA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68A5AD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4.12.5水泵接合器</w:t>
      </w:r>
    </w:p>
    <w:p w14:paraId="7708C2A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8B4BD9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a)水泵接合器规格型号、数量及安装位置应与设计文件相符；（A类）</w:t>
      </w:r>
    </w:p>
    <w:p w14:paraId="5C5E3C5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b)水泵接合器组件应齐全，止回阀的安装方向应使消防用水能从消防水泵接合器进入系统；（A类）</w:t>
      </w:r>
    </w:p>
    <w:p w14:paraId="67E8661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c)消防水泵接合器永久性固定标志应能识别其所对应的消防给水系统或水灭火系统，当有分区时还应有分区标识；（B类）</w:t>
      </w:r>
    </w:p>
    <w:p w14:paraId="1814B1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地上式水泵接合器接口距地面宜为0.7m；墙壁式消防水泵接合器的安装高度距地面宜为0.7m。与墙面上的门、窗、孔、洞的净距离不应小于2.0m，且不应安装在玻璃幕墙下方。地下消防水泵接合器的安装，应使进水口与井盖底面的距离不大于0.4m，且不应小于井盖的半径；（C类）</w:t>
      </w:r>
    </w:p>
    <w:p w14:paraId="7F42867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e)地下消防水泵接合器应采用铸有“消防水泵接合器”标志的铸铁井盖，并应在其附近设置指示其位置的永久性固定标志。（B类）</w:t>
      </w:r>
    </w:p>
    <w:p w14:paraId="7ADF3A5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734A1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4CBBAA1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a)对照设计文件，核对型号、数量及位置是否符合要求；</w:t>
      </w:r>
    </w:p>
    <w:p w14:paraId="3529B92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b)～e)尺量、直观检查。</w:t>
      </w:r>
    </w:p>
    <w:p w14:paraId="1B757F0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0A1DA79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4.12.6消防泵房</w:t>
      </w:r>
    </w:p>
    <w:p w14:paraId="45A129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597CC8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相邻两个机组及机组至墙壁间的净距，当电机容量小于22kW时，不宜小于0.6m。当电动机容量不小于22kW，且不大于55kW时，不宜小于0.8m。当电动机容量大于55kW且小于255kW时，不宜小于1.2m。当电动机容量大于255kW时，不宜小于1.5m；（C类）</w:t>
      </w:r>
    </w:p>
    <w:p w14:paraId="271135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b)消防水泵房的主要通道宽度不应小于1.2m；（C类）</w:t>
      </w:r>
    </w:p>
    <w:p w14:paraId="3E6C11B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c)消防水泵房应采取防止被水淹没的技术措施。（C类）</w:t>
      </w:r>
    </w:p>
    <w:p w14:paraId="49A675B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77E965B">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检测方法：a)尺量机组间的净距；b)尺量通道宽度；c)查看排水设施是否安装到位。</w:t>
      </w:r>
    </w:p>
    <w:p w14:paraId="6CC6FC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780B80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4.12.7消火栓箱及配件</w:t>
      </w:r>
    </w:p>
    <w:p w14:paraId="2E0E707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4.12.7.1消火栓箱</w:t>
      </w:r>
    </w:p>
    <w:p w14:paraId="7E16A93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7079D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a)消火栓箱规格、型号、数量及安装位置应与设计文件相符；（A类）</w:t>
      </w:r>
    </w:p>
    <w:p w14:paraId="6D6BF9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b)室内消火栓箱的安装应平正、牢固，箱门的开启不应小于120°，且箱门上应用红色字体注明“消火栓”字样，当室内消火栓隐蔽安装时，应有明显的标志，并应便于开启使用；（C类）</w:t>
      </w:r>
    </w:p>
    <w:p w14:paraId="25DA8B6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c)消火栓箱内水带、水枪等配件应齐全；（C类）</w:t>
      </w:r>
    </w:p>
    <w:p w14:paraId="36C416A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d)试验消火栓设置位置应与设计文件相符，且栓口处应设置压力表；（C类）</w:t>
      </w:r>
    </w:p>
    <w:p w14:paraId="7E9A5394">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e)屋顶设有直升机停机坪的建筑，消火栓距停机坪机位边缘的距离不应小于5.0m。（B类）</w:t>
      </w:r>
    </w:p>
    <w:p w14:paraId="4913258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6CAD4A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47F9AB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a)～c）对照设计文件，核对消火栓规格及位置，查看配件、标识是否齐全，尺量开启角度；</w:t>
      </w:r>
    </w:p>
    <w:p w14:paraId="091F4D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d)对照设计文件，核对试验消火栓位置，查看是否安装压力表；</w:t>
      </w:r>
    </w:p>
    <w:p w14:paraId="639ED94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e)尺量检查。</w:t>
      </w:r>
    </w:p>
    <w:p w14:paraId="6BD45B3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检测器具：钢卷尺、角度尺。</w:t>
      </w:r>
    </w:p>
    <w:p w14:paraId="1A247D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4.12.7.2配件</w:t>
      </w:r>
    </w:p>
    <w:p w14:paraId="1B5538C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3F297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a)同一建筑物内设置的消火栓、消防软管卷盘应采用统一规格的栓口、消防水枪和水带及配件；（C类）</w:t>
      </w:r>
    </w:p>
    <w:p w14:paraId="7DB09ED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b)室内消火栓栓口中心距地面高度宜为1.1m，其出水方向宜向下或与设置消火栓的墙面成90°角，栓口不应安装在门轴侧；（C类）</w:t>
      </w:r>
    </w:p>
    <w:p w14:paraId="3F9549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c)应配备DN65的有衬里消防水带，且长度不宜超过25.0m；（C类）</w:t>
      </w:r>
    </w:p>
    <w:p w14:paraId="2434EB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d)消防软管卷盘应安装牢固，组件齐全。消防软管卷盘应配置内径不小于ф19的消防软管，其长度宜为30.0m；（C类）</w:t>
      </w:r>
    </w:p>
    <w:p w14:paraId="19620ED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e)轻便水龙应配置DN25的有衬里消防水带，长度宜为30.0m；（C类）</w:t>
      </w:r>
    </w:p>
    <w:p w14:paraId="241738B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f)消火栓按钮应安装牢固，不得松动，其布线应穿管保护，消火栓按钮的启泵方式应与设计文件相符。（B类）</w:t>
      </w:r>
    </w:p>
    <w:p w14:paraId="009C430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9F50E9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362331E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a)直观检查；</w:t>
      </w:r>
    </w:p>
    <w:p w14:paraId="3B02F53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b)尺量安装高度，直观检查出水方向；</w:t>
      </w:r>
    </w:p>
    <w:p w14:paraId="5B1916C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c)～e)尺量水带、卷盘及轻便水龙长度。拉动软管检查安装牢固情况，直观检查软管、喷嘴及阀门组件是否齐全；</w:t>
      </w:r>
    </w:p>
    <w:p w14:paraId="5CEF09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f)启动消火栓按钮进行试验，查看消防泵启动方式是否与设计一致。</w:t>
      </w:r>
    </w:p>
    <w:p w14:paraId="2716B1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54D7CB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4.12.8消火栓管网</w:t>
      </w:r>
    </w:p>
    <w:p w14:paraId="7BCD52E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36247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a)向室内环状消防给水管网供水的输水干管不应少于两条；（A类）</w:t>
      </w:r>
    </w:p>
    <w:p w14:paraId="100361B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b)室内消火栓系统管网布置应与设计文件相符；（A类）</w:t>
      </w:r>
    </w:p>
    <w:p w14:paraId="595A1E5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c)室内消火栓给水管网宜与自动喷水等其他水灭火系统的管网分开设置。当合用消防泵时，供水管路沿水流方向应在报警阀前分开设置；（B类）</w:t>
      </w:r>
    </w:p>
    <w:p w14:paraId="1962E1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d)消防给水管穿过墙体或楼板时应加设套管，套管长度不应小于墙体厚度，或应高出楼面或地面50mm。套管与管道的间隙应采用不燃材料填塞，管道的接口不应位于套管内；（C类）</w:t>
      </w:r>
    </w:p>
    <w:p w14:paraId="7516FF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e)架空管道每段管道设置的防晃支架不应少于1个。当管道改变方向时，应增设防晃支架。立管应在其始端和终端设防晃支架或采用管卡固定；（C类）</w:t>
      </w:r>
    </w:p>
    <w:p w14:paraId="3D18782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f)架空管道外应刷红色油漆或涂红色环圈标志，并应注明管道名称和水流方向；（B类）</w:t>
      </w:r>
    </w:p>
    <w:p w14:paraId="7474AF2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g)管网不同部分安装的闸阀、止回阀、减压孔板、节流管等组件均应与设计文件相符。（B类）</w:t>
      </w:r>
    </w:p>
    <w:p w14:paraId="1E9315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检测数量：每个防火分区、每个楼层1处。</w:t>
      </w:r>
    </w:p>
    <w:p w14:paraId="4F00461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23AD438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a)直观检查；</w:t>
      </w:r>
    </w:p>
    <w:p w14:paraId="1CF2AD7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b)c)对照设计文件，查看管网布置；</w:t>
      </w:r>
    </w:p>
    <w:p w14:paraId="7667EC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d)～g)直观检查支架、套管、组件安装及涂色情况。</w:t>
      </w:r>
    </w:p>
    <w:p w14:paraId="12EB2F7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检测器具：游标卡尺。</w:t>
      </w:r>
    </w:p>
    <w:p w14:paraId="1EEDD08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4.12.9分区供水</w:t>
      </w:r>
    </w:p>
    <w:p w14:paraId="2E9AE4C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4.12.9.1消防水泵串联分区供水</w:t>
      </w:r>
    </w:p>
    <w:p w14:paraId="361DB5E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EB2AA6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a)当采用消防水泵转输水箱串联时，转输水箱的外观尺寸及容积应与设计文件相符，转输水箱可作为高位消防水箱,串联转输水箱的溢流管宜连接到消防水池；（B类）</w:t>
      </w:r>
    </w:p>
    <w:p w14:paraId="214E403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b)当采用消防水泵直接串联时，应采取确保供水可靠性的措施，且消防水泵从低区到高区应能依次顺序启动，并应在串联消防水泵出水管上设置减压型倒流防止器。（B类）</w:t>
      </w:r>
    </w:p>
    <w:p w14:paraId="57164FE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4A66B2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核查分区供水形式是否与设计一致。分别用出水干管上的压力开关、水箱出水管流量开关及消火栓按钮在自动状态下启动高区消防泵，在消防控制室观察、比对水泵启动顺序，是否先启动消防水泵后启动转输泵，先启动低区消防水泵再启动高区消防水泵。</w:t>
      </w:r>
    </w:p>
    <w:p w14:paraId="566C31D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检测器具：钢卷尺、游标卡尺。</w:t>
      </w:r>
    </w:p>
    <w:p w14:paraId="1B744E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4.12.9.2减压阀减压分区供水</w:t>
      </w:r>
    </w:p>
    <w:p w14:paraId="73682FC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C9B9D7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a)当采用减压阀减压分区供水时，每一供水分区应设不少于两组减压阀组，每组减压阀组宜设置备用减压阀；（B类）</w:t>
      </w:r>
    </w:p>
    <w:p w14:paraId="3BE5C3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b)减压阀仅应设置在单向流动的供水管上，不应设置在有双向流动的输水干管上。（B类）检测数量：按实际安装数量的100%检测。</w:t>
      </w:r>
    </w:p>
    <w:p w14:paraId="63B1BE9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581B920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a)对照设计文件，核查分区供水形式是否与设计一致，直观检查减压阀设置数量是否符合要求，组件是否齐全；</w:t>
      </w:r>
    </w:p>
    <w:p w14:paraId="4222DDC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b)核对减压阀设置位置是否符合要求。</w:t>
      </w:r>
    </w:p>
    <w:p w14:paraId="3AF89B5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4.12.9.3减压水箱减压分区供水</w:t>
      </w:r>
    </w:p>
    <w:p w14:paraId="1B7437F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3B5BC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a)当采用减压水箱减压分区供水时，减压水箱的外观尺寸及容积应与设计文件相符；（B类）</w:t>
      </w:r>
    </w:p>
    <w:p w14:paraId="3885822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b)减压水箱应有两条进、出水管，且每条进、出水管的管径应与设计文件相符；（B类）</w:t>
      </w:r>
    </w:p>
    <w:p w14:paraId="3FDD0A8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c)减压水箱进水管的水位控制应可靠，宜采用水位控制阀；（B类）</w:t>
      </w:r>
    </w:p>
    <w:p w14:paraId="4728573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d)减压水箱进水管应设置防冲击和溢水的技术措施，并宜在进水管上设置紧急关闭阀门，溢流水宜回流到消防水池。（B类）</w:t>
      </w:r>
    </w:p>
    <w:p w14:paraId="36C1584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04E943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04D7CF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a)对照设计文件，核查分区供水形式是否与设计一致。尺量检查减压水箱长、宽及有效水深，核对水箱容积是否符合设计要求；</w:t>
      </w:r>
    </w:p>
    <w:p w14:paraId="7D6B400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b)尺量进、出水管管径是否与设计一致；</w:t>
      </w:r>
    </w:p>
    <w:p w14:paraId="42BF019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c)d)直观检查水位控制措施是否可靠。查看紧急关闭阀门及溢流管的设置。</w:t>
      </w:r>
    </w:p>
    <w:p w14:paraId="1789D2A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66C3E1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4.12.10湿式消火栓系统功能</w:t>
      </w:r>
    </w:p>
    <w:p w14:paraId="266970A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A27F24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a)消防水泵出水管上的低压压力开关、高位消防水箱出水管上的流量开关动作信号应能直接联锁启动消防水泵，流量开关动作及水泵启动信号应能反馈至消防控制室；（A类）</w:t>
      </w:r>
    </w:p>
    <w:p w14:paraId="6ADB8CF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b)临时高压系统最不利点应符合以下要求：</w:t>
      </w:r>
    </w:p>
    <w:p w14:paraId="4B0BB2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1)最不利点静压（当建筑高度＞100m时），不应低于0.15MPa；（A类）</w:t>
      </w:r>
    </w:p>
    <w:p w14:paraId="4A2F328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2)最不利点静压（建筑高度≤100m的一类高层公共建筑、工业建筑），不应低于0.10MPa；设置稳压泵时，不应低于0.15MPa；（A类）</w:t>
      </w:r>
    </w:p>
    <w:p w14:paraId="19EA01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3)最不利点静压(多、高层住宅、二类高层公共建筑、多层公共建筑)，不应低于0.07MPa；设置稳压泵时，不应低于0.15MPa；（A类）</w:t>
      </w:r>
    </w:p>
    <w:p w14:paraId="077C03B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4)最不利点充实水柱（高层建筑、厂房、库房和室内净空高度超过8m的民用建筑等场所）≥13m；（A类）</w:t>
      </w:r>
    </w:p>
    <w:p w14:paraId="4B3F21B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5)最不利点充实水柱（其他场所）≥10m。（A类）</w:t>
      </w:r>
    </w:p>
    <w:p w14:paraId="49A385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c)临时高压系统最有利点应符合以下要求：</w:t>
      </w:r>
    </w:p>
    <w:p w14:paraId="2A5BAA1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1)最有利点静压应≤1.0MPa；（A类）</w:t>
      </w:r>
    </w:p>
    <w:p w14:paraId="1CD61D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2)最有利点动压应≤0.5MPa。（A类）</w:t>
      </w:r>
    </w:p>
    <w:p w14:paraId="49D1DDE7">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检测数量：a)按实际安装数量的100%检测。</w:t>
      </w:r>
    </w:p>
    <w:p w14:paraId="17D5A0B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3393EA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在泵房通过试验管或放水阀门放水，使管网压力持续降低，查看消防水泵出水干管上压力开关能否自动启动消防水泵。模拟流量开关动作信号，查看流量开关能否自动启动消防水泵。查看在消防控制室是否收到报警信息；</w:t>
      </w:r>
    </w:p>
    <w:p w14:paraId="51F65FE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用消火栓测压接头测量最不利点静压。接好水带水枪，同时开启两台消火栓，待水枪出水稳定后，查看消火栓测压接头压力显示，如果压力显示≥0.216Mpa，视为最不利点充实水柱≥10m；压力显示≥0.309Mpa，视为最不利点充实水柱≥13m；</w:t>
      </w:r>
    </w:p>
    <w:p w14:paraId="262D18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c)用消火栓测压接头测量最有利点静压，开启一台消火栓，待出水稳定后，查看消火栓测压接头压力显示。</w:t>
      </w:r>
    </w:p>
    <w:p w14:paraId="53635EC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检测器具：钢卷尺、消火栓测压接头。</w:t>
      </w:r>
    </w:p>
    <w:p w14:paraId="24C977C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4.12.11消火栓按钮功能</w:t>
      </w:r>
    </w:p>
    <w:p w14:paraId="1AB5111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B5D5A3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a)当建筑内无火灾自动报警系统、消防设计文件有要求的，启动消火栓按钮，消防水泵应直接启动；（A类）</w:t>
      </w:r>
    </w:p>
    <w:p w14:paraId="5C895D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b)当有火灾自动报警系统时，启动消火栓按钮，消防控制室应收到报警信号，显示报警部位并联动启动消防水泵，不受火灾报警联动控制柜手动或自动状态的影响；（A类）</w:t>
      </w:r>
    </w:p>
    <w:p w14:paraId="6706CCE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c)消防水泵启动后，消火栓按钮处应有消防泵启动信号。（C类）</w:t>
      </w:r>
    </w:p>
    <w:p w14:paraId="45BB86B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451479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检测方法：启动消火栓按钮，在控制室查看报警信号并观察消防泵启动情况。</w:t>
      </w:r>
    </w:p>
    <w:p w14:paraId="44C5C7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.12.12湿式消火栓系统功能</w:t>
      </w:r>
    </w:p>
    <w:p w14:paraId="7274AFB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FE12A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a)消防水泵出水管上的低压压力开关、高位消防水箱出水管上的流量开关动作信号应能直接联锁启动消防水泵，流量开关动作及水泵启动信号应能反馈至消防控制室；（A类）</w:t>
      </w:r>
    </w:p>
    <w:p w14:paraId="310E94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b)临时高压系统最不利点应符合以下要求：</w:t>
      </w:r>
    </w:p>
    <w:p w14:paraId="749ADF8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1)最不利点静压（当建筑高度＞100m时），不应低于0.15MPa；（A类）</w:t>
      </w:r>
    </w:p>
    <w:p w14:paraId="3E797F5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2)最不利点静压（建筑高度≤100m的一类高层公共建筑、工业建筑），不应低于0.10MPa；设置稳压泵时，不应低于0.15MPa；（A类）</w:t>
      </w:r>
    </w:p>
    <w:p w14:paraId="5852F1B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3)最不利点静压(多、高层住宅、二类高层公共建筑、多层公共建筑)，不应低于0.07MPa；设置稳压泵时，不应低于0.15MPa；（A类）</w:t>
      </w:r>
    </w:p>
    <w:p w14:paraId="58896D5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4)最不利点充实水柱（高层建筑、厂房、库房和室内净空高度超过8m的民用建筑等场所）≥13m；（A类）</w:t>
      </w:r>
    </w:p>
    <w:p w14:paraId="47AF967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5)最不利点充实水柱（其他场所）≥10m。（A类）</w:t>
      </w:r>
    </w:p>
    <w:p w14:paraId="075314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c)临时高压系统最有利点应符合以下要求：</w:t>
      </w:r>
    </w:p>
    <w:p w14:paraId="689890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1)最有利点静压应≤1.0MPa；（A类）</w:t>
      </w:r>
    </w:p>
    <w:p w14:paraId="0D43CC2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2)最有利点动压应≤0.5MPa。（A类）</w:t>
      </w:r>
    </w:p>
    <w:p w14:paraId="4F3B77A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21A96BB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391FF75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在泵房通过试验管或放水阀门放水，使管网压力持续降低，查看消防水泵出水干管上压力开关能否自动启动消防水泵。模拟流量开关动作信号，查看流量开关能否自动启动消防水泵。查看在消防控制室是否收到报警信息；</w:t>
      </w:r>
    </w:p>
    <w:p w14:paraId="55ED70C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用消火栓测压接头测量最不利点静压。接好水带水枪，同时开启两台消火栓，待水枪出水稳定后，查看消火栓测压接头压力显示，如果压力显示≥0.216Mpa，视为最不利点充实水柱≥10m；压力显示≥0.309Mpa，视为最不利点充实水柱≥13m；</w:t>
      </w:r>
    </w:p>
    <w:p w14:paraId="4F097E0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c)用消火栓测压接头测量最有利点静压，开启一台消火栓，待出水稳定后，查看消火栓测压接头压力显示。</w:t>
      </w:r>
    </w:p>
    <w:p w14:paraId="62A7C85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检测器具：钢卷尺、消火栓测压接头。</w:t>
      </w:r>
    </w:p>
    <w:p w14:paraId="64B81F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.12.13室外消火栓</w:t>
      </w:r>
    </w:p>
    <w:p w14:paraId="396A3C4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88A125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a)室外消火栓的设置场所、规格、型号应与设计文件相符；（A类）</w:t>
      </w:r>
    </w:p>
    <w:p w14:paraId="1683B17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b)室外消火栓距路边不宜小于0.5m，并不应大于2.0m；（C类）</w:t>
      </w:r>
    </w:p>
    <w:p w14:paraId="094F70E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c)室外消火栓距建筑外墙或外墙边缘不宜小于5.0m；（C类）</w:t>
      </w:r>
    </w:p>
    <w:p w14:paraId="3BB0E0F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d)室外消火栓宜沿建筑周围均匀布置，且不宜集中布置在建筑一侧。建筑消防扑救面一侧的室外消火栓数量不宜少于2个；（C类）</w:t>
      </w:r>
    </w:p>
    <w:p w14:paraId="26F939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e)地下式室外消火栓井的直径不宜小于1.5m，且应有明显的永久性标志；（B类）</w:t>
      </w:r>
    </w:p>
    <w:p w14:paraId="03E867B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f)地下式室外消火栓井的砌筑应有防水和排水措施。（B类）</w:t>
      </w:r>
    </w:p>
    <w:p w14:paraId="532E282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7A2BDC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4F63263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a)对照设计文件，直观检查规格型号；</w:t>
      </w:r>
    </w:p>
    <w:p w14:paraId="58C79CD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b)～f)尺量安装间距，直观检查安装位置、标识及防排水措施。</w:t>
      </w:r>
    </w:p>
    <w:p w14:paraId="771D162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70C00B1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系统功能</w:t>
      </w:r>
    </w:p>
    <w:p w14:paraId="258FAA7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检测要求：室外消火栓栓口出水压力应与设计文件相符，且不应小于0.14MPa，火灾时水力最不利消火栓的供水压力从地面算起不应小于0.10MPa。（A类）</w:t>
      </w:r>
    </w:p>
    <w:p w14:paraId="0272DF1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检测数量：水力条件最不利处消火栓,不应少于总数50%。</w:t>
      </w:r>
    </w:p>
    <w:p w14:paraId="324D06E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检测方法：用消火栓测压接头测试栓口静压。开启消火栓，待出水稳定后，查看消火栓测压接头压力显示。</w:t>
      </w:r>
    </w:p>
    <w:p w14:paraId="6F85A64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检测器具：消火栓试压接头。</w:t>
      </w:r>
    </w:p>
    <w:p w14:paraId="5D98E7B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.13自动喷水灭火系统</w:t>
      </w:r>
    </w:p>
    <w:p w14:paraId="6F8F34E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一般规定</w:t>
      </w:r>
    </w:p>
    <w:p w14:paraId="6F8E0E5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检测要求：自动喷水灭火系统所选择的形式应与设计文件相符。(A类)</w:t>
      </w:r>
    </w:p>
    <w:p w14:paraId="238E96E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3FD4C6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检测方法：查看设计文件结合现场查看。</w:t>
      </w:r>
    </w:p>
    <w:p w14:paraId="6429148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.13.1湿式自动喷水灭火系统</w:t>
      </w:r>
    </w:p>
    <w:p w14:paraId="2A2DF72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.13.1.1供水设施</w:t>
      </w:r>
    </w:p>
    <w:p w14:paraId="3FD6C18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947699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a)消防水泵的设置应符合以下要求：</w:t>
      </w:r>
    </w:p>
    <w:p w14:paraId="1F200EA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1)消防水泵的规格型号、数量及性能指标应与设计文件相符；（A类）</w:t>
      </w:r>
    </w:p>
    <w:p w14:paraId="2143C3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2)消防水泵应有注明系统名称和供水范围的标志牌；(B类)</w:t>
      </w:r>
    </w:p>
    <w:p w14:paraId="0BF060D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3)消防水泵设置备用泵的，其性能应与工作泵性能一致。当主泵故障时，备用泵应能切换运行。（A类）</w:t>
      </w:r>
    </w:p>
    <w:p w14:paraId="38A8BB6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b)消防水泵的控制与操作应符合以下要求：</w:t>
      </w:r>
    </w:p>
    <w:p w14:paraId="5A413F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1)当主泵故障时，备用泵应能切换运行；（A类）</w:t>
      </w:r>
    </w:p>
    <w:p w14:paraId="4E7E960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2)消防水泵应能手动启停和自动启动，且不应设置自动停泵的控制功能；（A类）</w:t>
      </w:r>
    </w:p>
    <w:p w14:paraId="2558EE7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3)消防控制柜或控制盘应设置专用线路连接的手动直接启泵按扭；（A类）</w:t>
      </w:r>
    </w:p>
    <w:p w14:paraId="3B44F6C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4)消防水泵应确保从接到启泵信号到水泵正常运转的自动启动时间不应大于2min；（B类）</w:t>
      </w:r>
    </w:p>
    <w:p w14:paraId="4BDF775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5)消防水泵的启动、停止及故障信号应反馈至消防联动控制器。（B类）</w:t>
      </w:r>
    </w:p>
    <w:p w14:paraId="72837A7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c)消防水泵吸水应符合下列规定：</w:t>
      </w:r>
    </w:p>
    <w:p w14:paraId="7C53D29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1)消防水泵应采取自灌式吸水；（A类）</w:t>
      </w:r>
    </w:p>
    <w:p w14:paraId="3F09A1F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2)消防水泵从市政管网直接抽水时，应在消防水泵出水管上设置有空气隔断的倒流防止器。（A类）</w:t>
      </w:r>
    </w:p>
    <w:p w14:paraId="129C847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d)消防水泵进、出水管及附件应符合以下要求：</w:t>
      </w:r>
    </w:p>
    <w:p w14:paraId="4A1B777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1)消防水泵吸水管和出水管的管径应与设计文件相符,一组消防水泵吸水管不应少于2条，出水管应设不少于2条的输水干管与消防给水环状管网连接；（B类）</w:t>
      </w:r>
    </w:p>
    <w:p w14:paraId="4EAC052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2)消防水泵的吸水管上应设置明杆闸阀或带自锁装置的蝶阀，但当设置暗杆阀门时应设有开启刻度和标志。变径连接处，应采用偏心异径管件并应采用管顶平接；(C类)</w:t>
      </w:r>
    </w:p>
    <w:p w14:paraId="200A4DE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3)消防水泵的出水管上应设止回阀、明杆闸阀或带自锁装置的蝶阀、试验和检查用压力表、放水阀门；（A类）</w:t>
      </w:r>
    </w:p>
    <w:p w14:paraId="2CB464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4)当系统存在超压可能时，出水管上应设置防超压设施；（A类）</w:t>
      </w:r>
    </w:p>
    <w:p w14:paraId="2EB1D28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5)消防水泵出水干管上应设置低压压力开关，压力设定值应与设计文件相符。（A类）</w:t>
      </w:r>
    </w:p>
    <w:p w14:paraId="7D7CD0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e)消防水泵控制柜应符合下列要求：</w:t>
      </w:r>
    </w:p>
    <w:p w14:paraId="4E517CF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1)消防水泵控制柜应注明所属系统，并在平时处于“自动”状态，其电源信息应反馈至消防控制室；（A类）</w:t>
      </w:r>
    </w:p>
    <w:p w14:paraId="5485886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2)按钮、指示灯及仪表应正常；（C类）</w:t>
      </w:r>
    </w:p>
    <w:p w14:paraId="0C3B5E8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3)消防水泵控制柜应采取防止被水淹没的措施；（C类）</w:t>
      </w:r>
    </w:p>
    <w:p w14:paraId="474D6D2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4)消防水泵控制柜应设置机械应急启泵功能。（A类）</w:t>
      </w:r>
    </w:p>
    <w:p w14:paraId="35D07F0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B78C35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60851CA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a)直观检查消防水泵数量，查验其铭牌，核对设计要求。直观检查水泵是否标明所属系统及供水范围；</w:t>
      </w:r>
    </w:p>
    <w:p w14:paraId="7CB97F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在自动状态启动消防泵，模拟主泵故障，检查系统能否自动转入备泵运行。通过手动、自动、机械应急等方式对消防泵进行启停试验，查看是否存在自动停泵现象。直观检查在消防控制室中是否安装了独立于火灾自动报警系统的专用硬拉线路直接启泵装置。用秒表测量从接收到启泵信号到水泵正常运行的时间（含备泵投入）；进行消防水泵启停试验，查看控制室反馈信号；</w:t>
      </w:r>
    </w:p>
    <w:p w14:paraId="0E055E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c)直观检查消防水泵吸水方式。从市政管网吸水时，观察是否安装倒流防止器；</w:t>
      </w:r>
    </w:p>
    <w:p w14:paraId="1699C63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直观检查进水管和出水管数量。查看吸水管上的检修阀门是否有锁定措施和标志。直观检查吸水管布置和水平段变径处理。直观检查是否按设计设置防超压设施，核对设定压力。消防水泵启动正常供水后观察出水干管上压力表的压力值，应与设计文件相符；</w:t>
      </w:r>
    </w:p>
    <w:p w14:paraId="68B613A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e)直观检查系统标识、指示灯及仪表。直观检查控制柜是否在“自动”状态。切断消防水泵的供电电源，查看消防控制室是否收到报警信息。</w:t>
      </w:r>
    </w:p>
    <w:p w14:paraId="184B16F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检测器具：秒表、游标卡尺。</w:t>
      </w:r>
    </w:p>
    <w:p w14:paraId="1A7B0D8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.13.1.2报警阀组</w:t>
      </w:r>
    </w:p>
    <w:p w14:paraId="08A547C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.13.1.2.1安装</w:t>
      </w:r>
    </w:p>
    <w:p w14:paraId="3CA9B1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43F45B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a)报警阀组应外观完好、组件齐全，型号规格应与设计文件相符；（A类）</w:t>
      </w:r>
    </w:p>
    <w:p w14:paraId="68E4CF5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b)报警阀组应垂直安装在配水干管上，水源控制阀、报警阀组水流标识与系统水流方向一致；（A类）</w:t>
      </w:r>
    </w:p>
    <w:p w14:paraId="3CF6BA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报警阀组安装的位置应与设计文件相符；当无设计要求时，报警阀组应安装在便于操作的明显位置，距室内地面高度宜为1.2m；两侧与墙的距离不应小于0.5m；正面与墙的距离不应小于1.2m；报警阀组凸出部位之间的距离不应小于0.5m；（C类）</w:t>
      </w:r>
    </w:p>
    <w:p w14:paraId="669273A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d)报警阀组应有注明系统名称和保护区域的标志牌；（B类）</w:t>
      </w:r>
    </w:p>
    <w:p w14:paraId="2901888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e)压力开关、信号阀的引出线应用防水套管锁定；（C类）</w:t>
      </w:r>
    </w:p>
    <w:p w14:paraId="6FDA5F9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f)压力开关应竖直安装在通往水力警铃的管道上，水力警铃应安装在公共通道或值班室附近的外墙上；（B类）</w:t>
      </w:r>
    </w:p>
    <w:p w14:paraId="7DF6EC6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g)设置报警阀组的部位应设有排水设施；（B类）</w:t>
      </w:r>
    </w:p>
    <w:p w14:paraId="5EDFBF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h)水源控制阀安装应便于操作，且应有明显开闭标志和可靠的锁定设施；（B类）</w:t>
      </w:r>
    </w:p>
    <w:p w14:paraId="46F83D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i)连接报警阀进出口的控制阀应采用信号阀。当不采用信号阀时，控制阀应设锁定阀位的锁具；（B类）</w:t>
      </w:r>
    </w:p>
    <w:p w14:paraId="17E956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j)压力表应安装在报警阀上便于观测的部位；（C类）</w:t>
      </w:r>
    </w:p>
    <w:p w14:paraId="3C2E60D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k)报警水流通路上的过滤器应安装在延迟器前，且便于排渣操作的位置。（B类）</w:t>
      </w:r>
    </w:p>
    <w:p w14:paraId="6056F21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4A9ADB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14:paraId="51244F4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检测器具：钢卷尺、游标卡尺。</w:t>
      </w:r>
    </w:p>
    <w:p w14:paraId="3CD2A30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.13.1.2.2功能试验</w:t>
      </w:r>
    </w:p>
    <w:p w14:paraId="7942EA5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BD0964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a)报警阀试验时，带延迟器的报警阀，水力警铃应在5s～90s内发出报警铃声；不带延迟器的报警阀，水力警铃应在15s内发出报警铃声，距水力警铃3m远处警铃声强度不应小于70dB（A）；（B类）</w:t>
      </w:r>
    </w:p>
    <w:p w14:paraId="0D9BADB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b)压力开关及时动作并连锁启动喷淋泵，消防联动控制器准确接收并显示压力开关及消防水泵的反馈信号；（A类）</w:t>
      </w:r>
    </w:p>
    <w:p w14:paraId="3D414D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c)延迟器应能自动排水。（B类）</w:t>
      </w:r>
    </w:p>
    <w:p w14:paraId="702C45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17D599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7D02B9D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a)开启报警阀试验管路阀门，用秒表测量从开启阀门到水力警铃报警的时间；</w:t>
      </w:r>
    </w:p>
    <w:p w14:paraId="59A34F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b)在距离水力警铃3m处，采用数字声级计测量水力警铃声强值；</w:t>
      </w:r>
    </w:p>
    <w:p w14:paraId="5371DAB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c)查看喷淋泵现场启动情况，查看消防联动控制器显示的压力开关和消防水泵的动作情况以及信号反馈情况。直观检查延迟器能否自动排水。</w:t>
      </w:r>
    </w:p>
    <w:p w14:paraId="2BA4D3E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检测器具：数字声级计、秒表、钢卷尺。</w:t>
      </w:r>
    </w:p>
    <w:p w14:paraId="045A5D2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.13.1.3水流指示器</w:t>
      </w:r>
    </w:p>
    <w:p w14:paraId="13ECCEB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33C109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a)水流指示器的引出线应用防水套管锁定；（C类）</w:t>
      </w:r>
    </w:p>
    <w:p w14:paraId="684255B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b)水流指示器的规格、型号及安装位置应与设计文件相符；（B类）</w:t>
      </w:r>
    </w:p>
    <w:p w14:paraId="2FFEAC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c)信号阀应安装在水流指示器前的管道上，与水流指示器之间的距离不宜小于300mm。（C类）</w:t>
      </w:r>
    </w:p>
    <w:p w14:paraId="6D21253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753200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14:paraId="005F8B7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5712AAF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.13.1.4管网</w:t>
      </w:r>
    </w:p>
    <w:p w14:paraId="487BC29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.13.1.4.1基本要求</w:t>
      </w:r>
    </w:p>
    <w:p w14:paraId="0F81B12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2FF528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a)配水管道的材质应与设计文件相符；(A类)</w:t>
      </w:r>
    </w:p>
    <w:p w14:paraId="5D77E2D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b)报警阀出口后的管道上不应设置其他用水设施；（B类）</w:t>
      </w:r>
    </w:p>
    <w:p w14:paraId="6927E50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c)当报警阀入口前管道采用不防腐的钢管时，应在报警阀前设置过滤器；（B类）</w:t>
      </w:r>
    </w:p>
    <w:p w14:paraId="22B86C1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d)管道穿过建筑物的变形缝时，应采取抗变形措施；(B类)</w:t>
      </w:r>
    </w:p>
    <w:p w14:paraId="506EB9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穿过墙体或楼板时应加设套管，套管长度不得小于墙体厚度，穿过楼板的套管其顶部应高出装饰地面20mm；穿过卫生间或厨房楼板的套管，其顶部应高出装饰地面50mm，且套管底部应与楼板底面相平。套管与管道的间隙应采用不燃材料填塞密实；（B类）</w:t>
      </w:r>
    </w:p>
    <w:p w14:paraId="3EBD230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f)自动排气阀应安装在配水干管顶部、配水管的末端，且应无渗漏。（B类）</w:t>
      </w:r>
    </w:p>
    <w:p w14:paraId="37960CE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w:t>
      </w:r>
    </w:p>
    <w:p w14:paraId="456AA7A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检测方法：对照设计文件，尺量、直观检查。</w:t>
      </w:r>
    </w:p>
    <w:p w14:paraId="2A93E8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w:t>
      </w:r>
    </w:p>
    <w:p w14:paraId="6ADC97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.13.1.4.2消防洒水软管</w:t>
      </w:r>
    </w:p>
    <w:p w14:paraId="14F305B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FC9B1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a)消防洒水软管应安装相应的支架系统进行固定；（C类）</w:t>
      </w:r>
    </w:p>
    <w:p w14:paraId="29DCAEE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b)消防洒水软管的长度不应超过1.8m。（C类）</w:t>
      </w:r>
    </w:p>
    <w:p w14:paraId="03CB8AE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F45EFF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检测方法：对照设计文件，尺量、直观检查。</w:t>
      </w:r>
    </w:p>
    <w:p w14:paraId="44BFEE2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654E14A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.13.1.4.3管道连接方式</w:t>
      </w:r>
    </w:p>
    <w:p w14:paraId="2536556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B90A16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a)热镀锌钢管、涂覆钢管安装应采用螺纹、沟槽式管件或法兰连接；（B类）</w:t>
      </w:r>
    </w:p>
    <w:p w14:paraId="6D625FD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b)薄壁不锈钢管安装应采用环压、卡凸式、卡压、沟槽式、法兰等连接；（B类）</w:t>
      </w:r>
    </w:p>
    <w:p w14:paraId="6284916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c)铜管安装应采用钎焊、卡套、卡压、沟槽式等连接；（B类）</w:t>
      </w:r>
    </w:p>
    <w:p w14:paraId="44990C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d)配水干管（立管）与配水管（水平管）连接，应采用沟槽式管件，不应采用机械三通。（B类）</w:t>
      </w:r>
    </w:p>
    <w:p w14:paraId="5D7F6D9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检测数量：按实际安装数量的20%抽检，且不少于5处，少于5处的全数检测。</w:t>
      </w:r>
    </w:p>
    <w:p w14:paraId="3F53024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43C4A10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.13.1.4.4管道支吊架安装</w:t>
      </w:r>
    </w:p>
    <w:p w14:paraId="236B333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2D6A6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a)管道支架、吊架的安装位置不应妨碍喷头的喷水效果；管道支架、吊架与喷头之间的距离不宜小于300mm；与末端喷头之间的距离不宜大于750mm；（B类）</w:t>
      </w:r>
    </w:p>
    <w:p w14:paraId="56FF63D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b)当管道大于或等于DN50时，每段配水干管或配水管设置防晃支架不应少于1个，且防晃支架的间距不宜大于15m；当管道改变方向时，应增设防晃支架；（B类）</w:t>
      </w:r>
    </w:p>
    <w:p w14:paraId="330BC0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c)竖直安装的配水干管除中间用管卡固定外，还应在其始端和终端设防晃支架或采用管卡固定，其安装位置距地面或楼面的距离宜为1.5m～1.8m；（B类）</w:t>
      </w:r>
    </w:p>
    <w:p w14:paraId="53C593B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4B88D8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14:paraId="38F365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66631CA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.13.1.4喷头</w:t>
      </w:r>
    </w:p>
    <w:p w14:paraId="4DE4C55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.13.1.4.1安装</w:t>
      </w:r>
    </w:p>
    <w:p w14:paraId="1C714D3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41C2C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a)喷头的设置场所、规格、型号、安装位置应与设计文件相符；（A类）</w:t>
      </w:r>
    </w:p>
    <w:p w14:paraId="5322390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b)严禁给喷头、隐蔽式喷头的装饰盖板附加任何装饰性涂层；（A类）</w:t>
      </w:r>
    </w:p>
    <w:p w14:paraId="2002933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c)当喷头的公称直径小于10mm时，应在配水干管或配水管上安装过滤器；（B类）</w:t>
      </w:r>
    </w:p>
    <w:p w14:paraId="631A829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d)当梁、通风管道、排管、桥架宽度大于1.2m时，增设的喷头应安装在其腹面以下部位。（B类）</w:t>
      </w:r>
    </w:p>
    <w:p w14:paraId="1DB3F4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674A70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14:paraId="0034AAA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07A6B7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.13.1.4.2防护措施</w:t>
      </w:r>
    </w:p>
    <w:p w14:paraId="76E2898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BAB5AE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a)有腐蚀性气体的环境和有冰冻危险场所安装的喷头，应采取防护措施；（B类）</w:t>
      </w:r>
    </w:p>
    <w:p w14:paraId="5A6185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b)安装在易受机械损伤处（车库、货架中间、高架仓库等）的喷头，应加设喷头防护罩。（B类）</w:t>
      </w:r>
    </w:p>
    <w:p w14:paraId="1B0F0E9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B7BDD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69C372C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.13.1.4.3末端试水装置及试水阀</w:t>
      </w:r>
    </w:p>
    <w:p w14:paraId="008E77A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BB2BED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a)每个报警阀组控制的最不利点洒水喷头处应设末端试水装置，其他防火分区、楼层均应设直径为25mm的试水阀；（A类）</w:t>
      </w:r>
    </w:p>
    <w:p w14:paraId="5B0FBE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b)末端试水装置应由试水阀、压力表以及试水接头组成。末端试水装置的出水，应采取孔口出流的方式排入排水管道，且排水管道管径不应小于75mm；（B类）</w:t>
      </w:r>
    </w:p>
    <w:p w14:paraId="6E187C3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c)末端试水装置应有标识，距地面的高度宜为1.5m；（B类）</w:t>
      </w:r>
    </w:p>
    <w:p w14:paraId="6F6C96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d)末端试水装置的安装位置应便于检查、试验，并应有相应排水能力的排水设施。（B类）</w:t>
      </w:r>
    </w:p>
    <w:p w14:paraId="63057F2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27ECE1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14:paraId="5F274F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检测器具：钢卷尺、游标卡尺。</w:t>
      </w:r>
    </w:p>
    <w:p w14:paraId="3E308D8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.13.1.4.4系统功能</w:t>
      </w:r>
    </w:p>
    <w:p w14:paraId="62BD656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E17CCE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a)从末端试水装置处放水时，水流指示器、报警阀、压力开关、水力警铃和消防水泵等应及时动作，并发出相应的信号；（A类）</w:t>
      </w:r>
    </w:p>
    <w:p w14:paraId="5F41460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b)湿式自动喷水灭火系统的最不利点做末端放水试验时，自放水开始至水泵启动时间不应超过5min。(A类)</w:t>
      </w:r>
    </w:p>
    <w:p w14:paraId="7A2184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EC9038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3224738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a)开启系统末端试水装置，查看消防控制装置显示的水流指示器、压力开关、消防水泵的动作情况以及信号反馈情况，检查水力警铃是否报警；</w:t>
      </w:r>
    </w:p>
    <w:p w14:paraId="063DD93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b)用秒表测试自开启末端试水装置至消防水泵投入运行的时间。</w:t>
      </w:r>
    </w:p>
    <w:p w14:paraId="5336C44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检测器具：秒表、喷水末端试水接头。</w:t>
      </w:r>
    </w:p>
    <w:p w14:paraId="2977C08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.13.2预作用自动喷水灭火系统</w:t>
      </w:r>
    </w:p>
    <w:p w14:paraId="023A92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.13.2.1预作用装置安装</w:t>
      </w:r>
    </w:p>
    <w:p w14:paraId="5083085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22AC81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a)报警阀组应外观完好、组件齐全，型号规格应与设计文件相符；（A类）</w:t>
      </w:r>
    </w:p>
    <w:p w14:paraId="3945AAB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报警阀组安装的位置应与设计文件相符；当无设计要求时，报警阀组应安装在便于操作的明显位置，距室内地面高度宜为1.2m；两侧与墙的距离不应小于0.5m；正面与墙的距离不应小于1.2m；报警阀组凸出部位之间的距离不应小于0.5m；（C类）</w:t>
      </w:r>
    </w:p>
    <w:p w14:paraId="66B884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c)压力开关应竖直安装在通往水力警铃的管道上，水力警铃应安装在公共通道或值班室附近的外墙上；（B类）</w:t>
      </w:r>
    </w:p>
    <w:p w14:paraId="6D73672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d)压力开关、信号阀的引出线应用防水套管锁定；（C类）</w:t>
      </w:r>
    </w:p>
    <w:p w14:paraId="5F2777F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e)预作用装置应有注明系统名称和保护区域的标志牌；（B类）</w:t>
      </w:r>
    </w:p>
    <w:p w14:paraId="4DD744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f)设置报警阀组的部位应设有排水设施；（B类）</w:t>
      </w:r>
    </w:p>
    <w:p w14:paraId="4BBA9C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g)水源控制阀安装应便于操作，且应有明显开闭标志和可靠的锁定设施；（B类）</w:t>
      </w:r>
    </w:p>
    <w:p w14:paraId="73BE10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h)连接报警阀进出口的控制阀应采用信号阀；当不采用信号阀时，控制阀应设锁定阀位的锁具；（B类）</w:t>
      </w:r>
    </w:p>
    <w:p w14:paraId="424CF38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i)压力表应安装在报警阀上便于观测的部位；（C类）</w:t>
      </w:r>
    </w:p>
    <w:p w14:paraId="3C83256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j)预作用阀组和快速排气阀入口前的电动阀的启动和停止按钮，用专用线路直接连接至设置在消防控制室内的消防联动控制器的手动控制盘。（A类）</w:t>
      </w:r>
    </w:p>
    <w:p w14:paraId="02D14B4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461E7F8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14:paraId="4DD98F9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5DD2637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9.13.2.2功能试验</w:t>
      </w:r>
    </w:p>
    <w:p w14:paraId="1E5FC29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E986CE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a)预作用装置试验时，水流指示器、快速排气阀入口前电动阀应及时动作并向消防联动控制器反馈信号；（A类）</w:t>
      </w:r>
    </w:p>
    <w:p w14:paraId="34FCEA0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b)水力警铃应发出报警铃声，在距水力警铃3m处的声强不应小于70dB（A）；（B类）</w:t>
      </w:r>
    </w:p>
    <w:p w14:paraId="01F0CF2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c)预作用装置电磁阀的启动和停止按钮，应直接手动控制预作用阀组的开启。（A类）</w:t>
      </w:r>
    </w:p>
    <w:p w14:paraId="574473E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检测数量：全数检测。</w:t>
      </w:r>
    </w:p>
    <w:p w14:paraId="0438427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检测方法：操作手动控制盘上的预作用装置电磁阀启动按钮，查看消防联动控制器显示的水流指示器、快速排气阀入口前电动阀的信号反馈情况，用数字声级计检测水力警铃的声强值。</w:t>
      </w:r>
    </w:p>
    <w:p w14:paraId="16AE70A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检测器具：钢卷尺、数字声级计。</w:t>
      </w:r>
    </w:p>
    <w:p w14:paraId="72C25CE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9.13.2.3管网</w:t>
      </w:r>
    </w:p>
    <w:p w14:paraId="0F5099E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46CC73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a)配水管道的材质及连接方式应与设计文件相符；(A类)</w:t>
      </w:r>
    </w:p>
    <w:p w14:paraId="4B1A7F9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b)报警阀出口后的管道上不应设置其他用水设施；（B类）</w:t>
      </w:r>
    </w:p>
    <w:p w14:paraId="1A1806F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c)当报警阀入口前管道采用不防腐的钢管时，应在报警阀前设置过滤器；（B类）</w:t>
      </w:r>
    </w:p>
    <w:p w14:paraId="15B0FB1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d)管道穿过建筑物的变形缝时，应采取抗变形措施；(B类)</w:t>
      </w:r>
    </w:p>
    <w:p w14:paraId="36FA043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穿过墙体或楼板时应加设套管，套管长度不得小于墙体厚度，穿过楼板的套管其顶部应高出装饰地面20mm；穿过卫生间或厨房楼板的套管，其顶部应高出装饰地面50mm，且套管底部应与楼板底面相平。套管与管道的间隙应采用不燃材料填塞密实；（B类）</w:t>
      </w:r>
    </w:p>
    <w:p w14:paraId="562FB7A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f)系统的配水管道应设快速排气阀，快速排气阀入口前应设电动阀；（B类）</w:t>
      </w:r>
    </w:p>
    <w:p w14:paraId="7805B90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g)系统的配水管道应设快速排气阀，有压充气管道的快速排气阀入口前应设电动阀；（B类）</w:t>
      </w:r>
    </w:p>
    <w:p w14:paraId="3E9EC55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h)快速排气阀应安装在配水干管顶部、配水管的末端，且应无渗漏。（B类）</w:t>
      </w:r>
    </w:p>
    <w:p w14:paraId="59D2658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w:t>
      </w:r>
    </w:p>
    <w:p w14:paraId="35B1DA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14:paraId="6444BF1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w:t>
      </w:r>
    </w:p>
    <w:p w14:paraId="48F5810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9.13.2.4系统功能</w:t>
      </w:r>
    </w:p>
    <w:p w14:paraId="3707C3B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8D9A65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由火灾自动报警系统和充气管道上设置的压力开关开启预作用装置的预作用系统，其配水管道充水时间不宜大于1min；仅由火灾自动报警系统联动开启预作用装置的预作用系统，其配水管道充水时间不宜大于2min；（C类）</w:t>
      </w:r>
    </w:p>
    <w:p w14:paraId="1D7C0D7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b)火灾报警控制器确认火灾后，应自动启动预作用装置、排气阀入口电动阀及消防水泵，水流指示器、压力开关应动作；消防控制设备应显示电动阀、水流指示器及消防水泵的反馈信号；（A类）</w:t>
      </w:r>
    </w:p>
    <w:p w14:paraId="12A8B2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c)消防联动控制器手动控制盘应能控制预作用阀组、排气阀前电动阀的开启和关闭。（A类）</w:t>
      </w:r>
    </w:p>
    <w:p w14:paraId="5DBBFEB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4037253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6708923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a）对探测器输入模拟火灾信号，待预作用装置开启后，用秒表测试配水管道的充水时间；</w:t>
      </w:r>
    </w:p>
    <w:p w14:paraId="034E75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b）对探测器输入模拟火灾信号，待预作用装置开启后，查看消防控制设备显示的电动阀、压力开关、水流指示器、消防水泵的动作情况以及信号反馈情况；</w:t>
      </w:r>
    </w:p>
    <w:p w14:paraId="22321F7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操作消防联动控制器手动控制盘的预作用阀组、排气阀前电动阀的开启控制按钮、按键，对应的预作用阀组、排气阀前电动阀应开启；手动操作消防联动控制器手动控制盘的预作用阀组、排气阀前电动阀的关闭控制按钮、按键，对应的预作用阀组、排气阀前电动阀应关闭。</w:t>
      </w:r>
    </w:p>
    <w:p w14:paraId="2E8113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检测器具：秒表、感烟探测器功能试验器、喷水末端试水接头。</w:t>
      </w:r>
    </w:p>
    <w:p w14:paraId="1FA995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9.14气体灭火系统</w:t>
      </w:r>
    </w:p>
    <w:p w14:paraId="4B01FCF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9.14.1一般规定</w:t>
      </w:r>
    </w:p>
    <w:p w14:paraId="1C6A9B5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315BA7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a)系统设置类型、性能参数应与设计文件相符；（A类）</w:t>
      </w:r>
    </w:p>
    <w:p w14:paraId="1F18A01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b)设有消防控制室的场所，各防护区灭火控制系统的有关信息，应传送给消防控制室；（B类）</w:t>
      </w:r>
    </w:p>
    <w:p w14:paraId="15E5C9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c)管网灭火系统应设自动控制、手动控制和机械应急操作三种启动方式。预制灭火系统应设自动控制和手动控制两种启动方式；（A类）</w:t>
      </w:r>
    </w:p>
    <w:p w14:paraId="6EB05A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d)采用自动控制启动方式时，根据人员安全撤离防护区的需要，应有不大于30s的可控延迟喷射。对于平时无人工作的防护区，可设置为无延迟的喷射；（B类）</w:t>
      </w:r>
    </w:p>
    <w:p w14:paraId="5D5D49E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e)低压二氧化碳储瓶的制冷装置应正常运行，控制的温度和压力应与设计文件相符；（A类）</w:t>
      </w:r>
    </w:p>
    <w:p w14:paraId="1D62F6A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f)低压二氧化碳储瓶的制冷装置应采用专用供电回路供电。（B类）</w:t>
      </w:r>
    </w:p>
    <w:p w14:paraId="64B1207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6E42C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64E25B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14:paraId="307580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b)模拟火灾、灭火动作、手动自动转换、设备故障信号，查看消防控制室反馈信号；</w:t>
      </w:r>
    </w:p>
    <w:p w14:paraId="42E8B8E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气体灭火控制器设置在自动状态，触发火警信号，查看启动方式是否正常。气体灭火控制器设置在手动状态触发手动控制按钮，查看启动方式是否正常。在储瓶间内直接按下驱动装置容器阀的机械机构，查看启动方式是否正常；</w:t>
      </w:r>
    </w:p>
    <w:p w14:paraId="22F7CA5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d)控制设定在自动状态，模拟火灾确认，用秒表测量火灾确认后到喷射的时间；</w:t>
      </w:r>
    </w:p>
    <w:p w14:paraId="677AA7B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e)对照设计文件，查看制冷装置的温度和压力是否正常；</w:t>
      </w:r>
    </w:p>
    <w:p w14:paraId="48070F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f)直观检查。</w:t>
      </w:r>
    </w:p>
    <w:p w14:paraId="3D91130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检测器具：秒表、感烟（温）探测器功能试验器。</w:t>
      </w:r>
    </w:p>
    <w:p w14:paraId="5DDCB72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9.14.2环境和温度</w:t>
      </w:r>
    </w:p>
    <w:p w14:paraId="654C13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129B7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a)防护区的最低环境温度不应低于-10℃；（B类）</w:t>
      </w:r>
    </w:p>
    <w:p w14:paraId="72561D8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b)储瓶间和设置预制灭火系统的防护区的环境温度应为-10℃～50℃；（B类）</w:t>
      </w:r>
    </w:p>
    <w:p w14:paraId="7ADAAF4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c)高压系统二氧化碳储存装置的环境温度应为0℃～49℃。（B类）</w:t>
      </w:r>
    </w:p>
    <w:p w14:paraId="7811F4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794419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检测方法：使用数字温湿度计测量温度。</w:t>
      </w:r>
    </w:p>
    <w:p w14:paraId="175A53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检测器具：数字温湿度计。</w:t>
      </w:r>
    </w:p>
    <w:p w14:paraId="4ADCA0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9.14.3气体灭火控制器和组件</w:t>
      </w:r>
    </w:p>
    <w:p w14:paraId="58746B8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52B1FE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灭火剂储存容器及容器阀、单向阀、连接管、集流管、选择阀、安全泄放装置、阀驱动装置、喷嘴、信号反馈装置、检漏装置、减压装置等系统组件无碰撞变形及其他机械性损伤、表面保护涂层完好、封闭良好、铭牌清晰、牢固、方向正确；（B类）</w:t>
      </w:r>
    </w:p>
    <w:p w14:paraId="08DAD1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b)机械应急操作装置应设在储瓶间内或防护区疏散出口门外便于操作的地方；（B类）</w:t>
      </w:r>
    </w:p>
    <w:p w14:paraId="621CD2D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c)气体喷放指示灯宜安装在防护区入口的正上方；（C类）</w:t>
      </w:r>
    </w:p>
    <w:p w14:paraId="15D4C7F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d)柜式气体灭火装置、热气溶胶灭火装置等预制灭火系统及其控制器、声光报警器的安装位置应与设计文件相符，并固定牢靠；（B类）</w:t>
      </w:r>
    </w:p>
    <w:p w14:paraId="6C2A07A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e)设置在防护区处的手动、自动转换开关应安装在防护区入口便于操作的部位，安装高度为中心点距地（楼）面1.5m；（B类）</w:t>
      </w:r>
    </w:p>
    <w:p w14:paraId="4FCED08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f)手动启动、停止按钮应安装在防护区入口便于操作的部位，安装高度为中心点距地（楼）面1.5m，并应安装牢固，不得倾斜；（B类）</w:t>
      </w:r>
    </w:p>
    <w:p w14:paraId="2CAB332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g)热气溶胶预制灭火系统一台以上灭火装置之间的电启动线路应采用串联连接；（B类）</w:t>
      </w:r>
    </w:p>
    <w:p w14:paraId="4ABC8E4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h)热气溶胶预制灭火系统每台灭火装置均应具备启动反馈功能。（B类）</w:t>
      </w:r>
    </w:p>
    <w:p w14:paraId="3B37286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4E21EC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5A60EB0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a)～c)直观检查；</w:t>
      </w:r>
    </w:p>
    <w:p w14:paraId="5802DDF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d)对照设计文件，直观检查；</w:t>
      </w:r>
    </w:p>
    <w:p w14:paraId="683554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e)f)尺量；</w:t>
      </w:r>
    </w:p>
    <w:p w14:paraId="3C76173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g)h)直观检查。</w:t>
      </w:r>
    </w:p>
    <w:p w14:paraId="447EDC1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7B719AC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9.14.4防护区</w:t>
      </w:r>
    </w:p>
    <w:p w14:paraId="0C2A39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检测要求：防护区的大小、设置位置应与设计文件相符。（A类）</w:t>
      </w:r>
    </w:p>
    <w:p w14:paraId="73CD38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2C17EB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14:paraId="6185EE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9.14.5储存装置间</w:t>
      </w:r>
    </w:p>
    <w:p w14:paraId="0C0B2C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52DB9B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a)储瓶间的门应向外开启；（B类）</w:t>
      </w:r>
    </w:p>
    <w:p w14:paraId="5679D29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b)储瓶间内应设应急照明，且最低照度不低于正常照明的照度；（B类）</w:t>
      </w:r>
    </w:p>
    <w:p w14:paraId="28865A9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c)管网灭火系统的储存装置宜设在专用储瓶间内。（C类）</w:t>
      </w:r>
    </w:p>
    <w:p w14:paraId="1375E64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21E9AFA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3E41AD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9.14.6储存装置</w:t>
      </w:r>
    </w:p>
    <w:p w14:paraId="2AD2278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8B7DB0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a)灭火剂储存装置不能超出设计使用年限，其数量、设置位置应与设计文件相符；（A类）</w:t>
      </w:r>
    </w:p>
    <w:p w14:paraId="3997DF0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b)储存装置的布置，应便于操作、维修及避免阳光照射。操作面距墙面或两操作面之间的距离，不宜小于1.0m，且不应小于储存容器外径的1.5倍；（B类）</w:t>
      </w:r>
    </w:p>
    <w:p w14:paraId="5E74584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c)同一规格的灭火剂储存容器，其高度差不宜超过20mm；（C类）</w:t>
      </w:r>
    </w:p>
    <w:p w14:paraId="5646EE2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d)同一集流管上的储存容器，其规格、充压压力和充装量应相同；（B类）</w:t>
      </w:r>
    </w:p>
    <w:p w14:paraId="440958B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e)容器阀和集流管之间应采用挠性连接。储存容器和集流管应采用支架固定；（B类）</w:t>
      </w:r>
    </w:p>
    <w:p w14:paraId="6F8D163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f)储存装置上应设耐久的固定铭牌，并应标明每个容器的编号、容积、皮重、灭火剂名称、充装量、充装日期和充压压力等，储存容器宜涂红色油漆；（B类）</w:t>
      </w:r>
    </w:p>
    <w:p w14:paraId="07C01A6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g)在储存容器或容器阀上，应设安全泄压装置和压力表（外储压七氟丙烷灭火系统、高压二氧化碳灭火系统不设压力表）；（A类）</w:t>
      </w:r>
    </w:p>
    <w:p w14:paraId="4DF99D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h)七氟丙烷灭火系统在容器阀和集流管之间的管道上应设单向阀；（B类）</w:t>
      </w:r>
    </w:p>
    <w:p w14:paraId="27BB40B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i)储存装置上压力计、液位计、称重显示装置的安装位置应便于人员观察和操作；（B类）</w:t>
      </w:r>
    </w:p>
    <w:p w14:paraId="1015A89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j)储存容器的支、框架应固定牢靠；（B类）</w:t>
      </w:r>
    </w:p>
    <w:p w14:paraId="13618C1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k)低压二氧化碳灭火系统的安全阀应通过专用的泄压管接到室外；（A类）</w:t>
      </w:r>
    </w:p>
    <w:p w14:paraId="30686B7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l)热气溶胶设置多台装置时，其相互间的距离不得大于10m。（B类）</w:t>
      </w:r>
    </w:p>
    <w:p w14:paraId="3227594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3DA81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54F71A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14:paraId="478EC2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b)c)l)尺量；</w:t>
      </w:r>
    </w:p>
    <w:p w14:paraId="13AF619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d)～k)直观检查。</w:t>
      </w:r>
    </w:p>
    <w:p w14:paraId="3C8EBF9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检测器具：钢直尺、钢卷尺。</w:t>
      </w:r>
    </w:p>
    <w:p w14:paraId="604726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9.14.7驱动装置</w:t>
      </w:r>
    </w:p>
    <w:p w14:paraId="4F8BA5A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BDC59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a)驱动装置类型应与设计文件相符；（A类）</w:t>
      </w:r>
    </w:p>
    <w:p w14:paraId="2C30ED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b)电磁驱动装置驱动器的电气连接线应沿固定灭火剂储存容器的支架、框架或墙面固定；（B类）</w:t>
      </w:r>
    </w:p>
    <w:p w14:paraId="61CE946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c)气动驱动装置的安装应符合下列规定：</w:t>
      </w:r>
    </w:p>
    <w:p w14:paraId="232CA2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1)驱动气瓶的支、框架或箱体应固定牢靠，并做防腐处理；（B类）</w:t>
      </w:r>
    </w:p>
    <w:p w14:paraId="1C9345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2)驱动气瓶上应有标明驱动介质名称、对应防护区或保护对象名称或编号的永久性标志，并应便于观察。（B类）</w:t>
      </w:r>
    </w:p>
    <w:p w14:paraId="3887FC5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d)气动驱动装置的管道安装应符合下列规定：</w:t>
      </w:r>
    </w:p>
    <w:p w14:paraId="4FD63B3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1)竖直管道应在其始端和终端设防晃支架或采用管卡固定；（B类）</w:t>
      </w:r>
    </w:p>
    <w:p w14:paraId="2A67224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2)水平管道应采用管卡固定。管卡的间距不宜大于0.6m。转弯处应增设1个管卡。（B类）</w:t>
      </w:r>
    </w:p>
    <w:p w14:paraId="4E33818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e)同一规格的驱动气体储存容器，其高度差不宜超过10mm；（C类）</w:t>
      </w:r>
    </w:p>
    <w:p w14:paraId="1F1223D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f)输送启动气体的管道，宜采用铜管。（C类）</w:t>
      </w:r>
    </w:p>
    <w:p w14:paraId="0B05CF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6A526B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111C532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14:paraId="6DEBADF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b)c)f)直观检查；</w:t>
      </w:r>
    </w:p>
    <w:p w14:paraId="2358E54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d)e)尺量、直观检查。</w:t>
      </w:r>
    </w:p>
    <w:p w14:paraId="7F3B301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检测器具：钢直尺、钢卷尺。</w:t>
      </w:r>
    </w:p>
    <w:p w14:paraId="2D5635A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9.14.8集流管</w:t>
      </w:r>
    </w:p>
    <w:p w14:paraId="40E8C8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504CC0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a)集流管应设安全泄压装置，泄压装置的泄压方向不应朝向操作面；（A类）</w:t>
      </w:r>
    </w:p>
    <w:p w14:paraId="1CA802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b)同一防护区，当设计两套或三套管网时，集流管可分别设置，系统启动装置必须共用；（B类）</w:t>
      </w:r>
    </w:p>
    <w:p w14:paraId="2ECC87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c)集流管应固定在支、框架上。支架、框架应固定牢靠，并做防腐处理，外表面宜涂红色油漆。（B类）</w:t>
      </w:r>
    </w:p>
    <w:p w14:paraId="009583A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AE7E6B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检测方法：a)对照设计文件，直观检查；b)c)直观检查。</w:t>
      </w:r>
    </w:p>
    <w:p w14:paraId="651D1C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9.14.9选择阀</w:t>
      </w:r>
    </w:p>
    <w:p w14:paraId="139FB34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9F4F0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a)组合分配系统中的每个防护区应设置控制灭火剂流向的选择阀，选择阀的位置应靠近储存容器且便于操作；（B类）</w:t>
      </w:r>
    </w:p>
    <w:p w14:paraId="19B3DA3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b)选择阀操作手柄应安装在操作面一侧，当安装高度超过1.7m时应采取便于操作的措施；（B类）</w:t>
      </w:r>
    </w:p>
    <w:p w14:paraId="0AE132B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c)采用螺纹连接的选择阀，其与管网连接处宜采用活接；（C类）</w:t>
      </w:r>
    </w:p>
    <w:p w14:paraId="5085BFB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d)选择阀的流向指示箭头应指向介质流动方向；（B类）</w:t>
      </w:r>
    </w:p>
    <w:p w14:paraId="6C777AF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e)选择阀上应设置标明防护区或保护对象名称或编号的永久性标志牌，并应便于观察；（B类）</w:t>
      </w:r>
    </w:p>
    <w:p w14:paraId="0C76F9F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f)组合分配系统启动时，选择阀应在容器阀开启前或同时打开。（B类）</w:t>
      </w:r>
    </w:p>
    <w:p w14:paraId="1500599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8BBA9E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检测方法：a)直观检查；b)尺量；c)～f)直观检查。</w:t>
      </w:r>
    </w:p>
    <w:p w14:paraId="260A562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3096DA4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9.14.10灭火剂传输管道及附件</w:t>
      </w:r>
    </w:p>
    <w:p w14:paraId="42972DC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E22C62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a)管道的连接，当公称直径小于或等于80mm时，宜采用螺纹连接。大于80mm时，宜采用法兰连接。使用在腐蚀性较大的环境里，应采用不锈钢的管道附件；（B类）</w:t>
      </w:r>
    </w:p>
    <w:p w14:paraId="05266E2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b)灭火剂输送管道的外表面宜涂红色油漆；（B类）</w:t>
      </w:r>
    </w:p>
    <w:p w14:paraId="6B2ECFB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c)管网上不应采用四通管件进行分流；（B类）</w:t>
      </w:r>
    </w:p>
    <w:p w14:paraId="2516416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d)在通向每个防护区的灭火系统主管道上，应设压力讯号器或流量讯号器；（B类）</w:t>
      </w:r>
    </w:p>
    <w:p w14:paraId="3272B9F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e)输送气体灭火剂的管道应采用无缝钢管，二氧化碳系统对镀锌层有腐蚀的环境，管道可采用不锈钢管、铜管或其他抗腐蚀的材料；（B类）</w:t>
      </w:r>
    </w:p>
    <w:p w14:paraId="6D19B3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f)输送气体灭火剂的管道安装在腐蚀性较大的环境里，宜采用不锈钢管；（C类）</w:t>
      </w:r>
    </w:p>
    <w:p w14:paraId="02C9B6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g)连接储存容器与集流管间的单向阀的流向指示箭头应指向介质流动方向；（B类）</w:t>
      </w:r>
    </w:p>
    <w:p w14:paraId="719531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h)管道支架、吊架的安装应符合下列规定：</w:t>
      </w:r>
    </w:p>
    <w:p w14:paraId="6E45963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1)管道应固定牢靠，管道支、吊架的最大间距应与设计文件相符；（B类）</w:t>
      </w:r>
    </w:p>
    <w:p w14:paraId="47075B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2)管道末端应采用防晃支架固定，支架与末端喷嘴间的距离不应大于500mm；（B类）</w:t>
      </w:r>
    </w:p>
    <w:p w14:paraId="40D7E0D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3)公称直径大于或等于50mm的主干管道，垂直方向和水平方向至少应各安装1个防晃支架，当穿过建筑物楼层时，每层应设1个防晃支架。当水平管道改变方向时，应增设防晃支架。（B类）</w:t>
      </w:r>
    </w:p>
    <w:p w14:paraId="35CA117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E9C132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66763B0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a)尺量；</w:t>
      </w:r>
    </w:p>
    <w:p w14:paraId="11C80F1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b)～g)直观检查；</w:t>
      </w:r>
    </w:p>
    <w:p w14:paraId="1C7AE1C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h)尺量。</w:t>
      </w:r>
    </w:p>
    <w:p w14:paraId="7C5425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检测器具：游标卡尺、钢卷尺。</w:t>
      </w:r>
    </w:p>
    <w:p w14:paraId="0AF137E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9.14.11喷嘴</w:t>
      </w:r>
    </w:p>
    <w:p w14:paraId="2253ED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63AD16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a)喷嘴的规格、型号、设置位置应与设计文件相符；（A类）</w:t>
      </w:r>
    </w:p>
    <w:p w14:paraId="35D9C2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b)安装在吊顶下的不带装饰罩的喷嘴，其连接管管端螺纹不应露出吊顶。安装在吊顶下的带装饰罩的喷嘴，其装饰罩应紧贴吊顶；（B类）</w:t>
      </w:r>
    </w:p>
    <w:p w14:paraId="14438F8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c)二氧化碳灭火系统设置在有粉尘或喷漆作业等场所的喷头，应增设不影响喷射效果的防尘罩；（B类）</w:t>
      </w:r>
    </w:p>
    <w:p w14:paraId="2689328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d)热气溶胶预制灭火系统装置的喷口宜高于防护区地面2.0m；（C类）</w:t>
      </w:r>
    </w:p>
    <w:p w14:paraId="4D39FFA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e)热气溶胶灭火系统装置的喷口前1.0m内。装置的背面、侧面、顶部0.2m内不应设置或存放设备、器具等。（A类）</w:t>
      </w:r>
    </w:p>
    <w:p w14:paraId="7D8ABBF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E92ABB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5C3F6D1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14:paraId="58DD378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b)c)直观检查；</w:t>
      </w:r>
    </w:p>
    <w:p w14:paraId="620A38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d)e)尺量。</w:t>
      </w:r>
    </w:p>
    <w:p w14:paraId="12A0615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3EDA64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9.14.12模拟启动实验</w:t>
      </w:r>
    </w:p>
    <w:p w14:paraId="1C14CD5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9.14.12.1自动模拟启动试验</w:t>
      </w:r>
    </w:p>
    <w:p w14:paraId="7DC681F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1061D0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a)自动控制应在接到两个独立的火灾信号并延迟一定时间后才能启动；（A类）</w:t>
      </w:r>
    </w:p>
    <w:p w14:paraId="1D64DBB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b)灭火系统接到灭火指令后能正常启动、喷射；（A类）</w:t>
      </w:r>
    </w:p>
    <w:p w14:paraId="0CE2691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c)有关的声、光报警装置均能发出符合设计要求的正常信号；（A类）</w:t>
      </w:r>
    </w:p>
    <w:p w14:paraId="5A0B19E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d)有关联动设备动作正确；（A类）</w:t>
      </w:r>
    </w:p>
    <w:p w14:paraId="59CEF24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e)手动紧急停止装置应能在规定的延时时间内可靠的停止系统的启动。（A类）</w:t>
      </w:r>
    </w:p>
    <w:p w14:paraId="1C18F00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011F2E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将灭火控制器的启动输出端与灭火系统相应防护区驱动装置连接。驱动装置应与阀门的动作机构脱离。也可以用1个启动电压、电流与驱动装置的启动电压、电流相同的负载代替。人工模拟火警使防护区内任意1个火灾探测器动作，观察单一火警信号输出后，相关报警设备动作是否正常,如警铃、蜂鸣器发出报警声等。人工模拟火警使该防护区内另一个火灾探测器动作，观察复合火警信号输出</w:t>
      </w:r>
    </w:p>
    <w:p w14:paraId="31B5C5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后，相关动作信号及联动设备动作是否正常，如发出声、光报警，启动输出端的负载响应，关闭通风空调、防火阀等。</w:t>
      </w:r>
    </w:p>
    <w:p w14:paraId="656229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检测器具：数字万用表、感烟（温）探测器功能试验器。</w:t>
      </w:r>
    </w:p>
    <w:p w14:paraId="78B9AB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9.14.12.2手动模拟启动试验</w:t>
      </w:r>
    </w:p>
    <w:p w14:paraId="1643FC3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E75F1A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a)灭火系统接到灭火指令并延迟一定时间后才能正常启动、喷射；（A类）</w:t>
      </w:r>
    </w:p>
    <w:p w14:paraId="3850417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b)有关的声、光报警装置均能发出符合设计要求的正常信号；（A类）</w:t>
      </w:r>
    </w:p>
    <w:p w14:paraId="60B1CED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c)有关联动设备动作正确；（A类）</w:t>
      </w:r>
    </w:p>
    <w:p w14:paraId="402D718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d)手动紧急停止装置应能在规定的延时时间内可靠的停止系统的启动。（A类）</w:t>
      </w:r>
    </w:p>
    <w:p w14:paraId="5F5A68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86471D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按下手动启动按钮，观察相关动作信号及联动设备动作是否正常，如发出声、光报警，启动输出端的负载响应，关闭通风空调、防火阀等。人工使压力信号反馈装置动作，观察相关防护区门外的气体喷放指示灯是否正常。</w:t>
      </w:r>
    </w:p>
    <w:p w14:paraId="20E064C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检测器具：数字万用表。</w:t>
      </w:r>
    </w:p>
    <w:p w14:paraId="260CB63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9.15防烟排烟系统</w:t>
      </w:r>
    </w:p>
    <w:p w14:paraId="3384659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9.15.1一般要求</w:t>
      </w:r>
    </w:p>
    <w:p w14:paraId="09EFE6F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4F951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a)防烟排烟系统设计应与设计文件相符；（A类）</w:t>
      </w:r>
    </w:p>
    <w:p w14:paraId="7C5042A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b)正压送风机、排烟风机应设置在专用机房内；（A类）</w:t>
      </w:r>
    </w:p>
    <w:p w14:paraId="4E7CE7F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c)正压送风机、排烟机铭牌标志应清晰，标注的风量、风压应与设计文件相符；（A类）</w:t>
      </w:r>
    </w:p>
    <w:p w14:paraId="42F89C7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d)挡烟垂壁的设置位置应与设计文件相符；（A类）</w:t>
      </w:r>
    </w:p>
    <w:p w14:paraId="42655E7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e)消防控制室应能显示风机电源的工作状态；（A类）</w:t>
      </w:r>
    </w:p>
    <w:p w14:paraId="383057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f)消防控制室应能显示正压送风机、排烟风机、补风机、送风阀、排烟阀、电动防火阀、排烟防火阀、电动排烟窗、电动挡烟垂壁的正常工作状态和动作状态。（A类）</w:t>
      </w:r>
    </w:p>
    <w:p w14:paraId="0AA2FC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D24BD3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14:paraId="44F77C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9.15.2机械加压送风系统</w:t>
      </w:r>
    </w:p>
    <w:p w14:paraId="6525FBE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9.15.2.1送风机</w:t>
      </w:r>
    </w:p>
    <w:p w14:paraId="165F9DC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26D5D7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a)送风机安装位置应与设计文件相符；（A类）</w:t>
      </w:r>
    </w:p>
    <w:p w14:paraId="65B89F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送风机的进风口不应与排烟风机的出风口设在同一面上。当确有困难时，送风机的进风口与排烟风机的出风口应分开布置，且竖向布置时，送风机的进风口应设置在排烟出口的下方，其两者边缘最小垂直距离不应小于6.0m。水平布置时，两者边缘最小水平距离不应小于20.0m；（B类）</w:t>
      </w:r>
    </w:p>
    <w:p w14:paraId="011037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c)机械加压送风机宜采用轴流风机或中、低压离心风机，且风机叶轮旋转方向应正确；（A类）</w:t>
      </w:r>
    </w:p>
    <w:p w14:paraId="144A723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d)传动皮带型风机的防护罩应完好，新风入口的防护网应完好；（C类）</w:t>
      </w:r>
    </w:p>
    <w:p w14:paraId="38CA2F8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e)风机启动后运转平稳，无异常振动与声响。（B类）</w:t>
      </w:r>
    </w:p>
    <w:p w14:paraId="707C582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EF197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检测方法：直观检查。结合启动风机，检查风机运行状态。</w:t>
      </w:r>
    </w:p>
    <w:p w14:paraId="666E4D8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456B1AA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9.15.2.2送风机控制柜</w:t>
      </w:r>
    </w:p>
    <w:p w14:paraId="01519A0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CDF25C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a)风机电源应采用专用消防电源；（A类）</w:t>
      </w:r>
    </w:p>
    <w:p w14:paraId="207531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b)应有明确的标识标明所控制的相应风机，且应有手动、自动转换装置；（B类）</w:t>
      </w:r>
    </w:p>
    <w:p w14:paraId="1156E81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c)应能可靠地现场操作和接收远程指令启动、停止风机；（A类）</w:t>
      </w:r>
    </w:p>
    <w:p w14:paraId="365D597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d)仪表、指示灯显示应正常，开关及控制按钮应灵活可靠。（C类）</w:t>
      </w:r>
    </w:p>
    <w:p w14:paraId="14CE7FF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7E0569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检测方法：直观检查，结合启动风机，操作检查对风机的控制功能。</w:t>
      </w:r>
    </w:p>
    <w:p w14:paraId="03F976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9.15.2.3风道</w:t>
      </w:r>
    </w:p>
    <w:p w14:paraId="6152F1A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检测要求：机械加压送风系统应采用管道送风，且不应采用土建风道，应采用不燃材料制作且内壁光滑。（A类）</w:t>
      </w:r>
    </w:p>
    <w:p w14:paraId="3485C4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w:t>
      </w:r>
    </w:p>
    <w:p w14:paraId="668B244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1AEFB11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9.15.2.4送风口</w:t>
      </w:r>
    </w:p>
    <w:p w14:paraId="5311982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EAB35F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a)正压送风口的规格型号、设置位置应与设计文件相符；（A类）</w:t>
      </w:r>
    </w:p>
    <w:p w14:paraId="18A2A04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b)除直灌式加压送风方式外，防烟楼梯间宜每隔2～3层设置一个常开式百叶送风口；（B类）</w:t>
      </w:r>
    </w:p>
    <w:p w14:paraId="03CB36C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c)前室应每层设置一个常闭式加压送风口，并应设手动开启装置；（A类）</w:t>
      </w:r>
    </w:p>
    <w:p w14:paraId="6A77BAC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d)风口安装应牢固可靠，且不宜设置在被门挡住的部位；（C类）</w:t>
      </w:r>
    </w:p>
    <w:p w14:paraId="3CB0733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e)手动及控制室开启风阀正常，手动复位正常，关闭时应严密，反馈信号应正确。（A类）</w:t>
      </w:r>
    </w:p>
    <w:p w14:paraId="57A6F36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检测数量：每防火分区、每楼层抽检一处。</w:t>
      </w:r>
    </w:p>
    <w:p w14:paraId="3DC02FC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14:paraId="489DB73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9.15.2.5系统功能</w:t>
      </w:r>
    </w:p>
    <w:p w14:paraId="181375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27AB8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a)火灾确认后能自动和手动启动相应区域的送风阀、送风机，并向消防控制室反馈信号；（A类）</w:t>
      </w:r>
    </w:p>
    <w:p w14:paraId="0A0E8C5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b)系统中任一常闭加压风口开启时，加压风机应能自动启动；（A类）</w:t>
      </w:r>
    </w:p>
    <w:p w14:paraId="616F599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c)送风口风速不宜大于7m/s。（B类）</w:t>
      </w:r>
    </w:p>
    <w:p w14:paraId="6ECCEFC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检测数量：每防火分区、每楼层抽检一处。</w:t>
      </w:r>
    </w:p>
    <w:p w14:paraId="008793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测量风口风速，结合联动试验检查系统的控制功能。对常开风口的系统，按照附录C用数字风速计测量各风口风速，计算送风量；对于常闭送风口的系统，打开系统末端相邻三层正压送风口，按附录C用数字风速计测量各风风速，计算送风量。</w:t>
      </w:r>
    </w:p>
    <w:p w14:paraId="3151DD0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检测器具：数字风速计。</w:t>
      </w:r>
    </w:p>
    <w:p w14:paraId="02BA6B9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9.15.3机械排烟系统</w:t>
      </w:r>
    </w:p>
    <w:p w14:paraId="5B4C5F3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9.15.3.1风机</w:t>
      </w:r>
    </w:p>
    <w:p w14:paraId="350B1C5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786FF3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a)排烟风机安装位置应与设计文件相符；（A类）</w:t>
      </w:r>
    </w:p>
    <w:p w14:paraId="19A8E99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b)排烟风机的烟气出口宜朝上，并应高于加压送风机和补风机的进风口；（A类）</w:t>
      </w:r>
    </w:p>
    <w:p w14:paraId="471A917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c)传动皮带型风机的防护罩应完好，且风机出口的防护网应完好；（C类）</w:t>
      </w:r>
    </w:p>
    <w:p w14:paraId="1CE755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d)风机启动后运转平稳，无异常振动与声响；（B类）</w:t>
      </w:r>
    </w:p>
    <w:p w14:paraId="4E852E9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e)风机叶轮旋转方向正确。（A类）</w:t>
      </w:r>
    </w:p>
    <w:p w14:paraId="0F1ECF6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822483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检测方法：对照设计文件，直观检查。结合启动风机，检查风机运行状态。</w:t>
      </w:r>
    </w:p>
    <w:p w14:paraId="5551060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9.15.3.2风机控制柜</w:t>
      </w:r>
    </w:p>
    <w:p w14:paraId="46BBBFE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E0511F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a)风机电源应采用专用消防电源；（A类）</w:t>
      </w:r>
    </w:p>
    <w:p w14:paraId="7C2DE2A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b)风机控制柜应有明确的标识标明所控制的相应风机，且应有手动、自动转换装置；（C类）</w:t>
      </w:r>
    </w:p>
    <w:p w14:paraId="0C2ACC2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c)应能可靠地现场操作和接收远程指令启动、停止风机；（A类）</w:t>
      </w:r>
    </w:p>
    <w:p w14:paraId="4653A67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d)仪表、指示灯显示应正常，开关及控制按钮应灵活可靠。（B类）</w:t>
      </w:r>
    </w:p>
    <w:p w14:paraId="033A2D6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9FC1C7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检测方法：直观检查，结合操作检查对风机的控制功能。</w:t>
      </w:r>
    </w:p>
    <w:p w14:paraId="689CE8C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9.15.3.3风道</w:t>
      </w:r>
    </w:p>
    <w:p w14:paraId="6E6344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检测要求：风道设置位置应与设计文件相符，且不应采用土建风道。排烟管道应采用不燃材料制作</w:t>
      </w:r>
    </w:p>
    <w:p w14:paraId="4CD388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且内壁应光滑。（A类）</w:t>
      </w:r>
    </w:p>
    <w:p w14:paraId="33749B4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w:t>
      </w:r>
    </w:p>
    <w:p w14:paraId="7D54AE2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14:paraId="63A99C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9.15.3.4排烟口</w:t>
      </w:r>
    </w:p>
    <w:p w14:paraId="08938F2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31C3F3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a)风口的规格、型号应与设计文件相符；（A类）</w:t>
      </w:r>
    </w:p>
    <w:p w14:paraId="164683B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b)排烟口宜设置在顶棚或靠近顶棚的墙面上；（B类）</w:t>
      </w:r>
    </w:p>
    <w:p w14:paraId="33F76FA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c)火灾时由火灾自动报警系统联动开启排烟区域的排烟阀或排烟口，应在现场设置手动开启装置，设置在墙面上时，距地面宜为0.8m～1.5m。设置在顶棚下时，距地面宜为1.8m；（B类）</w:t>
      </w:r>
    </w:p>
    <w:p w14:paraId="253769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d)风口安装应牢固可靠；（C类）</w:t>
      </w:r>
    </w:p>
    <w:p w14:paraId="3099CF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e)手动及控制室开启风阀正常，手动复位正常，关闭时应严密，反馈信号应正确；（A类）</w:t>
      </w:r>
    </w:p>
    <w:p w14:paraId="7D9131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f)排烟口与排风口合并设置时，应在排烟口或排风口所在的支管设置自动阀门，该阀门必须具有防火功能，并应与火灾自动报警系统联动。（A类）</w:t>
      </w:r>
    </w:p>
    <w:p w14:paraId="350EF9C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检测数量：每防火分区、每楼层抽检1处。</w:t>
      </w:r>
    </w:p>
    <w:p w14:paraId="6C3C963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检测方法：对照设计文件，尺量、直观检查。</w:t>
      </w:r>
    </w:p>
    <w:p w14:paraId="0C93EEB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6557EE1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9.15.3.5排烟防火阀</w:t>
      </w:r>
    </w:p>
    <w:p w14:paraId="5EDC33C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18ABC4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a)排烟防火阀的设置位置应与设计文件相符，平时处于开启状态；（A类）</w:t>
      </w:r>
    </w:p>
    <w:p w14:paraId="5BCFB2C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b)手动/电动关闭时，能将关闭信号传到消防控制室。（A类）</w:t>
      </w:r>
    </w:p>
    <w:p w14:paraId="3DECC20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检测数量：排烟机入口处全数检测，其他位置按实际安装数量的80%抽检，且不应少于5处，少于5处的全数检测。</w:t>
      </w:r>
    </w:p>
    <w:p w14:paraId="42566CF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检测方法：对照设计文件，直观检查，结合操作检查信号反馈功能。</w:t>
      </w:r>
    </w:p>
    <w:p w14:paraId="0F8C803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9.15.3.6电动排烟窗</w:t>
      </w:r>
    </w:p>
    <w:p w14:paraId="0951170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300BA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a)电动排烟窗的设置位置、规格、数量应与设计文件相符；（A类）</w:t>
      </w:r>
    </w:p>
    <w:p w14:paraId="7D08E8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b)排烟窗安装应牢固可靠；（C类）</w:t>
      </w:r>
    </w:p>
    <w:p w14:paraId="60A3621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c)手动及控制室开启正常，手动复位正常，关闭时应严密，反馈信号应正确。（A类）</w:t>
      </w:r>
    </w:p>
    <w:p w14:paraId="3019C9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检测数量：按实际安装数量的80%抽检，且不应少于5处，少于5处的全数检测。</w:t>
      </w:r>
    </w:p>
    <w:p w14:paraId="782F5BC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检测方法：直观检查，结合操作检查动作性能及信号反馈功能。</w:t>
      </w:r>
    </w:p>
    <w:p w14:paraId="2CC0E84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9.15.3.7系统功能</w:t>
      </w:r>
    </w:p>
    <w:p w14:paraId="25CFBAD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780C3F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a)能自动和手动启动相应区域的排烟阀、排烟风机，并反馈信号；（A类）</w:t>
      </w:r>
    </w:p>
    <w:p w14:paraId="09E6A3B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b)排烟口或排烟阀应能与排烟风机联锁，当任一排烟口或排烟阀开启时，排烟风机应能自行启动，且应在启动排烟风机的同时启动补风风机；（A类）</w:t>
      </w:r>
    </w:p>
    <w:p w14:paraId="166E680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c)当通风与排烟合用风机时，应能自动将风机切换到高速运行状态；（A类）</w:t>
      </w:r>
    </w:p>
    <w:p w14:paraId="30664D1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d)电动排烟窗应能正常开启；（A类）</w:t>
      </w:r>
    </w:p>
    <w:p w14:paraId="3862703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e)排烟口风速不宜大于10m/s；（B类）</w:t>
      </w:r>
    </w:p>
    <w:p w14:paraId="3A6CC4D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f)排烟风机应随设置于风机入口处排烟防火阀的关闭而自动停止。（A类）</w:t>
      </w:r>
    </w:p>
    <w:p w14:paraId="412A21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检测数量：每个防火分区、每个楼层抽检一处。电动排烟窗按实际安装数量的80%抽检，且不应少于5处，少于5处的全数检测。</w:t>
      </w:r>
    </w:p>
    <w:p w14:paraId="1A7C528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检测方法：测量风口风速，结合联动试验检查系统的控制功能。对常开风口的系统，按照附录C用数字风速计测量各风口风速，计算送风量；对于常闭送风口的系统，打开系统末端相邻三层正压送风口，</w:t>
      </w:r>
    </w:p>
    <w:p w14:paraId="20D6F47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按附录C用数字风速计测量各风风速，计算送风量。</w:t>
      </w:r>
    </w:p>
    <w:p w14:paraId="2D57F52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检测器具：数字风速计。</w:t>
      </w:r>
    </w:p>
    <w:p w14:paraId="3143D48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9.15.4电动挡烟垂壁</w:t>
      </w:r>
    </w:p>
    <w:p w14:paraId="3BEFE37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9.15.4.1基本要求</w:t>
      </w:r>
    </w:p>
    <w:p w14:paraId="4E4F87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FC4898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a)挡烟垂壁的标牌应牢固，标识应清楚；（C类）</w:t>
      </w:r>
    </w:p>
    <w:p w14:paraId="601D7A2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b)卷帘式挡烟垂壁的挡烟部件不允许有撕裂、缺角、挖补、破洞、倾斜、跳线、断线、经纬纱密度明显不均匀及色差等缺陷；（C类）</w:t>
      </w:r>
    </w:p>
    <w:p w14:paraId="32A0DC5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c)卷帘式挡烟垂壁的表面应平直、整洁、美观；（C类）</w:t>
      </w:r>
    </w:p>
    <w:p w14:paraId="438BCEC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d)拼接处不允许有错位。（C类）</w:t>
      </w:r>
    </w:p>
    <w:p w14:paraId="3E8FF09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检测数量：按实际安装数量的80%抽检，且不应少于5处，少于5处的全数检测。</w:t>
      </w:r>
    </w:p>
    <w:p w14:paraId="3041119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34865D2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9.15.4.2安装要求</w:t>
      </w:r>
    </w:p>
    <w:p w14:paraId="12487B1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5CC88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a)单节挡烟垂壁的宽度不能满足防烟分区要求时，可用多节垂壁以搭接的形式安装使用，且搭接宽度应满足：</w:t>
      </w:r>
    </w:p>
    <w:p w14:paraId="25603EE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1)卷帘式挡烟垂壁应不小于100mm；（B类）</w:t>
      </w:r>
    </w:p>
    <w:p w14:paraId="6D220F2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2)翻板式挡烟垂壁应不小于20mm。（B类）</w:t>
      </w:r>
    </w:p>
    <w:p w14:paraId="2097EB5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b)挡烟垂壁边沿与建筑物结构表面应保持最小距离，此距离不应大于20mm；（B类）</w:t>
      </w:r>
    </w:p>
    <w:p w14:paraId="505769D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c)卷帘式挡烟垂壁必须设置重量足够的底梁，以保证垂壁运行的顺利、平稳。（C类）</w:t>
      </w:r>
    </w:p>
    <w:p w14:paraId="06F632A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检测数量：按实际安装数量的80%抽检，且不应少于5处，少于5处的全数检测。</w:t>
      </w:r>
    </w:p>
    <w:p w14:paraId="4D756A9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检测方法：尺量检查搭接宽度和距离，直观检查垂壁运行。</w:t>
      </w:r>
    </w:p>
    <w:p w14:paraId="2AF7D6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检测器具：钢直尺、钢卷尺。</w:t>
      </w:r>
    </w:p>
    <w:p w14:paraId="58752B5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9.15.4.3控制与运行</w:t>
      </w:r>
    </w:p>
    <w:p w14:paraId="1FAE46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29497C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a)挡烟垂壁应与感烟探测器联动。当感烟探测器报警后，挡烟垂壁能自动下降至挡烟工作位置，距离顶棚的距离不应小于500mm；（A类）</w:t>
      </w:r>
    </w:p>
    <w:p w14:paraId="09F77C2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b)挡烟垂壁接收到消防控制中心的控制信号后，应能下降至挡烟工作位置；（A类）</w:t>
      </w:r>
    </w:p>
    <w:p w14:paraId="15B4EEB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c)系统断电时，挡烟垂壁能自动下降至挡烟工作位置；（B类）</w:t>
      </w:r>
    </w:p>
    <w:p w14:paraId="10C92CD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d)挡烟垂壁应设置限位装置，当其运行至上、下限位时，能自动停止。（A类）</w:t>
      </w:r>
    </w:p>
    <w:p w14:paraId="25BC298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检测数量：按实际安装数量的80%抽检，且不应少于5处，少于5处的全数检测。</w:t>
      </w:r>
    </w:p>
    <w:p w14:paraId="0B4A726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检测方法：尺量检查降落高度，检查降落时间，直观检查工作状况。</w:t>
      </w:r>
    </w:p>
    <w:p w14:paraId="27A8A76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检测器具：钢卷尺、秒表。</w:t>
      </w:r>
    </w:p>
    <w:p w14:paraId="5243A39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9.16消防应急照明和疏散指示系统</w:t>
      </w:r>
    </w:p>
    <w:p w14:paraId="422FE39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9.16.1一般规定</w:t>
      </w:r>
    </w:p>
    <w:p w14:paraId="00DF57B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3DD13C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a)应急照明控制器、集中电源、应急照明配电箱的设置部位应与设计文件相符；（A类）</w:t>
      </w:r>
    </w:p>
    <w:p w14:paraId="350E997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b)设置在距地面8m及以下的灯具的电压等级及供电方式应与设计文件相符；（B类）</w:t>
      </w:r>
    </w:p>
    <w:p w14:paraId="46EDB87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c)应急照明控制器直接控制灯具的总数量不应大于3200个。（B类）</w:t>
      </w:r>
    </w:p>
    <w:p w14:paraId="05213B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2C3B93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29EA72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a）对照设计文件，核查应急照明控制器、集中电源、应急照明配电箱的设置部位；</w:t>
      </w:r>
    </w:p>
    <w:p w14:paraId="5ED5E28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b）对照设计文件核查灯具的电压等级是否符合以下要求：</w:t>
      </w:r>
    </w:p>
    <w:p w14:paraId="5A0A498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1）应选择A型灯具。</w:t>
      </w:r>
    </w:p>
    <w:p w14:paraId="04A1FF0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2）地面上设置的标志灯应选择集中电源A型灯具。</w:t>
      </w:r>
    </w:p>
    <w:p w14:paraId="7850AE4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3）未设置消防控制室的住宅建筑，疏散走道、楼梯间等场所可选择自带电源B型灯具；</w:t>
      </w:r>
    </w:p>
    <w:p w14:paraId="38C1551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c）核查应急照明控制器连接灯具的数量。</w:t>
      </w:r>
    </w:p>
    <w:p w14:paraId="7B2BC0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9.16.2布线</w:t>
      </w:r>
    </w:p>
    <w:p w14:paraId="35EF438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E30ACF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a)布线选型应与设计文件相符；（A类）</w:t>
      </w:r>
    </w:p>
    <w:p w14:paraId="4752E28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b)同一工程中相同用途电线电缆的颜色应一致。线路正极“+”线应为红色，负极“-”线应为蓝色或黑色，接地线应为黄色绿色相间。（B类）</w:t>
      </w:r>
    </w:p>
    <w:p w14:paraId="7084E7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检测数量：每个防火分区、每个楼层抽检一处。</w:t>
      </w:r>
    </w:p>
    <w:p w14:paraId="758067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14:paraId="46AE7BE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9.16.3应急照明控制器</w:t>
      </w:r>
    </w:p>
    <w:p w14:paraId="1EF67B2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9.16.3.1基本要求</w:t>
      </w:r>
    </w:p>
    <w:p w14:paraId="7E2229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应急照明控制器在消防控制室墙面上设置时，设备主显示屏高度宜为1.5m～1.8m。（C类）</w:t>
      </w:r>
    </w:p>
    <w:p w14:paraId="5E713DE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2C9A0EE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w:t>
      </w:r>
    </w:p>
    <w:p w14:paraId="50D3142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1F60A3C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9.16.3.2功能要求</w:t>
      </w:r>
    </w:p>
    <w:p w14:paraId="643CBE7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DC3F1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a)应急照明控制器应能接收、显示、保持火灾报警控制器的火灾报警输出信号和灯具、集中电源或应急照明配电箱的工作状态信息；（A类）</w:t>
      </w:r>
    </w:p>
    <w:p w14:paraId="58117E1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b)应急照明控制器应有自检、消音、复位、屏蔽功能；（A类）</w:t>
      </w:r>
    </w:p>
    <w:p w14:paraId="3113E0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c)应急照明控制器应设主电源和直流备用电源。当主电源断电时，能自动切换到备用电源。当主电源恢复时，能自动转换到主电源，电源的转换不应使控制器产生误动作。（A类）</w:t>
      </w:r>
    </w:p>
    <w:p w14:paraId="72A9B7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29E334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5BABAC3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a）使火灾报警控制器发出火灾报警输出信号，检查应急照明控制器发出启动信号的情况。在应急照明控制器上查阅相关设备的工作状态信息；</w:t>
      </w:r>
    </w:p>
    <w:p w14:paraId="507C4E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触发自检键，观察控制器面板上所有指示灯、显示器和音响器件是否正常。当报警控制器处于报警状态时，触发消音键，应能消除声报警信号。触发复位键，系统应能恢复正常状态。启动屏蔽或取消屏蔽，观察地址和设备状态；</w:t>
      </w:r>
    </w:p>
    <w:p w14:paraId="5F8DE28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c）进行电源切换测试，直观检查。</w:t>
      </w:r>
    </w:p>
    <w:p w14:paraId="699EB01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14:paraId="2FE4BF6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9.16.4应急照明集中电源</w:t>
      </w:r>
    </w:p>
    <w:p w14:paraId="35E6598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9.16.4.1功能要求</w:t>
      </w:r>
    </w:p>
    <w:p w14:paraId="3F36EE9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检测要求：集中电源应具有自检功能、主、备电源的自动转换功能、故障报警功能、消音功能。</w:t>
      </w:r>
    </w:p>
    <w:p w14:paraId="18377A3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B2B61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操作控制器的自检机构，检查控制器指示灯、显示器和音响器的动作情况。切断主电源，检查备用电源自动投入情况，观察工作指示灯显示情况；恢复主电源，检查主电源自动投入情况，观察工作指示灯显示情况。使集中电源的充电器与电池组之间的连线断路，观察集中电源故障信息显示情况。操作集中电源应急输出启动按钮，使集中电源转入蓄电池电源输出，任一输入回路断开，观察集中电源故障信息显示情况。手动操作集中电源消音键，检查控制器声信号消除情况。</w:t>
      </w:r>
    </w:p>
    <w:p w14:paraId="4A56320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检测器具：数字万用表。</w:t>
      </w:r>
    </w:p>
    <w:p w14:paraId="7217D33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9.16.5应急照明配电箱</w:t>
      </w:r>
    </w:p>
    <w:p w14:paraId="7122A58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9.16.5.1应急照明配电箱基本功能</w:t>
      </w:r>
    </w:p>
    <w:p w14:paraId="62ED93B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B979C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a)主电源分配输出功能：应急照明配电箱的各配电回路的输出电压与设计文件相符；（A类）</w:t>
      </w:r>
    </w:p>
    <w:p w14:paraId="1425DBA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b)集中控制型应急照明配电箱主电源输出关断测试功能：应能手动控制应急照明配电箱切断主电源输出，并能手动控制应急照明配电箱恢复主电源输出；（A类）</w:t>
      </w:r>
    </w:p>
    <w:p w14:paraId="09ED4E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集中控制型应急照明配电箱通信故障连锁控制功能：应急照明控制器与应急照明配电箱通信中断时，应急照明配电箱配接的所有非持续型照明灯的光源应应急点亮、所有有非持续型灯具的光源由节电模式转入应急点亮模式；（A类）</w:t>
      </w:r>
    </w:p>
    <w:p w14:paraId="5C7384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d)集中控制型应急照明配电箱灯具应急状态保持功能：应急照明配电箱配接的灯具处于应急工作状态时，任一灯具回路的短路、断路不应影响该回路和其他回路灯具的应急工作状态。（A类）</w:t>
      </w:r>
    </w:p>
    <w:p w14:paraId="3AE8B6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4005B6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035D53F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a)处于主电源输出时，分别用万用表测量各回路输出电压，对照设计文件核对电压测量值；</w:t>
      </w:r>
    </w:p>
    <w:p w14:paraId="1400A5B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b)分别手动操作应急照明配电箱的主电源输出关断测试按键或开关和主电源输出恢复按键或开关检查应急照明配电箱主电源输出的状态；</w:t>
      </w:r>
    </w:p>
    <w:p w14:paraId="23E04BC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c）使控制器与应急照明配电箱通信故障，对照设计文件和疏散指示方案检查灯具光源点亮情况；</w:t>
      </w:r>
    </w:p>
    <w:p w14:paraId="5433152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d)使应急照明配电箱配接的灯具处于应急工作状态，任意选取一个回路，分别使该回路短路、断路，观察灯具的工作状态。</w:t>
      </w:r>
    </w:p>
    <w:p w14:paraId="0A7FBD3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检测器具：数字万用表。</w:t>
      </w:r>
    </w:p>
    <w:p w14:paraId="1A97FB8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9.16.6应急照明灯具和疏散指示标志灯具</w:t>
      </w:r>
    </w:p>
    <w:p w14:paraId="206EFBE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1CB099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a)灯具的设置数量和设置部位应与设计文件相符；（A类）</w:t>
      </w:r>
    </w:p>
    <w:p w14:paraId="7B550F1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b)自带电源型灯具采用插头连接时，应采用专用工具方可拆卸；（B类）</w:t>
      </w:r>
    </w:p>
    <w:p w14:paraId="190A625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c)照明灯不应安装在地面上；（C类）</w:t>
      </w:r>
    </w:p>
    <w:p w14:paraId="3349EBF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d)方向标志灯箭头的指示方向应按照疏散指示方案指向疏散方向，并导向安全出口；（A类）</w:t>
      </w:r>
    </w:p>
    <w:p w14:paraId="5FD42D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e)安装高度距地面不大于1m时，灯具表面凸出墙面或柱面的部分不应有尖锐角、毛刺等突出物，凸出墙面或柱面最大水平距离不应超过20mm。（C类）</w:t>
      </w:r>
    </w:p>
    <w:p w14:paraId="612E8A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FE0A13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21967C9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a)对照设计文件，直观检查。尺量检查灯光疏散指示标志是否符合以下要求：</w:t>
      </w:r>
    </w:p>
    <w:p w14:paraId="0C0D8D7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1）灯光疏散指示标志的间距不应大于20m。</w:t>
      </w:r>
    </w:p>
    <w:p w14:paraId="3D32202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2）对于袋形走道，不应大于10m。</w:t>
      </w:r>
    </w:p>
    <w:p w14:paraId="239662F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3）在走道转角区，不应大于1.0m。</w:t>
      </w:r>
    </w:p>
    <w:p w14:paraId="6EDD622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b）</w:t>
      </w:r>
      <w:r>
        <w:rPr>
          <w:rFonts w:hint="eastAsia" w:ascii="宋体" w:hAnsi="宋体" w:cs="宋体"/>
          <w:color w:val="000000"/>
          <w:sz w:val="24"/>
          <w:szCs w:val="24"/>
          <w:highlight w:val="none"/>
        </w:rPr>
        <w:t>对于人民防空工程应符合以下要求：</w:t>
      </w:r>
    </w:p>
    <w:p w14:paraId="29E4F01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1）沿墙面设置的疏散标志灯距地面不应大于1.0m，间距不应大于15m。</w:t>
      </w:r>
    </w:p>
    <w:p w14:paraId="603ACD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2）设置在疏散走道上方的疏散标志灯的方向指示应与疏散通道垂直，其大小应与建筑空间相协调。标志灯下边缘距室内地面不应大于2.5m，且应设置在风管等设备管道的下部。</w:t>
      </w:r>
    </w:p>
    <w:p w14:paraId="4631A3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3）沿地面设置的灯光型疏散方向标志的间距不宜大于3.0m，蓄光型发光标志的间距不宜大于2.0m。b）～d）直观检查；e)尺量。</w:t>
      </w:r>
    </w:p>
    <w:p w14:paraId="4BBE3B6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检测器具：钢卷尺、激光测距仪。</w:t>
      </w:r>
    </w:p>
    <w:p w14:paraId="4F04C8D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9.16.7系统功能</w:t>
      </w:r>
    </w:p>
    <w:p w14:paraId="571C65C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9.16.7.1集中控制型</w:t>
      </w:r>
    </w:p>
    <w:p w14:paraId="54D4B71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9.16.7.1.1系统自动应急启动功能</w:t>
      </w:r>
    </w:p>
    <w:p w14:paraId="7F5DF5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BF3914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a)系统内所有的非持续型照明灯的光源应应急点亮、持续型灯具的光源应由节电点亮模式转入应急点亮模式；（A类）</w:t>
      </w:r>
    </w:p>
    <w:p w14:paraId="50040F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b)B型（额定输出电压大于DC36V）集中电源应转入蓄电池电源输出、B型应急照明配电箱（注释）应切断主电源输出；（A类）</w:t>
      </w:r>
    </w:p>
    <w:p w14:paraId="56090E1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c)A型（额定输出电压不大于DC36V）集中电源、A型应急照明配电箱应保持主电源输出。切断集中电源的主电源，集中电源应自动转入蓄电池电源输出；（A类）</w:t>
      </w:r>
    </w:p>
    <w:p w14:paraId="067FB09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d)要借用相邻防火分区疏散的防火分区中标志灯指示状态的改变功能应与设计文件相符。（A类）</w:t>
      </w:r>
    </w:p>
    <w:p w14:paraId="4783EA8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4AF3868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258176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a）按照附录B要求，使火灾报警控制器发出火灾报警输出信号，检查应急照明控制器发出启动信号的情况；</w:t>
      </w:r>
    </w:p>
    <w:p w14:paraId="76135B1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b）对照疏散指示方案，检查该区域灯具光源点亮情况。检查系统中配接B型集中电源、B型应急照明配电箱的工作状态；</w:t>
      </w:r>
    </w:p>
    <w:p w14:paraId="3CFD18C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c）检查A型集中电源、A型应急照明配电箱的工作状态，切断系统的主电源供电，再次检查A型集中电源、A型应急照明配电箱的工作状态；</w:t>
      </w:r>
    </w:p>
    <w:p w14:paraId="790B0F4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根据系统设计文件的规定，使消防联动控制器发出被借用防火分区的火灾报警区域信号，标志灯具的指示状态改变功能应符合下列规定：应急照明控制器应发出控制标志灯指示状态改变的启动信号，显示启动时间。该防火分区内，按不可借用相邻防火分区疏散工况条件对应的疏散指示方案，需要变换指示方向的方向标志灯应改变箭头指示方向，通向被借用防火分区入口的出口标志灯的“出口指示标志”的光源应熄灭、“禁止入内”指示标志的光源应应急点亮。该防火分区内其他标志灯的工作状态应保持不变。</w:t>
      </w:r>
    </w:p>
    <w:p w14:paraId="5A8E36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14:paraId="4F9F4F9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9.16.7.1.2系统手动应急启动功能</w:t>
      </w:r>
    </w:p>
    <w:p w14:paraId="7DDE62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14C674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a)系统内所有的非持续型照明灯的光源应应急点亮、持续型灯具的光源应由节电点亮模式转入应急点亮模式；（A类）</w:t>
      </w:r>
    </w:p>
    <w:p w14:paraId="2754EB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b)集中电源应转入蓄电池电源输出、应急照明配电箱应切断主电源的输出。（A类）</w:t>
      </w:r>
    </w:p>
    <w:p w14:paraId="280248C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9ABCE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检测方法：手动操作应急照明控制器的一键启动按钮，检查应急照明控制器发出启动信号的情况。对照疏散指示方案，检查该区域灯具光源的点亮情况。检查集中电源或应急照明配电箱的工作状态。</w:t>
      </w:r>
    </w:p>
    <w:p w14:paraId="35B8F53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9.16.7.2非集中控制型</w:t>
      </w:r>
    </w:p>
    <w:p w14:paraId="5AFB2A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9.16.7.2.1系统自动应急启动功能</w:t>
      </w:r>
    </w:p>
    <w:p w14:paraId="01D8A75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检测要求：在设置区域火灾报警系统的场所，系统的自动应急启动功能应符合下列规定：</w:t>
      </w:r>
    </w:p>
    <w:p w14:paraId="107104E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a)灯具采用集中电源供电时，集中电源应转入蓄电池电源输出，其所配接的所有非持续型照明灯的光源应应急点亮、持续型灯具的光源应由节电点亮模式转入应急点亮模式；（B类）</w:t>
      </w:r>
    </w:p>
    <w:p w14:paraId="7AF38D8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b)灯具采用自带蓄电池供电时，应急照明配电箱应切断主电源输出，其所配接的所有非持续型照明灯的光源应应急点亮、持续型灯具的光源应由节电点亮模式转入应急点亮模式。（B类）</w:t>
      </w:r>
    </w:p>
    <w:p w14:paraId="2465D5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26FC945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检测方法：对照设计文件，使火灾报警控制器发出火灾报警输出信号，对照疏散指示方案，检查该区域灯具的点亮情况。</w:t>
      </w:r>
    </w:p>
    <w:p w14:paraId="0D92CB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9.16.7.2.2系统手动应急启动功能</w:t>
      </w:r>
    </w:p>
    <w:p w14:paraId="5D8F459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检测要求：系统的手动应急启动功能应符合下列规定：</w:t>
      </w:r>
    </w:p>
    <w:p w14:paraId="5548A90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灯具采用集中电源供电时，手动操作集中电源的应急启动控制按钮，集中电源应转入蓄电池电源输出，其所配接的所有非持续型照明灯的光源应应急点亮、持续型灯具的光源应由节电点亮模式转入应急点亮模式；（B类）</w:t>
      </w:r>
    </w:p>
    <w:p w14:paraId="54ED9B3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灯具采用自带蓄电池供电时，手动操作应急照明配电箱的应急启动控制按钮，应急照明配电箱应切断主电源输出，其所配接的所有非持续型照明灯的光源应应急点亮、持续型灯具的光源应由节电点亮模式转入应急点亮模式。（B类）</w:t>
      </w:r>
    </w:p>
    <w:p w14:paraId="662B5DC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901A6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检测方法：手动操作集中电源或应急照明配电箱的应急启动按钮，检查集中电源或应急照明配电箱的工作状态，检查该区域灯具光源的点亮情况。</w:t>
      </w:r>
    </w:p>
    <w:p w14:paraId="2434488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9.17防火分隔设施</w:t>
      </w:r>
    </w:p>
    <w:p w14:paraId="5272853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9.17.1防火门电动控制装置</w:t>
      </w:r>
    </w:p>
    <w:p w14:paraId="5034E7F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9.17.1.1安装要求</w:t>
      </w:r>
    </w:p>
    <w:p w14:paraId="6F916FC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154869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a)常开防火门应安装火灾时能自动关闭门扇的控制、信号反馈装置和现场手动控制装置；（A类）</w:t>
      </w:r>
    </w:p>
    <w:p w14:paraId="0308D13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b)电动开门器的手动控制按钮应设置在防火门内侧墙面上，距门不宜超过0.5m，底边距地面高度宜为0.9m～1.3m。（C类）</w:t>
      </w:r>
    </w:p>
    <w:p w14:paraId="2FEBCCC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14:paraId="2450617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46E83CD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a）对照设计文件，直观检查；</w:t>
      </w:r>
    </w:p>
    <w:p w14:paraId="2CA2A2F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b）尺量。</w:t>
      </w:r>
    </w:p>
    <w:p w14:paraId="5D80FE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4627487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9.17.1.2基本功能</w:t>
      </w:r>
    </w:p>
    <w:p w14:paraId="0464FCE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447BDE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a)常开防火门任意一侧的火灾探测器报警后应自动关闭，并应将关闭信号反馈至消防控制室；（B类）</w:t>
      </w:r>
    </w:p>
    <w:p w14:paraId="23901E5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b)常开防火门接到消防控制室手动发出的关闭指令后应自动关闭，并应将关闭信号反馈至消防控制室；（B类）</w:t>
      </w:r>
    </w:p>
    <w:p w14:paraId="4E8B21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c)常开防火门接到现场手动发出的关闭指令后应自动关闭，并应将关闭信号反馈至消防控制室；（B类）</w:t>
      </w:r>
    </w:p>
    <w:p w14:paraId="587A6EE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d)设置在疏散通道上、并设有出入口控制系统的防火门，应能手动和自动解除出入口控制系统。（A类）</w:t>
      </w:r>
    </w:p>
    <w:p w14:paraId="15761EC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14:paraId="5E1AC20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7B28CCB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a）模拟火灾报警信号，观察防火门动作情况及消防控制室信号显示情况；</w:t>
      </w:r>
    </w:p>
    <w:p w14:paraId="1A66B0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b）在消防控制室启动防火门关闭功能，观察防火门动作情况及消防控制室信号显示情况；</w:t>
      </w:r>
    </w:p>
    <w:p w14:paraId="76D24E8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c）现场手动启动防火门关闭装置，观察防火门动作情况及消防控制室信号显示情况；</w:t>
      </w:r>
    </w:p>
    <w:p w14:paraId="0C2C1A0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d）对照设计及产品说明书，手动和自动测试，观察解除是否有效。</w:t>
      </w:r>
    </w:p>
    <w:p w14:paraId="14BE311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9.17.2防火窗窗扇启闭控制装置</w:t>
      </w:r>
    </w:p>
    <w:p w14:paraId="2837502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9.17.2.1安装要求</w:t>
      </w:r>
    </w:p>
    <w:p w14:paraId="0457EF6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检测要求：活动式防火窗应装配火灾时能控制窗扇自动关闭的温控释放装置，窗扇启闭控制装置、温控释放装置的安装应与设计文件相符，并应位置明显，便于操作。（B类）</w:t>
      </w:r>
    </w:p>
    <w:p w14:paraId="4A43DCD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检测数量：按实际安装数量的80%抽检，且不少于5处，少于5处的全数检测。</w:t>
      </w:r>
    </w:p>
    <w:p w14:paraId="191E400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检测方法：对照设计，直观检查。</w:t>
      </w:r>
    </w:p>
    <w:p w14:paraId="4E4408A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9.17.2.2基本功能</w:t>
      </w:r>
    </w:p>
    <w:p w14:paraId="4B0D2A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9.17.2.2.1现场手动控制功能</w:t>
      </w:r>
    </w:p>
    <w:p w14:paraId="6C621EA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检测要求：现场手动启动防火窗窗扇启闭控制装置时，活动窗扇应启、闭灵活，关闭严密，无卡阻现象。（A类）</w:t>
      </w:r>
    </w:p>
    <w:p w14:paraId="653D589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检测数量：按实际安装数量的80%抽检，且不少于5处。少于5处的全数检测。</w:t>
      </w:r>
    </w:p>
    <w:p w14:paraId="5A0658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22581F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9.17.2.2.2温控释放装置控制功能</w:t>
      </w:r>
    </w:p>
    <w:p w14:paraId="339AD70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检测要求：安装在活动式防火窗上的温控释放装置动作后，活动式防火窗应在60s内自动关闭。（A类）</w:t>
      </w:r>
    </w:p>
    <w:p w14:paraId="4047A84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检测数量：同一类温控释放装置抽检1～2个。</w:t>
      </w:r>
    </w:p>
    <w:p w14:paraId="0D30BDE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检测方法：切断电源，加热温控释放装置，使其热敏感元件动作，观察防火窗动作情况，用秒表测试关闭时间。试验前，应准备备用的温控释放装置，试验后，应重新安装。</w:t>
      </w:r>
    </w:p>
    <w:p w14:paraId="22EC806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w:t>
      </w:r>
    </w:p>
    <w:p w14:paraId="69BE35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9.17.2.2.3远程手动控制功能</w:t>
      </w:r>
    </w:p>
    <w:p w14:paraId="128E88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检测要求：活动式防火窗，接到消防控制室发出的关闭指令后，应自动关闭，并应将关闭信号反馈至消防控制室。（A类）</w:t>
      </w:r>
    </w:p>
    <w:p w14:paraId="4126B6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检测数量：按实际安装数量的80%抽检，且不少于5处，少于5处的全数检测。</w:t>
      </w:r>
    </w:p>
    <w:p w14:paraId="6E32A4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检测方法：在消防控制室启动防火窗关闭功能，观察防火窗动作情况及消防控制室信号显示情况。</w:t>
      </w:r>
    </w:p>
    <w:p w14:paraId="36D537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9.17.2.2.4自动控制功能</w:t>
      </w:r>
    </w:p>
    <w:p w14:paraId="32A8196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检测要求：活动式防火窗，其任意一侧的火灾探测器报警后，应自动关闭，并应将关闭信号反馈至消防控制室。（A类）</w:t>
      </w:r>
    </w:p>
    <w:p w14:paraId="7FE7DC3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检测数量：按实际安装数量的80%抽检，且不少于5处，少于5处的全数检测。</w:t>
      </w:r>
    </w:p>
    <w:p w14:paraId="4CB61D7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检测方法：模拟火灾报警信号，观察防火窗动作情况及消防控制室信号显示情况。</w:t>
      </w:r>
    </w:p>
    <w:p w14:paraId="25676F8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14:paraId="5201217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9.17.3电动防火阀</w:t>
      </w:r>
    </w:p>
    <w:p w14:paraId="28F41C0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65C6FC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a)电动防火阀手动关闭和复位应操作方便、灵活、可靠；（A类）</w:t>
      </w:r>
    </w:p>
    <w:p w14:paraId="064CBFF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b)电动防火阀应能在消防控制室的远程关闭或火警时联动关闭，并将关闭信号传至消防控制室。（A类）</w:t>
      </w:r>
    </w:p>
    <w:p w14:paraId="66839C2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检测数量：按实际安装数量的80%抽检，且不少于5个，少于5个的全数检测。</w:t>
      </w:r>
    </w:p>
    <w:p w14:paraId="459434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4E3B41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a）手动试验，直观检查；</w:t>
      </w:r>
    </w:p>
    <w:p w14:paraId="4342C0D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b）模拟火灾信号和在消防控制室远程手动操作，观察防火阀动作情况及消防控制室信号显示情况。</w:t>
      </w:r>
    </w:p>
    <w:p w14:paraId="1B12D7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14:paraId="0026C7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9.17.4防火卷帘</w:t>
      </w:r>
    </w:p>
    <w:p w14:paraId="11379CE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9.17.4.1基本要求</w:t>
      </w:r>
    </w:p>
    <w:p w14:paraId="064302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56F89D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a)组件应齐全完好，规格、型号应与设计文件相符；（B类）</w:t>
      </w:r>
    </w:p>
    <w:p w14:paraId="5AB753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b)钢制卷帘帘面不允许有缝隙、裂纹及明显压坑；（B类）</w:t>
      </w:r>
    </w:p>
    <w:p w14:paraId="48EA78E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无机纤维复合卷帘帘面不允许有撕裂、缺角、挖补、破洞、倾斜、跳线、断线、经纬纱密度明显不匀及色差等缺陷。夹板应平直，夹持应牢固，基布的经向应是帘面的受力方向，帘面应美观、平直、整洁。（B类）</w:t>
      </w:r>
    </w:p>
    <w:p w14:paraId="5015A95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14:paraId="400B06E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0DBF78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a)对照设计文件；</w:t>
      </w:r>
    </w:p>
    <w:p w14:paraId="27BE615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b)c)直观检查。</w:t>
      </w:r>
    </w:p>
    <w:p w14:paraId="136658E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9.17.4.2防火卷帘控制装置及组件</w:t>
      </w:r>
    </w:p>
    <w:p w14:paraId="1476049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05D29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a)防火卷帘应装配温控释放装置，释放装置动作后，卷帘应依自重下降关闭；（B类）</w:t>
      </w:r>
    </w:p>
    <w:p w14:paraId="57F8E9A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b)控制器应设主电源和直流备用电源。主、备电源转换应正常。主、备电源转换时不应使控制器发生误动作。主电源应采用专用供电回路供电；（A类）</w:t>
      </w:r>
    </w:p>
    <w:p w14:paraId="3B43CF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c)防火卷帘两侧均应安装火灾探测器组和手动按钮盒。当防火卷帘一侧为无人场所时，防火卷帘有人侧应安装火灾探测器组和手动按钮盒；（B类）</w:t>
      </w:r>
    </w:p>
    <w:p w14:paraId="3139E2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d)手动按钮盒的安装应牢固可靠，其底边距地面高度宜为1.3m～1.5m；（C类）</w:t>
      </w:r>
    </w:p>
    <w:p w14:paraId="0EE52A3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e)疏散通道上的卷帘的任一侧距卷帘纵深0.5m～5m内应设置不少于2只专门用于联动防火卷帘的感温火灾探测器。（B类）</w:t>
      </w:r>
    </w:p>
    <w:p w14:paraId="74F89A7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14:paraId="1360687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27534D9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a)～c)直观检查；</w:t>
      </w:r>
    </w:p>
    <w:p w14:paraId="056C0A1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d)e)尺量。</w:t>
      </w:r>
    </w:p>
    <w:p w14:paraId="3120B3D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289A2B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9.17.4.3安装要求</w:t>
      </w:r>
    </w:p>
    <w:p w14:paraId="0EA807D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70412A2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a)帘板嵌入导轨的深度：</w:t>
      </w:r>
    </w:p>
    <w:p w14:paraId="20E8CC7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1)卷帘内幅宽小于3m时，每端嵌入轨道内最小深度为45mm；（B类）</w:t>
      </w:r>
    </w:p>
    <w:p w14:paraId="40AFE7E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2)卷帘内幅宽不小于3m且小于5m时，每端嵌入轨道内最小深度为50mm；（B类）</w:t>
      </w:r>
    </w:p>
    <w:p w14:paraId="159DFA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3)帘板内幅宽不小于5m且小于9m时，每端嵌入轨道内最小深度为60mm；（B类）</w:t>
      </w:r>
    </w:p>
    <w:p w14:paraId="152C60B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4)帘板内幅不小于9mm时，导轨间距每增加1000mm，每端嵌入深度应增加10mm，且卷帘安装后不应变形。（B类）</w:t>
      </w:r>
    </w:p>
    <w:p w14:paraId="1BDD351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b)座板与地面应平行、接触应均匀，座板与地面间隙不大于20mm；（C类）</w:t>
      </w:r>
    </w:p>
    <w:p w14:paraId="44A791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c)防火防烟卷帘导轨和门楣内应设置防烟装置；（B类）</w:t>
      </w:r>
    </w:p>
    <w:p w14:paraId="7E808E8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d)防火卷帘上方应有箱体或其它能防止火灾蔓延的防火保护措施。（B类）</w:t>
      </w:r>
    </w:p>
    <w:p w14:paraId="1710E6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14:paraId="2FD014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a)测量每樘帘面的內幅宽度，再测量嵌入导轨的深度，防火卷帘帘面嵌入导轨的深度采用直尺测量，测量点为每根导轨距其底部200mm处，取较小值，判定是否符合检测要求。测量图示见附录D；b)尺量；c)d)直观检查。</w:t>
      </w:r>
    </w:p>
    <w:p w14:paraId="554166C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w:t>
      </w:r>
    </w:p>
    <w:p w14:paraId="305560B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9.17.4.4运行性能</w:t>
      </w:r>
    </w:p>
    <w:p w14:paraId="05E399F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043637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a)卷帘应升降自如，运行时应平稳顺畅、无卡涩现象；（B类）</w:t>
      </w:r>
    </w:p>
    <w:p w14:paraId="6969156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b)防火卷帘控制器应具备通电功能、备用电源、火灾报警功能、故障报警功能、自动控制功能、手动控制功能和自重下降功能；（A类）</w:t>
      </w:r>
    </w:p>
    <w:p w14:paraId="389AFF9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c)防火卷帘装配完成后，帘面在导轨内运行应平稳，不应有脱轨和明显的倾斜现象。双帘面卷帘的两个帘面应同时升降，两个帘面之间的高度差不应大于50mm。（B类）</w:t>
      </w:r>
    </w:p>
    <w:p w14:paraId="0D93D94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检测数量：按实际安装数量的80%抽检，且不少于5樘，少于5樘的全数检测。</w:t>
      </w:r>
    </w:p>
    <w:p w14:paraId="011FBD7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5F6EEB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a)直观检查；</w:t>
      </w:r>
    </w:p>
    <w:p w14:paraId="7977B5C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直观检查通电功能。备用电源功能是切断防火卷帘控制器的主电源，然后再切断卷门机主电源，观察防火卷帘动作、运行情况。火灾报警功能使火灾探测器组发出火灾报警信号，观察防火卷帘控制器的声、光报警情况。故障报警功能使任意断开电源一相或对调电源的任意两相，手动操作防火卷帘控制器按钮，观察防火卷帘动作情况及防火卷帘控制器报警情况，断开火灾探测器与防火卷帘控制器的连接线，观察防火卷帘控制器报警情况。自动控制功能分别使火灾探测器组发出半降、全降信号，观察防火卷帘控制器声、光报警和防火卷帘动作、运行情况以及消防控制室防火卷帘动作状态信号显示情况。手动试验控制功能。自重下降功能切断卷门机电源，按下防火卷帘控制器下降按钮，观察防火卷帘动作、运行情况；</w:t>
      </w:r>
    </w:p>
    <w:p w14:paraId="1C7C94A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c)手动检查，用钢卷尺测量双帘面卷帘的两个帘面之间的高度差。</w:t>
      </w:r>
    </w:p>
    <w:p w14:paraId="0C97C1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检测器具：钢直尺、钢卷尺、感烟（温）探测器功能试验器。</w:t>
      </w:r>
    </w:p>
    <w:p w14:paraId="21DD6F0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9.17.4.5系统功能</w:t>
      </w:r>
    </w:p>
    <w:p w14:paraId="1AEB6CB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9.17.4.5.1疏散通道上的卷帘控制要求</w:t>
      </w:r>
    </w:p>
    <w:p w14:paraId="00F961A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300A76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a)防火分区内任两只独立的感烟火灾探测器或任一只专门用于联动防火卷帘的感烟火灾探测器的报警信号应联动控制防火卷帘下降至距楼板面1.8m处，相关的火灾探测器动作后，控制卷帘下降到底；（A类）</w:t>
      </w:r>
    </w:p>
    <w:p w14:paraId="3003706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b)任一只专门用于联动防火卷帘的感温火灾探测器的报警信号应联动控制防火卷帘下降到楼板面。（A类）</w:t>
      </w:r>
    </w:p>
    <w:p w14:paraId="5F97ACB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38E620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04F9224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用于疏散通道的防火卷帘控制器应具有两步关闭的功能，并应向消防联动控制器发出反馈信号。防火卷帘控制器接收到首次火灾报警信号后，应能控制防火卷帘自动关闭到中位处停止。接收到二次报警信号后，应能控制防火卷帘继续关闭至全闭状态；</w:t>
      </w:r>
    </w:p>
    <w:p w14:paraId="39F13F8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b)触发一个专用于防火卷帘的感温探测器，查看防火卷帘是否下降到楼板面。</w:t>
      </w:r>
    </w:p>
    <w:p w14:paraId="3D30291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检测器具：钢卷尺、感烟（温）探测器功能试验器。</w:t>
      </w:r>
    </w:p>
    <w:p w14:paraId="123548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9.17.4.5.2非疏散通道上卷帘控制要求</w:t>
      </w:r>
    </w:p>
    <w:p w14:paraId="6688C75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检测要求：防火卷帘所在防火分区内任两只独立的火灾探测器的报警信号，作为防火卷帘下降的联动触发信号，并应联动控制防火卷帘直接下降到楼板面。（A类）</w:t>
      </w:r>
    </w:p>
    <w:p w14:paraId="3C9001B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68B00D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检测方法：接收到防火分区内任两只独立的火灾探测器的报警信号后，应能控制防火卷帘到全关闭状态，并应向消防联动控制器发出反馈信号。</w:t>
      </w:r>
    </w:p>
    <w:p w14:paraId="4BAB1EB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检测器具：感烟（温）探测器功能试验器。</w:t>
      </w:r>
    </w:p>
    <w:p w14:paraId="26EED5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9.18电气火灾监控系统</w:t>
      </w:r>
    </w:p>
    <w:p w14:paraId="0091F4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9.18.1一般规定</w:t>
      </w:r>
    </w:p>
    <w:p w14:paraId="765CAF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检测要求：电气火灾报警系统的设置部位及探测器类型应与设计文件相符。（A类）</w:t>
      </w:r>
    </w:p>
    <w:p w14:paraId="2BE8E7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FE933B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14:paraId="4DB5269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9.18.2监控设备</w:t>
      </w:r>
    </w:p>
    <w:p w14:paraId="4CEFAE9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9.18.2.1监控设备功能</w:t>
      </w:r>
    </w:p>
    <w:p w14:paraId="2C89EE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D7768D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a)监控设备应能接收来自探测器的监控报警信号，并在30s内发出声、光报警信号，指示报警部位，记录报警时间，并予以保持，直至手动复位；（A类）</w:t>
      </w:r>
    </w:p>
    <w:p w14:paraId="5B4D04D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b)当监控设备发生下述故障时，应能在100s内发出与监控报警信号有明显区别的声光故障信号：</w:t>
      </w:r>
    </w:p>
    <w:p w14:paraId="5C9FD8D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1)监控设备与探测器之间的连接线断路、短路；（B类）</w:t>
      </w:r>
    </w:p>
    <w:p w14:paraId="4C637C0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2)监控设备主电源欠压；（B类）</w:t>
      </w:r>
    </w:p>
    <w:p w14:paraId="3861F57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3)给备用电源充电的充电器与备用电源间连接线的断路、短路。（B类）</w:t>
      </w:r>
    </w:p>
    <w:p w14:paraId="0E245A1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c)监控设备应有主电源和备用电源转换装置。当主电源断电时，能自动切换到备用电源。当主电源恢复时，能自动转换到主电源；（A类）</w:t>
      </w:r>
    </w:p>
    <w:p w14:paraId="6C8714C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d)主、备电源的转换不应使监控设备发出报警信号。（B类）</w:t>
      </w:r>
    </w:p>
    <w:p w14:paraId="39EA48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231EF3A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检测方法：秒表检查系统响应时间，直观检查。</w:t>
      </w:r>
    </w:p>
    <w:p w14:paraId="3A1592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w:t>
      </w:r>
    </w:p>
    <w:p w14:paraId="707FFA5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9.18.3电气火灾探测器</w:t>
      </w:r>
    </w:p>
    <w:p w14:paraId="262F65D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9.18.3.1安装要求</w:t>
      </w:r>
    </w:p>
    <w:p w14:paraId="2AF891C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6FB1EC7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a)探测器周围应适当留出更换与标定的作业空间；（C类）</w:t>
      </w:r>
    </w:p>
    <w:p w14:paraId="6C681B2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b)测温式电气火灾监控探测器应采用产品配套的固定装置固定在保护对象上。（C类）</w:t>
      </w:r>
    </w:p>
    <w:p w14:paraId="7ED37FC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56CFD5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3937E2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9.18.3.2剩余电流式电气火灾监控探测器</w:t>
      </w:r>
    </w:p>
    <w:p w14:paraId="5914C4C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22FA4C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a)当被保护电路剩余电流达到报警设定值时，探测器的报警确认灯应在30s内点亮；（A类）</w:t>
      </w:r>
    </w:p>
    <w:p w14:paraId="4ECB6DE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b)探测器报警时应能发出声、光报警信号，并予以保持，直至手动复位。（A类）</w:t>
      </w:r>
    </w:p>
    <w:p w14:paraId="290E23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DA13CF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检测方法：连接漏电电流测试仪和探测器调节工作电流，直观检查。</w:t>
      </w:r>
    </w:p>
    <w:p w14:paraId="771450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检测器具：秒表、剩余电流发生器。</w:t>
      </w:r>
    </w:p>
    <w:p w14:paraId="11E2A1E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9.18.3.3测温式电气火灾监控探测器</w:t>
      </w:r>
    </w:p>
    <w:p w14:paraId="6BC29F3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256E58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a)探测器的报警值应设定在55℃～140℃的范围内；（B类）</w:t>
      </w:r>
    </w:p>
    <w:p w14:paraId="36C656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b)当被监视部位温度达到报警设定值时，探测器的报警确认灯应在40s内点亮；（A类）</w:t>
      </w:r>
    </w:p>
    <w:p w14:paraId="31CF39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c)探测器报警时应能发出声、光报警信号，并予以保持，直至手动复位。（B类）</w:t>
      </w:r>
    </w:p>
    <w:p w14:paraId="646D2FC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检测数量：随机选取3个非连续检测段。</w:t>
      </w:r>
    </w:p>
    <w:p w14:paraId="1AA6359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检测方法：给探测器加热，查看其动作状态。</w:t>
      </w:r>
    </w:p>
    <w:p w14:paraId="09F2E5A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检测器具：秒表、发热试验装置。</w:t>
      </w:r>
    </w:p>
    <w:p w14:paraId="5B0736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9.18.4电气火灾报警系统功能</w:t>
      </w:r>
    </w:p>
    <w:p w14:paraId="43CA746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检测要求：准确报出报警地址。（A类）</w:t>
      </w:r>
    </w:p>
    <w:p w14:paraId="45EE37E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9AAD53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检测方法：结合探测器报警功能试验，检查功能。</w:t>
      </w:r>
    </w:p>
    <w:p w14:paraId="1D8DB9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9.19可燃气体探测报警系统</w:t>
      </w:r>
    </w:p>
    <w:p w14:paraId="7A56DCE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9.19.1一般规定</w:t>
      </w:r>
    </w:p>
    <w:p w14:paraId="72D1071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检测要求：可燃气体探测报警系统应独立组成，可燃气体探测器不应接入火灾报警控制器的探测器回路。当可燃气体的报警信号需接入火灾自动报警系统时，应由可燃气体报警控制器接入。（A类）</w:t>
      </w:r>
    </w:p>
    <w:p w14:paraId="2BF97C2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25827B5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14:paraId="61E0FB2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9.19.2可燃气体报警控制器</w:t>
      </w:r>
    </w:p>
    <w:p w14:paraId="6DA0AB7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9.19.2.1控制器设置部位</w:t>
      </w:r>
    </w:p>
    <w:p w14:paraId="79856E8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检测要求：当与火灾自动报警系统联网时，可燃气体报警控制器可设置在保护区域附近。当无消防控制室或不与火灾自动报警系统联网时，可燃气体报警控制器应设置在有人值班的场所。（A类）</w:t>
      </w:r>
    </w:p>
    <w:p w14:paraId="746042E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6DC828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w:t>
      </w:r>
    </w:p>
    <w:p w14:paraId="1D0126C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9.19.2.2控制器基本功能</w:t>
      </w:r>
    </w:p>
    <w:p w14:paraId="0B5FA0F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47A936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a)控制器应有自检、消音、复位、屏蔽功能；（A类）</w:t>
      </w:r>
    </w:p>
    <w:p w14:paraId="23B9514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b)控制器与探测器之间或者控制器与备用电源之间的连线断路和短路时，控制器应在100s内发出故障信号；（A类）</w:t>
      </w:r>
    </w:p>
    <w:p w14:paraId="0BE172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c)在故障状态下，使任一非故障探测器发出报警信号，控制器应在1min内发出报警信号，并应记录报警时间。再使其他探测器发出报警信号，检查控制器的再次报警功能；（A类）</w:t>
      </w:r>
    </w:p>
    <w:p w14:paraId="09707DF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d)主、备电源的自动转换功能。（A类）</w:t>
      </w:r>
    </w:p>
    <w:p w14:paraId="7B8FA6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66EACE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w:t>
      </w:r>
    </w:p>
    <w:p w14:paraId="3A15DF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触发自检键，观察控制器面板上所有指示灯、显示器和音响器件是否正常。当报警控制器处于报警状态时，触发消音键，应能消除声报警信号。触发复位键，系统应能恢复正常状态。启动屏蔽或取消屏蔽，观察地址和设备状态；</w:t>
      </w:r>
    </w:p>
    <w:p w14:paraId="4815AA2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b）模拟部件故障，用秒表记录故障报警时间；</w:t>
      </w:r>
    </w:p>
    <w:p w14:paraId="3D8DB70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c）手动消音后，再次模拟一个报警信号，查看控制器显示情况；</w:t>
      </w:r>
    </w:p>
    <w:p w14:paraId="78E3D5A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d）当主电源断电时，能自动切换到备用电源。当主电源恢复时，能自动转换到主电源，电源的转换不应使控制器产生误动作。</w:t>
      </w:r>
    </w:p>
    <w:p w14:paraId="694B01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w:t>
      </w:r>
    </w:p>
    <w:p w14:paraId="74E2ED9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9.19.3可燃气体探测器</w:t>
      </w:r>
    </w:p>
    <w:p w14:paraId="6B6C834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9.19.3.1基本要求</w:t>
      </w:r>
    </w:p>
    <w:p w14:paraId="4E3210E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检测要求：可燃气体探测器的类型、规格应与设计文件相符。（A类）</w:t>
      </w:r>
    </w:p>
    <w:p w14:paraId="43BF94A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检测数量：按实际安装数量的100%检测。检测方法：对照设计文件。</w:t>
      </w:r>
    </w:p>
    <w:p w14:paraId="1C02663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9.19.3.2可燃气体探测器安装</w:t>
      </w:r>
    </w:p>
    <w:p w14:paraId="5C490D9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5E54295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a)探测器的底座应安装牢固，与导线连接必须可靠压接或焊接；（C类）</w:t>
      </w:r>
    </w:p>
    <w:p w14:paraId="76798EC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b)线型可燃气体探测器在安装时，应使发射器和接收器的窗口避免日光直射，且在发射器与接收器之间不应有遮挡物，发射器和接收器的距离不宜大于60m，两组探测器之间的轴线距离不应大于1m；（C类）</w:t>
      </w:r>
    </w:p>
    <w:p w14:paraId="343301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c)在探测器周围应适当留出更换和标定的空间。（C类）</w:t>
      </w:r>
    </w:p>
    <w:p w14:paraId="69DF1B2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146F0C1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检测方法：尺量、直观检查。</w:t>
      </w:r>
    </w:p>
    <w:p w14:paraId="60CADD3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检测器具：激光测距仪、钢卷尺。</w:t>
      </w:r>
    </w:p>
    <w:p w14:paraId="378232A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9.19.3.3可燃气体探测器报警功能</w:t>
      </w:r>
    </w:p>
    <w:p w14:paraId="27CBA34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检测要求：探测器在被监测区域内的可燃气体浓度达到报警设定值时，应能发出报警信号。（A类）</w:t>
      </w:r>
    </w:p>
    <w:p w14:paraId="1B37C1A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7AC03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检测方法：向探测器施加样本气体，查看探测器的报警功能。</w:t>
      </w:r>
    </w:p>
    <w:p w14:paraId="41BBD8C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检测器具：便携式可燃气体检测仪。</w:t>
      </w:r>
    </w:p>
    <w:p w14:paraId="500657D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9.19.3.4可燃气体探测器报警地址编码</w:t>
      </w:r>
    </w:p>
    <w:p w14:paraId="08AA3BF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检测要求：探测器或探测器接口编码应与竣工图标识、控制器显示相对应。（B类）</w:t>
      </w:r>
    </w:p>
    <w:p w14:paraId="080097F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38443C1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检测方法：结合探测器火灾报警功能试验，检验报警地址编码是否正确。</w:t>
      </w:r>
    </w:p>
    <w:p w14:paraId="2AFEA6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检测器具：便携式可燃气体检测仪。</w:t>
      </w:r>
    </w:p>
    <w:p w14:paraId="5994FB4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9.20消防电源监控系统</w:t>
      </w:r>
    </w:p>
    <w:p w14:paraId="01A9A6F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9.20.1一般规定</w:t>
      </w:r>
    </w:p>
    <w:p w14:paraId="2688D6A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06EBFCB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a)监控器应设置在消防控制室内，未设置消防控制室时，应设置在有人值班的场所；（B类）</w:t>
      </w:r>
    </w:p>
    <w:p w14:paraId="58738A7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b)传感器设置数量和位置应与设计文件相符。（C类）</w:t>
      </w:r>
    </w:p>
    <w:p w14:paraId="196610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7DA83B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检测方法：对照设计文件，直观检查。</w:t>
      </w:r>
    </w:p>
    <w:p w14:paraId="1CF73D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9.20.2安装要求</w:t>
      </w:r>
    </w:p>
    <w:p w14:paraId="78587B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4C0F05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a)传感器与裸带电导体应保证安全距离，金属外壳的传感器应有保护接地；（B类）</w:t>
      </w:r>
    </w:p>
    <w:p w14:paraId="329D0C6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b)传感器应独立支撑或固定，应安装牢固，并应采取防潮、防腐蚀等措施；（C类）</w:t>
      </w:r>
    </w:p>
    <w:p w14:paraId="03AF392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c)传感器输出回路的连接线应留有不小于150mm的余量，其端部应设置明显的永久性标识；（C类）</w:t>
      </w:r>
    </w:p>
    <w:p w14:paraId="1610454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d)传感器的安装不应破坏被监控线路的完整性，不应增加线路接点。（C类）</w:t>
      </w:r>
    </w:p>
    <w:p w14:paraId="60775C5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51EF088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检测方法：直观检查。</w:t>
      </w:r>
    </w:p>
    <w:p w14:paraId="499CC7E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9.20.3系统功能</w:t>
      </w:r>
    </w:p>
    <w:p w14:paraId="78BF5FA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检测要求：</w:t>
      </w:r>
    </w:p>
    <w:p w14:paraId="1C67FE7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a)监控器的电源部分应具有主电源和备用电源转换功能，并应有主、备电源工作状态指示；（C类）</w:t>
      </w:r>
    </w:p>
    <w:p w14:paraId="5E7CD51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b)监控器应能接收并显示其监控的所有消防设备的主电源和备用电源的实时工作状态信息；（B类）</w:t>
      </w:r>
    </w:p>
    <w:p w14:paraId="38D7404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c)监控器在下述状况下，应能在100s内发出故障声、光信号，显示并记录故障的部位、类型和时间：</w:t>
      </w:r>
    </w:p>
    <w:p w14:paraId="53658F9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1)被监控的消防设备供电中断；（A类）</w:t>
      </w:r>
    </w:p>
    <w:p w14:paraId="0EF600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2)监控器与连接的外部部件间连接的断路、短路和影响系统功能的接地。（A类）</w:t>
      </w:r>
    </w:p>
    <w:p w14:paraId="376400A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检测数量：按实际安装数量的100%检测。</w:t>
      </w:r>
    </w:p>
    <w:p w14:paraId="0180848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检测方法：结合设备部件报警功能试验，查看功能。</w:t>
      </w:r>
    </w:p>
    <w:p w14:paraId="74C87E7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检测器具：秒表。</w:t>
      </w:r>
    </w:p>
    <w:p w14:paraId="483A3FF2">
      <w:pPr>
        <w:spacing w:line="360" w:lineRule="auto"/>
        <w:ind w:right="2" w:firstLine="480" w:firstLineChars="200"/>
        <w:rPr>
          <w:rFonts w:hint="eastAsia" w:ascii="宋体" w:hAnsi="宋体" w:cs="宋体"/>
          <w:color w:val="000000"/>
          <w:sz w:val="24"/>
          <w:szCs w:val="24"/>
          <w:highlight w:val="none"/>
        </w:rPr>
        <w:sectPr>
          <w:pgSz w:w="11910" w:h="16840"/>
          <w:pgMar w:top="1440" w:right="1803" w:bottom="1440" w:left="1803" w:header="720" w:footer="720" w:gutter="0"/>
          <w:cols w:space="720" w:num="1"/>
        </w:sectPr>
      </w:pPr>
    </w:p>
    <w:p w14:paraId="7F5978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(五)建筑电气防火技术检测评定规程</w:t>
      </w:r>
    </w:p>
    <w:p w14:paraId="466FBDF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检测一般要求</w:t>
      </w:r>
    </w:p>
    <w:p w14:paraId="164DB9C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1.1一般规定</w:t>
      </w:r>
    </w:p>
    <w:p w14:paraId="10083D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1.1.1检测仪器应经过法定计量检定机构检定、校验合格并在有效期内。</w:t>
      </w:r>
    </w:p>
    <w:p w14:paraId="3995127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1.1.2检测仪器的最低配置和主要技术性能参数见附录A(规范性附录)。</w:t>
      </w:r>
    </w:p>
    <w:p w14:paraId="293996E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1.1.3检测人员在现场进行检测时，应与被测目标保持一定的安全距离，并应遵守带电作业安全的有关规定。</w:t>
      </w:r>
    </w:p>
    <w:p w14:paraId="5D55D1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1.1.4隐蔽工程及材料的阻燃性能可由监理方提供签单或受检测方提供合格证明。</w:t>
      </w:r>
    </w:p>
    <w:p w14:paraId="255D547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1.1.5检测时所依据的设计文件必须合法，检测前检测人员应充分熟悉设计文件的要求。</w:t>
      </w:r>
    </w:p>
    <w:p w14:paraId="5569BBA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1.2抽样原则</w:t>
      </w:r>
    </w:p>
    <w:p w14:paraId="119254E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1.2.1变配电设备、低压配电柜(箱)以及功率不小于10kW的用电设备应全部检测；一般用电电器如低压用电设备、照明装置、开关、插座等抽检率不低于70%;规模较小场所内所有电气设备全部检测。</w:t>
      </w:r>
    </w:p>
    <w:p w14:paraId="3A1B15E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1.2.2电气线路的敷设应按照楼层或防火分区进行，每楼层、防火分区至少抽检1处。</w:t>
      </w:r>
    </w:p>
    <w:p w14:paraId="52AB948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1.3检验项目的电气火灾危险性分类</w:t>
      </w:r>
    </w:p>
    <w:p w14:paraId="45AF81E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1.3.1A类项(关键项)Thekeyitems</w:t>
      </w:r>
    </w:p>
    <w:p w14:paraId="76647B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存在严重火灾危险，若不及时整改可能引发火灾。</w:t>
      </w:r>
    </w:p>
    <w:p w14:paraId="5A47C52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1.3.2B类项(主要项)Themainitems</w:t>
      </w:r>
    </w:p>
    <w:p w14:paraId="313B78E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存在较严重火灾危险，引发火灾的可能性较大。</w:t>
      </w:r>
    </w:p>
    <w:p w14:paraId="7FBE7AA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1.3.3C类项(一般项)Generalitems</w:t>
      </w:r>
    </w:p>
    <w:p w14:paraId="5B3B60F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存在一般火灾危险，长时间运行可能引发火灾。</w:t>
      </w:r>
    </w:p>
    <w:p w14:paraId="7F73614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变配电设备</w:t>
      </w:r>
    </w:p>
    <w:p w14:paraId="6DE0BFB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2.1变配电所的设置</w:t>
      </w:r>
    </w:p>
    <w:p w14:paraId="35C692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2.1.1变配电所设置位置应符合设计文件。</w:t>
      </w:r>
    </w:p>
    <w:p w14:paraId="333B872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2.1.2高、低压配电室和变压器室、电容器室、控制室内不应有与其无关的管道和线路通过。</w:t>
      </w:r>
    </w:p>
    <w:p w14:paraId="0C81A3A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2.1.3变压器室、电容器室采用机械通风时，通风管道应采用非燃烧材料制作。</w:t>
      </w:r>
    </w:p>
    <w:p w14:paraId="56F60AD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2.1.4变压器室、配电室、电容器室等应设置防止雨、雪和蛇、鼠类小动物从采光窗、通风窗、门、电缆沟等进入室内的设施。</w:t>
      </w:r>
    </w:p>
    <w:p w14:paraId="6BE7B3D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2.1.5在配电室内裸导体正上方，不应布置灯具和明敷线路。</w:t>
      </w:r>
    </w:p>
    <w:p w14:paraId="6E79334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2.1.6在配电室内裸导体上方布置灯具时，灯具与裸导体的水平间距不应小于1.0m,灯具不得采用吊链和软线吊装。</w:t>
      </w:r>
    </w:p>
    <w:p w14:paraId="3037354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2.2变压器的设置</w:t>
      </w:r>
    </w:p>
    <w:p w14:paraId="7847E84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2.2.1变压器的安装位置应符合设计文件。</w:t>
      </w:r>
    </w:p>
    <w:p w14:paraId="3FB3AA2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2.2.2变压器应无锈蚀及机械损伤。</w:t>
      </w:r>
    </w:p>
    <w:p w14:paraId="789F169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2.2.3油浸变压器的吸湿器与储油柜间的连接管的密封应良好。</w:t>
      </w:r>
    </w:p>
    <w:p w14:paraId="3CC1B7A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2.2.4油浸变压器的吸湿剂应干燥。</w:t>
      </w:r>
    </w:p>
    <w:p w14:paraId="4C9E10B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2.2.5油量为1000kg及以上的油浸电力变压器下面应设置储存变压器全部油量的事故储油设施。</w:t>
      </w:r>
    </w:p>
    <w:p w14:paraId="6AC1C88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2.2.6油浸变压器油位正常，无渗油现象。</w:t>
      </w:r>
    </w:p>
    <w:p w14:paraId="67E9479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2.2.7变压器低压部位连接点(含端子)引线接头、母线连接处、电缆终端头的温升不应超过表1、表2的规定。</w:t>
      </w:r>
    </w:p>
    <w:p w14:paraId="05E7619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表1交流低压母线装置各部位的允许温升值</w:t>
      </w:r>
    </w:p>
    <w:p w14:paraId="4281014F">
      <w:pPr>
        <w:spacing w:line="360" w:lineRule="auto"/>
        <w:ind w:right="2" w:firstLine="480" w:firstLineChars="200"/>
        <w:rPr>
          <w:rFonts w:hint="eastAsia" w:ascii="宋体" w:hAnsi="宋体" w:cs="宋体"/>
          <w:color w:val="000000"/>
          <w:sz w:val="24"/>
          <w:szCs w:val="24"/>
          <w:highlight w:val="none"/>
        </w:rPr>
      </w:pPr>
    </w:p>
    <w:tbl>
      <w:tblPr>
        <w:tblStyle w:val="167"/>
        <w:tblW w:w="981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3"/>
        <w:gridCol w:w="2717"/>
        <w:gridCol w:w="5021"/>
      </w:tblGrid>
      <w:tr w14:paraId="079F3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4790" w:type="dxa"/>
            <w:gridSpan w:val="2"/>
          </w:tcPr>
          <w:p w14:paraId="38AF349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部位</w:t>
            </w:r>
          </w:p>
        </w:tc>
        <w:tc>
          <w:tcPr>
            <w:tcW w:w="5021" w:type="dxa"/>
          </w:tcPr>
          <w:p w14:paraId="1B8A9FE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周围空气温度为40℃的允许温升(K)</w:t>
            </w:r>
          </w:p>
        </w:tc>
      </w:tr>
      <w:tr w14:paraId="263D7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2073" w:type="dxa"/>
            <w:vMerge w:val="restart"/>
            <w:tcBorders>
              <w:bottom w:val="nil"/>
            </w:tcBorders>
          </w:tcPr>
          <w:p w14:paraId="1519F888">
            <w:pPr>
              <w:spacing w:line="360" w:lineRule="auto"/>
              <w:ind w:right="2" w:firstLine="480" w:firstLineChars="200"/>
              <w:rPr>
                <w:rFonts w:hint="eastAsia" w:ascii="宋体" w:hAnsi="宋体" w:cs="宋体"/>
                <w:color w:val="000000"/>
                <w:sz w:val="24"/>
                <w:szCs w:val="24"/>
                <w:highlight w:val="none"/>
              </w:rPr>
            </w:pPr>
          </w:p>
          <w:p w14:paraId="0C82FE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母线上插接式</w:t>
            </w:r>
          </w:p>
          <w:p w14:paraId="3D8FB2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触点</w:t>
            </w:r>
          </w:p>
        </w:tc>
        <w:tc>
          <w:tcPr>
            <w:tcW w:w="2717" w:type="dxa"/>
          </w:tcPr>
          <w:p w14:paraId="37C366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铜母线</w:t>
            </w:r>
          </w:p>
        </w:tc>
        <w:tc>
          <w:tcPr>
            <w:tcW w:w="5021" w:type="dxa"/>
          </w:tcPr>
          <w:p w14:paraId="2DACA0B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60</w:t>
            </w:r>
          </w:p>
        </w:tc>
      </w:tr>
      <w:tr w14:paraId="07E0B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073" w:type="dxa"/>
            <w:vMerge w:val="continue"/>
            <w:tcBorders>
              <w:top w:val="nil"/>
            </w:tcBorders>
          </w:tcPr>
          <w:p w14:paraId="6D890898">
            <w:pPr>
              <w:spacing w:line="360" w:lineRule="auto"/>
              <w:ind w:right="2" w:firstLine="480" w:firstLineChars="200"/>
              <w:rPr>
                <w:rFonts w:hint="eastAsia" w:ascii="宋体" w:hAnsi="宋体" w:cs="宋体"/>
                <w:color w:val="000000"/>
                <w:sz w:val="24"/>
                <w:szCs w:val="24"/>
                <w:highlight w:val="none"/>
              </w:rPr>
            </w:pPr>
          </w:p>
        </w:tc>
        <w:tc>
          <w:tcPr>
            <w:tcW w:w="2717" w:type="dxa"/>
          </w:tcPr>
          <w:p w14:paraId="025FD51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注：镀锡铝母线</w:t>
            </w:r>
          </w:p>
        </w:tc>
        <w:tc>
          <w:tcPr>
            <w:tcW w:w="5021" w:type="dxa"/>
          </w:tcPr>
          <w:p w14:paraId="55B4008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w:t>
            </w:r>
          </w:p>
        </w:tc>
      </w:tr>
      <w:tr w14:paraId="2DFC3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2073" w:type="dxa"/>
            <w:vMerge w:val="restart"/>
            <w:tcBorders>
              <w:bottom w:val="nil"/>
            </w:tcBorders>
          </w:tcPr>
          <w:p w14:paraId="421C4500">
            <w:pPr>
              <w:spacing w:line="360" w:lineRule="auto"/>
              <w:ind w:right="2" w:firstLine="480" w:firstLineChars="200"/>
              <w:rPr>
                <w:rFonts w:hint="eastAsia" w:ascii="宋体" w:hAnsi="宋体" w:cs="宋体"/>
                <w:color w:val="000000"/>
                <w:sz w:val="24"/>
                <w:szCs w:val="24"/>
                <w:highlight w:val="none"/>
              </w:rPr>
            </w:pPr>
          </w:p>
          <w:p w14:paraId="463F5479">
            <w:pPr>
              <w:spacing w:line="360" w:lineRule="auto"/>
              <w:ind w:right="2" w:firstLine="480" w:firstLineChars="200"/>
              <w:rPr>
                <w:rFonts w:hint="eastAsia" w:ascii="宋体" w:hAnsi="宋体" w:cs="宋体"/>
                <w:color w:val="000000"/>
                <w:sz w:val="24"/>
                <w:szCs w:val="24"/>
                <w:highlight w:val="none"/>
              </w:rPr>
            </w:pPr>
          </w:p>
          <w:p w14:paraId="4A6628F4">
            <w:pPr>
              <w:spacing w:line="360" w:lineRule="auto"/>
              <w:ind w:right="2" w:firstLine="480" w:firstLineChars="200"/>
              <w:rPr>
                <w:rFonts w:hint="eastAsia" w:ascii="宋体" w:hAnsi="宋体" w:cs="宋体"/>
                <w:color w:val="000000"/>
                <w:sz w:val="24"/>
                <w:szCs w:val="24"/>
                <w:highlight w:val="none"/>
              </w:rPr>
            </w:pPr>
          </w:p>
          <w:p w14:paraId="1634C843">
            <w:pPr>
              <w:spacing w:line="360" w:lineRule="auto"/>
              <w:ind w:right="2" w:firstLine="480" w:firstLineChars="200"/>
              <w:rPr>
                <w:rFonts w:hint="eastAsia" w:ascii="宋体" w:hAnsi="宋体" w:cs="宋体"/>
                <w:color w:val="000000"/>
                <w:sz w:val="24"/>
                <w:szCs w:val="24"/>
                <w:highlight w:val="none"/>
              </w:rPr>
            </w:pPr>
          </w:p>
          <w:p w14:paraId="39F6D765">
            <w:pPr>
              <w:spacing w:line="360" w:lineRule="auto"/>
              <w:ind w:right="2" w:firstLine="480" w:firstLineChars="200"/>
              <w:rPr>
                <w:rFonts w:hint="eastAsia" w:ascii="宋体" w:hAnsi="宋体" w:cs="宋体"/>
                <w:color w:val="000000"/>
                <w:sz w:val="24"/>
                <w:szCs w:val="24"/>
                <w:highlight w:val="none"/>
              </w:rPr>
            </w:pPr>
          </w:p>
          <w:p w14:paraId="4FDC4A4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母线相互连接处</w:t>
            </w:r>
          </w:p>
        </w:tc>
        <w:tc>
          <w:tcPr>
            <w:tcW w:w="2717" w:type="dxa"/>
          </w:tcPr>
          <w:p w14:paraId="676D79E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铜-铜</w:t>
            </w:r>
          </w:p>
        </w:tc>
        <w:tc>
          <w:tcPr>
            <w:tcW w:w="5021" w:type="dxa"/>
          </w:tcPr>
          <w:p w14:paraId="3ADAF0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20</w:t>
            </w:r>
          </w:p>
        </w:tc>
      </w:tr>
      <w:tr w14:paraId="63142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2073" w:type="dxa"/>
            <w:vMerge w:val="continue"/>
            <w:tcBorders>
              <w:top w:val="nil"/>
              <w:bottom w:val="nil"/>
            </w:tcBorders>
          </w:tcPr>
          <w:p w14:paraId="276C01C1">
            <w:pPr>
              <w:spacing w:line="360" w:lineRule="auto"/>
              <w:ind w:right="2" w:firstLine="480" w:firstLineChars="200"/>
              <w:rPr>
                <w:rFonts w:hint="eastAsia" w:ascii="宋体" w:hAnsi="宋体" w:cs="宋体"/>
                <w:color w:val="000000"/>
                <w:sz w:val="24"/>
                <w:szCs w:val="24"/>
                <w:highlight w:val="none"/>
              </w:rPr>
            </w:pPr>
          </w:p>
        </w:tc>
        <w:tc>
          <w:tcPr>
            <w:tcW w:w="2717" w:type="dxa"/>
          </w:tcPr>
          <w:p w14:paraId="2229EBC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铜搪锡--铜搪锡</w:t>
            </w:r>
          </w:p>
        </w:tc>
        <w:tc>
          <w:tcPr>
            <w:tcW w:w="5021" w:type="dxa"/>
          </w:tcPr>
          <w:p w14:paraId="27D22C1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60</w:t>
            </w:r>
          </w:p>
        </w:tc>
      </w:tr>
      <w:tr w14:paraId="79572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073" w:type="dxa"/>
            <w:vMerge w:val="continue"/>
            <w:tcBorders>
              <w:top w:val="nil"/>
              <w:bottom w:val="nil"/>
            </w:tcBorders>
          </w:tcPr>
          <w:p w14:paraId="110262DD">
            <w:pPr>
              <w:spacing w:line="360" w:lineRule="auto"/>
              <w:ind w:right="2" w:firstLine="480" w:firstLineChars="200"/>
              <w:rPr>
                <w:rFonts w:hint="eastAsia" w:ascii="宋体" w:hAnsi="宋体" w:cs="宋体"/>
                <w:color w:val="000000"/>
                <w:sz w:val="24"/>
                <w:szCs w:val="24"/>
                <w:highlight w:val="none"/>
              </w:rPr>
            </w:pPr>
          </w:p>
        </w:tc>
        <w:tc>
          <w:tcPr>
            <w:tcW w:w="2717" w:type="dxa"/>
          </w:tcPr>
          <w:p w14:paraId="215A41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铜镀银--铝搪银</w:t>
            </w:r>
          </w:p>
        </w:tc>
        <w:tc>
          <w:tcPr>
            <w:tcW w:w="5021" w:type="dxa"/>
          </w:tcPr>
          <w:p w14:paraId="13B6144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80</w:t>
            </w:r>
          </w:p>
        </w:tc>
      </w:tr>
      <w:tr w14:paraId="4AA6C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2073" w:type="dxa"/>
            <w:vMerge w:val="continue"/>
            <w:tcBorders>
              <w:top w:val="nil"/>
              <w:bottom w:val="nil"/>
            </w:tcBorders>
          </w:tcPr>
          <w:p w14:paraId="18D08757">
            <w:pPr>
              <w:spacing w:line="360" w:lineRule="auto"/>
              <w:ind w:right="2" w:firstLine="480" w:firstLineChars="200"/>
              <w:rPr>
                <w:rFonts w:hint="eastAsia" w:ascii="宋体" w:hAnsi="宋体" w:cs="宋体"/>
                <w:color w:val="000000"/>
                <w:sz w:val="24"/>
                <w:szCs w:val="24"/>
                <w:highlight w:val="none"/>
              </w:rPr>
            </w:pPr>
          </w:p>
        </w:tc>
        <w:tc>
          <w:tcPr>
            <w:tcW w:w="2717" w:type="dxa"/>
          </w:tcPr>
          <w:p w14:paraId="3314399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铝搪锡--铝搪锡</w:t>
            </w:r>
          </w:p>
        </w:tc>
        <w:tc>
          <w:tcPr>
            <w:tcW w:w="5021" w:type="dxa"/>
          </w:tcPr>
          <w:p w14:paraId="6AD1B06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w:t>
            </w:r>
          </w:p>
        </w:tc>
      </w:tr>
      <w:tr w14:paraId="12639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073" w:type="dxa"/>
            <w:vMerge w:val="continue"/>
            <w:tcBorders>
              <w:top w:val="nil"/>
            </w:tcBorders>
          </w:tcPr>
          <w:p w14:paraId="3AC25F55">
            <w:pPr>
              <w:spacing w:line="360" w:lineRule="auto"/>
              <w:ind w:right="2" w:firstLine="480" w:firstLineChars="200"/>
              <w:rPr>
                <w:rFonts w:hint="eastAsia" w:ascii="宋体" w:hAnsi="宋体" w:cs="宋体"/>
                <w:color w:val="000000"/>
                <w:sz w:val="24"/>
                <w:szCs w:val="24"/>
                <w:highlight w:val="none"/>
              </w:rPr>
            </w:pPr>
          </w:p>
        </w:tc>
        <w:tc>
          <w:tcPr>
            <w:tcW w:w="2717" w:type="dxa"/>
          </w:tcPr>
          <w:p w14:paraId="113A4F4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铝搪锡--铜搪锡</w:t>
            </w:r>
          </w:p>
        </w:tc>
        <w:tc>
          <w:tcPr>
            <w:tcW w:w="5021" w:type="dxa"/>
          </w:tcPr>
          <w:p w14:paraId="55E725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w:t>
            </w:r>
          </w:p>
        </w:tc>
      </w:tr>
    </w:tbl>
    <w:p w14:paraId="2B047A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表2低压电器与外部连接的接线端子的允许温升值</w:t>
      </w:r>
    </w:p>
    <w:p w14:paraId="4067BBBF">
      <w:pPr>
        <w:spacing w:line="360" w:lineRule="auto"/>
        <w:ind w:right="2" w:firstLine="480" w:firstLineChars="200"/>
        <w:rPr>
          <w:rFonts w:hint="eastAsia" w:ascii="宋体" w:hAnsi="宋体" w:cs="宋体"/>
          <w:color w:val="000000"/>
          <w:sz w:val="24"/>
          <w:szCs w:val="24"/>
          <w:highlight w:val="none"/>
        </w:rPr>
      </w:pPr>
    </w:p>
    <w:tbl>
      <w:tblPr>
        <w:tblStyle w:val="167"/>
        <w:tblW w:w="95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0"/>
        <w:gridCol w:w="4790"/>
      </w:tblGrid>
      <w:tr w14:paraId="03EA7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4780" w:type="dxa"/>
          </w:tcPr>
          <w:p w14:paraId="647E965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接线端子材料</w:t>
            </w:r>
          </w:p>
        </w:tc>
        <w:tc>
          <w:tcPr>
            <w:tcW w:w="4790" w:type="dxa"/>
          </w:tcPr>
          <w:p w14:paraId="44DC12F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周围空气温度为40℃的允许温升(K)</w:t>
            </w:r>
          </w:p>
        </w:tc>
      </w:tr>
      <w:tr w14:paraId="0E8CA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780" w:type="dxa"/>
          </w:tcPr>
          <w:p w14:paraId="5308812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裸铜</w:t>
            </w:r>
          </w:p>
        </w:tc>
        <w:tc>
          <w:tcPr>
            <w:tcW w:w="4790" w:type="dxa"/>
          </w:tcPr>
          <w:p w14:paraId="62A499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60</w:t>
            </w:r>
          </w:p>
        </w:tc>
      </w:tr>
      <w:tr w14:paraId="72C25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4780" w:type="dxa"/>
          </w:tcPr>
          <w:p w14:paraId="7590B13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裸黄铜</w:t>
            </w:r>
          </w:p>
        </w:tc>
        <w:tc>
          <w:tcPr>
            <w:tcW w:w="4790" w:type="dxa"/>
          </w:tcPr>
          <w:p w14:paraId="7BD65D0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w:t>
            </w:r>
          </w:p>
        </w:tc>
      </w:tr>
    </w:tbl>
    <w:p w14:paraId="456687B2">
      <w:pPr>
        <w:spacing w:line="360" w:lineRule="auto"/>
        <w:ind w:right="2" w:firstLine="480" w:firstLineChars="200"/>
        <w:rPr>
          <w:rFonts w:hint="eastAsia" w:ascii="宋体" w:hAnsi="宋体" w:cs="宋体"/>
          <w:color w:val="000000"/>
          <w:sz w:val="24"/>
          <w:szCs w:val="24"/>
          <w:highlight w:val="none"/>
        </w:rPr>
      </w:pPr>
    </w:p>
    <w:tbl>
      <w:tblPr>
        <w:tblStyle w:val="167"/>
        <w:tblW w:w="95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0"/>
        <w:gridCol w:w="4770"/>
      </w:tblGrid>
      <w:tr w14:paraId="1C2E2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790" w:type="dxa"/>
          </w:tcPr>
          <w:p w14:paraId="670782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铜(或黄铜)镀锡</w:t>
            </w:r>
          </w:p>
        </w:tc>
        <w:tc>
          <w:tcPr>
            <w:tcW w:w="4770" w:type="dxa"/>
          </w:tcPr>
          <w:p w14:paraId="57527D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w:t>
            </w:r>
          </w:p>
        </w:tc>
      </w:tr>
      <w:tr w14:paraId="1EA23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790" w:type="dxa"/>
          </w:tcPr>
          <w:p w14:paraId="25B461F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注：铜(或黄铜)镀银或镀镍</w:t>
            </w:r>
          </w:p>
        </w:tc>
        <w:tc>
          <w:tcPr>
            <w:tcW w:w="4770" w:type="dxa"/>
          </w:tcPr>
          <w:p w14:paraId="0C6AB7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70</w:t>
            </w:r>
          </w:p>
        </w:tc>
      </w:tr>
    </w:tbl>
    <w:p w14:paraId="72565D4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2.2.8各部位接地应可靠，紧固件及防松零件应齐全。</w:t>
      </w:r>
    </w:p>
    <w:p w14:paraId="0195717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2.2.9变压器接地线路的接地电阻值应符合设计文件。</w:t>
      </w:r>
    </w:p>
    <w:p w14:paraId="4A32B6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2.3并联低压电容器装置设置</w:t>
      </w:r>
    </w:p>
    <w:p w14:paraId="3DDE81F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2.3.1电容器装置的设置位置应符合设计文件。</w:t>
      </w:r>
    </w:p>
    <w:p w14:paraId="22D6CBB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2.3.2电容器外表应无锈蚀，所有接缝不应有裂缝或渗油。</w:t>
      </w:r>
    </w:p>
    <w:p w14:paraId="11DF213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2.3.3电容器外壳应无凹凸或渗油现象。</w:t>
      </w:r>
    </w:p>
    <w:p w14:paraId="13783F0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2.3.4引出端子连接应牢固，垫圈、螺母应齐全。</w:t>
      </w:r>
    </w:p>
    <w:p w14:paraId="560F8F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2.3.5回路中熔断器熔体的额定电流应符合设计文件。</w:t>
      </w:r>
    </w:p>
    <w:p w14:paraId="739ADED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2.3.6电容器外壳及构架的接地应可靠。</w:t>
      </w:r>
    </w:p>
    <w:p w14:paraId="7F62348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2.3.7运行中的电容器应无打火放电现象。</w:t>
      </w:r>
    </w:p>
    <w:p w14:paraId="6FA0AB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2.3.8运行中的电容器接线端子的温升应符合本规范表2要求。</w:t>
      </w:r>
    </w:p>
    <w:p w14:paraId="4EAB140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2.4检测数量要求：按现场实际数量的100%检测</w:t>
      </w:r>
    </w:p>
    <w:p w14:paraId="00BC888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3.</w:t>
      </w:r>
      <w:r>
        <w:rPr>
          <w:rFonts w:hint="eastAsia" w:ascii="宋体" w:hAnsi="宋体" w:cs="宋体"/>
          <w:color w:val="000000"/>
          <w:sz w:val="24"/>
          <w:szCs w:val="24"/>
          <w:highlight w:val="none"/>
        </w:rPr>
        <w:t>低压配电柜(箱)</w:t>
      </w:r>
    </w:p>
    <w:p w14:paraId="48F0FD0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3.1一般技术要求</w:t>
      </w:r>
    </w:p>
    <w:p w14:paraId="42C223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3.1.1配电柜(箱)不应采用可燃材料制作。</w:t>
      </w:r>
    </w:p>
    <w:p w14:paraId="14EB08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3.1.2配电柜(箱)周围0.3m内不应堆放杂物。</w:t>
      </w:r>
    </w:p>
    <w:p w14:paraId="75CCF8A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3.1.3配电柜(箱)箱体不应直接安装在低于B1级的装修材料上。</w:t>
      </w:r>
    </w:p>
    <w:p w14:paraId="1483620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3.1.4配电柜(箱)的金属框架及基础型钢应接地可靠。</w:t>
      </w:r>
    </w:p>
    <w:p w14:paraId="5670DBE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3.1.5装有电器的可开启门，门和框架的接地端子间应用铜线连接，且应有标识。</w:t>
      </w:r>
    </w:p>
    <w:p w14:paraId="52F00F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3.1.6落地式安装配电柜底部高出地面不应小于20mm。</w:t>
      </w:r>
    </w:p>
    <w:p w14:paraId="78E4B92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3.1.7落地式安装配电柜(箱)底座周围应采取密封措施，并应能防止鼠、蛇类等小动物进入箱内。</w:t>
      </w:r>
    </w:p>
    <w:p w14:paraId="6EECABF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3.1.8导线进出柜(箱)孔处，进出线孔应光滑无刺，并应装设绝缘护线套。</w:t>
      </w:r>
    </w:p>
    <w:p w14:paraId="050DB61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3.1.9配电柜(箱)内的控制开关与进线、出线的规格、型号应符合设计文件。</w:t>
      </w:r>
    </w:p>
    <w:p w14:paraId="3C5C050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3.1.10设备(含母线)的各部位连接点应无锈蚀、烧伤、熔接等痕迹。</w:t>
      </w:r>
    </w:p>
    <w:p w14:paraId="254348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3.1.11低压电气设备的灭弧装置，如灭弧栅、灭弧触头、灭弧罩、灭弧用绝缘板应完好无损。</w:t>
      </w:r>
    </w:p>
    <w:p w14:paraId="10EEFC0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3.1.12熔断器的熔丝不应用金属丝代替；熔体应符合规格要求，不得削小或合股使用。</w:t>
      </w:r>
    </w:p>
    <w:p w14:paraId="48848E7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3.1.13熔体应有保护罩，管型熔断器不应无管使用，有填充材料的熔断器不应改装使用。</w:t>
      </w:r>
    </w:p>
    <w:p w14:paraId="1CB322C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3.1.14敷设于隔离用的挡板或隔板应无破损。</w:t>
      </w:r>
    </w:p>
    <w:p w14:paraId="3AA9EE9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3.1.15配电柜(箱)内安装的接触器、刀开关等电气设备，应动作灵活，接触良好可靠，触头无烧蚀</w:t>
      </w:r>
    </w:p>
    <w:p w14:paraId="07B66F7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痕迹。</w:t>
      </w:r>
    </w:p>
    <w:p w14:paraId="339E6EF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3.1.16配电柜(箱)内的导线应绝缘良好，排列整齐，固定牢固，导线不应有接头。</w:t>
      </w:r>
    </w:p>
    <w:p w14:paraId="210D97B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3.1.17配电柜(箱)内配线应整齐，无铰接现象。</w:t>
      </w:r>
    </w:p>
    <w:p w14:paraId="00BA1AC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3.1.18配电柜(箱)内导线连接应紧密，不伤芯线，不应断股。</w:t>
      </w:r>
    </w:p>
    <w:p w14:paraId="06C11A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3.1.19配电柜(箱)内垫圈下螺丝两侧压的导线截面积应相同，防松垫圈等零件应齐全。</w:t>
      </w:r>
    </w:p>
    <w:p w14:paraId="638C783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3.1.20配电柜内进线与出线侧的端子中，同一端子上连接导线数量不应多于2根。</w:t>
      </w:r>
    </w:p>
    <w:p w14:paraId="569AE4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3.1.21截面积在10mm²及以下的单股铜芯线、铝芯线应直接与设备、器具的端子连接。</w:t>
      </w:r>
    </w:p>
    <w:p w14:paraId="1BC53B5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3.1.22截面积在2.2mm²及以下的多股铜芯线与端子连接时应先拧紧后搪锡或接续端子后连接。</w:t>
      </w:r>
    </w:p>
    <w:p w14:paraId="4BA8C49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3.1.23电线、电缆的芯线连接金具，规格应与芯线适配。</w:t>
      </w:r>
    </w:p>
    <w:p w14:paraId="0AF9200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3.1.24防爆环境的配电柜(箱)应符合设计所确定的环境分区条件要求。</w:t>
      </w:r>
    </w:p>
    <w:p w14:paraId="74A5D0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3.1.22配电柜(箱)内分别设置零线和接地线汇流排，零线和接地线经汇流排配出。</w:t>
      </w:r>
    </w:p>
    <w:p w14:paraId="194CDE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3.2防火用漏电保护器</w:t>
      </w:r>
    </w:p>
    <w:p w14:paraId="3BE6F4C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3.2.1防火用漏电保护器应安装在电源进线端。</w:t>
      </w:r>
    </w:p>
    <w:p w14:paraId="751BDE5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3.2.2漏电保护器的接线方法参见附录C(规范性附录),并符合下列规定：</w:t>
      </w:r>
    </w:p>
    <w:p w14:paraId="683C367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a)漏电保护器的接线应与低压配电系统保护接地型式相对应；</w:t>
      </w:r>
    </w:p>
    <w:p w14:paraId="35B4B3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b)漏电保护器负载侧的中性线不得与其他回路共用；</w:t>
      </w:r>
    </w:p>
    <w:p w14:paraId="3A51FC7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c)漏电保护器标有负载侧和电源侧的接线端子，应按规定接线，不得接反；</w:t>
      </w:r>
    </w:p>
    <w:p w14:paraId="7D4368E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d)严禁PEN线穿过漏电保护器的零序电流互感器，漏电保护器及其与之配套使用的短路保护电器在任何情况下不应单独切断N线；</w:t>
      </w:r>
    </w:p>
    <w:p w14:paraId="2E8CFC5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e)漏电保护器所保护的设备外露导电部分应接地；</w:t>
      </w:r>
    </w:p>
    <w:p w14:paraId="3598A33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f)严禁把漏电保护器电源测和负载侧直接跨接。</w:t>
      </w:r>
    </w:p>
    <w:p w14:paraId="17167D1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3.3运行安全要求</w:t>
      </w:r>
    </w:p>
    <w:p w14:paraId="7442D77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3.3.1各种显示、测量仪表、器具应工作正常。</w:t>
      </w:r>
    </w:p>
    <w:p w14:paraId="7AC787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3.3.2接触器应无打火、放电和过热现象。</w:t>
      </w:r>
    </w:p>
    <w:p w14:paraId="5342E16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3.3.3交流低压母线装置各部位的允许温升值不应超过本规范表1的规定。</w:t>
      </w:r>
    </w:p>
    <w:p w14:paraId="25040D5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3.3.4低压电器各接线端子的最高允许温升不应超过本规范表2的规定。</w:t>
      </w:r>
    </w:p>
    <w:p w14:paraId="03F6396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3.3.2低压电器设备同相(路)上下接线端子温差应少于10℃。</w:t>
      </w:r>
    </w:p>
    <w:p w14:paraId="30E2AE9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3.3.6回路中各相电流不应超过设计规定的额定值。</w:t>
      </w:r>
    </w:p>
    <w:p w14:paraId="6E91797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3.3.7回路中零线和接地线不应有异常电流。</w:t>
      </w:r>
    </w:p>
    <w:p w14:paraId="47CA64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3.3.8低压电器接线端子，不应有打火放电现象。</w:t>
      </w:r>
    </w:p>
    <w:p w14:paraId="0F5BCEB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3.3.9配电柜(箱)内开关动作应灵活可靠，带有漏电保护的回路，漏电保护装置动作电流不应大于30mA,动作时间不应大于0.1s。</w:t>
      </w:r>
    </w:p>
    <w:p w14:paraId="156EAFF8">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eastAsia="zh-CN"/>
        </w:rPr>
        <w:t>3.4检测数量要求：按现场实际数量的100%检测</w:t>
      </w:r>
    </w:p>
    <w:p w14:paraId="4F99606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4低压配电线路</w:t>
      </w:r>
    </w:p>
    <w:p w14:paraId="01360DC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4.1配电线路敷设一般要求</w:t>
      </w:r>
    </w:p>
    <w:p w14:paraId="0717446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4.1.1闷顶内有可燃物时，应穿金属管保护。</w:t>
      </w:r>
    </w:p>
    <w:p w14:paraId="7653D20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4.1.2闷顶内无可燃物时可穿难燃刚性塑料管保护。</w:t>
      </w:r>
    </w:p>
    <w:p w14:paraId="059E708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4.1.3建筑物顶棚内，墙体及顶棚的抹灰层、保温层及装饰面板内，严禁采用直敷方式布线。</w:t>
      </w:r>
    </w:p>
    <w:p w14:paraId="69B5636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4.1.4有腐蚀的场所采用金属管配线时应采取防腐措施。</w:t>
      </w:r>
    </w:p>
    <w:p w14:paraId="76FAFE6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4.1.5敷设在潮湿场所的管路，应采用镀锌钢管，干燥场所的管路可采用电线管。</w:t>
      </w:r>
    </w:p>
    <w:p w14:paraId="10C9D7C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4.1.6配电线路穿越可燃或难燃装饰材料时，应穿金属保护管，且应采用玻璃棉、岩棉等不燃材料作</w:t>
      </w:r>
    </w:p>
    <w:p w14:paraId="3051F9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隔热阻燃保护。</w:t>
      </w:r>
    </w:p>
    <w:p w14:paraId="443A78D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4.1.7配电线路设置在可燃装饰夹层时，应穿金属管保护。</w:t>
      </w:r>
    </w:p>
    <w:p w14:paraId="22514C8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4.1.8配电线路设置在可燃装饰夹层时，若受装饰条件限制局部不能穿金属管时，必须用金属软管，其长度不宜大于2m,导线不应外露。</w:t>
      </w:r>
    </w:p>
    <w:p w14:paraId="79CC70B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4.1.9腐蚀性场所配线，应采用耐腐蚀性全塑制品，所有接头应密封。</w:t>
      </w:r>
    </w:p>
    <w:p w14:paraId="318929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4.1.10线缆的规格型号和敷设方式应符合设计，且绝缘导线芯线最小截面积应满足表3要求。</w:t>
      </w:r>
    </w:p>
    <w:p w14:paraId="65E2383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4.2爆炸危险环境的电气线路敷设方式</w:t>
      </w:r>
    </w:p>
    <w:p w14:paraId="3AB7EC8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4.2.1应在爆炸危险性较小的环境或远离释放源的地方敷设。</w:t>
      </w:r>
    </w:p>
    <w:p w14:paraId="4A2CD42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4.2.2当易燃物比空气重时，电气线路应在较高处敷设。</w:t>
      </w:r>
    </w:p>
    <w:p w14:paraId="4327C76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表3绝缘导线芯线最小截面</w:t>
      </w:r>
    </w:p>
    <w:p w14:paraId="621D9495">
      <w:pPr>
        <w:spacing w:line="360" w:lineRule="auto"/>
        <w:ind w:right="2" w:firstLine="480" w:firstLineChars="200"/>
        <w:rPr>
          <w:rFonts w:hint="eastAsia" w:ascii="宋体" w:hAnsi="宋体" w:cs="宋体"/>
          <w:color w:val="000000"/>
          <w:sz w:val="24"/>
          <w:szCs w:val="24"/>
          <w:highlight w:val="none"/>
        </w:rPr>
      </w:pPr>
    </w:p>
    <w:tbl>
      <w:tblPr>
        <w:tblStyle w:val="167"/>
        <w:tblW w:w="95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3"/>
        <w:gridCol w:w="3656"/>
        <w:gridCol w:w="3881"/>
      </w:tblGrid>
      <w:tr w14:paraId="361AB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5689" w:type="dxa"/>
            <w:gridSpan w:val="2"/>
          </w:tcPr>
          <w:p w14:paraId="7E29200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敷设方式</w:t>
            </w:r>
          </w:p>
        </w:tc>
        <w:tc>
          <w:tcPr>
            <w:tcW w:w="3881" w:type="dxa"/>
          </w:tcPr>
          <w:p w14:paraId="72062ED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铜芯最小截面(mm²)</w:t>
            </w:r>
          </w:p>
        </w:tc>
      </w:tr>
      <w:tr w14:paraId="73244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2033" w:type="dxa"/>
            <w:vMerge w:val="restart"/>
            <w:tcBorders>
              <w:bottom w:val="nil"/>
            </w:tcBorders>
          </w:tcPr>
          <w:p w14:paraId="4E12C77F">
            <w:pPr>
              <w:spacing w:line="360" w:lineRule="auto"/>
              <w:ind w:right="2" w:firstLine="480" w:firstLineChars="200"/>
              <w:rPr>
                <w:rFonts w:hint="eastAsia" w:ascii="宋体" w:hAnsi="宋体" w:cs="宋体"/>
                <w:color w:val="000000"/>
                <w:sz w:val="24"/>
                <w:szCs w:val="24"/>
                <w:highlight w:val="none"/>
              </w:rPr>
            </w:pPr>
          </w:p>
          <w:p w14:paraId="508BD997">
            <w:pPr>
              <w:spacing w:line="360" w:lineRule="auto"/>
              <w:ind w:right="2" w:firstLine="480" w:firstLineChars="200"/>
              <w:rPr>
                <w:rFonts w:hint="eastAsia" w:ascii="宋体" w:hAnsi="宋体" w:cs="宋体"/>
                <w:color w:val="000000"/>
                <w:sz w:val="24"/>
                <w:szCs w:val="24"/>
                <w:highlight w:val="none"/>
              </w:rPr>
            </w:pPr>
          </w:p>
          <w:p w14:paraId="45672C87">
            <w:pPr>
              <w:spacing w:line="360" w:lineRule="auto"/>
              <w:ind w:right="2" w:firstLine="480" w:firstLineChars="200"/>
              <w:rPr>
                <w:rFonts w:hint="eastAsia" w:ascii="宋体" w:hAnsi="宋体" w:cs="宋体"/>
                <w:color w:val="000000"/>
                <w:sz w:val="24"/>
                <w:szCs w:val="24"/>
                <w:highlight w:val="none"/>
              </w:rPr>
            </w:pPr>
          </w:p>
          <w:p w14:paraId="1F24FAA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室内绝缘导线敷设于绝缘子上</w:t>
            </w:r>
          </w:p>
        </w:tc>
        <w:tc>
          <w:tcPr>
            <w:tcW w:w="3656" w:type="dxa"/>
          </w:tcPr>
          <w:p w14:paraId="5E8E127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L≤2m</w:t>
            </w:r>
          </w:p>
        </w:tc>
        <w:tc>
          <w:tcPr>
            <w:tcW w:w="3881" w:type="dxa"/>
          </w:tcPr>
          <w:p w14:paraId="6DF3AB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w:t>
            </w:r>
          </w:p>
        </w:tc>
      </w:tr>
      <w:tr w14:paraId="6B20C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2033" w:type="dxa"/>
            <w:vMerge w:val="continue"/>
            <w:tcBorders>
              <w:top w:val="nil"/>
              <w:bottom w:val="nil"/>
            </w:tcBorders>
          </w:tcPr>
          <w:p w14:paraId="5138A164">
            <w:pPr>
              <w:spacing w:line="360" w:lineRule="auto"/>
              <w:ind w:right="2" w:firstLine="480" w:firstLineChars="200"/>
              <w:rPr>
                <w:rFonts w:hint="eastAsia" w:ascii="宋体" w:hAnsi="宋体" w:cs="宋体"/>
                <w:color w:val="000000"/>
                <w:sz w:val="24"/>
                <w:szCs w:val="24"/>
                <w:highlight w:val="none"/>
              </w:rPr>
            </w:pPr>
          </w:p>
        </w:tc>
        <w:tc>
          <w:tcPr>
            <w:tcW w:w="3656" w:type="dxa"/>
          </w:tcPr>
          <w:p w14:paraId="1A22F93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2&lt;L≤6m</w:t>
            </w:r>
          </w:p>
        </w:tc>
        <w:tc>
          <w:tcPr>
            <w:tcW w:w="3881" w:type="dxa"/>
          </w:tcPr>
          <w:p w14:paraId="081D517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2.2</w:t>
            </w:r>
          </w:p>
        </w:tc>
      </w:tr>
      <w:tr w14:paraId="7719A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2033" w:type="dxa"/>
            <w:vMerge w:val="continue"/>
            <w:tcBorders>
              <w:top w:val="nil"/>
              <w:bottom w:val="nil"/>
            </w:tcBorders>
          </w:tcPr>
          <w:p w14:paraId="3EBB9FC0">
            <w:pPr>
              <w:spacing w:line="360" w:lineRule="auto"/>
              <w:ind w:right="2" w:firstLine="480" w:firstLineChars="200"/>
              <w:rPr>
                <w:rFonts w:hint="eastAsia" w:ascii="宋体" w:hAnsi="宋体" w:cs="宋体"/>
                <w:color w:val="000000"/>
                <w:sz w:val="24"/>
                <w:szCs w:val="24"/>
                <w:highlight w:val="none"/>
              </w:rPr>
            </w:pPr>
          </w:p>
        </w:tc>
        <w:tc>
          <w:tcPr>
            <w:tcW w:w="3656" w:type="dxa"/>
          </w:tcPr>
          <w:p w14:paraId="38F66BF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6&lt;L≤16m</w:t>
            </w:r>
          </w:p>
        </w:tc>
        <w:tc>
          <w:tcPr>
            <w:tcW w:w="3881" w:type="dxa"/>
          </w:tcPr>
          <w:p w14:paraId="4940417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4.0</w:t>
            </w:r>
          </w:p>
        </w:tc>
      </w:tr>
      <w:tr w14:paraId="44C7D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2033" w:type="dxa"/>
            <w:vMerge w:val="continue"/>
            <w:tcBorders>
              <w:top w:val="nil"/>
            </w:tcBorders>
          </w:tcPr>
          <w:p w14:paraId="306DC2E2">
            <w:pPr>
              <w:spacing w:line="360" w:lineRule="auto"/>
              <w:ind w:right="2" w:firstLine="480" w:firstLineChars="200"/>
              <w:rPr>
                <w:rFonts w:hint="eastAsia" w:ascii="宋体" w:hAnsi="宋体" w:cs="宋体"/>
                <w:color w:val="000000"/>
                <w:sz w:val="24"/>
                <w:szCs w:val="24"/>
                <w:highlight w:val="none"/>
              </w:rPr>
            </w:pPr>
          </w:p>
        </w:tc>
        <w:tc>
          <w:tcPr>
            <w:tcW w:w="3656" w:type="dxa"/>
          </w:tcPr>
          <w:p w14:paraId="64CBC16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16&lt;L≤22m</w:t>
            </w:r>
          </w:p>
        </w:tc>
        <w:tc>
          <w:tcPr>
            <w:tcW w:w="3881" w:type="dxa"/>
          </w:tcPr>
          <w:p w14:paraId="6D40853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6.0</w:t>
            </w:r>
          </w:p>
        </w:tc>
      </w:tr>
      <w:tr w14:paraId="082EB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689" w:type="dxa"/>
            <w:gridSpan w:val="2"/>
          </w:tcPr>
          <w:p w14:paraId="565A557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绝缘导线穿管敷设</w:t>
            </w:r>
          </w:p>
        </w:tc>
        <w:tc>
          <w:tcPr>
            <w:tcW w:w="3881" w:type="dxa"/>
          </w:tcPr>
          <w:p w14:paraId="46A08B2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w:t>
            </w:r>
          </w:p>
        </w:tc>
      </w:tr>
      <w:tr w14:paraId="5D299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5689" w:type="dxa"/>
            <w:gridSpan w:val="2"/>
          </w:tcPr>
          <w:p w14:paraId="0147DF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绝缘导线槽板敷设</w:t>
            </w:r>
          </w:p>
        </w:tc>
        <w:tc>
          <w:tcPr>
            <w:tcW w:w="3881" w:type="dxa"/>
          </w:tcPr>
          <w:p w14:paraId="0465CE3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w:t>
            </w:r>
          </w:p>
        </w:tc>
      </w:tr>
      <w:tr w14:paraId="29BAA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5689" w:type="dxa"/>
            <w:gridSpan w:val="2"/>
          </w:tcPr>
          <w:p w14:paraId="5823104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绝缘导线线槽敷设</w:t>
            </w:r>
          </w:p>
        </w:tc>
        <w:tc>
          <w:tcPr>
            <w:tcW w:w="3881" w:type="dxa"/>
          </w:tcPr>
          <w:p w14:paraId="58EAB73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0.42</w:t>
            </w:r>
          </w:p>
        </w:tc>
      </w:tr>
      <w:tr w14:paraId="60806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689" w:type="dxa"/>
            <w:gridSpan w:val="2"/>
          </w:tcPr>
          <w:p w14:paraId="5AD6C67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塑料绝缘护套线直接敷设</w:t>
            </w:r>
          </w:p>
        </w:tc>
        <w:tc>
          <w:tcPr>
            <w:tcW w:w="3881" w:type="dxa"/>
          </w:tcPr>
          <w:p w14:paraId="2600AEC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w:t>
            </w:r>
          </w:p>
        </w:tc>
      </w:tr>
      <w:tr w14:paraId="73674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9570" w:type="dxa"/>
            <w:gridSpan w:val="3"/>
          </w:tcPr>
          <w:p w14:paraId="022D87A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注：L为绝缘子支持点间距。</w:t>
            </w:r>
          </w:p>
        </w:tc>
      </w:tr>
    </w:tbl>
    <w:p w14:paraId="7DE774F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4.2.3当易燃物质比空气轻时，宜在较低处或电缆沟内敷设。</w:t>
      </w:r>
    </w:p>
    <w:p w14:paraId="22F4FE1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4.2.4当电气线路沿输送可燃气体或易燃液体的管道栈桥敷设时，管道内的易燃物质比空气重时，电气线路应敷在管道的上方。</w:t>
      </w:r>
    </w:p>
    <w:p w14:paraId="6D4AF3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4.2.5当管道内的易燃物质比空气轻时，电气线路应敷在管道的正下方的两侧。</w:t>
      </w:r>
    </w:p>
    <w:p w14:paraId="1CA5362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4.2.6防爆环境内电缆线路穿过不同危险区域或界壁时，应充沙、填阻火堵料或加设防火隔墙。</w:t>
      </w:r>
    </w:p>
    <w:p w14:paraId="345526D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4.2.7汽车加油站内采用电缆沟敷设电缆时，沟内应充沙填实。</w:t>
      </w:r>
    </w:p>
    <w:p w14:paraId="3299B86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4.2.8汽车加油站内不应将电缆与油品、液化石油气和天然气管道、热力管道敷设在同一沟内。</w:t>
      </w:r>
    </w:p>
    <w:p w14:paraId="1AF5DE5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4.2.9爆炸危险环境照明线路的电线应穿于钢导管内。</w:t>
      </w:r>
    </w:p>
    <w:p w14:paraId="28AD743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4.3导管敷设线路要求</w:t>
      </w:r>
    </w:p>
    <w:p w14:paraId="0926380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4.3.1金属导管严禁对口熔焊连接，镀锌和壁厚不大于2mm的钢导管不应套管熔焊连接。</w:t>
      </w:r>
    </w:p>
    <w:p w14:paraId="37C7CCD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4.3.2TN-S、TN-C-S系统中的金属电线保护管，金属盒(箱),塑料电线保护管，塑料盒(箱)等不应混合使用。</w:t>
      </w:r>
    </w:p>
    <w:p w14:paraId="06815B3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4.3.3电线、电缆在配线管内不应有接头。</w:t>
      </w:r>
    </w:p>
    <w:p w14:paraId="6B939FA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4.3.4导线连接应牢固可靠，接触良好。</w:t>
      </w:r>
    </w:p>
    <w:p w14:paraId="22F086C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4.3.5导线穿入钢管时，管口处应装设护线套保护。</w:t>
      </w:r>
    </w:p>
    <w:p w14:paraId="0259DB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4.3.6敷设的接线盒、灯头盒、开关盒的敲落孔，除对实装管孔敲落外，其它备用的不应敲掉。</w:t>
      </w:r>
    </w:p>
    <w:p w14:paraId="2F69E3A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4.3.7金属管和柔性金属管应有可靠接地，并不应作为电气设备的接地导体。</w:t>
      </w:r>
    </w:p>
    <w:p w14:paraId="1386995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4.3.8镀锌的钢导管、可挠性导管、金属线槽的接地应可靠，连接处应采用专用接地卡，跨接的两卡间连接线应为铜芯软导线，截面积不应小于4mm²。</w:t>
      </w:r>
    </w:p>
    <w:p w14:paraId="01A9289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4.3.9非镀锌钢导管采用螺纹连接时，连接处的两端应焊接跨接地线，焊接点应采取防锈措施。</w:t>
      </w:r>
    </w:p>
    <w:p w14:paraId="01F5C1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4.3.10绝缘导管用插入法连接时，连接处结合面应涂专用胶合剂，以保证接口牢固密封。</w:t>
      </w:r>
    </w:p>
    <w:p w14:paraId="05964FD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4.3.11刚性导管经柔性导管与电气设备、器具连接时，软管长度不宜大于2m,导线不应裸露。</w:t>
      </w:r>
    </w:p>
    <w:p w14:paraId="4C9719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4.4电缆桥架与线槽敷设线路要求</w:t>
      </w:r>
    </w:p>
    <w:p w14:paraId="1BE4B8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4.4.1电缆桥架、金属线槽应敷设在腐蚀性气体管道和热力管道的下方及腐蚀性液体管道的上方。</w:t>
      </w:r>
    </w:p>
    <w:p w14:paraId="43AFBC2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4.4.2电缆桥架、金属线槽敷设在腐蚀性气体管道和热力管道的上方及腐蚀性液体管道的下方时，应采取防腐、隔热措施。</w:t>
      </w:r>
    </w:p>
    <w:p w14:paraId="762FF5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4.4.3非镀锌金属线槽、金属电缆桥架连接板的两端应跨接铜芯接地线，其截面积不应小于4mm²。</w:t>
      </w:r>
    </w:p>
    <w:p w14:paraId="41EF5D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4.4.4镀锌金属线槽、电缆桥架、连接板的两端不跨接地线时，连接板两端应有不少于2个有防松螺帽或防松垫圈的连接固定螺栓。</w:t>
      </w:r>
    </w:p>
    <w:p w14:paraId="56A87AE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4.4.5金属线槽和电缆桥架不应作设备的接地导体，当设计无要求时，金属线槽和电缆桥架全长应有不少于2处与接地干线连接。</w:t>
      </w:r>
    </w:p>
    <w:p w14:paraId="0F1601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4.2直敷方式布线要求</w:t>
      </w:r>
    </w:p>
    <w:p w14:paraId="0083D41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4.2.1直敷布线应采用护套绝缘电线，截面不应大于6mm²。</w:t>
      </w:r>
    </w:p>
    <w:p w14:paraId="4113DEA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4.2.2电线水平敷设至地面的距离不应小于2.2m。</w:t>
      </w:r>
    </w:p>
    <w:p w14:paraId="3B7B408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4.2.3垂直敷设至地面低于1.8m部分应穿导管保护。</w:t>
      </w:r>
    </w:p>
    <w:p w14:paraId="74E0D54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4.6瓷(塑料)夹、瓷柱、瓷瓶配线</w:t>
      </w:r>
    </w:p>
    <w:p w14:paraId="6F0FAA6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4.6.1瓷(塑料)夹配线一般适用于正常环境室内场所和挑檐下室外场所；瓷柱、瓷瓶配线一般适用于室内外场所。</w:t>
      </w:r>
    </w:p>
    <w:p w14:paraId="7BDEA38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4.6.2在闷顶内，不应采用瓷(塑料)夹、瓷柱、瓷瓶配线。</w:t>
      </w:r>
    </w:p>
    <w:p w14:paraId="4FA7384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4.6.3绝缘导线交叉时，交叉点应穿绝缘管并加支持物予以固定，保护管长度不应小于100mm。</w:t>
      </w:r>
    </w:p>
    <w:p w14:paraId="14F708E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4.6.4绝缘导线的绑扎线应有绝缘层，绑扎时不得损伤绝缘导线的绝缘层。</w:t>
      </w:r>
    </w:p>
    <w:p w14:paraId="34CE4DB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4.6.5瓷(塑料)夹、瓷柱或瓷瓶应完好无损，表面清洁，安装牢固可靠。</w:t>
      </w:r>
    </w:p>
    <w:p w14:paraId="0090DFB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4.6.6绝缘电线明敷在高温辐射或对绝缘有腐蚀的场所时，电线间及电线至建筑物表面最小净距离应符合表4的要求。</w:t>
      </w:r>
    </w:p>
    <w:p w14:paraId="777CC4C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4.7低压线路配线防火要求</w:t>
      </w:r>
    </w:p>
    <w:p w14:paraId="23492AA0">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4.7.1三相或单相的交流单芯导线、电缆不应单独穿于钢导管内。</w:t>
      </w:r>
    </w:p>
    <w:p w14:paraId="581F27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表4高温或腐蚀性场所，电线间及电线至建筑物表面最小净距</w:t>
      </w:r>
    </w:p>
    <w:p w14:paraId="4496CB9B">
      <w:pPr>
        <w:spacing w:line="360" w:lineRule="auto"/>
        <w:ind w:right="2" w:firstLine="480" w:firstLineChars="200"/>
        <w:rPr>
          <w:rFonts w:hint="eastAsia" w:ascii="宋体" w:hAnsi="宋体" w:cs="宋体"/>
          <w:color w:val="000000"/>
          <w:sz w:val="24"/>
          <w:szCs w:val="24"/>
          <w:highlight w:val="none"/>
        </w:rPr>
      </w:pPr>
    </w:p>
    <w:tbl>
      <w:tblPr>
        <w:tblStyle w:val="167"/>
        <w:tblW w:w="95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0"/>
        <w:gridCol w:w="4780"/>
      </w:tblGrid>
      <w:tr w14:paraId="045D6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3" w:hRule="atLeast"/>
        </w:trPr>
        <w:tc>
          <w:tcPr>
            <w:tcW w:w="4780" w:type="dxa"/>
          </w:tcPr>
          <w:p w14:paraId="2A186B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电线固定点间距L(m)</w:t>
            </w:r>
          </w:p>
        </w:tc>
        <w:tc>
          <w:tcPr>
            <w:tcW w:w="4780" w:type="dxa"/>
          </w:tcPr>
          <w:p w14:paraId="12D7A28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最小净距(mm)</w:t>
            </w:r>
          </w:p>
        </w:tc>
      </w:tr>
      <w:tr w14:paraId="19689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4780" w:type="dxa"/>
          </w:tcPr>
          <w:p w14:paraId="06F10C2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L≤2</w:t>
            </w:r>
          </w:p>
        </w:tc>
        <w:tc>
          <w:tcPr>
            <w:tcW w:w="4780" w:type="dxa"/>
          </w:tcPr>
          <w:p w14:paraId="5CF865A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42</w:t>
            </w:r>
          </w:p>
        </w:tc>
      </w:tr>
      <w:tr w14:paraId="75024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4780" w:type="dxa"/>
          </w:tcPr>
          <w:p w14:paraId="5907727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2&lt;L≤4</w:t>
            </w:r>
          </w:p>
        </w:tc>
        <w:tc>
          <w:tcPr>
            <w:tcW w:w="4780" w:type="dxa"/>
          </w:tcPr>
          <w:p w14:paraId="44AB548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100</w:t>
            </w:r>
          </w:p>
        </w:tc>
      </w:tr>
      <w:tr w14:paraId="087E0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780" w:type="dxa"/>
          </w:tcPr>
          <w:p w14:paraId="433BA7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4&lt;L≤6</w:t>
            </w:r>
          </w:p>
        </w:tc>
        <w:tc>
          <w:tcPr>
            <w:tcW w:w="4780" w:type="dxa"/>
          </w:tcPr>
          <w:p w14:paraId="3836C9F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120</w:t>
            </w:r>
          </w:p>
        </w:tc>
      </w:tr>
      <w:tr w14:paraId="1C842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4780" w:type="dxa"/>
          </w:tcPr>
          <w:p w14:paraId="5861F06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6&lt;L≤10</w:t>
            </w:r>
          </w:p>
        </w:tc>
        <w:tc>
          <w:tcPr>
            <w:tcW w:w="4780" w:type="dxa"/>
          </w:tcPr>
          <w:p w14:paraId="0D935D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200</w:t>
            </w:r>
          </w:p>
        </w:tc>
      </w:tr>
    </w:tbl>
    <w:p w14:paraId="26484A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4.7.2同一交流回路的相线和中性线应穿在同一金属导管和线槽内。</w:t>
      </w:r>
    </w:p>
    <w:p w14:paraId="437B240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4.7.3布线用电缆、电缆桥架、金属线槽等在穿越防火分区楼板、隔墙时，其空隙应采用相当于建筑构件耐火极限的不燃烧材料填塞密实。</w:t>
      </w:r>
    </w:p>
    <w:p w14:paraId="745B352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4.7.4电缆沟进入建筑物处应设防火墙。</w:t>
      </w:r>
    </w:p>
    <w:p w14:paraId="7DDF62C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4.8导体通电安全运行要求</w:t>
      </w:r>
    </w:p>
    <w:p w14:paraId="5421AF9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4.8.1导线、电缆芯线的温度，当产品无要求时应符合表2规定。</w:t>
      </w:r>
    </w:p>
    <w:p w14:paraId="4096D0F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表2导线芯线长期工作最高允许温度</w:t>
      </w:r>
    </w:p>
    <w:p w14:paraId="3AB48484">
      <w:pPr>
        <w:spacing w:line="360" w:lineRule="auto"/>
        <w:ind w:right="2" w:firstLine="480" w:firstLineChars="200"/>
        <w:rPr>
          <w:rFonts w:hint="eastAsia" w:ascii="宋体" w:hAnsi="宋体" w:cs="宋体"/>
          <w:color w:val="000000"/>
          <w:sz w:val="24"/>
          <w:szCs w:val="24"/>
          <w:highlight w:val="none"/>
        </w:rPr>
      </w:pPr>
    </w:p>
    <w:tbl>
      <w:tblPr>
        <w:tblStyle w:val="167"/>
        <w:tblW w:w="95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0"/>
        <w:gridCol w:w="4780"/>
      </w:tblGrid>
      <w:tr w14:paraId="3FC25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790" w:type="dxa"/>
          </w:tcPr>
          <w:p w14:paraId="5BF21C9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类型</w:t>
            </w:r>
          </w:p>
        </w:tc>
        <w:tc>
          <w:tcPr>
            <w:tcW w:w="4780" w:type="dxa"/>
          </w:tcPr>
          <w:p w14:paraId="15BF0F2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长期工作最高允许温度(℃)</w:t>
            </w:r>
          </w:p>
        </w:tc>
      </w:tr>
      <w:tr w14:paraId="4D3CD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4790" w:type="dxa"/>
          </w:tcPr>
          <w:p w14:paraId="2A25F9F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塑料电线</w:t>
            </w:r>
          </w:p>
        </w:tc>
        <w:tc>
          <w:tcPr>
            <w:tcW w:w="4780" w:type="dxa"/>
          </w:tcPr>
          <w:p w14:paraId="444FA28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40</w:t>
            </w:r>
          </w:p>
        </w:tc>
      </w:tr>
      <w:tr w14:paraId="1A54D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4790" w:type="dxa"/>
          </w:tcPr>
          <w:p w14:paraId="38835D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橡皮电线</w:t>
            </w:r>
          </w:p>
        </w:tc>
        <w:tc>
          <w:tcPr>
            <w:tcW w:w="4780" w:type="dxa"/>
          </w:tcPr>
          <w:p w14:paraId="6506C74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w:t>
            </w:r>
          </w:p>
        </w:tc>
      </w:tr>
    </w:tbl>
    <w:p w14:paraId="47AA9B8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4.8.2导线、导线接头、导线与设备或器具的接线端子温升应符合本规范表1和表4的要求。</w:t>
      </w:r>
    </w:p>
    <w:p w14:paraId="52DE05E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4.8.3导线接头、导线与设备或器具的接线端子不应有打火、放电现象。</w:t>
      </w:r>
    </w:p>
    <w:p w14:paraId="33BB9D1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4.8.4相线电流、中性线电流和PE线电流应无异常。</w:t>
      </w:r>
    </w:p>
    <w:p w14:paraId="5290C5F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4.9绝缘导体的绝缘强度</w:t>
      </w:r>
    </w:p>
    <w:p w14:paraId="531725E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4.9.1绝缘导线芯线连接后，应用绝缘带均匀紧密包缠。</w:t>
      </w:r>
    </w:p>
    <w:p w14:paraId="3FE9D00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4.9.2接线端子的根部与绝缘层间的空隙处，应用绝缘带严密包缠。</w:t>
      </w:r>
    </w:p>
    <w:p w14:paraId="7B80F99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4.9.3导线绝缘体不应有严重老化、龟裂、碳化、腐蚀和机械损伤等现象。</w:t>
      </w:r>
    </w:p>
    <w:p w14:paraId="32AFBF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4.9.4分支路绝缘导线相线间及相线对地的绝缘电阻值不应小于0.2MQ。</w:t>
      </w:r>
    </w:p>
    <w:p w14:paraId="30FE5E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4.10检测数量要求：按现场实际数量的70%检测</w:t>
      </w:r>
    </w:p>
    <w:p w14:paraId="643675F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5.</w:t>
      </w:r>
      <w:r>
        <w:rPr>
          <w:rFonts w:hint="eastAsia" w:ascii="宋体" w:hAnsi="宋体" w:cs="宋体"/>
          <w:color w:val="000000"/>
          <w:sz w:val="24"/>
          <w:szCs w:val="24"/>
          <w:highlight w:val="none"/>
        </w:rPr>
        <w:t>低压用电设备</w:t>
      </w:r>
    </w:p>
    <w:p w14:paraId="18DC7B6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5.1电动机类设备</w:t>
      </w:r>
    </w:p>
    <w:p w14:paraId="18B63D7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5.1.1电动机类设备的规格型号应符合设计文件。</w:t>
      </w:r>
    </w:p>
    <w:p w14:paraId="1639E54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5.1.2电动机类设备应安装在牢固的机座上，机座周围应有适当的通道，与其他低压电气线路和设备、可燃物之间的距离不应小于1m,并应保持机座周围干燥清洁。</w:t>
      </w:r>
    </w:p>
    <w:p w14:paraId="0BAA625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5.1.3电气元件外观应整洁，外壳应无破裂，零部件应齐全，接线端子及紧固件应无缺损、锈蚀现象。</w:t>
      </w:r>
    </w:p>
    <w:p w14:paraId="01D4542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5.1.4电气元件的触头应无熔焊粘连变形和严重氧化锈蚀等痕迹。</w:t>
      </w:r>
    </w:p>
    <w:p w14:paraId="7D5F763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5.1.2接线端子上的所有接线应压接牢固，接触良好，不应有松动、脱落现象。</w:t>
      </w:r>
    </w:p>
    <w:p w14:paraId="055CFFA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5.1.6电动机类设备应装设短路、过载、失压与欠压保护和接地故障保护。</w:t>
      </w:r>
    </w:p>
    <w:p w14:paraId="1AAA8F2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5.1.7轴承应润滑，对使用滑动轴承的设施，油环应滑动，油腔内的油面应到油面计所指示的位置。</w:t>
      </w:r>
    </w:p>
    <w:p w14:paraId="2D9AD4A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5.1.8电动机类设备空气冷却装置运转应正常。</w:t>
      </w:r>
    </w:p>
    <w:p w14:paraId="4FC60B9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5.1.9电动机类设备和附属设备应清洁，附近不应堆放可燃物和其他杂物。</w:t>
      </w:r>
    </w:p>
    <w:p w14:paraId="65344D1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5.1.10设备外壳接地应牢固可靠，完好无损。</w:t>
      </w:r>
    </w:p>
    <w:p w14:paraId="030603E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5.1.11电动机类设备的可接近裸导体应接地。</w:t>
      </w:r>
    </w:p>
    <w:p w14:paraId="78F65B1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5.1.12电动机类设备应在额定电压值的(-10%～-12%)误差范围内正常运行。</w:t>
      </w:r>
    </w:p>
    <w:p w14:paraId="196AE64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5.1.13电动机类设备各部分的最高允许温度和允许温升不应超过制造商的要求，制造商无规定时参照表6的要求。</w:t>
      </w:r>
    </w:p>
    <w:p w14:paraId="43748C6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5.1.14滑动轴承温度不应超过50℃,滚动轴承温度不应超过92℃。</w:t>
      </w:r>
    </w:p>
    <w:p w14:paraId="1A092EB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5.1.12电动机类设备的电气连接点、壳体等不应有打火、放电现象。</w:t>
      </w:r>
    </w:p>
    <w:p w14:paraId="79F4F7F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表6电动机最高允许温度(t)与温升(K)(环境温度Te=32℃)</w:t>
      </w:r>
    </w:p>
    <w:p w14:paraId="2D1A1818">
      <w:pPr>
        <w:spacing w:line="360" w:lineRule="auto"/>
        <w:ind w:right="2" w:firstLine="480" w:firstLineChars="200"/>
        <w:rPr>
          <w:rFonts w:hint="eastAsia" w:ascii="宋体" w:hAnsi="宋体" w:cs="宋体"/>
          <w:color w:val="000000"/>
          <w:sz w:val="24"/>
          <w:szCs w:val="24"/>
          <w:highlight w:val="none"/>
        </w:rPr>
      </w:pPr>
    </w:p>
    <w:tbl>
      <w:tblPr>
        <w:tblStyle w:val="167"/>
        <w:tblW w:w="957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3"/>
        <w:gridCol w:w="769"/>
        <w:gridCol w:w="750"/>
        <w:gridCol w:w="769"/>
        <w:gridCol w:w="769"/>
        <w:gridCol w:w="750"/>
        <w:gridCol w:w="769"/>
        <w:gridCol w:w="759"/>
        <w:gridCol w:w="759"/>
        <w:gridCol w:w="769"/>
        <w:gridCol w:w="764"/>
      </w:tblGrid>
      <w:tr w14:paraId="79466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943" w:type="dxa"/>
            <w:vMerge w:val="restart"/>
            <w:tcBorders>
              <w:bottom w:val="nil"/>
            </w:tcBorders>
          </w:tcPr>
          <w:p w14:paraId="6E024ADE">
            <w:pPr>
              <w:spacing w:line="360" w:lineRule="auto"/>
              <w:ind w:right="2" w:firstLine="480" w:firstLineChars="200"/>
              <w:rPr>
                <w:rFonts w:hint="eastAsia" w:ascii="宋体" w:hAnsi="宋体" w:cs="宋体"/>
                <w:color w:val="000000"/>
                <w:sz w:val="24"/>
                <w:szCs w:val="24"/>
                <w:highlight w:val="none"/>
              </w:rPr>
            </w:pPr>
          </w:p>
          <w:p w14:paraId="73FDE44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温度与温升</w:t>
            </w:r>
          </w:p>
          <w:p w14:paraId="75DD163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(T,k)</w:t>
            </w:r>
          </w:p>
        </w:tc>
        <w:tc>
          <w:tcPr>
            <w:tcW w:w="7627" w:type="dxa"/>
            <w:gridSpan w:val="10"/>
          </w:tcPr>
          <w:p w14:paraId="352A538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注：绝缘等级</w:t>
            </w:r>
          </w:p>
        </w:tc>
      </w:tr>
      <w:tr w14:paraId="6670F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3" w:type="dxa"/>
            <w:vMerge w:val="continue"/>
            <w:tcBorders>
              <w:top w:val="nil"/>
              <w:bottom w:val="nil"/>
            </w:tcBorders>
          </w:tcPr>
          <w:p w14:paraId="2221E8A8">
            <w:pPr>
              <w:spacing w:line="360" w:lineRule="auto"/>
              <w:ind w:right="2" w:firstLine="480" w:firstLineChars="200"/>
              <w:rPr>
                <w:rFonts w:hint="eastAsia" w:ascii="宋体" w:hAnsi="宋体" w:cs="宋体"/>
                <w:color w:val="000000"/>
                <w:sz w:val="24"/>
                <w:szCs w:val="24"/>
                <w:highlight w:val="none"/>
              </w:rPr>
            </w:pPr>
          </w:p>
        </w:tc>
        <w:tc>
          <w:tcPr>
            <w:tcW w:w="1519" w:type="dxa"/>
            <w:gridSpan w:val="2"/>
          </w:tcPr>
          <w:p w14:paraId="1F954F5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A级</w:t>
            </w:r>
          </w:p>
        </w:tc>
        <w:tc>
          <w:tcPr>
            <w:tcW w:w="1538" w:type="dxa"/>
            <w:gridSpan w:val="2"/>
          </w:tcPr>
          <w:p w14:paraId="0322AEB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E级</w:t>
            </w:r>
          </w:p>
        </w:tc>
        <w:tc>
          <w:tcPr>
            <w:tcW w:w="1519" w:type="dxa"/>
            <w:gridSpan w:val="2"/>
          </w:tcPr>
          <w:p w14:paraId="2C20FBA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B级</w:t>
            </w:r>
          </w:p>
        </w:tc>
        <w:tc>
          <w:tcPr>
            <w:tcW w:w="1518" w:type="dxa"/>
            <w:gridSpan w:val="2"/>
          </w:tcPr>
          <w:p w14:paraId="0BFC88B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F级</w:t>
            </w:r>
          </w:p>
        </w:tc>
        <w:tc>
          <w:tcPr>
            <w:tcW w:w="1533" w:type="dxa"/>
            <w:gridSpan w:val="2"/>
          </w:tcPr>
          <w:p w14:paraId="1F601AB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H级</w:t>
            </w:r>
          </w:p>
        </w:tc>
      </w:tr>
      <w:tr w14:paraId="1C726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43" w:type="dxa"/>
            <w:vMerge w:val="continue"/>
            <w:tcBorders>
              <w:top w:val="nil"/>
            </w:tcBorders>
          </w:tcPr>
          <w:p w14:paraId="738A406B">
            <w:pPr>
              <w:spacing w:line="360" w:lineRule="auto"/>
              <w:ind w:right="2" w:firstLine="480" w:firstLineChars="200"/>
              <w:rPr>
                <w:rFonts w:hint="eastAsia" w:ascii="宋体" w:hAnsi="宋体" w:cs="宋体"/>
                <w:color w:val="000000"/>
                <w:sz w:val="24"/>
                <w:szCs w:val="24"/>
                <w:highlight w:val="none"/>
              </w:rPr>
            </w:pPr>
          </w:p>
        </w:tc>
        <w:tc>
          <w:tcPr>
            <w:tcW w:w="769" w:type="dxa"/>
          </w:tcPr>
          <w:p w14:paraId="5DA3890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w:t>
            </w:r>
          </w:p>
        </w:tc>
        <w:tc>
          <w:tcPr>
            <w:tcW w:w="750" w:type="dxa"/>
          </w:tcPr>
          <w:p w14:paraId="470C1C9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w:t>
            </w:r>
          </w:p>
        </w:tc>
        <w:tc>
          <w:tcPr>
            <w:tcW w:w="769" w:type="dxa"/>
          </w:tcPr>
          <w:p w14:paraId="5725373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w:t>
            </w:r>
          </w:p>
        </w:tc>
        <w:tc>
          <w:tcPr>
            <w:tcW w:w="769" w:type="dxa"/>
          </w:tcPr>
          <w:p w14:paraId="5A00807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w:t>
            </w:r>
          </w:p>
        </w:tc>
        <w:tc>
          <w:tcPr>
            <w:tcW w:w="750" w:type="dxa"/>
          </w:tcPr>
          <w:p w14:paraId="3641B88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w:t>
            </w:r>
          </w:p>
        </w:tc>
        <w:tc>
          <w:tcPr>
            <w:tcW w:w="769" w:type="dxa"/>
          </w:tcPr>
          <w:p w14:paraId="00CC06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w:t>
            </w:r>
          </w:p>
        </w:tc>
        <w:tc>
          <w:tcPr>
            <w:tcW w:w="759" w:type="dxa"/>
          </w:tcPr>
          <w:p w14:paraId="22F94E0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w:t>
            </w:r>
          </w:p>
        </w:tc>
        <w:tc>
          <w:tcPr>
            <w:tcW w:w="759" w:type="dxa"/>
          </w:tcPr>
          <w:p w14:paraId="50A98B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w:t>
            </w:r>
          </w:p>
        </w:tc>
        <w:tc>
          <w:tcPr>
            <w:tcW w:w="769" w:type="dxa"/>
          </w:tcPr>
          <w:p w14:paraId="7C701DC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w:t>
            </w:r>
          </w:p>
        </w:tc>
        <w:tc>
          <w:tcPr>
            <w:tcW w:w="764" w:type="dxa"/>
          </w:tcPr>
          <w:p w14:paraId="05BA6F9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k</w:t>
            </w:r>
          </w:p>
        </w:tc>
      </w:tr>
      <w:tr w14:paraId="11CCA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1943" w:type="dxa"/>
          </w:tcPr>
          <w:p w14:paraId="0C92F6C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定子、转子绕组</w:t>
            </w:r>
          </w:p>
        </w:tc>
        <w:tc>
          <w:tcPr>
            <w:tcW w:w="769" w:type="dxa"/>
          </w:tcPr>
          <w:p w14:paraId="475E3D5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102</w:t>
            </w:r>
          </w:p>
        </w:tc>
        <w:tc>
          <w:tcPr>
            <w:tcW w:w="750" w:type="dxa"/>
          </w:tcPr>
          <w:p w14:paraId="2658AFF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70</w:t>
            </w:r>
          </w:p>
        </w:tc>
        <w:tc>
          <w:tcPr>
            <w:tcW w:w="769" w:type="dxa"/>
          </w:tcPr>
          <w:p w14:paraId="309909D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120</w:t>
            </w:r>
          </w:p>
        </w:tc>
        <w:tc>
          <w:tcPr>
            <w:tcW w:w="769" w:type="dxa"/>
          </w:tcPr>
          <w:p w14:paraId="326B9E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82</w:t>
            </w:r>
          </w:p>
        </w:tc>
        <w:tc>
          <w:tcPr>
            <w:tcW w:w="750" w:type="dxa"/>
          </w:tcPr>
          <w:p w14:paraId="7E7D099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130</w:t>
            </w:r>
          </w:p>
        </w:tc>
        <w:tc>
          <w:tcPr>
            <w:tcW w:w="769" w:type="dxa"/>
          </w:tcPr>
          <w:p w14:paraId="2138CCB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w:t>
            </w:r>
          </w:p>
        </w:tc>
        <w:tc>
          <w:tcPr>
            <w:tcW w:w="759" w:type="dxa"/>
          </w:tcPr>
          <w:p w14:paraId="02F47E1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140</w:t>
            </w:r>
          </w:p>
        </w:tc>
        <w:tc>
          <w:tcPr>
            <w:tcW w:w="759" w:type="dxa"/>
          </w:tcPr>
          <w:p w14:paraId="06BF731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102</w:t>
            </w:r>
          </w:p>
        </w:tc>
        <w:tc>
          <w:tcPr>
            <w:tcW w:w="769" w:type="dxa"/>
          </w:tcPr>
          <w:p w14:paraId="14F54C0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162</w:t>
            </w:r>
          </w:p>
        </w:tc>
        <w:tc>
          <w:tcPr>
            <w:tcW w:w="764" w:type="dxa"/>
          </w:tcPr>
          <w:p w14:paraId="5D66F08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130</w:t>
            </w:r>
          </w:p>
        </w:tc>
      </w:tr>
      <w:tr w14:paraId="2B3C4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943" w:type="dxa"/>
          </w:tcPr>
          <w:p w14:paraId="2422F54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定子铁芯</w:t>
            </w:r>
          </w:p>
        </w:tc>
        <w:tc>
          <w:tcPr>
            <w:tcW w:w="769" w:type="dxa"/>
          </w:tcPr>
          <w:p w14:paraId="6390D84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102</w:t>
            </w:r>
          </w:p>
        </w:tc>
        <w:tc>
          <w:tcPr>
            <w:tcW w:w="750" w:type="dxa"/>
          </w:tcPr>
          <w:p w14:paraId="6F1C8EA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70</w:t>
            </w:r>
          </w:p>
        </w:tc>
        <w:tc>
          <w:tcPr>
            <w:tcW w:w="769" w:type="dxa"/>
          </w:tcPr>
          <w:p w14:paraId="3B772D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120</w:t>
            </w:r>
          </w:p>
        </w:tc>
        <w:tc>
          <w:tcPr>
            <w:tcW w:w="769" w:type="dxa"/>
          </w:tcPr>
          <w:p w14:paraId="04C7B90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82</w:t>
            </w:r>
          </w:p>
        </w:tc>
        <w:tc>
          <w:tcPr>
            <w:tcW w:w="750" w:type="dxa"/>
          </w:tcPr>
          <w:p w14:paraId="0F48A6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130</w:t>
            </w:r>
          </w:p>
        </w:tc>
        <w:tc>
          <w:tcPr>
            <w:tcW w:w="769" w:type="dxa"/>
          </w:tcPr>
          <w:p w14:paraId="2E1B599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92</w:t>
            </w:r>
          </w:p>
        </w:tc>
        <w:tc>
          <w:tcPr>
            <w:tcW w:w="759" w:type="dxa"/>
          </w:tcPr>
          <w:p w14:paraId="5930702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140</w:t>
            </w:r>
          </w:p>
        </w:tc>
        <w:tc>
          <w:tcPr>
            <w:tcW w:w="759" w:type="dxa"/>
          </w:tcPr>
          <w:p w14:paraId="408EE6E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102</w:t>
            </w:r>
          </w:p>
        </w:tc>
        <w:tc>
          <w:tcPr>
            <w:tcW w:w="769" w:type="dxa"/>
          </w:tcPr>
          <w:p w14:paraId="1239B1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162</w:t>
            </w:r>
          </w:p>
        </w:tc>
        <w:tc>
          <w:tcPr>
            <w:tcW w:w="764" w:type="dxa"/>
          </w:tcPr>
          <w:p w14:paraId="019EAD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130</w:t>
            </w:r>
          </w:p>
        </w:tc>
      </w:tr>
      <w:tr w14:paraId="75184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943" w:type="dxa"/>
          </w:tcPr>
          <w:p w14:paraId="182CEEB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滑环</w:t>
            </w:r>
          </w:p>
        </w:tc>
        <w:tc>
          <w:tcPr>
            <w:tcW w:w="7627" w:type="dxa"/>
            <w:gridSpan w:val="10"/>
          </w:tcPr>
          <w:p w14:paraId="34F68C3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T=102k=70</w:t>
            </w:r>
          </w:p>
        </w:tc>
      </w:tr>
    </w:tbl>
    <w:p w14:paraId="384DB3C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5.1.16电动机类设备的工作电流，在正常情况下不应超过额定值。</w:t>
      </w:r>
    </w:p>
    <w:p w14:paraId="057805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5.1.17电动机类设备的接地线路的接地电阻值应符合设计文件。</w:t>
      </w:r>
    </w:p>
    <w:p w14:paraId="2334F76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5.2电热器具防火要求</w:t>
      </w:r>
    </w:p>
    <w:p w14:paraId="25E9BA4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5.2.1电热器具应采用专用插座和单独回路供电。</w:t>
      </w:r>
    </w:p>
    <w:p w14:paraId="0498625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5.2.2电源线应装设隔离电器和短路、过载及接地故障保护电器。</w:t>
      </w:r>
    </w:p>
    <w:p w14:paraId="7AD0723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5.2.3导线和热元件的接线应紧固，电热器具引入线处应采用石棉、瓷管等耐高温的绝缘材料予以保护。</w:t>
      </w:r>
    </w:p>
    <w:p w14:paraId="05748C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5.2.4电热器具周围0.3m以内不应放置可燃物。</w:t>
      </w:r>
    </w:p>
    <w:p w14:paraId="7C8115F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5.2.5电热器具的外露导体应接地。</w:t>
      </w:r>
    </w:p>
    <w:p w14:paraId="4C269EC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5.2.6浴室内除加热蒸汽炉设备外，不得安装其他设备和线路，加热蒸汽炉距墙壁应大于0.1m,应加装隔热板。</w:t>
      </w:r>
    </w:p>
    <w:p w14:paraId="2BC26B1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5.2.7电气线路和设备的接线入口及接线盒盖、管口应密封，外护物和遮栏均应具有IP24的防护等级。</w:t>
      </w:r>
    </w:p>
    <w:p w14:paraId="19019FA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5.2.8除加热蒸汽炉用的开关外，其他开关均应安装在桑拿浴室墙外，加热蒸汽炉可接近裸露导体应接地。</w:t>
      </w:r>
    </w:p>
    <w:p w14:paraId="3EAE8A1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5.2.9桑拿浴室内严禁装设电源插座。</w:t>
      </w:r>
    </w:p>
    <w:p w14:paraId="39EB9C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5.2.10桑拿浴室内的线路应为双重绝缘，采用刚性PVC管布线，其绝缘电阻不应小于0.2MQ;不得采用金属外皮的电缆或普通钢管布线。</w:t>
      </w:r>
    </w:p>
    <w:p w14:paraId="1F5BB16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5.2.11各连接点(含端子)温升，不应超过本规范表2的数值。</w:t>
      </w:r>
    </w:p>
    <w:p w14:paraId="73C9AC8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5.2.12各种电气设备应无打火、放电现象。</w:t>
      </w:r>
    </w:p>
    <w:p w14:paraId="37B74AD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5.2.13加热蒸汽炉接线入口和接线盒内的温度，不应高于双重绝缘导线长期工作允许的最高温度。</w:t>
      </w:r>
    </w:p>
    <w:p w14:paraId="600080A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5.2.14电加热器具的接地线路的接地电阻值应符合设计文件。</w:t>
      </w:r>
    </w:p>
    <w:p w14:paraId="6F48186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5.3空调器的安装要求</w:t>
      </w:r>
    </w:p>
    <w:p w14:paraId="326322C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5.3.1空调器应采用单独回路供电。</w:t>
      </w:r>
    </w:p>
    <w:p w14:paraId="54F1314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5.3.2空调器电源采用插座时，应设带有保护地线触头的插座。</w:t>
      </w:r>
    </w:p>
    <w:p w14:paraId="70E2A69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5.3.3空调电源线应设置短路、过载保护。</w:t>
      </w:r>
    </w:p>
    <w:p w14:paraId="5CDDE43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5.3.4空调器不应安装在可燃结构上，其设备与周围可燃物的距离不应小于0.1m。</w:t>
      </w:r>
    </w:p>
    <w:p w14:paraId="7AB7AE4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5.3.2分体式空调穿墙管路应有套管保护，室内机体接线端子板处接线应牢固、整齐、正确。</w:t>
      </w:r>
    </w:p>
    <w:p w14:paraId="2A6D62B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5.3.6各连接点(含端子)温升，不应超过本规范表2的规定。</w:t>
      </w:r>
    </w:p>
    <w:p w14:paraId="64BA311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5.3.7设备工作时应无打火、放电现象。</w:t>
      </w:r>
    </w:p>
    <w:p w14:paraId="772F0E5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5.4防爆环境电气设备设置要求</w:t>
      </w:r>
    </w:p>
    <w:p w14:paraId="2BAA339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防爆环境场所电气设备防爆标志应符合爆炸与火灾危险分区要求。</w:t>
      </w:r>
    </w:p>
    <w:p w14:paraId="6D65E20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5.2整流、稳压设备防火要求</w:t>
      </w:r>
    </w:p>
    <w:p w14:paraId="3AEC736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5.2.1输入稳压整流器设备的工作电流不应超过额定电流。</w:t>
      </w:r>
    </w:p>
    <w:p w14:paraId="09F89CB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5.2.2柜体内螺栓连接的导线应无松动，专用端子压接应牢固无开裂，焊接连接的导线应无脱焊、虚焊、碰壳及短路现象。</w:t>
      </w:r>
    </w:p>
    <w:p w14:paraId="22F154F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5.2.3快速熔断器的型号、规格，应符合设计文件。</w:t>
      </w:r>
    </w:p>
    <w:p w14:paraId="08DE2B6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5.2.4稳压整流设备的冷却系统运转应正常。</w:t>
      </w:r>
    </w:p>
    <w:p w14:paraId="0B9753D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5.2.5整流变压器的温升应小于60K。</w:t>
      </w:r>
    </w:p>
    <w:p w14:paraId="13B4338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5.2.6各种导线、母线的连接点和接线端子的温升，不应超过表1和表2的数值。</w:t>
      </w:r>
    </w:p>
    <w:p w14:paraId="71E31C5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5.2.7电气设备连接点、壳体等不应有打火、放电现象。</w:t>
      </w:r>
    </w:p>
    <w:p w14:paraId="7049C4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5.2.8整流、稳压设备的接地线路的接地电阻值应符合设计文件。</w:t>
      </w:r>
    </w:p>
    <w:p w14:paraId="069D5F6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5.6电风扇的安装要求</w:t>
      </w:r>
    </w:p>
    <w:p w14:paraId="51A419C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5.6.1吊扇扇叶距地高度不小于2.2m。</w:t>
      </w:r>
    </w:p>
    <w:p w14:paraId="1E922F0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5.6.2电扇扇叶角度不应改变，扇叶的固定螺栓防松零件应齐全。</w:t>
      </w:r>
    </w:p>
    <w:p w14:paraId="496527C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5.6.3电扇接线正确，电扇运转时应无明显颤动。</w:t>
      </w:r>
    </w:p>
    <w:p w14:paraId="373AD9D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5.6.4各连接点(含端子)温升，不应超过本规范表2的规定。</w:t>
      </w:r>
    </w:p>
    <w:p w14:paraId="195CAB8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5.6.2设备工作时应无打火、放电现象。</w:t>
      </w:r>
    </w:p>
    <w:p w14:paraId="70635C79">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eastAsia="zh-CN"/>
        </w:rPr>
        <w:t>5.7检测数量要求：按现场实际数量的70%检测</w:t>
      </w:r>
    </w:p>
    <w:p w14:paraId="7C67DC2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6.</w:t>
      </w:r>
      <w:r>
        <w:rPr>
          <w:rFonts w:hint="eastAsia" w:ascii="宋体" w:hAnsi="宋体" w:cs="宋体"/>
          <w:color w:val="000000"/>
          <w:sz w:val="24"/>
          <w:szCs w:val="24"/>
          <w:highlight w:val="none"/>
        </w:rPr>
        <w:t>照明装置</w:t>
      </w:r>
    </w:p>
    <w:p w14:paraId="072769B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6.1照明装置的选用与安装</w:t>
      </w:r>
    </w:p>
    <w:p w14:paraId="4E4E1F3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6.1.1超过60W的白炽灯、卤钨灯、荧光高压汞灯、聚光灯、回光灯、炭精灯等照明灯具(含镇流器)不应直接安装在可燃材料或可燃构件上，聚光灯的聚光点不应落在可燃物上。</w:t>
      </w:r>
    </w:p>
    <w:p w14:paraId="6D2E66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6.1.2当灯具的高温部位靠近除不燃性(A级)以外的装修材料时，应采取隔热(如用玻璃丝、石膏板、石棉板等加以隔热防护)散热(如在灯具上增加散热空隙或加强顶棚内通风降温，与可燃物保持一定距离)等防火保护措施。</w:t>
      </w:r>
    </w:p>
    <w:p w14:paraId="06AC75E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6.1.3灯饰所用材料的燃烧性能等级不应低于难燃性(B1级)等级。</w:t>
      </w:r>
    </w:p>
    <w:p w14:paraId="7C5275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6.1.4嵌入顶棚内的灯具、灯头引线应用柔性金属管保护，其保护长度不宜超过1.0m。</w:t>
      </w:r>
    </w:p>
    <w:p w14:paraId="426F329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6.1.5聚光灯、回光灯、炭精灯不应安装在可燃基座上，灯头的尾线应用高温线或瓷套管保护。</w:t>
      </w:r>
    </w:p>
    <w:p w14:paraId="33A5EA8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6.1.6照明灯具配线接点应设在金属接线盒内。</w:t>
      </w:r>
    </w:p>
    <w:p w14:paraId="4EC6A19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6.1.7库房内不应装设碘钨灯、卤钨灯、60W以上的白炽灯等高温照明灯具。</w:t>
      </w:r>
    </w:p>
    <w:p w14:paraId="6F3FE47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6.1.8人防工程内潮湿场所、厨房、开水间、洗衣间、卫生间应采用防潮灯具。</w:t>
      </w:r>
    </w:p>
    <w:p w14:paraId="1D42E40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6.1.9库房内照明灯具下放不应堆放可燃物品。</w:t>
      </w:r>
    </w:p>
    <w:p w14:paraId="5506580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6.1.10库房内照明灯具垂直下方与储存物品水平间距不应小于0.2m。</w:t>
      </w:r>
    </w:p>
    <w:p w14:paraId="35EA6B2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6.1.11库房内不应设置移动式照明灯具。</w:t>
      </w:r>
    </w:p>
    <w:p w14:paraId="558EC1A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6.1.12住宅公寓卫生间的灯具位置不应安装在座便器或浴缸的上面及其背后。</w:t>
      </w:r>
    </w:p>
    <w:p w14:paraId="20484FE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6.1.13安装在重要场所的大型灯具的玻璃罩，应采取防止玻璃罩碎裂后向下溅落的措施。</w:t>
      </w:r>
    </w:p>
    <w:p w14:paraId="4F918B8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6.1.14当I类灯具距地面高度小于2.4m时，灯具的可接近裸露导体应接地。</w:t>
      </w:r>
    </w:p>
    <w:p w14:paraId="148CC16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6.1.15照明灯具上所装的灯泡，不应超过灯具的额定功率。</w:t>
      </w:r>
    </w:p>
    <w:p w14:paraId="7348D31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6.1.16灯具配件齐全，应无机械损伤，涂层剥落与灯罩破裂等缺陷。</w:t>
      </w:r>
    </w:p>
    <w:p w14:paraId="172E59C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6.2防爆环境范围的固定式灯具安装要求</w:t>
      </w:r>
    </w:p>
    <w:p w14:paraId="6372524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6.2.1防爆照明灯具的类别、级别和温度组别应符合设计文件。</w:t>
      </w:r>
    </w:p>
    <w:p w14:paraId="0E98249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6.2.2汽车加油站内爆炸危险区域以外的站房，罩棚等建筑物内的照明灯具可选用非防爆型，但罩棚下的灯具应选用防护等级不低于IP44级的节能型照明灯具。</w:t>
      </w:r>
    </w:p>
    <w:p w14:paraId="37FF985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6.3照明灯具的工作安全防火要求</w:t>
      </w:r>
    </w:p>
    <w:p w14:paraId="22CDF4A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6.3.1照明灯具与可燃物之间的安全距离：</w:t>
      </w:r>
    </w:p>
    <w:p w14:paraId="1BD022A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"https://9.3.1.1"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6.3.1.1</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普通灯具不应小于0.3m,当安全距离不够时，应采取隔热、散热措施。</w:t>
      </w:r>
    </w:p>
    <w:p w14:paraId="73815D5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"https://9.3.1.2"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6.3.1.2</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高温灯具(聚光灯、碘钨灯等)不应小于0.2m,当安全距离不够时，应采取隔热、散热措施。</w:t>
      </w:r>
    </w:p>
    <w:p w14:paraId="480C14F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"https://9.3.1.3"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6.3.1.3</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影剧院、礼堂用的面光灯、耳光灯不应小于0.2m,当安全距离不够时，应采取隔热、散热措施。</w:t>
      </w:r>
    </w:p>
    <w:p w14:paraId="5DCE54B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"https://9.3.1.4"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6.3.1.4</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功率为100W～200W的灯具不应小于0.2m,当安全距离不够时，应采取隔热、散热措施。</w:t>
      </w:r>
    </w:p>
    <w:p w14:paraId="4F5FEDD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"https://9.3.1.5"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6.3.1.2</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功率为201W～2000W的灯具不应小于0.7m,当安全距离不够时，应采取隔热、散热措施。</w:t>
      </w:r>
    </w:p>
    <w:p w14:paraId="6CD931D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fldChar w:fldCharType="begin"/>
      </w:r>
      <w:r>
        <w:rPr>
          <w:rFonts w:hint="eastAsia" w:ascii="宋体" w:hAnsi="宋体" w:cs="宋体"/>
          <w:color w:val="000000"/>
          <w:sz w:val="24"/>
          <w:szCs w:val="24"/>
          <w:highlight w:val="none"/>
        </w:rPr>
        <w:instrText xml:space="preserve"> HYPERLINK "https://9.3.1.6" </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6.3.1.6</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功率为2000W以上的灯具不应小于1.2m,当安全距离不够时，应采取隔热、散热措施。</w:t>
      </w:r>
    </w:p>
    <w:p w14:paraId="66486EF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6.3.2日光灯镇流器线圈的最高允许温度不应超过给定温度标定Tw值。</w:t>
      </w:r>
    </w:p>
    <w:p w14:paraId="762EFDE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6.3.3日光灯电容器外壳的最高允许温度不应超过Tc值。</w:t>
      </w:r>
    </w:p>
    <w:p w14:paraId="5ED6F87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6.3.4灯具的带电导体对地(外壳)不应有打火、放电现象。</w:t>
      </w:r>
    </w:p>
    <w:p w14:paraId="06BCBD62">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6.4检测数量要求：按现场实际数量的70%检测</w:t>
      </w:r>
      <w:r>
        <w:rPr>
          <w:rFonts w:hint="eastAsia" w:ascii="宋体" w:hAnsi="宋体" w:cs="宋体"/>
          <w:color w:val="000000"/>
          <w:sz w:val="24"/>
          <w:szCs w:val="24"/>
          <w:highlight w:val="none"/>
          <w:lang w:eastAsia="zh-CN"/>
        </w:rPr>
        <w:t>。</w:t>
      </w:r>
    </w:p>
    <w:p w14:paraId="391A2D1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7.</w:t>
      </w:r>
      <w:r>
        <w:rPr>
          <w:rFonts w:hint="eastAsia" w:ascii="宋体" w:hAnsi="宋体" w:cs="宋体"/>
          <w:color w:val="000000"/>
          <w:sz w:val="24"/>
          <w:szCs w:val="24"/>
          <w:highlight w:val="none"/>
        </w:rPr>
        <w:t>插座与开关</w:t>
      </w:r>
    </w:p>
    <w:p w14:paraId="6CD37A5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7.1插座与开关安装要求</w:t>
      </w:r>
    </w:p>
    <w:p w14:paraId="043666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7.1.1当交流、直流或不同电压等级的插座安装在同一场所时，应有明显的区别，必须选择不同结构、不同规格和不能互换的插座。</w:t>
      </w:r>
    </w:p>
    <w:p w14:paraId="09C0E76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7.1.2暗装的插座与开关应采用专用盒，面板紧贴墙面，四周无缝隙，安装牢固，表面光滑整洁。无碎裂、划伤，装饰帽应齐全。</w:t>
      </w:r>
    </w:p>
    <w:p w14:paraId="54A5B2E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7.1.3地插座面板与地面齐平或紧贴地面，盖板固定牢固，密封良好。</w:t>
      </w:r>
    </w:p>
    <w:p w14:paraId="70EA014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7.1.4备用照明、疏散照明的回路上不应设置插座。</w:t>
      </w:r>
    </w:p>
    <w:p w14:paraId="7E8E273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7.1.5除壁挂式空调电源插座外，其他电源插座电路应设漏电保护装置。</w:t>
      </w:r>
    </w:p>
    <w:p w14:paraId="1430547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7.1.6插座、开关若安装在可燃结构上或靠近可燃物时，应采取隔热、散热的保护措施。</w:t>
      </w:r>
    </w:p>
    <w:p w14:paraId="3114915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7.1.7潮湿场所，应采用密封良好的防溅水型插座。</w:t>
      </w:r>
    </w:p>
    <w:p w14:paraId="3D27766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7.1.8安装在桑拿浴室时，除加热炉附着开关外，其它开关、插座均应安装在桑拿浴室外。</w:t>
      </w:r>
    </w:p>
    <w:p w14:paraId="02A3438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7.1.9托儿所、幼儿园、小学等儿童活动场所插座安装高度不应小于1.8m。</w:t>
      </w:r>
    </w:p>
    <w:p w14:paraId="5F6D0B4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7.1.10照明开关边缘距门框边缘的距离应为0.12m～0.20m。</w:t>
      </w:r>
    </w:p>
    <w:p w14:paraId="1AEAC11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7.1.11在同一构、建筑物开关的通断位置应一致。</w:t>
      </w:r>
    </w:p>
    <w:p w14:paraId="6CFE1B9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7.1.12防爆环境应采用相应的防爆型开关与插座。</w:t>
      </w:r>
    </w:p>
    <w:p w14:paraId="42A3FCD3">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7.2插座接线要求</w:t>
      </w:r>
    </w:p>
    <w:p w14:paraId="3E7F433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7.2.1单相两孔插座面对插座的右孔或上孔应与相线连接，左孔或下孔应与中性线连接。</w:t>
      </w:r>
    </w:p>
    <w:p w14:paraId="0E2D86D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7.2.2单相三孔插座面对插座的右孔应与相线连接，左孔应与中性线连接。</w:t>
      </w:r>
    </w:p>
    <w:p w14:paraId="7C9E16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7.2.3同一场所的三相插座，接线的相序应一致。</w:t>
      </w:r>
    </w:p>
    <w:p w14:paraId="7F64C2D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7.2.4插座间的接地线不得串联连接。</w:t>
      </w:r>
    </w:p>
    <w:p w14:paraId="3901C2C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7.3插座与开关工作防火要求</w:t>
      </w:r>
    </w:p>
    <w:p w14:paraId="47E27FC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7.3.1有插头工作的插座，在工作时不应有过热或打火放电现象。</w:t>
      </w:r>
    </w:p>
    <w:p w14:paraId="10EB86A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7.3.2开关在工作时不应有过热或打火放电现象。</w:t>
      </w:r>
    </w:p>
    <w:p w14:paraId="4E343D38">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7.3.3插座的接地线路的接地电阻值应符合设计文件。</w:t>
      </w:r>
    </w:p>
    <w:p w14:paraId="3D2D8780">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7.4检测数量要求：按现场实际数量的70%检测</w:t>
      </w:r>
      <w:r>
        <w:rPr>
          <w:rFonts w:hint="eastAsia" w:ascii="宋体" w:hAnsi="宋体" w:cs="宋体"/>
          <w:color w:val="000000"/>
          <w:sz w:val="24"/>
          <w:szCs w:val="24"/>
          <w:highlight w:val="none"/>
          <w:lang w:eastAsia="zh-CN"/>
        </w:rPr>
        <w:t>。</w:t>
      </w:r>
    </w:p>
    <w:p w14:paraId="38341A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8.</w:t>
      </w:r>
      <w:r>
        <w:rPr>
          <w:rFonts w:hint="eastAsia" w:ascii="宋体" w:hAnsi="宋体" w:cs="宋体"/>
          <w:color w:val="000000"/>
          <w:sz w:val="24"/>
          <w:szCs w:val="24"/>
          <w:highlight w:val="none"/>
        </w:rPr>
        <w:t>等电位联结</w:t>
      </w:r>
    </w:p>
    <w:p w14:paraId="15D0FDF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8.1建筑内的电气装置应采用总等电位联结。</w:t>
      </w:r>
    </w:p>
    <w:p w14:paraId="28C0C35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8.2建筑中等电位联结干线应从与接地装置有不少于2处直接连接的接地干线或总等电位箱引出。</w:t>
      </w:r>
    </w:p>
    <w:p w14:paraId="79E25F7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8.3等电位联结干线或局部等电位箱间的连接线应形成环状网路。</w:t>
      </w:r>
    </w:p>
    <w:p w14:paraId="215FC380">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8.4等电位联结环状网路应就近与等电位联结干线或局部等电位箱连接。</w:t>
      </w:r>
    </w:p>
    <w:p w14:paraId="014FE4A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8.5等电位联结的线路最小允许截面应符合设计文件并满足表7的要求。</w:t>
      </w:r>
    </w:p>
    <w:p w14:paraId="55260554">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表7等电位联结线路的最小允许截面积</w:t>
      </w:r>
    </w:p>
    <w:p w14:paraId="3D2AA75C">
      <w:pPr>
        <w:spacing w:line="360" w:lineRule="auto"/>
        <w:ind w:right="2" w:firstLine="480" w:firstLineChars="200"/>
        <w:rPr>
          <w:rFonts w:hint="eastAsia" w:ascii="宋体" w:hAnsi="宋体" w:cs="宋体"/>
          <w:color w:val="000000"/>
          <w:sz w:val="24"/>
          <w:szCs w:val="24"/>
          <w:highlight w:val="none"/>
        </w:rPr>
      </w:pPr>
    </w:p>
    <w:tbl>
      <w:tblPr>
        <w:tblStyle w:val="167"/>
        <w:tblW w:w="95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91"/>
        <w:gridCol w:w="3187"/>
        <w:gridCol w:w="3182"/>
      </w:tblGrid>
      <w:tr w14:paraId="604F7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3191" w:type="dxa"/>
            <w:vMerge w:val="restart"/>
            <w:tcBorders>
              <w:bottom w:val="nil"/>
            </w:tcBorders>
          </w:tcPr>
          <w:p w14:paraId="30E59CC5">
            <w:pPr>
              <w:spacing w:line="360" w:lineRule="auto"/>
              <w:ind w:right="2" w:firstLine="480" w:firstLineChars="200"/>
              <w:rPr>
                <w:rFonts w:hint="eastAsia" w:ascii="宋体" w:hAnsi="宋体" w:cs="宋体"/>
                <w:color w:val="000000"/>
                <w:sz w:val="24"/>
                <w:szCs w:val="24"/>
                <w:highlight w:val="none"/>
              </w:rPr>
            </w:pPr>
          </w:p>
          <w:p w14:paraId="555857C1">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材料</w:t>
            </w:r>
          </w:p>
        </w:tc>
        <w:tc>
          <w:tcPr>
            <w:tcW w:w="6369" w:type="dxa"/>
            <w:gridSpan w:val="2"/>
          </w:tcPr>
          <w:p w14:paraId="63110955">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截面(mm²)</w:t>
            </w:r>
          </w:p>
        </w:tc>
      </w:tr>
      <w:tr w14:paraId="6EA87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91" w:type="dxa"/>
            <w:vMerge w:val="continue"/>
            <w:tcBorders>
              <w:top w:val="nil"/>
            </w:tcBorders>
          </w:tcPr>
          <w:p w14:paraId="433FB585">
            <w:pPr>
              <w:spacing w:line="360" w:lineRule="auto"/>
              <w:ind w:right="2" w:firstLine="480" w:firstLineChars="200"/>
              <w:rPr>
                <w:rFonts w:hint="eastAsia" w:ascii="宋体" w:hAnsi="宋体" w:cs="宋体"/>
                <w:color w:val="000000"/>
                <w:sz w:val="24"/>
                <w:szCs w:val="24"/>
                <w:highlight w:val="none"/>
              </w:rPr>
            </w:pPr>
          </w:p>
        </w:tc>
        <w:tc>
          <w:tcPr>
            <w:tcW w:w="3187" w:type="dxa"/>
          </w:tcPr>
          <w:p w14:paraId="31C8195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干线</w:t>
            </w:r>
          </w:p>
        </w:tc>
        <w:tc>
          <w:tcPr>
            <w:tcW w:w="3182" w:type="dxa"/>
          </w:tcPr>
          <w:p w14:paraId="42E5CAB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支线</w:t>
            </w:r>
          </w:p>
        </w:tc>
      </w:tr>
      <w:tr w14:paraId="72350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91" w:type="dxa"/>
          </w:tcPr>
          <w:p w14:paraId="0914A45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铜</w:t>
            </w:r>
          </w:p>
        </w:tc>
        <w:tc>
          <w:tcPr>
            <w:tcW w:w="3187" w:type="dxa"/>
          </w:tcPr>
          <w:p w14:paraId="1268F7B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16</w:t>
            </w:r>
          </w:p>
        </w:tc>
        <w:tc>
          <w:tcPr>
            <w:tcW w:w="3182" w:type="dxa"/>
          </w:tcPr>
          <w:p w14:paraId="131C3CFC">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w:t>
            </w:r>
          </w:p>
        </w:tc>
      </w:tr>
      <w:tr w14:paraId="266C2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3191" w:type="dxa"/>
          </w:tcPr>
          <w:p w14:paraId="00B8F26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钢</w:t>
            </w:r>
          </w:p>
        </w:tc>
        <w:tc>
          <w:tcPr>
            <w:tcW w:w="3187" w:type="dxa"/>
          </w:tcPr>
          <w:p w14:paraId="30E0073E">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20</w:t>
            </w:r>
          </w:p>
        </w:tc>
        <w:tc>
          <w:tcPr>
            <w:tcW w:w="3182" w:type="dxa"/>
          </w:tcPr>
          <w:p w14:paraId="0A4CC2F2">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16</w:t>
            </w:r>
          </w:p>
        </w:tc>
      </w:tr>
    </w:tbl>
    <w:p w14:paraId="637215D7">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8.6等电位联结的可接近裸导体或其他金属部件、构件与支线连接应可靠。</w:t>
      </w:r>
    </w:p>
    <w:p w14:paraId="0022951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8.7检测数量要求：按现场实际数量的70%检测</w:t>
      </w:r>
    </w:p>
    <w:p w14:paraId="56C6C9A3">
      <w:pPr>
        <w:spacing w:line="360" w:lineRule="auto"/>
        <w:ind w:right="2" w:firstLine="480" w:firstLineChars="200"/>
        <w:rPr>
          <w:rFonts w:hint="eastAsia" w:ascii="宋体" w:hAnsi="宋体" w:cs="宋体"/>
          <w:color w:val="000000"/>
          <w:sz w:val="24"/>
          <w:szCs w:val="24"/>
          <w:highlight w:val="none"/>
        </w:rPr>
      </w:pPr>
      <w:bookmarkStart w:id="41" w:name="_Toc449097082"/>
      <w:r>
        <w:rPr>
          <w:rFonts w:hint="eastAsia" w:ascii="宋体" w:hAnsi="宋体" w:cs="宋体"/>
          <w:color w:val="000000"/>
          <w:sz w:val="24"/>
          <w:szCs w:val="24"/>
          <w:highlight w:val="none"/>
        </w:rPr>
        <w:t>（六）园区消防系统及消防中控室值班人员要求</w:t>
      </w:r>
      <w:bookmarkEnd w:id="41"/>
    </w:p>
    <w:p w14:paraId="1B70BD9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（1）熟悉掌握建筑消防设施的工作原理及操作规程，能排除一般故障，定期做好各系统功能试验、维护等工作，保证系统正常运行；</w:t>
      </w:r>
    </w:p>
    <w:p w14:paraId="07A88AC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(2)对消防控制室设备及通讯器材进行经常性的检查，每日检查火灾自动报警系统及消防联动控制系统功能是否正常，如发现不正常，应在日登记表中记录并及时处理或报告；</w:t>
      </w:r>
    </w:p>
    <w:p w14:paraId="235D593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(3)认真填写相关消防设施系统运行情况、报警情况、故障维修、日常保养等记录表，消防控制室值班记录，不得漏记、补记、代记，消防控制室值班记录应完整，字迹清晰，保存完好。</w:t>
      </w:r>
    </w:p>
    <w:p w14:paraId="4FD8482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（4）消防控制室内严禁吸烟或动用明火。未按照要求发现一次扣罚10000元。</w:t>
      </w:r>
    </w:p>
    <w:p w14:paraId="115E088F">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(5)中控室值班人员应提前10分钟上岗，遵守考勤管理制度，由业主单位负责人组织每日例会，要求值班人员做好会议纪要，做好交接班工作。接班人员未到岗接班时，交班人员不得擅自离岗。</w:t>
      </w:r>
    </w:p>
    <w:p w14:paraId="1B20235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(6)在值班期间存在睡岗、脱岗（离开监控区域30分钟以上视为脱岗）现象，视情节轻重对乙方处以当月维保费用2%-5%的罚款，情节严重者，甲方有权要求乙方调换</w:t>
      </w:r>
      <w:r>
        <w:rPr>
          <w:rFonts w:hint="eastAsia" w:ascii="宋体" w:hAnsi="宋体" w:cs="宋体"/>
          <w:color w:val="000000"/>
          <w:sz w:val="24"/>
          <w:szCs w:val="24"/>
          <w:highlight w:val="none"/>
          <w:lang w:val="en-US" w:eastAsia="zh-CN"/>
        </w:rPr>
        <w:t>值班</w:t>
      </w:r>
      <w:r>
        <w:rPr>
          <w:rFonts w:hint="eastAsia" w:ascii="宋体" w:hAnsi="宋体" w:cs="宋体"/>
          <w:color w:val="000000"/>
          <w:sz w:val="24"/>
          <w:szCs w:val="24"/>
          <w:highlight w:val="none"/>
        </w:rPr>
        <w:t>人员。</w:t>
      </w:r>
    </w:p>
    <w:p w14:paraId="4F1E75A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（7）驻场维保人员必须经过安全培训，三级教育考试合格，安全培训应针对现场实际特点，进行</w:t>
      </w:r>
      <w:r>
        <w:rPr>
          <w:rFonts w:hint="eastAsia" w:ascii="宋体" w:hAnsi="宋体" w:cs="宋体"/>
          <w:color w:val="000000"/>
          <w:sz w:val="24"/>
          <w:szCs w:val="24"/>
          <w:highlight w:val="none"/>
          <w:lang w:val="en-US" w:eastAsia="zh-CN"/>
        </w:rPr>
        <w:t>风</w:t>
      </w:r>
      <w:r>
        <w:rPr>
          <w:rFonts w:hint="eastAsia" w:ascii="宋体" w:hAnsi="宋体" w:cs="宋体"/>
          <w:color w:val="000000"/>
          <w:sz w:val="24"/>
          <w:szCs w:val="24"/>
          <w:highlight w:val="none"/>
        </w:rPr>
        <w:t>险点分析，讲解防范措施，考试合格后方可办理入厂通行证。</w:t>
      </w:r>
    </w:p>
    <w:p w14:paraId="25787B99">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（8）</w:t>
      </w:r>
      <w:r>
        <w:rPr>
          <w:rFonts w:hint="eastAsia" w:ascii="宋体" w:hAnsi="宋体" w:cs="宋体"/>
          <w:color w:val="000000"/>
          <w:sz w:val="24"/>
          <w:szCs w:val="24"/>
          <w:highlight w:val="none"/>
          <w:lang w:val="en-US" w:eastAsia="zh-CN"/>
        </w:rPr>
        <w:t>要求乙方配备</w:t>
      </w:r>
      <w:r>
        <w:rPr>
          <w:rFonts w:hint="eastAsia" w:ascii="宋体" w:hAnsi="宋体" w:cs="宋体"/>
          <w:color w:val="000000"/>
          <w:sz w:val="24"/>
          <w:szCs w:val="24"/>
          <w:highlight w:val="none"/>
        </w:rPr>
        <w:t>维保工具</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电动工器具、</w:t>
      </w:r>
      <w:r>
        <w:rPr>
          <w:rFonts w:hint="eastAsia" w:ascii="宋体" w:hAnsi="宋体" w:cs="宋体"/>
          <w:color w:val="000000"/>
          <w:sz w:val="24"/>
          <w:szCs w:val="24"/>
          <w:highlight w:val="none"/>
          <w:lang w:val="en-US" w:eastAsia="zh-CN"/>
        </w:rPr>
        <w:t>升降车、</w:t>
      </w:r>
      <w:r>
        <w:rPr>
          <w:rFonts w:hint="eastAsia" w:ascii="宋体" w:hAnsi="宋体" w:cs="宋体"/>
          <w:color w:val="000000"/>
          <w:sz w:val="24"/>
          <w:szCs w:val="24"/>
          <w:highlight w:val="none"/>
        </w:rPr>
        <w:t>起重工器具等所用设备</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且</w:t>
      </w:r>
      <w:r>
        <w:rPr>
          <w:rFonts w:hint="eastAsia" w:ascii="宋体" w:hAnsi="宋体" w:cs="宋体"/>
          <w:color w:val="000000"/>
          <w:sz w:val="24"/>
          <w:szCs w:val="24"/>
          <w:highlight w:val="none"/>
        </w:rPr>
        <w:t>必须经相关部门检验合格并贴合格证后方可使用</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莱芜园区配备2部</w:t>
      </w:r>
      <w:r>
        <w:rPr>
          <w:rFonts w:hint="eastAsia" w:ascii="宋体" w:hAnsi="宋体" w:cs="宋体"/>
          <w:color w:val="000000"/>
          <w:sz w:val="24"/>
          <w:szCs w:val="24"/>
          <w:highlight w:val="none"/>
        </w:rPr>
        <w:t>电瓶车</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6部对讲机。</w:t>
      </w:r>
    </w:p>
    <w:p w14:paraId="02EA1653">
      <w:pPr>
        <w:spacing w:line="360" w:lineRule="auto"/>
        <w:ind w:right="2"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rPr>
        <w:t>（9）维保单位</w:t>
      </w:r>
      <w:r>
        <w:rPr>
          <w:rFonts w:hint="eastAsia" w:ascii="宋体" w:hAnsi="宋体" w:cs="宋体"/>
          <w:color w:val="000000"/>
          <w:sz w:val="24"/>
          <w:szCs w:val="24"/>
          <w:highlight w:val="none"/>
          <w:lang w:val="en-US" w:eastAsia="zh-CN"/>
        </w:rPr>
        <w:t>人员应配备</w:t>
      </w:r>
      <w:r>
        <w:rPr>
          <w:rFonts w:hint="eastAsia" w:ascii="宋体" w:hAnsi="宋体" w:cs="宋体"/>
          <w:color w:val="000000"/>
          <w:sz w:val="24"/>
          <w:szCs w:val="24"/>
          <w:highlight w:val="none"/>
        </w:rPr>
        <w:t>安全帽、安全带和</w:t>
      </w:r>
      <w:r>
        <w:rPr>
          <w:rFonts w:hint="eastAsia" w:ascii="宋体" w:hAnsi="宋体" w:cs="宋体"/>
          <w:color w:val="000000"/>
          <w:sz w:val="24"/>
          <w:szCs w:val="24"/>
          <w:highlight w:val="none"/>
          <w:lang w:val="en-US" w:eastAsia="zh-CN"/>
        </w:rPr>
        <w:t>防静电</w:t>
      </w:r>
      <w:r>
        <w:rPr>
          <w:rFonts w:hint="eastAsia" w:ascii="宋体" w:hAnsi="宋体" w:cs="宋体"/>
          <w:color w:val="000000"/>
          <w:sz w:val="24"/>
          <w:szCs w:val="24"/>
          <w:highlight w:val="none"/>
        </w:rPr>
        <w:t>工作服</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四季款</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绝缘劳保鞋</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要求乙方</w:t>
      </w:r>
      <w:r>
        <w:rPr>
          <w:rFonts w:hint="eastAsia" w:ascii="宋体" w:hAnsi="宋体" w:cs="宋体"/>
          <w:color w:val="000000"/>
          <w:sz w:val="24"/>
          <w:szCs w:val="24"/>
          <w:highlight w:val="none"/>
        </w:rPr>
        <w:t>统一配发，样式统一齐全，保证现场人员工作安全。</w:t>
      </w:r>
    </w:p>
    <w:p w14:paraId="339B85C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10）接到火灾警报后，消防控制室必须立即以最快方式确认值班人员应按照相应的火警处置程序进行灵活有效的处理，严格执行火灾报警制度，要迅速启动应急预案，值班人员应5分钟内到达火情现场，妥善处理火情。</w:t>
      </w:r>
    </w:p>
    <w:p w14:paraId="42A1B64A">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（11）在醒目位置悬挂消防控制室值班人员职责、火警处置程序、灭火和应急疏散预案和消防安全重点部位有关人员的联系电话和证书等资料。</w:t>
      </w:r>
    </w:p>
    <w:p w14:paraId="333C1C96">
      <w:pPr>
        <w:spacing w:line="360" w:lineRule="auto"/>
        <w:ind w:right="2" w:firstLine="480" w:firstLineChars="200"/>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12</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遇紧急情况时，乙方应在规定的应急响应时间内到达现场处理故障，超时未到的，</w:t>
      </w:r>
      <w:r>
        <w:rPr>
          <w:rFonts w:hint="eastAsia" w:ascii="宋体" w:hAnsi="宋体" w:cs="宋体"/>
          <w:color w:val="000000"/>
          <w:sz w:val="24"/>
          <w:szCs w:val="24"/>
          <w:highlight w:val="none"/>
        </w:rPr>
        <w:t>乙方应承担损失责任及费用，并视情节轻重对乙方处以当月维保费用5%-10%的罚款</w:t>
      </w:r>
      <w:r>
        <w:rPr>
          <w:rFonts w:hint="eastAsia" w:ascii="宋体" w:hAnsi="宋体" w:cs="宋体"/>
          <w:color w:val="000000"/>
          <w:sz w:val="24"/>
          <w:szCs w:val="24"/>
          <w:highlight w:val="none"/>
          <w:lang w:val="en-US" w:eastAsia="zh-CN"/>
        </w:rPr>
        <w:t>。</w:t>
      </w:r>
    </w:p>
    <w:p w14:paraId="798B8B41">
      <w:pPr>
        <w:spacing w:line="360" w:lineRule="auto"/>
        <w:ind w:right="2" w:firstLine="480" w:firstLineChars="200"/>
        <w:rPr>
          <w:rFonts w:hint="eastAsia" w:ascii="宋体" w:hAnsi="宋体" w:cs="宋体"/>
          <w:color w:val="000000"/>
          <w:sz w:val="24"/>
          <w:szCs w:val="24"/>
          <w:highlight w:val="none"/>
        </w:rPr>
      </w:pPr>
      <w:bookmarkStart w:id="42" w:name="bookmark9"/>
      <w:bookmarkEnd w:id="42"/>
      <w:r>
        <w:rPr>
          <w:rFonts w:hint="eastAsia" w:ascii="宋体" w:hAnsi="宋体" w:cs="宋体"/>
          <w:color w:val="000000"/>
          <w:sz w:val="24"/>
          <w:szCs w:val="24"/>
          <w:highlight w:val="none"/>
        </w:rPr>
        <w:t>（1</w:t>
      </w:r>
      <w:r>
        <w:rPr>
          <w:rFonts w:hint="eastAsia" w:ascii="宋体" w:hAnsi="宋体" w:cs="宋体"/>
          <w:color w:val="000000"/>
          <w:sz w:val="24"/>
          <w:szCs w:val="24"/>
          <w:highlight w:val="none"/>
          <w:lang w:val="en-US" w:eastAsia="zh-CN"/>
        </w:rPr>
        <w:t>3</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en-US" w:eastAsia="zh-CN"/>
        </w:rPr>
        <w:t>需更换消防配件时，乙方应及时通知甲方购买配件，</w:t>
      </w:r>
      <w:r>
        <w:rPr>
          <w:rFonts w:hint="eastAsia" w:ascii="宋体" w:hAnsi="宋体" w:cs="宋体"/>
          <w:color w:val="000000"/>
          <w:sz w:val="24"/>
          <w:szCs w:val="24"/>
          <w:highlight w:val="none"/>
        </w:rPr>
        <w:t>因乙方未及时维修、更换配件所造成损失的，乙方应承担损失责任及费用，并视情节轻重对乙方处以当月维保费用5%-10%的罚款；</w:t>
      </w:r>
      <w:bookmarkStart w:id="43" w:name="bookmark10"/>
      <w:bookmarkEnd w:id="43"/>
    </w:p>
    <w:p w14:paraId="0060AD26">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en-US" w:eastAsia="zh-CN"/>
        </w:rPr>
        <w:t>14</w:t>
      </w:r>
      <w:r>
        <w:rPr>
          <w:rFonts w:hint="eastAsia" w:ascii="宋体" w:hAnsi="宋体" w:cs="宋体"/>
          <w:color w:val="000000"/>
          <w:sz w:val="24"/>
          <w:szCs w:val="24"/>
          <w:highlight w:val="none"/>
        </w:rPr>
        <w:t>）甲方监督乙方按规定履行维修保养职责，乙方应按甲方要求出具维修保养报告。若违反上述职责，视情节轻重甲方有权对乙方处以合同总额2%-5%的罚款，直至解除维修保养合同。</w:t>
      </w:r>
      <w:bookmarkStart w:id="44" w:name="bookmark13"/>
      <w:bookmarkEnd w:id="44"/>
    </w:p>
    <w:p w14:paraId="281B64DB">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en-US" w:eastAsia="zh-CN"/>
        </w:rPr>
        <w:t>15</w:t>
      </w:r>
      <w:r>
        <w:rPr>
          <w:rFonts w:hint="eastAsia" w:ascii="宋体" w:hAnsi="宋体" w:cs="宋体"/>
          <w:color w:val="000000"/>
          <w:sz w:val="24"/>
          <w:szCs w:val="24"/>
          <w:highlight w:val="none"/>
        </w:rPr>
        <w:t>)乙方人员应遵守国家法律法规、</w:t>
      </w:r>
      <w:r>
        <w:rPr>
          <w:rFonts w:hint="eastAsia" w:ascii="宋体" w:hAnsi="宋体" w:cs="宋体"/>
          <w:color w:val="000000"/>
          <w:sz w:val="24"/>
          <w:szCs w:val="24"/>
          <w:highlight w:val="none"/>
          <w:lang w:val="en-US" w:eastAsia="zh-CN"/>
        </w:rPr>
        <w:t>甲方</w:t>
      </w:r>
      <w:r>
        <w:rPr>
          <w:rFonts w:hint="eastAsia" w:ascii="宋体" w:hAnsi="宋体" w:cs="宋体"/>
          <w:color w:val="000000"/>
          <w:sz w:val="24"/>
          <w:szCs w:val="24"/>
          <w:highlight w:val="none"/>
        </w:rPr>
        <w:t>各项规章制度及合同约定内容，若违反上述内容及造成损失的，乙方应承担责任及损失所产生的相关费用，并视情节轻重处以当月维保费用2%-5%的罚款。</w:t>
      </w:r>
      <w:bookmarkStart w:id="45" w:name="bookmark15"/>
      <w:bookmarkEnd w:id="45"/>
    </w:p>
    <w:p w14:paraId="52D8C26D">
      <w:pPr>
        <w:spacing w:line="360" w:lineRule="auto"/>
        <w:ind w:right="2"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16</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乙方未按期、按数量完成消防设施维保检测工作的，</w:t>
      </w:r>
      <w:r>
        <w:rPr>
          <w:rFonts w:hint="eastAsia" w:ascii="宋体" w:hAnsi="宋体" w:cs="宋体"/>
          <w:color w:val="000000"/>
          <w:sz w:val="24"/>
          <w:szCs w:val="24"/>
          <w:highlight w:val="none"/>
        </w:rPr>
        <w:t>视情节轻重处以当月维保费用2%-5%的罚款。</w:t>
      </w:r>
    </w:p>
    <w:p w14:paraId="5727C7E5">
      <w:pPr>
        <w:spacing w:line="360" w:lineRule="auto"/>
        <w:ind w:right="2" w:firstLine="480" w:firstLineChars="200"/>
        <w:rPr>
          <w:rFonts w:hint="default" w:ascii="宋体" w:hAnsi="宋体" w:cs="宋体"/>
          <w:color w:val="000000"/>
          <w:sz w:val="24"/>
          <w:szCs w:val="24"/>
          <w:highlight w:val="none"/>
          <w:lang w:val="en-US"/>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17</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消防设施检测及电气防火检测工期为7天内检测完成，3天出具报告，总工期不得超过10天（自然日），每逾期1天，</w:t>
      </w:r>
      <w:r>
        <w:rPr>
          <w:rFonts w:hint="eastAsia" w:ascii="宋体" w:hAnsi="宋体" w:cs="宋体"/>
          <w:color w:val="000000"/>
          <w:sz w:val="24"/>
          <w:szCs w:val="24"/>
          <w:highlight w:val="none"/>
        </w:rPr>
        <w:t>处以</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消电检”</w:t>
      </w:r>
      <w:r>
        <w:rPr>
          <w:rFonts w:hint="eastAsia" w:ascii="宋体" w:hAnsi="宋体" w:cs="宋体"/>
          <w:color w:val="000000"/>
          <w:sz w:val="24"/>
          <w:szCs w:val="24"/>
          <w:highlight w:val="none"/>
        </w:rPr>
        <w:t>费用</w:t>
      </w:r>
      <w:r>
        <w:rPr>
          <w:rFonts w:hint="eastAsia" w:ascii="宋体" w:hAnsi="宋体" w:cs="宋体"/>
          <w:color w:val="000000"/>
          <w:sz w:val="24"/>
          <w:szCs w:val="24"/>
          <w:highlight w:val="none"/>
          <w:lang w:val="en-US" w:eastAsia="zh-CN"/>
        </w:rPr>
        <w:t>5</w:t>
      </w:r>
      <w:r>
        <w:rPr>
          <w:rFonts w:hint="eastAsia" w:ascii="宋体" w:hAnsi="宋体" w:cs="宋体"/>
          <w:color w:val="000000"/>
          <w:sz w:val="24"/>
          <w:szCs w:val="24"/>
          <w:highlight w:val="none"/>
        </w:rPr>
        <w:t>%的罚款。</w:t>
      </w:r>
    </w:p>
    <w:p w14:paraId="23114B66">
      <w:pPr>
        <w:rPr>
          <w:rFonts w:ascii="宋体" w:hAnsi="宋体" w:cs="宋体"/>
        </w:rPr>
      </w:pPr>
    </w:p>
    <w:p w14:paraId="29BBEFFA">
      <w:pPr>
        <w:rPr>
          <w:rFonts w:hint="eastAsia" w:ascii="宋体" w:hAnsi="宋体" w:eastAsia="宋体" w:cs="宋体"/>
        </w:rPr>
      </w:pPr>
    </w:p>
    <w:p w14:paraId="57E162E9">
      <w:pPr>
        <w:rPr>
          <w:rFonts w:hint="eastAsia"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D5D5C">
    <w:pPr>
      <w:pStyle w:val="20"/>
      <w:jc w:val="center"/>
      <w:rPr>
        <w:rFonts w:hint="eastAsia"/>
      </w:rPr>
    </w:pPr>
    <w:r>
      <w:fldChar w:fldCharType="begin"/>
    </w:r>
    <w:r>
      <w:instrText xml:space="preserve">PAGE   \* MERGEFORMAT</w:instrText>
    </w:r>
    <w:r>
      <w:fldChar w:fldCharType="separate"/>
    </w:r>
    <w:r>
      <w:rPr>
        <w:lang w:val="zh-CN"/>
      </w:rPr>
      <w:t>-</w:t>
    </w:r>
    <w:r>
      <w:t xml:space="preserve"> 2 -</w:t>
    </w:r>
    <w:r>
      <w:fldChar w:fldCharType="end"/>
    </w:r>
  </w:p>
  <w:p w14:paraId="4096371D">
    <w:pPr>
      <w:pStyle w:val="20"/>
      <w:rPr>
        <w:rFonts w:hint="eastAsia"/>
      </w:rPr>
    </w:pPr>
  </w:p>
  <w:p w14:paraId="637A9E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1B463">
    <w:pPr>
      <w:pStyle w:val="20"/>
      <w:jc w:val="center"/>
      <w:rPr>
        <w:rFonts w:hint="eastAsia"/>
      </w:rPr>
    </w:pPr>
    <w:r>
      <w:fldChar w:fldCharType="begin"/>
    </w:r>
    <w:r>
      <w:instrText xml:space="preserve">PAGE   \* MERGEFORMAT</w:instrText>
    </w:r>
    <w:r>
      <w:fldChar w:fldCharType="separate"/>
    </w:r>
    <w:r>
      <w:rPr>
        <w:lang w:val="zh-CN"/>
      </w:rPr>
      <w:t>-</w:t>
    </w:r>
    <w:r>
      <w:t xml:space="preserve"> 1 -</w:t>
    </w:r>
    <w:r>
      <w:fldChar w:fldCharType="end"/>
    </w:r>
  </w:p>
  <w:p w14:paraId="00C98B73">
    <w:pPr>
      <w:pStyle w:val="20"/>
      <w:jc w:val="center"/>
      <w:rPr>
        <w:rFonts w:hint="eastAsia"/>
      </w:rPr>
    </w:pPr>
  </w:p>
  <w:p w14:paraId="2DD823B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9CEAC">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BE8FA">
                          <w:pPr>
                            <w:pStyle w:val="2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40BBE8FA">
                    <w:pPr>
                      <w:pStyle w:val="2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C29B1">
    <w:pPr>
      <w:pStyle w:val="2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CDF4F">
                          <w:pPr>
                            <w:pStyle w:val="2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0CBCDF4F">
                    <w:pPr>
                      <w:pStyle w:val="2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75FC6">
    <w:pPr>
      <w:pStyle w:val="20"/>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520A5">
    <w:pPr>
      <w:pStyle w:val="20"/>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B1916">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B325B">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3DE54">
    <w:pPr>
      <w:pStyle w:val="21"/>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A0B87">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7217BAD"/>
    <w:multiLevelType w:val="singleLevel"/>
    <w:tmpl w:val="D7217BAD"/>
    <w:lvl w:ilvl="0" w:tentative="0">
      <w:start w:val="1"/>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7A288A4A"/>
    <w:multiLevelType w:val="singleLevel"/>
    <w:tmpl w:val="7A288A4A"/>
    <w:lvl w:ilvl="0" w:tentative="0">
      <w:start w:val="1"/>
      <w:numFmt w:val="chineseCounting"/>
      <w:lvlText w:val="(%1)"/>
      <w:lvlJc w:val="left"/>
      <w:pPr>
        <w:tabs>
          <w:tab w:val="left" w:pos="312"/>
        </w:tabs>
      </w:pPr>
      <w:rPr>
        <w:rFonts w:hint="eastAsia"/>
      </w:rPr>
    </w:lvl>
  </w:abstractNum>
  <w:num w:numId="1">
    <w:abstractNumId w:val="7"/>
  </w:num>
  <w:num w:numId="2">
    <w:abstractNumId w:val="4"/>
  </w:num>
  <w:num w:numId="3">
    <w:abstractNumId w:val="3"/>
  </w:num>
  <w:num w:numId="4">
    <w:abstractNumId w:val="6"/>
  </w:num>
  <w:num w:numId="5">
    <w:abstractNumId w:val="2"/>
  </w:num>
  <w:num w:numId="6">
    <w:abstractNumId w:val="5"/>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0D0C07"/>
    <w:rsid w:val="00131D97"/>
    <w:rsid w:val="0014525B"/>
    <w:rsid w:val="00150060"/>
    <w:rsid w:val="002775B3"/>
    <w:rsid w:val="002C6E72"/>
    <w:rsid w:val="002F5FF2"/>
    <w:rsid w:val="003134B3"/>
    <w:rsid w:val="00322008"/>
    <w:rsid w:val="00346541"/>
    <w:rsid w:val="00390ED1"/>
    <w:rsid w:val="004064A0"/>
    <w:rsid w:val="004D0906"/>
    <w:rsid w:val="004E58FD"/>
    <w:rsid w:val="005049B6"/>
    <w:rsid w:val="00516E12"/>
    <w:rsid w:val="00604FCE"/>
    <w:rsid w:val="00614AAA"/>
    <w:rsid w:val="006741F4"/>
    <w:rsid w:val="006925C1"/>
    <w:rsid w:val="006B348C"/>
    <w:rsid w:val="006C36D4"/>
    <w:rsid w:val="007505DC"/>
    <w:rsid w:val="007B4CA4"/>
    <w:rsid w:val="00854791"/>
    <w:rsid w:val="00874596"/>
    <w:rsid w:val="008D7FC2"/>
    <w:rsid w:val="00902196"/>
    <w:rsid w:val="00905A82"/>
    <w:rsid w:val="00985073"/>
    <w:rsid w:val="009E76A2"/>
    <w:rsid w:val="00A37981"/>
    <w:rsid w:val="00A62F3D"/>
    <w:rsid w:val="00AA5F2D"/>
    <w:rsid w:val="00AE7AA6"/>
    <w:rsid w:val="00B25EF2"/>
    <w:rsid w:val="00B61CD6"/>
    <w:rsid w:val="00B70DB4"/>
    <w:rsid w:val="00B9252C"/>
    <w:rsid w:val="00B941C5"/>
    <w:rsid w:val="00BA7190"/>
    <w:rsid w:val="00BE0575"/>
    <w:rsid w:val="00CC1EFC"/>
    <w:rsid w:val="00CD5741"/>
    <w:rsid w:val="00D100E0"/>
    <w:rsid w:val="00D35252"/>
    <w:rsid w:val="00E047C6"/>
    <w:rsid w:val="00E411AE"/>
    <w:rsid w:val="00E5434E"/>
    <w:rsid w:val="00E86C65"/>
    <w:rsid w:val="00EA37A5"/>
    <w:rsid w:val="00F204CA"/>
    <w:rsid w:val="00F25A07"/>
    <w:rsid w:val="00F47F06"/>
    <w:rsid w:val="00F702D9"/>
    <w:rsid w:val="00F71910"/>
    <w:rsid w:val="00F94AA9"/>
    <w:rsid w:val="017529B1"/>
    <w:rsid w:val="034D0622"/>
    <w:rsid w:val="047E2524"/>
    <w:rsid w:val="04C40773"/>
    <w:rsid w:val="07E57C0D"/>
    <w:rsid w:val="099C5159"/>
    <w:rsid w:val="0E237E55"/>
    <w:rsid w:val="118B17C0"/>
    <w:rsid w:val="11C956AD"/>
    <w:rsid w:val="134C2C7C"/>
    <w:rsid w:val="14A15C19"/>
    <w:rsid w:val="17EC378B"/>
    <w:rsid w:val="18F26FD5"/>
    <w:rsid w:val="1A7E02B5"/>
    <w:rsid w:val="1AE405E4"/>
    <w:rsid w:val="1FE71DAF"/>
    <w:rsid w:val="22163B32"/>
    <w:rsid w:val="23A2123E"/>
    <w:rsid w:val="24B34135"/>
    <w:rsid w:val="257621A3"/>
    <w:rsid w:val="285518D0"/>
    <w:rsid w:val="29B123DE"/>
    <w:rsid w:val="2BDA7571"/>
    <w:rsid w:val="2E1B251B"/>
    <w:rsid w:val="2EB771D0"/>
    <w:rsid w:val="30A849BB"/>
    <w:rsid w:val="30C620E7"/>
    <w:rsid w:val="33F73CD2"/>
    <w:rsid w:val="341D5150"/>
    <w:rsid w:val="347E0C7B"/>
    <w:rsid w:val="34F7633C"/>
    <w:rsid w:val="397B39BA"/>
    <w:rsid w:val="3E265AAF"/>
    <w:rsid w:val="3EAF26A7"/>
    <w:rsid w:val="40837379"/>
    <w:rsid w:val="49E574D3"/>
    <w:rsid w:val="4C253CDB"/>
    <w:rsid w:val="4C3A530E"/>
    <w:rsid w:val="501317B0"/>
    <w:rsid w:val="51925BED"/>
    <w:rsid w:val="519B637D"/>
    <w:rsid w:val="520D3BC4"/>
    <w:rsid w:val="554979CD"/>
    <w:rsid w:val="55C716E5"/>
    <w:rsid w:val="562A45AE"/>
    <w:rsid w:val="56773BBF"/>
    <w:rsid w:val="5B74479A"/>
    <w:rsid w:val="5C4F5243"/>
    <w:rsid w:val="5CC85FC5"/>
    <w:rsid w:val="5FC51436"/>
    <w:rsid w:val="600F70A7"/>
    <w:rsid w:val="60AE53F2"/>
    <w:rsid w:val="60EE4022"/>
    <w:rsid w:val="616A4BD3"/>
    <w:rsid w:val="62320831"/>
    <w:rsid w:val="62910C51"/>
    <w:rsid w:val="636F4F70"/>
    <w:rsid w:val="64B54738"/>
    <w:rsid w:val="64C95F1E"/>
    <w:rsid w:val="64D3442A"/>
    <w:rsid w:val="65AD6236"/>
    <w:rsid w:val="69640B23"/>
    <w:rsid w:val="699A3928"/>
    <w:rsid w:val="6CB56796"/>
    <w:rsid w:val="6CC91BA6"/>
    <w:rsid w:val="6CD65FD4"/>
    <w:rsid w:val="70221C74"/>
    <w:rsid w:val="703E2A0F"/>
    <w:rsid w:val="705D0266"/>
    <w:rsid w:val="720E4873"/>
    <w:rsid w:val="7334277F"/>
    <w:rsid w:val="73BB0F6D"/>
    <w:rsid w:val="73E3796C"/>
    <w:rsid w:val="743D21A9"/>
    <w:rsid w:val="77EF6C01"/>
    <w:rsid w:val="79227B95"/>
    <w:rsid w:val="7D2328AB"/>
    <w:rsid w:val="7D4635F6"/>
    <w:rsid w:val="7D620C07"/>
    <w:rsid w:val="7F211349"/>
    <w:rsid w:val="7FBF2AF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rPr>
  </w:style>
  <w:style w:type="paragraph" w:styleId="12">
    <w:name w:val="Body Text Indent"/>
    <w:basedOn w:val="1"/>
    <w:link w:val="91"/>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7"/>
    <w:qFormat/>
    <w:uiPriority w:val="0"/>
    <w:rPr>
      <w:rFonts w:asciiTheme="minorHAnsi" w:hAnsiTheme="minorHAnsi" w:eastAsiaTheme="minorEastAsia" w:cstheme="minorBidi"/>
      <w:b/>
      <w:bCs/>
      <w:szCs w:val="22"/>
    </w:rPr>
  </w:style>
  <w:style w:type="paragraph" w:styleId="32">
    <w:name w:val="Body Text First Indent 2"/>
    <w:basedOn w:val="12"/>
    <w:qFormat/>
    <w:uiPriority w:val="0"/>
    <w:pPr>
      <w:spacing w:line="276" w:lineRule="auto"/>
      <w:ind w:firstLine="420"/>
      <w:jc w:val="left"/>
    </w:pPr>
    <w:rPr>
      <w:rFonts w:ascii="Calibri" w:hAnsi="Calibri"/>
      <w:kern w:val="0"/>
      <w:sz w:val="22"/>
      <w:lang w:eastAsia="en-US"/>
    </w:rPr>
  </w:style>
  <w:style w:type="table" w:styleId="34">
    <w:name w:val="Table Grid"/>
    <w:basedOn w:val="3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1"/>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0"/>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table" w:customStyle="1" w:styleId="167">
    <w:name w:val="Table Normal"/>
    <w:semiHidden/>
    <w:unhideWhenUsed/>
    <w:qFormat/>
    <w:uiPriority w:val="0"/>
    <w:rPr>
      <w:rFonts w:asciiTheme="minorHAnsi" w:hAnsiTheme="minorHAnsi" w:eastAsiaTheme="minorEastAsia" w:cstheme="minorBidi"/>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127</Pages>
  <Words>3898</Words>
  <Characters>4036</Characters>
  <Lines>2464</Lines>
  <Paragraphs>2881</Paragraphs>
  <TotalTime>0</TotalTime>
  <ScaleCrop>false</ScaleCrop>
  <LinksUpToDate>false</LinksUpToDate>
  <CharactersWithSpaces>4057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2026-04-15T06:30:23Z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