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8"/>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2026年防雷检测项目</w:t>
      </w: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sz w:val="36"/>
          <w:szCs w:val="24"/>
        </w:rPr>
      </w:pPr>
    </w:p>
    <w:p>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pPr>
        <w:adjustRightInd w:val="0"/>
        <w:snapToGrid w:val="0"/>
        <w:spacing w:line="360" w:lineRule="auto"/>
        <w:jc w:val="center"/>
        <w:rPr>
          <w:rFonts w:ascii="宋体" w:hAnsi="宋体"/>
          <w:sz w:val="36"/>
          <w:szCs w:val="24"/>
        </w:rPr>
      </w:pPr>
    </w:p>
    <w:p>
      <w:pPr>
        <w:adjustRightInd w:val="0"/>
        <w:snapToGrid w:val="0"/>
        <w:spacing w:line="360" w:lineRule="auto"/>
        <w:jc w:val="center"/>
        <w:rPr>
          <w:rFonts w:ascii="宋体" w:hAnsi="宋体"/>
          <w:sz w:val="32"/>
          <w:szCs w:val="24"/>
        </w:rPr>
      </w:pPr>
    </w:p>
    <w:p>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pPr>
        <w:adjustRightInd w:val="0"/>
        <w:snapToGrid w:val="0"/>
        <w:spacing w:line="360" w:lineRule="auto"/>
        <w:jc w:val="center"/>
        <w:rPr>
          <w:rFonts w:ascii="宋体" w:hAnsi="宋体"/>
          <w:sz w:val="32"/>
          <w:szCs w:val="24"/>
        </w:rPr>
      </w:pPr>
    </w:p>
    <w:p>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3</w:t>
      </w:r>
      <w:r>
        <w:rPr>
          <w:rFonts w:hint="eastAsia" w:ascii="宋体" w:hAnsi="宋体"/>
          <w:sz w:val="32"/>
          <w:szCs w:val="24"/>
          <w:u w:val="single"/>
        </w:rPr>
        <w:t>月</w:t>
      </w:r>
    </w:p>
    <w:p>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pPr>
            <w:pStyle w:val="72"/>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pPr>
            <w:pStyle w:val="23"/>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pPr>
            <w:pStyle w:val="23"/>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pPr>
            <w:pStyle w:val="23"/>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pPr>
            <w:pStyle w:val="23"/>
            <w:adjustRightInd w:val="0"/>
            <w:snapToGrid w:val="0"/>
            <w:spacing w:line="360" w:lineRule="auto"/>
            <w:rPr>
              <w:sz w:val="24"/>
              <w:szCs w:val="24"/>
            </w:rPr>
          </w:pPr>
          <w:r>
            <w:rPr>
              <w:rFonts w:hint="eastAsia"/>
              <w:bCs/>
              <w:kern w:val="44"/>
              <w:sz w:val="24"/>
              <w:szCs w:val="24"/>
            </w:rPr>
            <w:fldChar w:fldCharType="end"/>
          </w:r>
        </w:p>
      </w:sdtContent>
    </w:sdt>
    <w:p>
      <w:pPr>
        <w:pStyle w:val="17"/>
        <w:tabs>
          <w:tab w:val="left" w:pos="2940"/>
        </w:tabs>
        <w:adjustRightInd w:val="0"/>
        <w:snapToGrid w:val="0"/>
        <w:spacing w:line="360" w:lineRule="auto"/>
        <w:jc w:val="left"/>
        <w:rPr>
          <w:rFonts w:hAnsi="宋体"/>
          <w:sz w:val="24"/>
          <w:szCs w:val="24"/>
        </w:rPr>
      </w:pPr>
      <w:r>
        <w:rPr>
          <w:rFonts w:hAnsi="宋体"/>
          <w:sz w:val="24"/>
          <w:szCs w:val="24"/>
        </w:rPr>
        <w:tab/>
      </w:r>
    </w:p>
    <w:p>
      <w:pPr>
        <w:pStyle w:val="17"/>
        <w:adjustRightInd w:val="0"/>
        <w:snapToGrid w:val="0"/>
        <w:spacing w:line="360" w:lineRule="auto"/>
        <w:jc w:val="left"/>
        <w:rPr>
          <w:rFonts w:hAnsi="宋体"/>
          <w:sz w:val="24"/>
          <w:szCs w:val="24"/>
        </w:rPr>
      </w:pPr>
    </w:p>
    <w:p>
      <w:pPr>
        <w:pStyle w:val="17"/>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pPr>
        <w:pStyle w:val="75"/>
        <w:adjustRightInd w:val="0"/>
        <w:snapToGrid w:val="0"/>
        <w:jc w:val="left"/>
        <w:outlineLvl w:val="9"/>
        <w:rPr>
          <w:rFonts w:ascii="宋体" w:hAnsi="宋体" w:eastAsia="宋体"/>
          <w:sz w:val="24"/>
          <w:szCs w:val="24"/>
        </w:rPr>
      </w:pPr>
      <w:bookmarkStart w:id="0" w:name="_Toc47976595"/>
      <w:bookmarkStart w:id="1" w:name="_Toc23927"/>
      <w:r>
        <w:rPr>
          <w:rFonts w:hint="eastAsia" w:ascii="宋体" w:hAnsi="宋体" w:eastAsia="宋体"/>
          <w:sz w:val="24"/>
          <w:szCs w:val="24"/>
        </w:rPr>
        <w:t>第一部分  投标人须知</w:t>
      </w:r>
      <w:bookmarkEnd w:id="0"/>
      <w:bookmarkEnd w:id="1"/>
    </w:p>
    <w:p>
      <w:pPr>
        <w:pStyle w:val="76"/>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pPr>
        <w:pStyle w:val="80"/>
        <w:numPr>
          <w:ilvl w:val="0"/>
          <w:numId w:val="9"/>
        </w:numPr>
        <w:adjustRightInd w:val="0"/>
        <w:snapToGrid w:val="0"/>
        <w:rPr>
          <w:rFonts w:hint="eastAsia" w:hAnsi="宋体"/>
          <w:sz w:val="24"/>
          <w:szCs w:val="24"/>
          <w:lang w:val="en-US" w:eastAsia="zh-CN"/>
        </w:rPr>
      </w:pPr>
      <w:r>
        <w:rPr>
          <w:rFonts w:hint="eastAsia" w:hAnsi="宋体"/>
          <w:sz w:val="24"/>
          <w:szCs w:val="24"/>
        </w:rPr>
        <w:t>项目名称：</w:t>
      </w:r>
      <w:r>
        <w:rPr>
          <w:rFonts w:hint="eastAsia" w:hAnsi="宋体"/>
          <w:sz w:val="24"/>
          <w:szCs w:val="24"/>
          <w:lang w:val="en-US" w:eastAsia="zh-CN"/>
        </w:rPr>
        <w:t>2026年防雷检测</w:t>
      </w:r>
    </w:p>
    <w:p>
      <w:pPr>
        <w:pStyle w:val="80"/>
        <w:numPr>
          <w:ilvl w:val="0"/>
          <w:numId w:val="9"/>
        </w:numPr>
        <w:adjustRightInd w:val="0"/>
        <w:snapToGrid w:val="0"/>
        <w:rPr>
          <w:rFonts w:hAnsi="宋体"/>
          <w:sz w:val="24"/>
          <w:szCs w:val="24"/>
        </w:rPr>
      </w:pPr>
      <w:r>
        <w:rPr>
          <w:rFonts w:hint="eastAsia" w:hAnsi="宋体"/>
          <w:sz w:val="24"/>
          <w:szCs w:val="24"/>
        </w:rPr>
        <w:t>项目编号：</w:t>
      </w:r>
    </w:p>
    <w:p>
      <w:pPr>
        <w:pStyle w:val="80"/>
        <w:numPr>
          <w:ilvl w:val="0"/>
          <w:numId w:val="9"/>
        </w:numPr>
        <w:adjustRightInd w:val="0"/>
        <w:snapToGrid w:val="0"/>
        <w:rPr>
          <w:rFonts w:hAnsi="宋体"/>
          <w:sz w:val="24"/>
          <w:szCs w:val="24"/>
        </w:rPr>
      </w:pPr>
      <w:r>
        <w:rPr>
          <w:rFonts w:hint="eastAsia" w:hAnsi="宋体"/>
          <w:sz w:val="24"/>
          <w:szCs w:val="24"/>
        </w:rPr>
        <w:t>招标形式：</w:t>
      </w:r>
      <w:bookmarkStart w:id="3" w:name="_Toc47112482"/>
      <w:r>
        <w:rPr>
          <w:rFonts w:hint="eastAsia" w:hAnsi="宋体"/>
          <w:sz w:val="24"/>
          <w:szCs w:val="24"/>
        </w:rPr>
        <w:t>公开招标</w:t>
      </w:r>
    </w:p>
    <w:p>
      <w:pPr>
        <w:spacing w:line="360" w:lineRule="auto"/>
        <w:ind w:firstLine="480" w:firstLineChars="200"/>
        <w:rPr>
          <w:rFonts w:hint="eastAsia" w:ascii="宋体" w:hAnsi="宋体" w:cs="Times New Roman"/>
          <w:color w:val="auto"/>
          <w:sz w:val="24"/>
          <w:szCs w:val="24"/>
          <w:highlight w:val="none"/>
          <w:lang w:val="en-US" w:eastAsia="zh-CN"/>
        </w:rPr>
      </w:pPr>
      <w:r>
        <w:rPr>
          <w:rFonts w:hint="eastAsia" w:hAnsi="宋体"/>
          <w:sz w:val="24"/>
          <w:szCs w:val="24"/>
        </w:rPr>
        <w:t>项目概况：</w:t>
      </w:r>
      <w:r>
        <w:rPr>
          <w:rFonts w:hint="eastAsia" w:ascii="宋体" w:hAnsi="宋体" w:eastAsia="宋体" w:cs="Times New Roman"/>
          <w:sz w:val="24"/>
          <w:szCs w:val="24"/>
        </w:rPr>
        <w:t>重汽（重庆）轻型汽车有</w:t>
      </w:r>
      <w:r>
        <w:rPr>
          <w:rFonts w:hint="eastAsia" w:ascii="宋体" w:hAnsi="宋体" w:eastAsia="宋体" w:cs="Times New Roman"/>
          <w:sz w:val="24"/>
          <w:szCs w:val="24"/>
          <w:highlight w:val="none"/>
        </w:rPr>
        <w:t>限公司位于重庆市江津区双福生产基地在进行生产经营活动</w:t>
      </w:r>
      <w:r>
        <w:rPr>
          <w:rFonts w:hint="eastAsia" w:ascii="Times New Roman" w:hAnsi="宋体" w:cs="Times New Roman"/>
          <w:sz w:val="24"/>
          <w:szCs w:val="24"/>
        </w:rPr>
        <w:t>中，根据中华人民共和国防雷减灾管理办法：防雷检测三类检测点必须每年一次，二类检测点必须每半年一次</w:t>
      </w:r>
      <w:r>
        <w:rPr>
          <w:rFonts w:hint="eastAsia" w:ascii="Times New Roman" w:hAnsi="宋体" w:cs="Times New Roman"/>
          <w:sz w:val="24"/>
          <w:szCs w:val="24"/>
          <w:lang w:eastAsia="zh-CN"/>
        </w:rPr>
        <w:t>，</w:t>
      </w:r>
      <w:r>
        <w:rPr>
          <w:rFonts w:hint="eastAsia" w:hAnsi="宋体" w:cs="Times New Roman"/>
          <w:sz w:val="24"/>
          <w:szCs w:val="24"/>
          <w:lang w:val="en-US" w:eastAsia="zh-CN"/>
        </w:rPr>
        <w:t>需对防雷监测进行采购。</w:t>
      </w:r>
    </w:p>
    <w:p>
      <w:pPr>
        <w:pStyle w:val="80"/>
        <w:numPr>
          <w:ilvl w:val="0"/>
          <w:numId w:val="9"/>
        </w:numPr>
        <w:adjustRightInd w:val="0"/>
        <w:snapToGrid w:val="0"/>
        <w:rPr>
          <w:rFonts w:hAnsi="宋体"/>
          <w:sz w:val="24"/>
          <w:szCs w:val="24"/>
          <w:highlight w:val="none"/>
        </w:rPr>
      </w:pPr>
      <w:r>
        <w:rPr>
          <w:rFonts w:hint="eastAsia" w:hAnsi="宋体"/>
          <w:sz w:val="24"/>
          <w:szCs w:val="24"/>
          <w:highlight w:val="none"/>
        </w:rPr>
        <w:t>招标内容具体要求详见《技术标书》。</w:t>
      </w:r>
    </w:p>
    <w:p>
      <w:pPr>
        <w:pStyle w:val="80"/>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p>
    <w:p>
      <w:pPr>
        <w:pStyle w:val="80"/>
        <w:numPr>
          <w:ilvl w:val="0"/>
          <w:numId w:val="9"/>
        </w:numPr>
        <w:adjustRightInd w:val="0"/>
        <w:snapToGrid w:val="0"/>
        <w:rPr>
          <w:rFonts w:hAnsi="宋体"/>
          <w:sz w:val="24"/>
          <w:szCs w:val="24"/>
        </w:rPr>
      </w:pPr>
      <w:r>
        <w:rPr>
          <w:rFonts w:hint="eastAsia" w:hAnsi="宋体"/>
          <w:sz w:val="24"/>
          <w:szCs w:val="24"/>
        </w:rPr>
        <w:t>项目预算为人民币</w:t>
      </w:r>
      <w:r>
        <w:rPr>
          <w:rFonts w:hint="eastAsia" w:hAnsi="宋体"/>
          <w:sz w:val="24"/>
          <w:szCs w:val="24"/>
          <w:lang w:val="en-US" w:eastAsia="zh-CN"/>
        </w:rPr>
        <w:t>0.</w:t>
      </w:r>
      <w:r>
        <w:rPr>
          <w:rFonts w:hint="eastAsia" w:hAnsi="宋体" w:cs="仿宋_GB2312"/>
          <w:bCs/>
          <w:color w:val="000000" w:themeColor="text1"/>
          <w:sz w:val="24"/>
          <w:szCs w:val="24"/>
          <w:lang w:val="en-US" w:eastAsia="zh-CN"/>
          <w14:textFill>
            <w14:solidFill>
              <w14:schemeClr w14:val="tx1"/>
            </w14:solidFill>
          </w14:textFill>
        </w:rPr>
        <w:t>8018</w:t>
      </w:r>
      <w:r>
        <w:rPr>
          <w:rFonts w:hint="eastAsia" w:hAnsi="宋体" w:cs="仿宋_GB2312"/>
          <w:bCs/>
          <w:color w:val="000000" w:themeColor="text1"/>
          <w:sz w:val="24"/>
          <w:szCs w:val="24"/>
          <w14:textFill>
            <w14:solidFill>
              <w14:schemeClr w14:val="tx1"/>
            </w14:solidFill>
          </w14:textFill>
        </w:rPr>
        <w:t>万元（未税）</w:t>
      </w:r>
      <w:r>
        <w:rPr>
          <w:rFonts w:hint="eastAsia" w:hAnsi="宋体"/>
          <w:sz w:val="24"/>
          <w:szCs w:val="24"/>
        </w:rPr>
        <w:t>。</w:t>
      </w:r>
    </w:p>
    <w:p>
      <w:pPr>
        <w:pStyle w:val="80"/>
        <w:numPr>
          <w:ilvl w:val="0"/>
          <w:numId w:val="9"/>
        </w:numPr>
        <w:adjustRightInd w:val="0"/>
        <w:snapToGrid w:val="0"/>
        <w:rPr>
          <w:rFonts w:hAnsi="宋体"/>
          <w:sz w:val="24"/>
          <w:szCs w:val="24"/>
        </w:rPr>
      </w:pPr>
      <w:r>
        <w:rPr>
          <w:rFonts w:hAnsi="宋体"/>
          <w:sz w:val="24"/>
          <w:szCs w:val="24"/>
        </w:rPr>
        <w:t>资金来源：企业自筹，已落实。</w:t>
      </w:r>
    </w:p>
    <w:p>
      <w:pPr>
        <w:pStyle w:val="80"/>
        <w:numPr>
          <w:ilvl w:val="0"/>
          <w:numId w:val="9"/>
        </w:numPr>
        <w:adjustRightInd w:val="0"/>
        <w:snapToGrid w:val="0"/>
        <w:rPr>
          <w:rFonts w:hAnsi="宋体"/>
          <w:sz w:val="24"/>
          <w:szCs w:val="24"/>
        </w:rPr>
      </w:pPr>
      <w:r>
        <w:rPr>
          <w:rFonts w:hint="eastAsia" w:hAnsi="宋体"/>
          <w:sz w:val="24"/>
          <w:szCs w:val="24"/>
        </w:rPr>
        <w:t>招标人信息：</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40"/>
          <w:rFonts w:hint="eastAsia"/>
        </w:rPr>
        <w:t>xieqin@sinotruk.com</w:t>
      </w:r>
      <w:r>
        <w:rPr>
          <w:rFonts w:hint="eastAsia"/>
        </w:rPr>
        <w:fldChar w:fldCharType="end"/>
      </w:r>
    </w:p>
    <w:p>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胡正兴</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电话：17623017050</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邮箱：huzhengxing@sinotruk.com</w:t>
      </w:r>
    </w:p>
    <w:bookmarkEnd w:id="3"/>
    <w:p>
      <w:pPr>
        <w:pStyle w:val="76"/>
        <w:adjustRightInd w:val="0"/>
        <w:snapToGrid w:val="0"/>
        <w:ind w:left="0" w:firstLine="0"/>
        <w:jc w:val="left"/>
        <w:outlineLvl w:val="9"/>
        <w:rPr>
          <w:rFonts w:hint="default" w:ascii="宋体" w:hAnsi="宋体" w:eastAsia="宋体"/>
          <w:sz w:val="24"/>
          <w:szCs w:val="24"/>
          <w:lang w:val="en-US" w:eastAsia="zh-CN"/>
        </w:rPr>
      </w:pPr>
      <w:bookmarkStart w:id="4" w:name="_Toc47976598"/>
      <w:r>
        <w:rPr>
          <w:rFonts w:hint="eastAsia" w:ascii="宋体" w:hAnsi="宋体" w:eastAsia="宋体"/>
          <w:sz w:val="24"/>
          <w:szCs w:val="24"/>
        </w:rPr>
        <w:t>合格的投标人</w:t>
      </w:r>
      <w:bookmarkEnd w:id="4"/>
    </w:p>
    <w:p>
      <w:pPr>
        <w:numPr>
          <w:ilvl w:val="0"/>
          <w:numId w:val="10"/>
        </w:numPr>
        <w:spacing w:line="360" w:lineRule="auto"/>
        <w:rPr>
          <w:rFonts w:hint="default" w:eastAsia="仿宋_GB2312"/>
          <w:lang w:val="en-US" w:eastAsia="zh-CN"/>
        </w:rPr>
      </w:pPr>
      <w:r>
        <w:rPr>
          <w:rFonts w:hint="eastAsia"/>
          <w:color w:val="000000" w:themeColor="text1"/>
          <w:sz w:val="24"/>
          <w14:textFill>
            <w14:solidFill>
              <w14:schemeClr w14:val="tx1"/>
            </w14:solidFill>
          </w14:textFill>
        </w:rPr>
        <w:t>满足《中华人民共和国政府采购法》第二十二条规定，未被“信用中国”（www.creditchina.gov.cn)、中国政府采购网（www.ccgp.gov.cn）列入失信被执行人、重大税收违法案件当事人名单、政府采购严重违法失信行为记录名单。</w:t>
      </w:r>
    </w:p>
    <w:p>
      <w:pPr>
        <w:numPr>
          <w:ilvl w:val="0"/>
          <w:numId w:val="0"/>
        </w:numPr>
        <w:spacing w:line="360" w:lineRule="auto"/>
        <w:rPr>
          <w:rFonts w:hint="default" w:eastAsia="仿宋_GB2312"/>
          <w:lang w:val="en-US" w:eastAsia="zh-CN"/>
        </w:rPr>
      </w:pPr>
      <w:r>
        <w:rPr>
          <w:rFonts w:hint="eastAsia"/>
          <w:color w:val="000000" w:themeColor="text1"/>
          <w:sz w:val="24"/>
          <w:lang w:val="en-US" w:eastAsia="zh-CN"/>
          <w14:textFill>
            <w14:solidFill>
              <w14:schemeClr w14:val="tx1"/>
            </w14:solidFill>
          </w14:textFill>
        </w:rPr>
        <w:t>2.</w:t>
      </w:r>
      <w:r>
        <w:rPr>
          <w:rFonts w:hint="eastAsia" w:ascii="宋体" w:hAnsi="宋体" w:cs="宋体"/>
          <w:kern w:val="0"/>
          <w:sz w:val="24"/>
          <w:szCs w:val="24"/>
          <w:lang w:bidi="ar"/>
        </w:rPr>
        <w:t>具有有效营业执照、经营范围满足本项目要求</w:t>
      </w:r>
      <w:r>
        <w:rPr>
          <w:rFonts w:hint="eastAsia" w:ascii="宋体" w:hAnsi="宋体" w:cs="宋体"/>
          <w:kern w:val="0"/>
          <w:sz w:val="24"/>
          <w:szCs w:val="24"/>
          <w:lang w:eastAsia="zh-CN" w:bidi="ar"/>
        </w:rPr>
        <w:t>，</w:t>
      </w:r>
      <w:r>
        <w:rPr>
          <w:color w:val="auto"/>
          <w:sz w:val="24"/>
          <w:highlight w:val="none"/>
        </w:rPr>
        <w:t>注册资金</w:t>
      </w:r>
      <w:r>
        <w:rPr>
          <w:rFonts w:hint="eastAsia"/>
          <w:color w:val="auto"/>
          <w:sz w:val="24"/>
          <w:highlight w:val="none"/>
          <w:lang w:val="en-US" w:eastAsia="zh-CN"/>
        </w:rPr>
        <w:t>≥10</w:t>
      </w:r>
      <w:r>
        <w:rPr>
          <w:color w:val="auto"/>
          <w:sz w:val="24"/>
          <w:highlight w:val="none"/>
        </w:rPr>
        <w:t>0万元</w:t>
      </w:r>
      <w:r>
        <w:rPr>
          <w:rFonts w:hint="eastAsia"/>
          <w:color w:val="auto"/>
          <w:sz w:val="24"/>
          <w:highlight w:val="none"/>
          <w:lang w:eastAsia="zh-CN"/>
        </w:rPr>
        <w:t>。</w:t>
      </w:r>
    </w:p>
    <w:p>
      <w:pPr>
        <w:tabs>
          <w:tab w:val="left" w:pos="2010"/>
        </w:tabs>
        <w:spacing w:line="360" w:lineRule="auto"/>
        <w:rPr>
          <w:rFonts w:hint="eastAsia"/>
          <w:color w:val="000000"/>
          <w:sz w:val="24"/>
          <w:lang w:eastAsia="zh-CN"/>
        </w:rPr>
      </w:pPr>
      <w:r>
        <w:rPr>
          <w:rFonts w:hint="eastAsia"/>
          <w:color w:val="000000"/>
          <w:sz w:val="24"/>
          <w:lang w:val="en-US" w:eastAsia="zh-CN"/>
        </w:rPr>
        <w:t>3.</w:t>
      </w:r>
      <w:r>
        <w:rPr>
          <w:color w:val="000000"/>
          <w:sz w:val="24"/>
        </w:rPr>
        <w:t>必须</w:t>
      </w:r>
      <w:r>
        <w:rPr>
          <w:rFonts w:hint="eastAsia"/>
          <w:color w:val="000000"/>
          <w:sz w:val="24"/>
        </w:rPr>
        <w:t>具备雷电防护装置检测能力的人员，其中具有高级技术职称的不少于一名，具有中级技术职称的不少于两名，技术负责人应当具有高级技术职称</w:t>
      </w:r>
      <w:r>
        <w:rPr>
          <w:rFonts w:hint="eastAsia"/>
          <w:color w:val="000000"/>
          <w:sz w:val="24"/>
          <w:lang w:eastAsia="zh-CN"/>
        </w:rPr>
        <w:t>。</w:t>
      </w:r>
    </w:p>
    <w:p>
      <w:pPr>
        <w:tabs>
          <w:tab w:val="left" w:pos="2010"/>
        </w:tabs>
        <w:spacing w:line="360" w:lineRule="auto"/>
        <w:rPr>
          <w:rFonts w:hint="eastAsia"/>
          <w:color w:val="000000"/>
          <w:sz w:val="24"/>
          <w:lang w:eastAsia="zh-CN"/>
        </w:rPr>
      </w:pPr>
      <w:r>
        <w:rPr>
          <w:rFonts w:hint="eastAsia"/>
          <w:color w:val="000000"/>
          <w:sz w:val="24"/>
          <w:lang w:val="en-US" w:eastAsia="zh-CN"/>
        </w:rPr>
        <w:t>4.</w:t>
      </w:r>
      <w:r>
        <w:rPr>
          <w:rFonts w:hint="eastAsia"/>
          <w:color w:val="000000"/>
          <w:sz w:val="24"/>
        </w:rPr>
        <w:t>从事雷电防护装置检测工作四年以上</w:t>
      </w:r>
      <w:r>
        <w:rPr>
          <w:rFonts w:hint="eastAsia"/>
          <w:color w:val="000000"/>
          <w:sz w:val="24"/>
          <w:lang w:eastAsia="zh-CN"/>
        </w:rPr>
        <w:t>。</w:t>
      </w:r>
      <w:r>
        <w:rPr>
          <w:rFonts w:hint="eastAsia"/>
          <w:color w:val="000000"/>
          <w:sz w:val="24"/>
          <w:lang w:val="en-US" w:eastAsia="zh-CN"/>
        </w:rPr>
        <w:t>公司</w:t>
      </w:r>
      <w:r>
        <w:rPr>
          <w:rFonts w:hint="eastAsia"/>
          <w:color w:val="000000"/>
          <w:sz w:val="24"/>
        </w:rPr>
        <w:t>近三年内开展的雷电防护装置检测项目不少于二十个，且未因检测质量问题引发事故</w:t>
      </w:r>
      <w:r>
        <w:rPr>
          <w:rFonts w:hint="eastAsia"/>
          <w:color w:val="000000"/>
          <w:sz w:val="24"/>
          <w:lang w:eastAsia="zh-CN"/>
        </w:rPr>
        <w:t>。</w:t>
      </w:r>
    </w:p>
    <w:p>
      <w:pPr>
        <w:tabs>
          <w:tab w:val="left" w:pos="2010"/>
        </w:tabs>
        <w:spacing w:line="360" w:lineRule="auto"/>
        <w:rPr>
          <w:rFonts w:hint="eastAsia"/>
        </w:rPr>
      </w:pPr>
      <w:r>
        <w:rPr>
          <w:rFonts w:hint="eastAsia"/>
          <w:color w:val="000000"/>
          <w:sz w:val="24"/>
          <w:lang w:val="en-US" w:eastAsia="zh-CN"/>
        </w:rPr>
        <w:t>5.</w:t>
      </w:r>
      <w:r>
        <w:rPr>
          <w:rFonts w:hint="eastAsia"/>
          <w:color w:val="000000"/>
          <w:sz w:val="24"/>
        </w:rPr>
        <w:t>雷电防护装置检测项目通过省、自治区、直辖市气象主管机构组织的质量考核合格率达百分之九十以上。</w:t>
      </w:r>
    </w:p>
    <w:p>
      <w:pPr>
        <w:tabs>
          <w:tab w:val="left" w:pos="454"/>
        </w:tabs>
        <w:spacing w:line="360" w:lineRule="auto"/>
        <w:rPr>
          <w:rFonts w:hint="eastAsia" w:ascii="宋体" w:hAnsi="宋体" w:cs="宋体"/>
          <w:kern w:val="0"/>
          <w:sz w:val="24"/>
          <w:szCs w:val="24"/>
          <w:lang w:val="en-US" w:eastAsia="zh-CN" w:bidi="ar"/>
        </w:rPr>
      </w:pPr>
      <w:r>
        <w:rPr>
          <w:rFonts w:hint="eastAsia" w:ascii="宋体" w:hAnsi="宋体" w:cs="宋体"/>
          <w:kern w:val="0"/>
          <w:sz w:val="24"/>
          <w:szCs w:val="24"/>
          <w:lang w:val="en-US" w:eastAsia="zh-CN" w:bidi="ar"/>
        </w:rPr>
        <w:t>6.</w:t>
      </w:r>
      <w:r>
        <w:rPr>
          <w:rFonts w:hint="eastAsia" w:ascii="宋体" w:hAnsi="宋体" w:cs="宋体"/>
          <w:kern w:val="0"/>
          <w:sz w:val="24"/>
          <w:szCs w:val="24"/>
          <w:lang w:bidi="ar"/>
        </w:rPr>
        <w:t>无招标违规、谎报年度报告信息、提供虚假资质资料等行为或其他行政处罚记录</w:t>
      </w:r>
      <w:r>
        <w:rPr>
          <w:rFonts w:hint="eastAsia" w:ascii="宋体" w:hAnsi="宋体" w:cs="宋体"/>
          <w:kern w:val="0"/>
          <w:sz w:val="24"/>
          <w:szCs w:val="24"/>
          <w:lang w:val="en-US" w:eastAsia="zh-CN" w:bidi="ar"/>
        </w:rPr>
        <w:t>（投标人近2~3年内在经营活动中无与本项目有关的行政处罚、违法及重大违规情况）。</w:t>
      </w:r>
    </w:p>
    <w:p>
      <w:pPr>
        <w:tabs>
          <w:tab w:val="left" w:pos="454"/>
        </w:tabs>
        <w:spacing w:line="360" w:lineRule="auto"/>
        <w:rPr>
          <w:rFonts w:hint="eastAsia" w:ascii="宋体" w:hAnsi="宋体" w:eastAsia="宋体" w:cs="宋体"/>
          <w:sz w:val="24"/>
          <w:szCs w:val="24"/>
        </w:rPr>
      </w:pPr>
      <w:r>
        <w:rPr>
          <w:rFonts w:hint="eastAsia" w:ascii="宋体" w:hAnsi="宋体" w:cs="宋体"/>
          <w:kern w:val="0"/>
          <w:sz w:val="24"/>
          <w:szCs w:val="24"/>
          <w:lang w:val="en-US" w:eastAsia="zh-CN" w:bidi="ar"/>
        </w:rPr>
        <w:t>7.</w:t>
      </w:r>
      <w:r>
        <w:rPr>
          <w:rFonts w:hint="eastAsia" w:ascii="宋体" w:hAnsi="宋体" w:eastAsia="宋体" w:cs="宋体"/>
          <w:sz w:val="24"/>
          <w:szCs w:val="24"/>
        </w:rPr>
        <w:t>投标人必须是最终投标、签订合同的单位，不得以任何理由将已中标项目以任何形式转包给其他单位</w:t>
      </w:r>
      <w:r>
        <w:rPr>
          <w:rFonts w:hint="eastAsia" w:ascii="宋体" w:hAnsi="宋体" w:eastAsia="宋体" w:cs="宋体"/>
          <w:sz w:val="24"/>
          <w:szCs w:val="24"/>
          <w:lang w:eastAsia="zh-CN"/>
        </w:rPr>
        <w:t>。</w:t>
      </w:r>
    </w:p>
    <w:p>
      <w:pPr>
        <w:pStyle w:val="66"/>
        <w:numPr>
          <w:ilvl w:val="0"/>
          <w:numId w:val="0"/>
        </w:numPr>
        <w:adjustRightInd w:val="0"/>
        <w:snapToGrid w:val="0"/>
        <w:spacing w:line="360" w:lineRule="auto"/>
        <w:ind w:leftChars="0"/>
        <w:jc w:val="left"/>
        <w:rPr>
          <w:rFonts w:hint="eastAsia" w:ascii="宋体" w:hAnsi="宋体" w:eastAsia="宋体" w:cs="宋体"/>
          <w:sz w:val="24"/>
          <w:szCs w:val="24"/>
        </w:rPr>
      </w:pPr>
      <w:r>
        <w:rPr>
          <w:rFonts w:hint="eastAsia" w:ascii="宋体" w:hAnsi="宋体" w:cs="宋体"/>
          <w:sz w:val="24"/>
          <w:szCs w:val="24"/>
          <w:lang w:val="en-US" w:eastAsia="zh-CN"/>
        </w:rPr>
        <w:t>8.</w:t>
      </w:r>
      <w:r>
        <w:rPr>
          <w:rFonts w:hint="eastAsia" w:ascii="宋体" w:hAnsi="宋体" w:eastAsia="宋体" w:cs="宋体"/>
          <w:sz w:val="24"/>
          <w:szCs w:val="24"/>
        </w:rPr>
        <w:t>投标方的直接或间接股东、法定代表人、董事、监事、高管非重汽员工及其亲属。</w:t>
      </w:r>
    </w:p>
    <w:p>
      <w:pPr>
        <w:pStyle w:val="66"/>
        <w:numPr>
          <w:ilvl w:val="0"/>
          <w:numId w:val="0"/>
        </w:numPr>
        <w:adjustRightInd w:val="0"/>
        <w:snapToGrid w:val="0"/>
        <w:spacing w:line="360" w:lineRule="auto"/>
        <w:ind w:leftChars="0"/>
        <w:jc w:val="left"/>
        <w:rPr>
          <w:rFonts w:hint="eastAsia" w:ascii="宋体" w:hAnsi="宋体" w:eastAsia="宋体" w:cs="宋体"/>
          <w:sz w:val="24"/>
          <w:szCs w:val="24"/>
        </w:rPr>
      </w:pPr>
      <w:r>
        <w:rPr>
          <w:rFonts w:hint="eastAsia" w:ascii="宋体" w:hAnsi="宋体" w:cs="宋体"/>
          <w:sz w:val="24"/>
          <w:szCs w:val="24"/>
          <w:lang w:val="en-US" w:eastAsia="zh-CN"/>
        </w:rPr>
        <w:t>9.</w:t>
      </w:r>
      <w:r>
        <w:rPr>
          <w:rFonts w:hint="eastAsia" w:ascii="宋体" w:hAnsi="宋体" w:eastAsia="宋体" w:cs="宋体"/>
          <w:sz w:val="24"/>
          <w:szCs w:val="24"/>
        </w:rPr>
        <w:t>没有被中国重汽集团列入黑名单。</w:t>
      </w:r>
    </w:p>
    <w:p>
      <w:pPr>
        <w:pStyle w:val="66"/>
        <w:numPr>
          <w:ilvl w:val="0"/>
          <w:numId w:val="0"/>
        </w:numPr>
        <w:adjustRightInd w:val="0"/>
        <w:snapToGrid w:val="0"/>
        <w:spacing w:line="360" w:lineRule="auto"/>
        <w:ind w:leftChars="0"/>
        <w:jc w:val="left"/>
        <w:rPr>
          <w:rFonts w:hint="eastAsia" w:ascii="宋体" w:hAnsi="宋体" w:eastAsia="宋体" w:cs="宋体"/>
          <w:sz w:val="24"/>
          <w:szCs w:val="24"/>
        </w:rPr>
      </w:pPr>
      <w:r>
        <w:rPr>
          <w:rFonts w:hint="eastAsia" w:ascii="宋体" w:hAnsi="宋体" w:cs="宋体"/>
          <w:sz w:val="24"/>
          <w:szCs w:val="24"/>
          <w:lang w:val="en-US" w:eastAsia="zh-CN"/>
        </w:rPr>
        <w:t>10.</w:t>
      </w:r>
      <w:r>
        <w:rPr>
          <w:rFonts w:hint="eastAsia" w:ascii="宋体" w:hAnsi="宋体" w:eastAsia="宋体" w:cs="宋体"/>
          <w:sz w:val="24"/>
          <w:szCs w:val="24"/>
        </w:rPr>
        <w:t>法律法规对合格投标方的其他要求、规定。</w:t>
      </w:r>
    </w:p>
    <w:p>
      <w:pPr>
        <w:pStyle w:val="66"/>
        <w:numPr>
          <w:ilvl w:val="0"/>
          <w:numId w:val="0"/>
        </w:numPr>
        <w:adjustRightInd w:val="0"/>
        <w:snapToGrid w:val="0"/>
        <w:spacing w:line="360" w:lineRule="auto"/>
        <w:ind w:leftChars="0"/>
        <w:jc w:val="left"/>
        <w:rPr>
          <w:rFonts w:ascii="宋体" w:hAnsi="宋体"/>
          <w:sz w:val="24"/>
          <w:szCs w:val="24"/>
        </w:rPr>
      </w:pPr>
      <w:r>
        <w:rPr>
          <w:rFonts w:hint="eastAsia" w:ascii="宋体" w:hAnsi="宋体" w:cs="宋体"/>
          <w:sz w:val="24"/>
          <w:szCs w:val="24"/>
          <w:lang w:val="en-US" w:eastAsia="zh-CN"/>
        </w:rPr>
        <w:t>11.</w:t>
      </w:r>
      <w:r>
        <w:rPr>
          <w:rFonts w:hint="eastAsia" w:ascii="宋体" w:hAnsi="宋体" w:eastAsia="宋体" w:cs="宋体"/>
          <w:sz w:val="24"/>
          <w:szCs w:val="24"/>
        </w:rPr>
        <w:t>不接受联合体投标</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不接受代理商投标。</w:t>
      </w:r>
    </w:p>
    <w:p>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pPr>
        <w:pStyle w:val="80"/>
        <w:numPr>
          <w:ilvl w:val="0"/>
          <w:numId w:val="11"/>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3</w:t>
      </w:r>
      <w:r>
        <w:rPr>
          <w:rFonts w:hint="eastAsia" w:hAnsi="宋体"/>
          <w:sz w:val="24"/>
          <w:szCs w:val="24"/>
          <w:u w:val="single"/>
        </w:rPr>
        <w:t>月</w:t>
      </w:r>
      <w:r>
        <w:rPr>
          <w:rFonts w:hint="eastAsia" w:hAnsi="宋体"/>
          <w:sz w:val="24"/>
          <w:szCs w:val="24"/>
          <w:u w:val="single"/>
          <w:lang w:val="en-US" w:eastAsia="zh-CN"/>
        </w:rPr>
        <w:t>12</w:t>
      </w:r>
      <w:r>
        <w:rPr>
          <w:rFonts w:hint="eastAsia" w:hAnsi="宋体"/>
          <w:sz w:val="24"/>
          <w:szCs w:val="24"/>
          <w:u w:val="single"/>
        </w:rPr>
        <w:t>日；</w:t>
      </w:r>
    </w:p>
    <w:p>
      <w:pPr>
        <w:pStyle w:val="80"/>
        <w:numPr>
          <w:ilvl w:val="0"/>
          <w:numId w:val="11"/>
        </w:numPr>
        <w:adjustRightInd w:val="0"/>
        <w:snapToGrid w:val="0"/>
        <w:rPr>
          <w:rFonts w:hAnsi="宋体"/>
          <w:sz w:val="24"/>
          <w:szCs w:val="24"/>
        </w:rPr>
      </w:pPr>
      <w:r>
        <w:rPr>
          <w:rFonts w:hint="eastAsia" w:hAnsi="宋体"/>
          <w:sz w:val="24"/>
          <w:szCs w:val="24"/>
        </w:rPr>
        <w:t>投标报名</w:t>
      </w:r>
    </w:p>
    <w:p>
      <w:pPr>
        <w:pStyle w:val="80"/>
        <w:numPr>
          <w:ilvl w:val="0"/>
          <w:numId w:val="12"/>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highlight w:val="none"/>
          <w:u w:val="single"/>
        </w:rPr>
        <w:t>2026年3月</w:t>
      </w:r>
      <w:r>
        <w:rPr>
          <w:rFonts w:hint="eastAsia" w:hAnsi="宋体" w:cs="宋体"/>
          <w:sz w:val="24"/>
          <w:szCs w:val="24"/>
          <w:highlight w:val="none"/>
          <w:u w:val="single"/>
          <w:lang w:val="en-US" w:eastAsia="zh-CN"/>
        </w:rPr>
        <w:t>17</w:t>
      </w:r>
      <w:r>
        <w:rPr>
          <w:rFonts w:hint="eastAsia" w:hAnsi="宋体" w:cs="宋体"/>
          <w:sz w:val="24"/>
          <w:szCs w:val="24"/>
          <w:highlight w:val="none"/>
          <w:u w:val="single"/>
        </w:rPr>
        <w:t>日17:00:00（北京时间）</w:t>
      </w:r>
      <w:r>
        <w:rPr>
          <w:rFonts w:hint="eastAsia" w:hAnsi="宋体"/>
          <w:sz w:val="24"/>
          <w:szCs w:val="24"/>
          <w:u w:val="single"/>
        </w:rPr>
        <w:t>；</w:t>
      </w:r>
    </w:p>
    <w:p>
      <w:pPr>
        <w:pStyle w:val="80"/>
        <w:numPr>
          <w:ilvl w:val="0"/>
          <w:numId w:val="12"/>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pPr>
        <w:pStyle w:val="80"/>
        <w:numPr>
          <w:ilvl w:val="0"/>
          <w:numId w:val="12"/>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pPr>
        <w:pStyle w:val="80"/>
        <w:numPr>
          <w:ilvl w:val="0"/>
          <w:numId w:val="11"/>
        </w:numPr>
        <w:adjustRightInd w:val="0"/>
        <w:snapToGrid w:val="0"/>
        <w:rPr>
          <w:rFonts w:hAnsi="宋体"/>
          <w:sz w:val="24"/>
          <w:szCs w:val="24"/>
        </w:rPr>
      </w:pPr>
      <w:r>
        <w:rPr>
          <w:rFonts w:hint="eastAsia" w:hAnsi="宋体"/>
          <w:sz w:val="24"/>
          <w:szCs w:val="24"/>
        </w:rPr>
        <w:t>招标文件获取</w:t>
      </w:r>
    </w:p>
    <w:p>
      <w:pPr>
        <w:pStyle w:val="80"/>
        <w:numPr>
          <w:ilvl w:val="1"/>
          <w:numId w:val="13"/>
        </w:numPr>
        <w:adjustRightInd w:val="0"/>
        <w:snapToGrid w:val="0"/>
        <w:ind w:left="420"/>
        <w:rPr>
          <w:rFonts w:hAnsi="宋体"/>
          <w:sz w:val="24"/>
          <w:szCs w:val="24"/>
        </w:rPr>
      </w:pPr>
      <w:r>
        <w:rPr>
          <w:rFonts w:hint="eastAsia" w:hAnsi="宋体"/>
          <w:sz w:val="24"/>
          <w:szCs w:val="24"/>
        </w:rPr>
        <w:t>获取时间：报名成功后；</w:t>
      </w:r>
    </w:p>
    <w:p>
      <w:pPr>
        <w:pStyle w:val="80"/>
        <w:numPr>
          <w:ilvl w:val="1"/>
          <w:numId w:val="13"/>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pPr>
        <w:pStyle w:val="80"/>
        <w:numPr>
          <w:ilvl w:val="0"/>
          <w:numId w:val="11"/>
        </w:numPr>
        <w:adjustRightInd w:val="0"/>
        <w:snapToGrid w:val="0"/>
        <w:rPr>
          <w:rFonts w:hAnsi="宋体"/>
          <w:sz w:val="24"/>
          <w:szCs w:val="24"/>
        </w:rPr>
      </w:pPr>
      <w:r>
        <w:rPr>
          <w:rFonts w:hint="eastAsia" w:hAnsi="宋体"/>
          <w:sz w:val="24"/>
          <w:szCs w:val="24"/>
        </w:rPr>
        <w:t>疑问提交</w:t>
      </w:r>
    </w:p>
    <w:p>
      <w:pPr>
        <w:pStyle w:val="80"/>
        <w:numPr>
          <w:ilvl w:val="1"/>
          <w:numId w:val="14"/>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2026年3月1</w:t>
      </w:r>
      <w:r>
        <w:rPr>
          <w:rFonts w:hint="eastAsia" w:hAnsi="宋体"/>
          <w:sz w:val="24"/>
          <w:szCs w:val="24"/>
          <w:u w:val="single"/>
          <w:lang w:val="en-US" w:eastAsia="zh-CN"/>
        </w:rPr>
        <w:t>9</w:t>
      </w:r>
      <w:r>
        <w:rPr>
          <w:rFonts w:hint="eastAsia" w:hAnsi="宋体"/>
          <w:sz w:val="24"/>
          <w:szCs w:val="24"/>
          <w:u w:val="single"/>
        </w:rPr>
        <w:t>日17:00:00（北京时间）；</w:t>
      </w:r>
    </w:p>
    <w:p>
      <w:pPr>
        <w:pStyle w:val="80"/>
        <w:numPr>
          <w:ilvl w:val="1"/>
          <w:numId w:val="14"/>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pPr>
        <w:pStyle w:val="80"/>
        <w:numPr>
          <w:ilvl w:val="0"/>
          <w:numId w:val="11"/>
        </w:numPr>
        <w:adjustRightInd w:val="0"/>
        <w:snapToGrid w:val="0"/>
        <w:rPr>
          <w:rFonts w:hAnsi="宋体"/>
          <w:sz w:val="24"/>
          <w:szCs w:val="24"/>
        </w:rPr>
      </w:pPr>
      <w:r>
        <w:rPr>
          <w:rFonts w:hint="eastAsia" w:hAnsi="宋体"/>
          <w:sz w:val="24"/>
          <w:szCs w:val="24"/>
        </w:rPr>
        <w:t>答疑、澄清和修改文件的获取</w:t>
      </w:r>
    </w:p>
    <w:p>
      <w:pPr>
        <w:pStyle w:val="80"/>
        <w:numPr>
          <w:ilvl w:val="0"/>
          <w:numId w:val="15"/>
        </w:numPr>
        <w:adjustRightInd w:val="0"/>
        <w:snapToGrid w:val="0"/>
        <w:rPr>
          <w:rFonts w:hAnsi="宋体"/>
          <w:sz w:val="24"/>
          <w:szCs w:val="24"/>
          <w:highlight w:val="none"/>
        </w:rPr>
      </w:pPr>
      <w:r>
        <w:rPr>
          <w:rFonts w:hint="eastAsia" w:hAnsi="宋体"/>
          <w:sz w:val="24"/>
          <w:szCs w:val="24"/>
          <w:highlight w:val="none"/>
        </w:rPr>
        <w:t>获取时间：</w:t>
      </w:r>
      <w:r>
        <w:rPr>
          <w:rFonts w:hint="eastAsia" w:hAnsi="宋体"/>
          <w:sz w:val="24"/>
          <w:szCs w:val="24"/>
          <w:highlight w:val="none"/>
          <w:u w:val="single"/>
        </w:rPr>
        <w:t>2026年3月</w:t>
      </w:r>
      <w:r>
        <w:rPr>
          <w:rFonts w:hint="eastAsia" w:hAnsi="宋体"/>
          <w:sz w:val="24"/>
          <w:szCs w:val="24"/>
          <w:highlight w:val="none"/>
          <w:u w:val="single"/>
          <w:lang w:val="en-US" w:eastAsia="zh-CN"/>
        </w:rPr>
        <w:t>20</w:t>
      </w:r>
      <w:r>
        <w:rPr>
          <w:rFonts w:hint="eastAsia" w:hAnsi="宋体"/>
          <w:sz w:val="24"/>
          <w:szCs w:val="24"/>
          <w:highlight w:val="none"/>
          <w:u w:val="single"/>
        </w:rPr>
        <w:t>日17:00前；</w:t>
      </w:r>
    </w:p>
    <w:p>
      <w:pPr>
        <w:pStyle w:val="80"/>
        <w:numPr>
          <w:ilvl w:val="0"/>
          <w:numId w:val="15"/>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pPr>
        <w:pStyle w:val="76"/>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pPr>
        <w:pStyle w:val="80"/>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pPr>
        <w:pStyle w:val="80"/>
        <w:numPr>
          <w:ilvl w:val="0"/>
          <w:numId w:val="17"/>
        </w:numPr>
        <w:adjustRightInd w:val="0"/>
        <w:snapToGrid w:val="0"/>
        <w:rPr>
          <w:rFonts w:hAnsi="宋体"/>
          <w:sz w:val="24"/>
          <w:szCs w:val="24"/>
        </w:rPr>
      </w:pPr>
      <w:r>
        <w:rPr>
          <w:rFonts w:hint="eastAsia" w:hAnsi="宋体" w:cs="黑体"/>
          <w:bCs/>
          <w:sz w:val="24"/>
          <w:szCs w:val="24"/>
        </w:rPr>
        <w:t>资质文件</w:t>
      </w:r>
    </w:p>
    <w:p>
      <w:pPr>
        <w:pStyle w:val="80"/>
        <w:numPr>
          <w:ilvl w:val="0"/>
          <w:numId w:val="18"/>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pPr>
        <w:pStyle w:val="80"/>
        <w:numPr>
          <w:ilvl w:val="0"/>
          <w:numId w:val="18"/>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pPr>
        <w:pStyle w:val="80"/>
        <w:numPr>
          <w:ilvl w:val="0"/>
          <w:numId w:val="18"/>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pPr>
        <w:pStyle w:val="80"/>
        <w:numPr>
          <w:ilvl w:val="0"/>
          <w:numId w:val="18"/>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pPr>
        <w:pStyle w:val="80"/>
        <w:numPr>
          <w:ilvl w:val="0"/>
          <w:numId w:val="18"/>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pPr>
        <w:pStyle w:val="80"/>
        <w:numPr>
          <w:ilvl w:val="0"/>
          <w:numId w:val="18"/>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pPr>
        <w:pStyle w:val="80"/>
        <w:numPr>
          <w:ilvl w:val="0"/>
          <w:numId w:val="18"/>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pPr>
        <w:pStyle w:val="80"/>
        <w:numPr>
          <w:ilvl w:val="0"/>
          <w:numId w:val="18"/>
        </w:numPr>
        <w:adjustRightInd w:val="0"/>
        <w:snapToGrid w:val="0"/>
        <w:ind w:left="420" w:leftChars="200"/>
        <w:rPr>
          <w:rFonts w:ascii="宋体" w:hAnsi="宋体" w:eastAsia="宋体" w:cs="Times New Roman"/>
          <w:sz w:val="24"/>
          <w:szCs w:val="24"/>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年1月1日至今）类似项目业绩及合同复印件（加盖公章，须有客户联系方式及联系人以供招标人核实确认）；</w:t>
      </w:r>
    </w:p>
    <w:p>
      <w:pPr>
        <w:pStyle w:val="80"/>
        <w:numPr>
          <w:ilvl w:val="0"/>
          <w:numId w:val="18"/>
        </w:numPr>
        <w:adjustRightInd w:val="0"/>
        <w:snapToGrid w:val="0"/>
        <w:ind w:left="420" w:leftChars="200"/>
        <w:rPr>
          <w:rFonts w:hAnsi="宋体"/>
          <w:sz w:val="24"/>
          <w:szCs w:val="24"/>
        </w:rPr>
      </w:pPr>
      <w:r>
        <w:rPr>
          <w:rFonts w:hAnsi="宋体"/>
          <w:sz w:val="24"/>
          <w:szCs w:val="24"/>
        </w:rPr>
        <w:t>保密承诺函（附件2，需</w:t>
      </w:r>
      <w:r>
        <w:rPr>
          <w:rFonts w:hint="eastAsia" w:hAnsi="宋体"/>
          <w:sz w:val="24"/>
          <w:szCs w:val="24"/>
        </w:rPr>
        <w:t>加</w:t>
      </w:r>
      <w:r>
        <w:rPr>
          <w:rFonts w:hAnsi="宋体"/>
          <w:sz w:val="24"/>
          <w:szCs w:val="24"/>
        </w:rPr>
        <w:t>盖章）</w:t>
      </w:r>
      <w:r>
        <w:rPr>
          <w:rFonts w:hint="eastAsia" w:hAnsi="宋体"/>
          <w:sz w:val="24"/>
          <w:szCs w:val="24"/>
        </w:rPr>
        <w:t>；</w:t>
      </w:r>
    </w:p>
    <w:p>
      <w:pPr>
        <w:pStyle w:val="80"/>
        <w:numPr>
          <w:ilvl w:val="0"/>
          <w:numId w:val="18"/>
        </w:numPr>
        <w:adjustRightInd w:val="0"/>
        <w:snapToGrid w:val="0"/>
        <w:ind w:left="420" w:leftChars="200"/>
        <w:rPr>
          <w:rFonts w:hAnsi="宋体"/>
          <w:sz w:val="24"/>
          <w:szCs w:val="24"/>
        </w:rPr>
      </w:pPr>
      <w:r>
        <w:rPr>
          <w:rFonts w:hint="eastAsia" w:hAnsi="宋体"/>
          <w:sz w:val="24"/>
          <w:szCs w:val="24"/>
        </w:rPr>
        <w:t>投标保证金缴纳凭证，同时正文描述付款账号、户名、开户行名称、开户行行号、保证金金额。</w:t>
      </w:r>
    </w:p>
    <w:p>
      <w:pPr>
        <w:pStyle w:val="80"/>
        <w:numPr>
          <w:ilvl w:val="0"/>
          <w:numId w:val="18"/>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pPr>
        <w:pStyle w:val="80"/>
        <w:numPr>
          <w:ilvl w:val="0"/>
          <w:numId w:val="17"/>
        </w:numPr>
        <w:adjustRightInd w:val="0"/>
        <w:snapToGrid w:val="0"/>
        <w:rPr>
          <w:rFonts w:hAnsi="宋体" w:cs="黑体"/>
          <w:bCs/>
          <w:sz w:val="24"/>
          <w:szCs w:val="24"/>
        </w:rPr>
      </w:pPr>
      <w:r>
        <w:rPr>
          <w:rFonts w:hint="eastAsia" w:hAnsi="宋体" w:cs="黑体"/>
          <w:bCs/>
          <w:sz w:val="24"/>
          <w:szCs w:val="24"/>
        </w:rPr>
        <w:t>商务标</w:t>
      </w:r>
    </w:p>
    <w:p>
      <w:pPr>
        <w:pStyle w:val="80"/>
        <w:numPr>
          <w:ilvl w:val="0"/>
          <w:numId w:val="19"/>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pPr>
        <w:pStyle w:val="80"/>
        <w:numPr>
          <w:ilvl w:val="0"/>
          <w:numId w:val="19"/>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pPr>
        <w:pStyle w:val="80"/>
        <w:numPr>
          <w:ilvl w:val="0"/>
          <w:numId w:val="19"/>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pPr>
        <w:pStyle w:val="80"/>
        <w:numPr>
          <w:ilvl w:val="0"/>
          <w:numId w:val="19"/>
        </w:numPr>
        <w:adjustRightInd w:val="0"/>
        <w:snapToGrid w:val="0"/>
        <w:ind w:left="420" w:leftChars="200"/>
        <w:rPr>
          <w:rFonts w:hAnsi="宋体"/>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pPr>
        <w:pStyle w:val="80"/>
        <w:adjustRightInd w:val="0"/>
        <w:snapToGrid w:val="0"/>
        <w:rPr>
          <w:rFonts w:hAnsi="宋体"/>
          <w:sz w:val="24"/>
          <w:szCs w:val="24"/>
        </w:rPr>
      </w:pPr>
    </w:p>
    <w:p>
      <w:pPr>
        <w:pStyle w:val="76"/>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pPr>
        <w:pStyle w:val="80"/>
        <w:numPr>
          <w:ilvl w:val="0"/>
          <w:numId w:val="20"/>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pPr>
        <w:pStyle w:val="80"/>
        <w:numPr>
          <w:ilvl w:val="0"/>
          <w:numId w:val="20"/>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rPr>
        <w:t>：</w:t>
      </w:r>
      <w:r>
        <w:rPr>
          <w:rFonts w:hint="eastAsia" w:hAnsi="宋体"/>
          <w:sz w:val="24"/>
          <w:szCs w:val="24"/>
          <w:highlight w:val="none"/>
          <w:u w:val="single"/>
        </w:rPr>
        <w:t>2026年3月</w:t>
      </w:r>
      <w:r>
        <w:rPr>
          <w:rFonts w:hint="eastAsia" w:hAnsi="宋体"/>
          <w:sz w:val="24"/>
          <w:szCs w:val="24"/>
          <w:highlight w:val="none"/>
          <w:u w:val="single"/>
          <w:lang w:val="en-US" w:eastAsia="zh-CN"/>
        </w:rPr>
        <w:t>23</w:t>
      </w:r>
      <w:r>
        <w:rPr>
          <w:rFonts w:hint="eastAsia" w:hAnsi="宋体"/>
          <w:sz w:val="24"/>
          <w:szCs w:val="24"/>
          <w:highlight w:val="none"/>
          <w:u w:val="single"/>
        </w:rPr>
        <w:t>日17:00:00（北京时间）</w:t>
      </w:r>
    </w:p>
    <w:p>
      <w:pPr>
        <w:pStyle w:val="76"/>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pPr>
        <w:pStyle w:val="76"/>
        <w:numPr>
          <w:ilvl w:val="0"/>
          <w:numId w:val="21"/>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pPr>
        <w:pStyle w:val="80"/>
        <w:numPr>
          <w:ilvl w:val="0"/>
          <w:numId w:val="22"/>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pPr>
        <w:pStyle w:val="80"/>
        <w:numPr>
          <w:ilvl w:val="0"/>
          <w:numId w:val="22"/>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pPr>
        <w:pStyle w:val="80"/>
        <w:numPr>
          <w:ilvl w:val="0"/>
          <w:numId w:val="22"/>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pPr>
        <w:pStyle w:val="80"/>
        <w:numPr>
          <w:ilvl w:val="0"/>
          <w:numId w:val="21"/>
        </w:numPr>
        <w:adjustRightInd w:val="0"/>
        <w:snapToGrid w:val="0"/>
        <w:rPr>
          <w:rFonts w:hAnsi="宋体"/>
          <w:sz w:val="24"/>
          <w:szCs w:val="24"/>
        </w:rPr>
      </w:pPr>
      <w:r>
        <w:rPr>
          <w:rFonts w:hint="eastAsia" w:hAnsi="宋体"/>
          <w:sz w:val="24"/>
          <w:szCs w:val="24"/>
        </w:rPr>
        <w:t>投标保证金的金额：人民币5000元</w:t>
      </w:r>
    </w:p>
    <w:p>
      <w:pPr>
        <w:pStyle w:val="80"/>
        <w:adjustRightInd w:val="0"/>
        <w:snapToGrid w:val="0"/>
        <w:ind w:left="420" w:leftChars="200"/>
        <w:rPr>
          <w:rFonts w:hAnsi="宋体"/>
          <w:sz w:val="24"/>
          <w:szCs w:val="24"/>
        </w:rPr>
      </w:pPr>
      <w:r>
        <w:rPr>
          <w:rFonts w:hint="eastAsia" w:hAnsi="宋体"/>
          <w:sz w:val="24"/>
          <w:szCs w:val="24"/>
        </w:rPr>
        <w:t>单位名称：重汽（重庆）轻型汽车有限公司</w:t>
      </w:r>
    </w:p>
    <w:p>
      <w:pPr>
        <w:pStyle w:val="80"/>
        <w:adjustRightInd w:val="0"/>
        <w:snapToGrid w:val="0"/>
        <w:ind w:left="420" w:leftChars="200"/>
        <w:rPr>
          <w:rFonts w:hAnsi="宋体"/>
          <w:sz w:val="24"/>
          <w:szCs w:val="24"/>
        </w:rPr>
      </w:pPr>
      <w:r>
        <w:rPr>
          <w:rFonts w:hint="eastAsia" w:hAnsi="宋体"/>
          <w:sz w:val="24"/>
          <w:szCs w:val="24"/>
        </w:rPr>
        <w:t>收款账号：8112501012801267437</w:t>
      </w:r>
    </w:p>
    <w:p>
      <w:pPr>
        <w:pStyle w:val="80"/>
        <w:adjustRightInd w:val="0"/>
        <w:snapToGrid w:val="0"/>
        <w:ind w:left="420" w:leftChars="200"/>
        <w:rPr>
          <w:rFonts w:hAnsi="宋体"/>
          <w:sz w:val="24"/>
          <w:szCs w:val="24"/>
        </w:rPr>
      </w:pPr>
      <w:r>
        <w:rPr>
          <w:rFonts w:hint="eastAsia" w:hAnsi="宋体"/>
          <w:sz w:val="24"/>
          <w:szCs w:val="24"/>
        </w:rPr>
        <w:t>开户行名称：中信银行济南舜耕支行</w:t>
      </w:r>
    </w:p>
    <w:p>
      <w:pPr>
        <w:pStyle w:val="80"/>
        <w:adjustRightInd w:val="0"/>
        <w:snapToGrid w:val="0"/>
        <w:ind w:left="420" w:leftChars="200"/>
        <w:rPr>
          <w:rFonts w:hAnsi="宋体"/>
          <w:sz w:val="24"/>
          <w:szCs w:val="24"/>
        </w:rPr>
      </w:pPr>
      <w:r>
        <w:rPr>
          <w:rFonts w:hint="eastAsia" w:hAnsi="宋体"/>
          <w:sz w:val="24"/>
          <w:szCs w:val="24"/>
        </w:rPr>
        <w:t>开户行行号：302451037264</w:t>
      </w:r>
    </w:p>
    <w:p>
      <w:pPr>
        <w:pStyle w:val="80"/>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pPr>
        <w:pStyle w:val="80"/>
        <w:numPr>
          <w:ilvl w:val="0"/>
          <w:numId w:val="21"/>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2026年3月</w:t>
      </w:r>
      <w:r>
        <w:rPr>
          <w:rFonts w:hint="eastAsia" w:hAnsi="宋体" w:eastAsia="宋体"/>
          <w:sz w:val="24"/>
          <w:szCs w:val="24"/>
          <w:highlight w:val="none"/>
          <w:u w:val="single"/>
          <w:lang w:val="en-US" w:eastAsia="zh-CN"/>
        </w:rPr>
        <w:t>2</w:t>
      </w:r>
      <w:r>
        <w:rPr>
          <w:rFonts w:hint="eastAsia" w:hAnsi="宋体"/>
          <w:sz w:val="24"/>
          <w:szCs w:val="24"/>
          <w:highlight w:val="none"/>
          <w:u w:val="single"/>
          <w:lang w:val="en-US" w:eastAsia="zh-CN"/>
        </w:rPr>
        <w:t>3</w:t>
      </w:r>
      <w:r>
        <w:rPr>
          <w:rFonts w:hint="eastAsia" w:hAnsi="宋体" w:eastAsia="答疑"/>
          <w:sz w:val="24"/>
          <w:szCs w:val="24"/>
          <w:highlight w:val="none"/>
          <w:u w:val="single"/>
        </w:rPr>
        <w:t>日17:00:00（北京时间）</w:t>
      </w:r>
    </w:p>
    <w:p>
      <w:pPr>
        <w:pStyle w:val="76"/>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pPr>
        <w:pStyle w:val="76"/>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pPr>
        <w:pStyle w:val="80"/>
        <w:numPr>
          <w:ilvl w:val="0"/>
          <w:numId w:val="23"/>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pPr>
        <w:pStyle w:val="80"/>
        <w:numPr>
          <w:ilvl w:val="0"/>
          <w:numId w:val="23"/>
        </w:numPr>
        <w:adjustRightInd w:val="0"/>
        <w:snapToGrid w:val="0"/>
        <w:rPr>
          <w:rFonts w:hAnsi="宋体"/>
          <w:sz w:val="24"/>
          <w:szCs w:val="24"/>
        </w:rPr>
      </w:pPr>
      <w:r>
        <w:rPr>
          <w:rFonts w:hint="eastAsia" w:hAnsi="宋体"/>
          <w:sz w:val="24"/>
          <w:szCs w:val="24"/>
        </w:rPr>
        <w:t>供应商在响应文件中提供虚假材料的；</w:t>
      </w:r>
    </w:p>
    <w:p>
      <w:pPr>
        <w:pStyle w:val="80"/>
        <w:numPr>
          <w:ilvl w:val="0"/>
          <w:numId w:val="23"/>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pPr>
        <w:pStyle w:val="80"/>
        <w:numPr>
          <w:ilvl w:val="0"/>
          <w:numId w:val="23"/>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pPr>
        <w:pStyle w:val="80"/>
        <w:numPr>
          <w:ilvl w:val="0"/>
          <w:numId w:val="23"/>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pPr>
        <w:pStyle w:val="80"/>
        <w:numPr>
          <w:ilvl w:val="0"/>
          <w:numId w:val="23"/>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pPr>
        <w:pStyle w:val="80"/>
        <w:numPr>
          <w:ilvl w:val="0"/>
          <w:numId w:val="23"/>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pPr>
        <w:pStyle w:val="80"/>
        <w:numPr>
          <w:ilvl w:val="0"/>
          <w:numId w:val="23"/>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bookmarkEnd w:id="5"/>
    <w:p>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pPr>
        <w:pStyle w:val="76"/>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pPr>
        <w:pStyle w:val="80"/>
        <w:numPr>
          <w:ilvl w:val="0"/>
          <w:numId w:val="25"/>
        </w:numPr>
        <w:adjustRightInd w:val="0"/>
        <w:snapToGrid w:val="0"/>
        <w:rPr>
          <w:rFonts w:hAnsi="宋体" w:cs="宋体"/>
          <w:sz w:val="24"/>
          <w:szCs w:val="24"/>
        </w:rPr>
      </w:pPr>
      <w:r>
        <w:rPr>
          <w:rFonts w:hint="eastAsia" w:hAnsi="宋体" w:cs="宋体"/>
          <w:sz w:val="24"/>
          <w:szCs w:val="24"/>
          <w:highlight w:val="none"/>
        </w:rPr>
        <w:t>开标时间：202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3</w:t>
      </w:r>
      <w:r>
        <w:rPr>
          <w:rFonts w:hint="eastAsia" w:hAnsi="宋体" w:cs="宋体"/>
          <w:sz w:val="24"/>
          <w:szCs w:val="24"/>
          <w:highlight w:val="none"/>
        </w:rPr>
        <w:t>月</w:t>
      </w:r>
      <w:r>
        <w:rPr>
          <w:rFonts w:hint="eastAsia" w:hAnsi="宋体" w:cs="宋体"/>
          <w:sz w:val="24"/>
          <w:szCs w:val="24"/>
          <w:highlight w:val="none"/>
          <w:lang w:val="en-US" w:eastAsia="zh-CN"/>
        </w:rPr>
        <w:t>24</w:t>
      </w:r>
      <w:bookmarkStart w:id="20" w:name="_GoBack"/>
      <w:bookmarkEnd w:id="20"/>
      <w:r>
        <w:rPr>
          <w:rFonts w:hint="eastAsia" w:hAnsi="宋体" w:cs="宋体"/>
          <w:sz w:val="24"/>
          <w:szCs w:val="24"/>
          <w:highlight w:val="none"/>
        </w:rPr>
        <w:t>日</w:t>
      </w:r>
      <w:r>
        <w:rPr>
          <w:rFonts w:hAnsi="宋体" w:cs="宋体"/>
          <w:sz w:val="24"/>
          <w:szCs w:val="24"/>
          <w:highlight w:val="none"/>
        </w:rPr>
        <w:t>9:00:00（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pPr>
        <w:pStyle w:val="80"/>
        <w:numPr>
          <w:ilvl w:val="0"/>
          <w:numId w:val="25"/>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pPr>
        <w:pStyle w:val="80"/>
        <w:numPr>
          <w:ilvl w:val="0"/>
          <w:numId w:val="25"/>
        </w:numPr>
        <w:adjustRightInd w:val="0"/>
        <w:snapToGrid w:val="0"/>
        <w:rPr>
          <w:rFonts w:hAnsi="宋体" w:cs="宋体"/>
          <w:color w:val="000000"/>
          <w:sz w:val="24"/>
          <w:szCs w:val="24"/>
          <w:highlight w:val="none"/>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w:t>
      </w:r>
      <w:r>
        <w:rPr>
          <w:rFonts w:hint="eastAsia" w:hAnsi="宋体" w:cs="宋体"/>
          <w:color w:val="000000"/>
          <w:sz w:val="24"/>
          <w:szCs w:val="24"/>
          <w:highlight w:val="none"/>
          <w:u w:val="single"/>
        </w:rPr>
        <w:t>知。</w:t>
      </w:r>
    </w:p>
    <w:p>
      <w:pPr>
        <w:pStyle w:val="76"/>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highlight w:val="none"/>
        </w:rPr>
        <w:t>评标方法</w:t>
      </w:r>
      <w:r>
        <w:rPr>
          <w:rFonts w:hint="eastAsia" w:ascii="宋体" w:hAnsi="宋体" w:eastAsia="宋体" w:cs="黑体"/>
          <w:sz w:val="24"/>
          <w:szCs w:val="24"/>
          <w:highlight w:val="none"/>
        </w:rPr>
        <w:t>：合理最低价</w:t>
      </w:r>
      <w:r>
        <w:rPr>
          <w:rFonts w:hint="eastAsia" w:ascii="宋体" w:hAnsi="宋体" w:eastAsia="宋体" w:cs="黑体"/>
          <w:sz w:val="24"/>
          <w:szCs w:val="24"/>
          <w:highlight w:val="none"/>
          <w:u w:val="none"/>
        </w:rPr>
        <w:t>中标</w:t>
      </w:r>
      <w:r>
        <w:rPr>
          <w:rFonts w:hint="eastAsia" w:ascii="宋体" w:hAnsi="宋体" w:eastAsia="宋体"/>
          <w:color w:val="000000" w:themeColor="text1"/>
          <w:sz w:val="24"/>
          <w:szCs w:val="24"/>
          <w:highlight w:val="none"/>
          <w:u w:val="none"/>
          <w14:textFill>
            <w14:solidFill>
              <w14:schemeClr w14:val="tx1"/>
            </w14:solidFill>
          </w14:textFill>
        </w:rPr>
        <w:t>。</w:t>
      </w:r>
    </w:p>
    <w:p>
      <w:pPr>
        <w:pStyle w:val="76"/>
        <w:numPr>
          <w:ilvl w:val="0"/>
          <w:numId w:val="24"/>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1"/>
        <w:gridCol w:w="1265"/>
        <w:gridCol w:w="5402"/>
        <w:gridCol w:w="814"/>
        <w:gridCol w:w="9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vAlign w:val="center"/>
          </w:tcPr>
          <w:p>
            <w:pPr>
              <w:widowControl/>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序号</w:t>
            </w:r>
          </w:p>
        </w:tc>
        <w:tc>
          <w:tcPr>
            <w:tcW w:w="1265" w:type="dxa"/>
            <w:vAlign w:val="center"/>
          </w:tcPr>
          <w:p>
            <w:pPr>
              <w:widowControl/>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评审项目</w:t>
            </w:r>
          </w:p>
        </w:tc>
        <w:tc>
          <w:tcPr>
            <w:tcW w:w="5402" w:type="dxa"/>
            <w:vAlign w:val="center"/>
          </w:tcPr>
          <w:p>
            <w:pPr>
              <w:widowControl/>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指标</w:t>
            </w:r>
          </w:p>
        </w:tc>
        <w:tc>
          <w:tcPr>
            <w:tcW w:w="814" w:type="dxa"/>
            <w:vAlign w:val="center"/>
          </w:tcPr>
          <w:p>
            <w:pPr>
              <w:widowControl/>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分值</w:t>
            </w:r>
          </w:p>
        </w:tc>
        <w:tc>
          <w:tcPr>
            <w:tcW w:w="941" w:type="dxa"/>
            <w:vAlign w:val="center"/>
          </w:tcPr>
          <w:p>
            <w:pPr>
              <w:widowControl/>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vAlign w:val="center"/>
          </w:tcPr>
          <w:p>
            <w:pPr>
              <w:widowControl/>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1</w:t>
            </w:r>
          </w:p>
        </w:tc>
        <w:tc>
          <w:tcPr>
            <w:tcW w:w="1265" w:type="dxa"/>
            <w:vAlign w:val="center"/>
          </w:tcPr>
          <w:p>
            <w:pPr>
              <w:widowControl/>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业绩</w:t>
            </w:r>
          </w:p>
        </w:tc>
        <w:tc>
          <w:tcPr>
            <w:tcW w:w="5402" w:type="dxa"/>
            <w:vAlign w:val="center"/>
          </w:tcPr>
          <w:p>
            <w:pPr>
              <w:widowControl/>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投标人公司近三年内开展的雷电防护装置检测项目不少于二十个，且未因检测质量问题引发事故。以合同复印件加盖公章为准（须有客户联系方式及联系人以供招标人核实确认）</w:t>
            </w:r>
            <w:r>
              <w:rPr>
                <w:rFonts w:hint="default" w:ascii="宋体" w:hAnsi="宋体" w:eastAsia="宋体" w:cs="宋体"/>
                <w:kern w:val="2"/>
                <w:sz w:val="24"/>
                <w:szCs w:val="24"/>
                <w:lang w:val="en-US" w:eastAsia="zh-CN" w:bidi="ar-SA"/>
              </w:rPr>
              <w:t>，每个</w:t>
            </w:r>
            <w:r>
              <w:rPr>
                <w:rFonts w:hint="eastAsia" w:ascii="宋体" w:hAnsi="宋体" w:eastAsia="宋体" w:cs="宋体"/>
                <w:kern w:val="2"/>
                <w:sz w:val="24"/>
                <w:szCs w:val="24"/>
                <w:lang w:val="en-US" w:eastAsia="zh-CN" w:bidi="ar-SA"/>
              </w:rPr>
              <w:t>检测</w:t>
            </w:r>
            <w:r>
              <w:rPr>
                <w:rFonts w:hint="default" w:ascii="宋体" w:hAnsi="宋体" w:eastAsia="宋体" w:cs="宋体"/>
                <w:kern w:val="2"/>
                <w:sz w:val="24"/>
                <w:szCs w:val="24"/>
                <w:lang w:val="en-US" w:eastAsia="zh-CN" w:bidi="ar-SA"/>
              </w:rPr>
              <w:t>合同加</w:t>
            </w:r>
            <w:r>
              <w:rPr>
                <w:rFonts w:hint="eastAsia" w:ascii="宋体" w:hAnsi="宋体" w:eastAsia="宋体" w:cs="宋体"/>
                <w:kern w:val="2"/>
                <w:sz w:val="24"/>
                <w:szCs w:val="24"/>
                <w:lang w:val="en-US" w:eastAsia="zh-CN" w:bidi="ar-SA"/>
              </w:rPr>
              <w:t>1.5</w:t>
            </w:r>
            <w:r>
              <w:rPr>
                <w:rFonts w:hint="default" w:ascii="宋体" w:hAnsi="宋体" w:eastAsia="宋体" w:cs="宋体"/>
                <w:kern w:val="2"/>
                <w:sz w:val="24"/>
                <w:szCs w:val="24"/>
                <w:lang w:val="en-US" w:eastAsia="zh-CN" w:bidi="ar-SA"/>
              </w:rPr>
              <w:t>分</w:t>
            </w:r>
            <w:r>
              <w:rPr>
                <w:rFonts w:hint="eastAsia" w:ascii="宋体" w:hAnsi="宋体" w:eastAsia="宋体" w:cs="宋体"/>
                <w:kern w:val="2"/>
                <w:sz w:val="24"/>
                <w:szCs w:val="24"/>
                <w:lang w:val="en-US" w:eastAsia="zh-CN" w:bidi="ar-SA"/>
              </w:rPr>
              <w:t>，</w:t>
            </w:r>
            <w:r>
              <w:rPr>
                <w:rFonts w:hint="default" w:ascii="宋体" w:hAnsi="宋体" w:eastAsia="宋体" w:cs="宋体"/>
                <w:kern w:val="2"/>
                <w:sz w:val="24"/>
                <w:szCs w:val="24"/>
                <w:lang w:val="en-US" w:eastAsia="zh-CN" w:bidi="ar-SA"/>
              </w:rPr>
              <w:t>满分</w:t>
            </w:r>
            <w:r>
              <w:rPr>
                <w:rFonts w:hint="eastAsia" w:ascii="宋体" w:hAnsi="宋体" w:eastAsia="宋体" w:cs="宋体"/>
                <w:kern w:val="2"/>
                <w:sz w:val="24"/>
                <w:szCs w:val="24"/>
                <w:lang w:val="en-US" w:eastAsia="zh-CN" w:bidi="ar-SA"/>
              </w:rPr>
              <w:t>30</w:t>
            </w:r>
            <w:r>
              <w:rPr>
                <w:rFonts w:hint="default" w:ascii="宋体" w:hAnsi="宋体" w:eastAsia="宋体" w:cs="宋体"/>
                <w:kern w:val="2"/>
                <w:sz w:val="24"/>
                <w:szCs w:val="24"/>
                <w:lang w:val="en-US" w:eastAsia="zh-CN" w:bidi="ar-SA"/>
              </w:rPr>
              <w:t>分，没有不得分。</w:t>
            </w:r>
          </w:p>
        </w:tc>
        <w:tc>
          <w:tcPr>
            <w:tcW w:w="814" w:type="dxa"/>
            <w:vAlign w:val="center"/>
          </w:tcPr>
          <w:p>
            <w:pPr>
              <w:jc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30</w:t>
            </w:r>
          </w:p>
        </w:tc>
        <w:tc>
          <w:tcPr>
            <w:tcW w:w="941" w:type="dxa"/>
            <w:vAlign w:val="center"/>
          </w:tcPr>
          <w:p>
            <w:pPr>
              <w:jc w:val="center"/>
              <w:rPr>
                <w:rFonts w:hint="eastAsia" w:ascii="宋体" w:hAnsi="宋体" w:eastAsia="宋体" w:cs="宋体"/>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vAlign w:val="center"/>
          </w:tcPr>
          <w:p>
            <w:pPr>
              <w:widowControl/>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2</w:t>
            </w:r>
          </w:p>
        </w:tc>
        <w:tc>
          <w:tcPr>
            <w:tcW w:w="1265" w:type="dxa"/>
            <w:vAlign w:val="center"/>
          </w:tcPr>
          <w:p>
            <w:pPr>
              <w:widowControl/>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技术方案</w:t>
            </w:r>
          </w:p>
        </w:tc>
        <w:tc>
          <w:tcPr>
            <w:tcW w:w="5402" w:type="dxa"/>
            <w:vAlign w:val="center"/>
          </w:tcPr>
          <w:p>
            <w:pPr>
              <w:widowControl/>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检测方案详细及安全、技术措施保障等。满分30分，评委根据投标文件情况分为一般、良、优，分别酌情得10-15分、15-25分、25-30分，内容不合理酌情扣分，每项酌情减分，减完为止；</w:t>
            </w:r>
          </w:p>
        </w:tc>
        <w:tc>
          <w:tcPr>
            <w:tcW w:w="814" w:type="dxa"/>
            <w:vAlign w:val="center"/>
          </w:tcPr>
          <w:p>
            <w:pPr>
              <w:jc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30</w:t>
            </w:r>
          </w:p>
        </w:tc>
        <w:tc>
          <w:tcPr>
            <w:tcW w:w="941" w:type="dxa"/>
            <w:vAlign w:val="center"/>
          </w:tcPr>
          <w:p>
            <w:pPr>
              <w:jc w:val="center"/>
              <w:rPr>
                <w:rFonts w:hint="eastAsia" w:ascii="宋体" w:hAnsi="宋体" w:eastAsia="宋体" w:cs="宋体"/>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vAlign w:val="center"/>
          </w:tcPr>
          <w:p>
            <w:pPr>
              <w:widowControl/>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3</w:t>
            </w:r>
          </w:p>
        </w:tc>
        <w:tc>
          <w:tcPr>
            <w:tcW w:w="1265" w:type="dxa"/>
            <w:vAlign w:val="center"/>
          </w:tcPr>
          <w:p>
            <w:pPr>
              <w:widowControl/>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供应商能力</w:t>
            </w:r>
          </w:p>
        </w:tc>
        <w:tc>
          <w:tcPr>
            <w:tcW w:w="5402" w:type="dxa"/>
            <w:vAlign w:val="center"/>
          </w:tcPr>
          <w:p>
            <w:pPr>
              <w:widowControl/>
              <w:numPr>
                <w:ilvl w:val="0"/>
                <w:numId w:val="26"/>
              </w:numP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投标人必须具备雷电防护装置检测能力的人员，其中具有高级技术职称的不少于一名，具有中级技术职称的不少于两名，技术负责人应当具有高级技术职称，从事雷电防护装置检测工作四年以上，运维人员需提供单位缴纳社保证明。符合要求得10分。</w:t>
            </w:r>
          </w:p>
          <w:p>
            <w:pPr>
              <w:widowControl/>
              <w:numPr>
                <w:ilvl w:val="0"/>
                <w:numId w:val="26"/>
              </w:numP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供应商实力：注册资本100万元以上，得5分，每多100万元，加2分，总分10分。</w:t>
            </w:r>
          </w:p>
          <w:p>
            <w:pPr>
              <w:widowControl/>
              <w:numPr>
                <w:ilvl w:val="0"/>
                <w:numId w:val="26"/>
              </w:numP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供应商检测设备：提供为检测的专业设备清单和资产证明，评委根据实际情况进行赋分5-10分。</w:t>
            </w:r>
          </w:p>
        </w:tc>
        <w:tc>
          <w:tcPr>
            <w:tcW w:w="814" w:type="dxa"/>
            <w:vAlign w:val="center"/>
          </w:tcPr>
          <w:p>
            <w:pPr>
              <w:jc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30</w:t>
            </w:r>
          </w:p>
        </w:tc>
        <w:tc>
          <w:tcPr>
            <w:tcW w:w="941" w:type="dxa"/>
            <w:vAlign w:val="center"/>
          </w:tcPr>
          <w:p>
            <w:pPr>
              <w:jc w:val="center"/>
              <w:rPr>
                <w:rFonts w:hint="eastAsia" w:ascii="宋体" w:hAnsi="宋体" w:eastAsia="宋体" w:cs="宋体"/>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vAlign w:val="center"/>
          </w:tcPr>
          <w:p>
            <w:pPr>
              <w:jc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4</w:t>
            </w:r>
          </w:p>
        </w:tc>
        <w:tc>
          <w:tcPr>
            <w:tcW w:w="1265" w:type="dxa"/>
            <w:vAlign w:val="center"/>
          </w:tcPr>
          <w:p>
            <w:pPr>
              <w:jc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现场方案讲解及答疑</w:t>
            </w:r>
          </w:p>
        </w:tc>
        <w:tc>
          <w:tcPr>
            <w:tcW w:w="5402" w:type="dxa"/>
            <w:vAlign w:val="center"/>
          </w:tcPr>
          <w:p>
            <w:pPr>
              <w:widowControl/>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方案讲解，根据供应商表现赋分5-10分。</w:t>
            </w:r>
          </w:p>
        </w:tc>
        <w:tc>
          <w:tcPr>
            <w:tcW w:w="814" w:type="dxa"/>
            <w:vAlign w:val="center"/>
          </w:tcPr>
          <w:p>
            <w:pPr>
              <w:jc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10</w:t>
            </w:r>
          </w:p>
        </w:tc>
        <w:tc>
          <w:tcPr>
            <w:tcW w:w="941" w:type="dxa"/>
            <w:vAlign w:val="center"/>
          </w:tcPr>
          <w:p>
            <w:pPr>
              <w:jc w:val="center"/>
              <w:rPr>
                <w:rFonts w:hint="eastAsia" w:ascii="宋体" w:hAnsi="宋体" w:eastAsia="宋体" w:cs="宋体"/>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trPr>
        <w:tc>
          <w:tcPr>
            <w:tcW w:w="721" w:type="dxa"/>
            <w:vAlign w:val="center"/>
          </w:tcPr>
          <w:p>
            <w:pPr>
              <w:jc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合计</w:t>
            </w:r>
          </w:p>
        </w:tc>
        <w:tc>
          <w:tcPr>
            <w:tcW w:w="6667" w:type="dxa"/>
            <w:gridSpan w:val="2"/>
            <w:vAlign w:val="center"/>
          </w:tcPr>
          <w:p>
            <w:pPr>
              <w:widowControl/>
              <w:jc w:val="left"/>
              <w:textAlignment w:val="center"/>
              <w:rPr>
                <w:rFonts w:hint="eastAsia" w:ascii="宋体" w:hAnsi="宋体" w:eastAsia="宋体" w:cs="宋体"/>
                <w:kern w:val="2"/>
                <w:sz w:val="24"/>
                <w:szCs w:val="24"/>
                <w:lang w:val="en-US" w:eastAsia="zh-CN" w:bidi="ar-SA"/>
              </w:rPr>
            </w:pPr>
          </w:p>
        </w:tc>
        <w:tc>
          <w:tcPr>
            <w:tcW w:w="814" w:type="dxa"/>
            <w:vAlign w:val="center"/>
          </w:tcPr>
          <w:p>
            <w:pPr>
              <w:jc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100</w:t>
            </w:r>
          </w:p>
        </w:tc>
        <w:tc>
          <w:tcPr>
            <w:tcW w:w="941" w:type="dxa"/>
            <w:vAlign w:val="center"/>
          </w:tcPr>
          <w:p>
            <w:pPr>
              <w:jc w:val="center"/>
              <w:rPr>
                <w:rFonts w:hint="eastAsia" w:ascii="宋体" w:hAnsi="宋体" w:eastAsia="宋体" w:cs="宋体"/>
                <w:kern w:val="2"/>
                <w:sz w:val="24"/>
                <w:szCs w:val="24"/>
                <w:lang w:val="en-US" w:eastAsia="zh-CN" w:bidi="ar-SA"/>
              </w:rPr>
            </w:pPr>
          </w:p>
        </w:tc>
      </w:tr>
    </w:tbl>
    <w:p>
      <w:pPr>
        <w:pStyle w:val="76"/>
        <w:numPr>
          <w:ilvl w:val="0"/>
          <w:numId w:val="0"/>
        </w:numPr>
        <w:adjustRightInd w:val="0"/>
        <w:snapToGrid w:val="0"/>
        <w:ind w:leftChars="0"/>
        <w:jc w:val="left"/>
        <w:outlineLvl w:val="9"/>
        <w:rPr>
          <w:rFonts w:ascii="宋体" w:hAnsi="宋体" w:eastAsia="宋体" w:cs="宋体"/>
          <w:b w:val="0"/>
          <w:bCs w:val="0"/>
          <w:sz w:val="24"/>
          <w:szCs w:val="24"/>
        </w:rPr>
      </w:pPr>
    </w:p>
    <w:p>
      <w:pPr>
        <w:pStyle w:val="76"/>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pPr>
        <w:pStyle w:val="76"/>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pPr>
        <w:numPr>
          <w:ilvl w:val="0"/>
          <w:numId w:val="27"/>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pPr>
        <w:numPr>
          <w:ilvl w:val="0"/>
          <w:numId w:val="27"/>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pPr>
        <w:numPr>
          <w:ilvl w:val="0"/>
          <w:numId w:val="27"/>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pPr>
        <w:numPr>
          <w:ilvl w:val="0"/>
          <w:numId w:val="27"/>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pPr>
        <w:numPr>
          <w:ilvl w:val="0"/>
          <w:numId w:val="27"/>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pPr>
        <w:pStyle w:val="80"/>
        <w:numPr>
          <w:ilvl w:val="0"/>
          <w:numId w:val="27"/>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pPr>
        <w:pStyle w:val="80"/>
        <w:numPr>
          <w:ilvl w:val="0"/>
          <w:numId w:val="27"/>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pPr>
        <w:pStyle w:val="80"/>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pPr>
        <w:pStyle w:val="76"/>
        <w:numPr>
          <w:ilvl w:val="0"/>
          <w:numId w:val="28"/>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pPr>
        <w:pStyle w:val="80"/>
        <w:numPr>
          <w:ilvl w:val="1"/>
          <w:numId w:val="29"/>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pPr>
        <w:pStyle w:val="80"/>
        <w:numPr>
          <w:ilvl w:val="1"/>
          <w:numId w:val="29"/>
        </w:numPr>
        <w:adjustRightInd w:val="0"/>
        <w:snapToGrid w:val="0"/>
        <w:rPr>
          <w:rFonts w:hAnsi="宋体"/>
          <w:sz w:val="24"/>
          <w:szCs w:val="24"/>
        </w:rPr>
      </w:pPr>
      <w:r>
        <w:rPr>
          <w:rFonts w:hint="eastAsia" w:hAnsi="宋体"/>
          <w:sz w:val="24"/>
          <w:szCs w:val="24"/>
        </w:rPr>
        <w:t>投标人在报价有效期内撤回投标；</w:t>
      </w:r>
    </w:p>
    <w:p>
      <w:pPr>
        <w:pStyle w:val="80"/>
        <w:numPr>
          <w:ilvl w:val="1"/>
          <w:numId w:val="29"/>
        </w:numPr>
        <w:adjustRightInd w:val="0"/>
        <w:snapToGrid w:val="0"/>
        <w:rPr>
          <w:rFonts w:hAnsi="宋体"/>
          <w:sz w:val="24"/>
          <w:szCs w:val="24"/>
        </w:rPr>
      </w:pPr>
      <w:r>
        <w:rPr>
          <w:rFonts w:hint="eastAsia" w:hAnsi="宋体"/>
          <w:sz w:val="24"/>
          <w:szCs w:val="24"/>
        </w:rPr>
        <w:t>在整个评标过程中，投标人有企图影响评标结果公正性的任何活动；</w:t>
      </w:r>
    </w:p>
    <w:p>
      <w:pPr>
        <w:pStyle w:val="80"/>
        <w:numPr>
          <w:ilvl w:val="1"/>
          <w:numId w:val="29"/>
        </w:numPr>
        <w:adjustRightInd w:val="0"/>
        <w:snapToGrid w:val="0"/>
        <w:rPr>
          <w:rFonts w:hAnsi="宋体"/>
          <w:sz w:val="24"/>
          <w:szCs w:val="24"/>
        </w:rPr>
      </w:pPr>
      <w:r>
        <w:rPr>
          <w:rFonts w:hint="eastAsia" w:hAnsi="宋体"/>
          <w:sz w:val="24"/>
          <w:szCs w:val="24"/>
        </w:rPr>
        <w:t>投标人以任何方式诋毁其他投标人；</w:t>
      </w:r>
    </w:p>
    <w:p>
      <w:pPr>
        <w:pStyle w:val="80"/>
        <w:numPr>
          <w:ilvl w:val="1"/>
          <w:numId w:val="29"/>
        </w:numPr>
        <w:adjustRightInd w:val="0"/>
        <w:snapToGrid w:val="0"/>
        <w:rPr>
          <w:rFonts w:hAnsi="宋体"/>
          <w:sz w:val="24"/>
          <w:szCs w:val="24"/>
        </w:rPr>
      </w:pPr>
      <w:r>
        <w:rPr>
          <w:rFonts w:hint="eastAsia" w:hAnsi="宋体"/>
          <w:sz w:val="24"/>
          <w:szCs w:val="24"/>
        </w:rPr>
        <w:t>投标人串通投标；</w:t>
      </w:r>
    </w:p>
    <w:p>
      <w:pPr>
        <w:pStyle w:val="80"/>
        <w:numPr>
          <w:ilvl w:val="1"/>
          <w:numId w:val="29"/>
        </w:numPr>
        <w:adjustRightInd w:val="0"/>
        <w:snapToGrid w:val="0"/>
        <w:rPr>
          <w:rFonts w:hAnsi="宋体"/>
          <w:sz w:val="24"/>
          <w:szCs w:val="24"/>
        </w:rPr>
      </w:pPr>
      <w:r>
        <w:rPr>
          <w:rFonts w:hint="eastAsia" w:hAnsi="宋体"/>
          <w:sz w:val="24"/>
          <w:szCs w:val="24"/>
        </w:rPr>
        <w:t>投标人被举报、检举，并经招标人查实无误的；</w:t>
      </w:r>
    </w:p>
    <w:p>
      <w:pPr>
        <w:pStyle w:val="80"/>
        <w:numPr>
          <w:ilvl w:val="1"/>
          <w:numId w:val="29"/>
        </w:numPr>
        <w:adjustRightInd w:val="0"/>
        <w:snapToGrid w:val="0"/>
        <w:rPr>
          <w:rFonts w:hAnsi="宋体"/>
          <w:sz w:val="24"/>
          <w:szCs w:val="24"/>
        </w:rPr>
      </w:pPr>
      <w:r>
        <w:rPr>
          <w:rFonts w:hint="eastAsia" w:hAnsi="宋体"/>
          <w:sz w:val="24"/>
          <w:szCs w:val="24"/>
        </w:rPr>
        <w:t>以他人名义投标或者以其他方式弄虚作假，骗取中标的；</w:t>
      </w:r>
    </w:p>
    <w:p>
      <w:pPr>
        <w:pStyle w:val="80"/>
        <w:numPr>
          <w:ilvl w:val="1"/>
          <w:numId w:val="29"/>
        </w:numPr>
        <w:adjustRightInd w:val="0"/>
        <w:snapToGrid w:val="0"/>
        <w:rPr>
          <w:rFonts w:hAnsi="宋体"/>
          <w:sz w:val="24"/>
          <w:szCs w:val="24"/>
        </w:rPr>
      </w:pPr>
      <w:r>
        <w:rPr>
          <w:rFonts w:hint="eastAsia" w:hAnsi="宋体"/>
          <w:sz w:val="24"/>
          <w:szCs w:val="24"/>
        </w:rPr>
        <w:t>投标人负责人为同一人或者存在控股、管理关系的不同单位；</w:t>
      </w:r>
    </w:p>
    <w:p>
      <w:pPr>
        <w:pStyle w:val="80"/>
        <w:numPr>
          <w:ilvl w:val="1"/>
          <w:numId w:val="29"/>
        </w:numPr>
        <w:adjustRightInd w:val="0"/>
        <w:snapToGrid w:val="0"/>
        <w:rPr>
          <w:rFonts w:hAnsi="宋体"/>
          <w:sz w:val="24"/>
          <w:szCs w:val="24"/>
        </w:rPr>
      </w:pPr>
      <w:r>
        <w:rPr>
          <w:rFonts w:hint="eastAsia" w:hAnsi="宋体"/>
          <w:sz w:val="24"/>
          <w:szCs w:val="24"/>
        </w:rPr>
        <w:t>有效投标不足三家；</w:t>
      </w:r>
    </w:p>
    <w:p>
      <w:pPr>
        <w:pStyle w:val="80"/>
        <w:numPr>
          <w:ilvl w:val="1"/>
          <w:numId w:val="29"/>
        </w:numPr>
        <w:adjustRightInd w:val="0"/>
        <w:snapToGrid w:val="0"/>
        <w:rPr>
          <w:rFonts w:hAnsi="宋体"/>
          <w:sz w:val="24"/>
          <w:szCs w:val="24"/>
        </w:rPr>
      </w:pPr>
      <w:r>
        <w:rPr>
          <w:rFonts w:hint="eastAsia" w:hAnsi="宋体"/>
          <w:sz w:val="24"/>
          <w:szCs w:val="24"/>
        </w:rPr>
        <w:t>不同投标人的投标文件异常一致或者投标报价呈规律性差异的；</w:t>
      </w:r>
    </w:p>
    <w:p>
      <w:pPr>
        <w:pStyle w:val="80"/>
        <w:numPr>
          <w:ilvl w:val="1"/>
          <w:numId w:val="29"/>
        </w:numPr>
        <w:adjustRightInd w:val="0"/>
        <w:snapToGrid w:val="0"/>
        <w:rPr>
          <w:rFonts w:hAnsi="宋体"/>
          <w:sz w:val="24"/>
          <w:szCs w:val="24"/>
        </w:rPr>
      </w:pPr>
      <w:r>
        <w:rPr>
          <w:rFonts w:hint="eastAsia" w:hAnsi="宋体"/>
          <w:sz w:val="24"/>
          <w:szCs w:val="24"/>
        </w:rPr>
        <w:t>投标人报价均超过最高限价的；</w:t>
      </w:r>
    </w:p>
    <w:p>
      <w:pPr>
        <w:pStyle w:val="80"/>
        <w:numPr>
          <w:ilvl w:val="1"/>
          <w:numId w:val="29"/>
        </w:numPr>
        <w:adjustRightInd w:val="0"/>
        <w:snapToGrid w:val="0"/>
        <w:rPr>
          <w:rFonts w:hAnsi="宋体"/>
          <w:sz w:val="24"/>
          <w:szCs w:val="24"/>
        </w:rPr>
      </w:pPr>
      <w:r>
        <w:rPr>
          <w:rFonts w:hint="eastAsia" w:hAnsi="宋体"/>
          <w:sz w:val="24"/>
          <w:szCs w:val="24"/>
        </w:rPr>
        <w:t>未按要求填报商务报价资料，对招标开展造成较大影响；</w:t>
      </w:r>
    </w:p>
    <w:p>
      <w:pPr>
        <w:pStyle w:val="80"/>
        <w:numPr>
          <w:ilvl w:val="1"/>
          <w:numId w:val="29"/>
        </w:numPr>
        <w:adjustRightInd w:val="0"/>
        <w:snapToGrid w:val="0"/>
        <w:rPr>
          <w:rFonts w:hAnsi="宋体"/>
          <w:sz w:val="24"/>
          <w:szCs w:val="24"/>
        </w:rPr>
      </w:pPr>
      <w:r>
        <w:rPr>
          <w:rFonts w:hint="eastAsia" w:hAnsi="宋体"/>
          <w:sz w:val="24"/>
          <w:szCs w:val="24"/>
        </w:rPr>
        <w:t>未按照招标人规定的时间内在中国重汽e采通完成投标的；</w:t>
      </w:r>
    </w:p>
    <w:p>
      <w:pPr>
        <w:pStyle w:val="80"/>
        <w:numPr>
          <w:ilvl w:val="1"/>
          <w:numId w:val="29"/>
        </w:numPr>
        <w:adjustRightInd w:val="0"/>
        <w:snapToGrid w:val="0"/>
        <w:rPr>
          <w:rFonts w:hAnsi="宋体"/>
          <w:sz w:val="24"/>
          <w:szCs w:val="24"/>
        </w:rPr>
      </w:pPr>
      <w:r>
        <w:rPr>
          <w:rFonts w:hint="eastAsia" w:hAnsi="宋体"/>
          <w:sz w:val="24"/>
          <w:szCs w:val="24"/>
        </w:rPr>
        <w:t>法律、法规规定的其他情况。</w:t>
      </w:r>
    </w:p>
    <w:p>
      <w:pPr>
        <w:pStyle w:val="76"/>
        <w:numPr>
          <w:ilvl w:val="0"/>
          <w:numId w:val="28"/>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6"/>
      <w:bookmarkStart w:id="7" w:name="OLE_LINK27"/>
      <w:bookmarkStart w:id="8" w:name="OLE_LINK28"/>
      <w:bookmarkStart w:id="9" w:name="OLE_LINK25"/>
      <w:bookmarkStart w:id="10" w:name="OLE_LINK29"/>
      <w:r>
        <w:rPr>
          <w:rFonts w:hint="eastAsia" w:ascii="宋体" w:hAnsi="宋体" w:cs="宋体"/>
          <w:sz w:val="24"/>
          <w:szCs w:val="24"/>
        </w:rPr>
        <w:t>；</w:t>
      </w:r>
      <w:bookmarkEnd w:id="6"/>
      <w:bookmarkEnd w:id="7"/>
      <w:bookmarkEnd w:id="8"/>
      <w:bookmarkEnd w:id="9"/>
      <w:bookmarkEnd w:id="10"/>
    </w:p>
    <w:p>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pPr>
        <w:pStyle w:val="76"/>
        <w:numPr>
          <w:ilvl w:val="0"/>
          <w:numId w:val="30"/>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pPr>
        <w:numPr>
          <w:ilvl w:val="0"/>
          <w:numId w:val="31"/>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pPr>
        <w:numPr>
          <w:ilvl w:val="0"/>
          <w:numId w:val="31"/>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pPr>
        <w:numPr>
          <w:ilvl w:val="0"/>
          <w:numId w:val="31"/>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pPr>
        <w:numPr>
          <w:ilvl w:val="0"/>
          <w:numId w:val="31"/>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pPr>
        <w:numPr>
          <w:ilvl w:val="0"/>
          <w:numId w:val="31"/>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pPr>
        <w:numPr>
          <w:ilvl w:val="0"/>
          <w:numId w:val="31"/>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pPr>
        <w:pStyle w:val="80"/>
        <w:numPr>
          <w:ilvl w:val="0"/>
          <w:numId w:val="32"/>
        </w:numPr>
        <w:adjustRightInd w:val="0"/>
        <w:snapToGrid w:val="0"/>
        <w:rPr>
          <w:rFonts w:hAnsi="宋体"/>
          <w:sz w:val="24"/>
          <w:szCs w:val="24"/>
        </w:rPr>
      </w:pPr>
      <w:r>
        <w:rPr>
          <w:rFonts w:hint="eastAsia" w:hAnsi="宋体"/>
          <w:sz w:val="24"/>
          <w:szCs w:val="24"/>
        </w:rPr>
        <w:t>付款方式</w:t>
      </w:r>
      <w:r>
        <w:rPr>
          <w:rFonts w:hint="eastAsia" w:ascii="宋体" w:hAnsi="宋体" w:eastAsia="宋体" w:cs="Times New Roman"/>
          <w:sz w:val="24"/>
          <w:szCs w:val="24"/>
        </w:rPr>
        <w:t>：</w:t>
      </w:r>
      <w:r>
        <w:rPr>
          <w:rFonts w:hint="eastAsia" w:hAnsi="宋体" w:cs="Times New Roman"/>
          <w:sz w:val="24"/>
          <w:szCs w:val="24"/>
          <w:lang w:val="en-US" w:eastAsia="zh-CN"/>
        </w:rPr>
        <w:t>银行转账</w:t>
      </w:r>
      <w:r>
        <w:rPr>
          <w:rFonts w:hint="eastAsia" w:ascii="宋体" w:hAnsi="宋体" w:eastAsia="宋体" w:cs="Times New Roman"/>
          <w:sz w:val="24"/>
          <w:szCs w:val="24"/>
        </w:rPr>
        <w:t>；</w:t>
      </w:r>
    </w:p>
    <w:p>
      <w:pPr>
        <w:pStyle w:val="80"/>
        <w:numPr>
          <w:ilvl w:val="0"/>
          <w:numId w:val="32"/>
        </w:numPr>
        <w:adjustRightInd w:val="0"/>
        <w:snapToGrid w:val="0"/>
        <w:rPr>
          <w:rFonts w:hint="eastAsia" w:ascii="宋体" w:hAnsi="宋体" w:eastAsia="宋体" w:cs="Times New Roman"/>
          <w:sz w:val="24"/>
          <w:szCs w:val="24"/>
        </w:rPr>
      </w:pPr>
      <w:r>
        <w:rPr>
          <w:rFonts w:hint="eastAsia" w:hAnsi="宋体"/>
          <w:sz w:val="24"/>
          <w:szCs w:val="24"/>
        </w:rPr>
        <w:t>付款节</w:t>
      </w:r>
      <w:r>
        <w:rPr>
          <w:rFonts w:hint="eastAsia" w:ascii="宋体" w:hAnsi="宋体" w:eastAsia="宋体" w:cs="Times New Roman"/>
          <w:sz w:val="24"/>
          <w:szCs w:val="24"/>
        </w:rPr>
        <w:t>点：</w:t>
      </w:r>
      <w:r>
        <w:rPr>
          <w:rFonts w:hint="eastAsia" w:hAnsi="宋体" w:cs="Times New Roman"/>
          <w:sz w:val="24"/>
          <w:szCs w:val="24"/>
          <w:lang w:val="en-US" w:eastAsia="zh-CN"/>
        </w:rPr>
        <w:t>按年度结算，中标</w:t>
      </w:r>
      <w:r>
        <w:rPr>
          <w:rFonts w:hint="eastAsia" w:ascii="宋体" w:hAnsi="宋体" w:eastAsia="宋体" w:cs="Times New Roman"/>
          <w:sz w:val="24"/>
          <w:szCs w:val="24"/>
          <w:lang w:val="en-US"/>
        </w:rPr>
        <w:t>方完成当年度所有防雷检测点的检测并出具报告，待二类检测点第二次检测完成并出具合格有效的检测报告后，开具</w:t>
      </w:r>
      <w:r>
        <w:rPr>
          <w:rFonts w:hint="eastAsia" w:hAnsi="宋体" w:cs="Times New Roman"/>
          <w:sz w:val="24"/>
          <w:szCs w:val="24"/>
          <w:lang w:val="en-US" w:eastAsia="zh-CN"/>
        </w:rPr>
        <w:t>有效</w:t>
      </w:r>
      <w:r>
        <w:rPr>
          <w:rFonts w:hint="eastAsia" w:ascii="宋体" w:hAnsi="宋体" w:eastAsia="宋体" w:cs="Times New Roman"/>
          <w:sz w:val="24"/>
          <w:szCs w:val="24"/>
          <w:lang w:val="en-US"/>
        </w:rPr>
        <w:t>增值税专用发票至</w:t>
      </w:r>
      <w:r>
        <w:rPr>
          <w:rFonts w:hint="eastAsia" w:hAnsi="宋体" w:cs="Times New Roman"/>
          <w:sz w:val="24"/>
          <w:szCs w:val="24"/>
          <w:lang w:val="en-US" w:eastAsia="zh-CN"/>
        </w:rPr>
        <w:t>招标人</w:t>
      </w:r>
      <w:r>
        <w:rPr>
          <w:rFonts w:hint="eastAsia" w:ascii="宋体" w:hAnsi="宋体" w:eastAsia="宋体" w:cs="Times New Roman"/>
          <w:sz w:val="24"/>
          <w:szCs w:val="24"/>
          <w:lang w:val="en-US"/>
        </w:rPr>
        <w:t>财务挂账，挂账</w:t>
      </w:r>
      <w:r>
        <w:rPr>
          <w:rFonts w:hint="eastAsia" w:hAnsi="宋体" w:cs="Times New Roman"/>
          <w:sz w:val="24"/>
          <w:szCs w:val="24"/>
          <w:lang w:val="en-US" w:eastAsia="zh-CN"/>
        </w:rPr>
        <w:t>后</w:t>
      </w:r>
      <w:r>
        <w:rPr>
          <w:rFonts w:hint="eastAsia" w:ascii="宋体" w:hAnsi="宋体" w:eastAsia="宋体" w:cs="Times New Roman"/>
          <w:sz w:val="24"/>
          <w:szCs w:val="24"/>
          <w:lang w:val="en-US"/>
        </w:rPr>
        <w:t>次月付款。</w:t>
      </w:r>
    </w:p>
    <w:p>
      <w:pPr>
        <w:pStyle w:val="80"/>
        <w:adjustRightInd w:val="0"/>
        <w:snapToGrid w:val="0"/>
        <w:rPr>
          <w:rFonts w:hAnsi="宋体"/>
          <w:b/>
          <w:bCs/>
          <w:sz w:val="24"/>
          <w:szCs w:val="24"/>
        </w:rPr>
      </w:pPr>
      <w:r>
        <w:rPr>
          <w:rFonts w:hint="eastAsia" w:hAnsi="宋体"/>
          <w:b/>
          <w:bCs/>
          <w:sz w:val="24"/>
          <w:szCs w:val="24"/>
        </w:rPr>
        <w:t>付款方式及节点不允许偏离。</w:t>
      </w:r>
    </w:p>
    <w:p>
      <w:pPr>
        <w:pStyle w:val="76"/>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1" w:name="_Toc47976607"/>
    </w:p>
    <w:p>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pPr>
        <w:pStyle w:val="75"/>
        <w:adjustRightInd w:val="0"/>
        <w:snapToGrid w:val="0"/>
        <w:outlineLvl w:val="9"/>
        <w:rPr>
          <w:rFonts w:ascii="宋体" w:hAnsi="宋体" w:eastAsia="宋体"/>
          <w:sz w:val="24"/>
          <w:szCs w:val="24"/>
          <w:highlight w:val="none"/>
        </w:rPr>
      </w:pPr>
      <w:r>
        <w:rPr>
          <w:rFonts w:hint="eastAsia" w:ascii="宋体" w:hAnsi="宋体" w:eastAsia="宋体"/>
          <w:sz w:val="24"/>
          <w:szCs w:val="24"/>
          <w:highlight w:val="none"/>
        </w:rPr>
        <w:t>第二部分　</w:t>
      </w:r>
      <w:bookmarkEnd w:id="11"/>
      <w:r>
        <w:rPr>
          <w:rFonts w:hint="eastAsia" w:ascii="宋体" w:hAnsi="宋体" w:eastAsia="宋体"/>
          <w:sz w:val="24"/>
          <w:szCs w:val="24"/>
          <w:highlight w:val="none"/>
        </w:rPr>
        <w:t>技术标书</w:t>
      </w:r>
      <w:bookmarkEnd w:id="12"/>
    </w:p>
    <w:p>
      <w:pPr>
        <w:adjustRightInd w:val="0"/>
        <w:snapToGrid w:val="0"/>
        <w:spacing w:line="360" w:lineRule="auto"/>
        <w:jc w:val="center"/>
        <w:rPr>
          <w:rFonts w:ascii="宋体" w:hAnsi="宋体"/>
          <w:sz w:val="24"/>
          <w:szCs w:val="24"/>
          <w:highlight w:val="none"/>
        </w:rPr>
      </w:pPr>
      <w:r>
        <w:rPr>
          <w:rFonts w:hint="eastAsia" w:ascii="宋体" w:hAnsi="宋体"/>
          <w:sz w:val="24"/>
          <w:szCs w:val="24"/>
          <w:highlight w:val="none"/>
          <w:lang w:val="en-US" w:eastAsia="zh-CN"/>
        </w:rPr>
        <w:t>2026年防雷检测项目</w:t>
      </w:r>
      <w:r>
        <w:rPr>
          <w:rFonts w:hint="eastAsia" w:ascii="宋体" w:hAnsi="宋体"/>
          <w:sz w:val="24"/>
          <w:szCs w:val="24"/>
          <w:highlight w:val="none"/>
        </w:rPr>
        <w:t>技术要求</w:t>
      </w:r>
    </w:p>
    <w:p>
      <w:pPr>
        <w:numPr>
          <w:ilvl w:val="0"/>
          <w:numId w:val="33"/>
        </w:numPr>
        <w:snapToGrid w:val="0"/>
        <w:spacing w:line="360" w:lineRule="auto"/>
        <w:rPr>
          <w:rFonts w:hint="eastAsia"/>
          <w:lang w:val="en-US" w:eastAsia="zh-CN"/>
        </w:rPr>
      </w:pPr>
      <w:r>
        <w:rPr>
          <w:rFonts w:hint="eastAsia" w:ascii="宋体" w:hAnsi="宋体" w:eastAsia="宋体" w:cs="仿宋"/>
          <w:b/>
          <w:sz w:val="24"/>
          <w:szCs w:val="24"/>
          <w:highlight w:val="none"/>
          <w:lang w:val="en-US" w:eastAsia="zh-CN"/>
        </w:rPr>
        <w:t>项目概述</w:t>
      </w:r>
    </w:p>
    <w:p>
      <w:pPr>
        <w:tabs>
          <w:tab w:val="left" w:pos="2010"/>
        </w:tabs>
        <w:spacing w:line="360" w:lineRule="auto"/>
        <w:ind w:firstLine="480" w:firstLineChars="200"/>
        <w:rPr>
          <w:rFonts w:hint="default" w:ascii="宋体" w:hAnsi="宋体" w:cs="Times New Roman"/>
          <w:color w:val="000000"/>
          <w:sz w:val="24"/>
          <w:szCs w:val="24"/>
          <w:lang w:val="en-US" w:eastAsia="zh-CN"/>
        </w:rPr>
      </w:pPr>
      <w:r>
        <w:rPr>
          <w:rFonts w:hint="eastAsia" w:ascii="宋体" w:hAnsi="宋体" w:cs="Times New Roman"/>
          <w:color w:val="000000"/>
          <w:sz w:val="24"/>
          <w:szCs w:val="24"/>
          <w:lang w:val="en-US" w:eastAsia="zh-CN"/>
        </w:rPr>
        <w:t>本项目为重汽（重庆）轻型汽车有限公司（以下简称甲方）2026年防雷检测项目。检测公司（以下简称乙方）负责在合同签订后，根据中华人民共和国防雷减灾管理办法：防雷检测三类检测点必须每年一次，二类检测点必须每半年一次，在合同期内完成本公司提供防雷检测点的检测工作。</w:t>
      </w:r>
    </w:p>
    <w:p>
      <w:pPr>
        <w:snapToGrid w:val="0"/>
        <w:spacing w:line="360" w:lineRule="auto"/>
        <w:rPr>
          <w:rFonts w:hint="eastAsia" w:ascii="宋体" w:hAnsi="宋体" w:cs="仿宋"/>
          <w:b/>
          <w:sz w:val="24"/>
          <w:szCs w:val="24"/>
          <w:highlight w:val="none"/>
          <w:lang w:val="en-US" w:eastAsia="zh-CN"/>
        </w:rPr>
      </w:pPr>
      <w:r>
        <w:rPr>
          <w:rFonts w:hint="eastAsia" w:ascii="宋体" w:hAnsi="宋体" w:cs="仿宋"/>
          <w:b/>
          <w:sz w:val="24"/>
          <w:szCs w:val="24"/>
          <w:highlight w:val="none"/>
          <w:lang w:val="en-US" w:eastAsia="zh-CN"/>
        </w:rPr>
        <w:t>二 、服务内容</w:t>
      </w:r>
    </w:p>
    <w:p>
      <w:pPr>
        <w:numPr>
          <w:ilvl w:val="0"/>
          <w:numId w:val="34"/>
        </w:numPr>
        <w:adjustRightInd w:val="0"/>
        <w:snapToGrid w:val="0"/>
        <w:spacing w:line="360" w:lineRule="auto"/>
        <w:ind w:left="-60" w:leftChars="0" w:firstLine="480" w:firstLineChars="0"/>
        <w:jc w:val="left"/>
        <w:rPr>
          <w:rFonts w:hint="default" w:ascii="宋体" w:hAnsi="宋体" w:cs="宋体"/>
          <w:bCs/>
          <w:sz w:val="24"/>
          <w:szCs w:val="24"/>
          <w:lang w:val="en-US" w:eastAsia="zh-CN"/>
        </w:rPr>
      </w:pPr>
      <w:r>
        <w:rPr>
          <w:rFonts w:hint="eastAsia" w:ascii="宋体" w:hAnsi="宋体" w:cs="宋体"/>
          <w:bCs/>
          <w:sz w:val="24"/>
          <w:szCs w:val="24"/>
          <w:lang w:val="en-US" w:eastAsia="zh-CN"/>
        </w:rPr>
        <w:t>服务具体内容</w:t>
      </w:r>
    </w:p>
    <w:p>
      <w:pPr>
        <w:tabs>
          <w:tab w:val="left" w:pos="2010"/>
        </w:tabs>
        <w:spacing w:line="360" w:lineRule="auto"/>
        <w:ind w:firstLine="480" w:firstLineChars="200"/>
        <w:rPr>
          <w:rFonts w:hint="eastAsia" w:ascii="宋体" w:hAnsi="宋体" w:eastAsia="仿宋"/>
          <w:sz w:val="24"/>
          <w:szCs w:val="24"/>
          <w:lang w:eastAsia="zh-CN"/>
        </w:rPr>
      </w:pPr>
      <w:r>
        <w:rPr>
          <w:rFonts w:hint="eastAsia" w:ascii="宋体" w:hAnsi="宋体"/>
          <w:color w:val="000000"/>
          <w:sz w:val="24"/>
          <w:szCs w:val="24"/>
        </w:rPr>
        <w:t>按照中华人民共和国防雷减灾管理办法，完成</w:t>
      </w:r>
      <w:r>
        <w:rPr>
          <w:rFonts w:hint="eastAsia" w:ascii="宋体" w:hAnsi="宋体"/>
          <w:sz w:val="24"/>
          <w:szCs w:val="24"/>
        </w:rPr>
        <w:t>“</w:t>
      </w:r>
      <w:r>
        <w:rPr>
          <w:rFonts w:hint="eastAsia" w:ascii="宋体" w:hAnsi="宋体"/>
          <w:sz w:val="24"/>
          <w:szCs w:val="24"/>
          <w:lang w:val="en-US" w:eastAsia="zh-CN"/>
        </w:rPr>
        <w:t>表1.</w:t>
      </w:r>
      <w:r>
        <w:rPr>
          <w:rFonts w:hint="eastAsia" w:ascii="宋体" w:hAnsi="宋体"/>
          <w:sz w:val="24"/>
          <w:szCs w:val="24"/>
        </w:rPr>
        <w:t>202</w:t>
      </w:r>
      <w:r>
        <w:rPr>
          <w:rFonts w:hint="eastAsia" w:ascii="宋体" w:hAnsi="宋体"/>
          <w:sz w:val="24"/>
          <w:szCs w:val="24"/>
          <w:lang w:val="en-US" w:eastAsia="zh-CN"/>
        </w:rPr>
        <w:t>6</w:t>
      </w:r>
      <w:r>
        <w:rPr>
          <w:rFonts w:hint="eastAsia" w:ascii="宋体" w:hAnsi="宋体"/>
          <w:sz w:val="24"/>
          <w:szCs w:val="24"/>
        </w:rPr>
        <w:t>年防雷检测</w:t>
      </w:r>
      <w:r>
        <w:rPr>
          <w:rFonts w:hint="eastAsia" w:ascii="宋体" w:hAnsi="宋体"/>
          <w:sz w:val="24"/>
          <w:szCs w:val="24"/>
          <w:lang w:val="en-US" w:eastAsia="zh-CN"/>
        </w:rPr>
        <w:t>点</w:t>
      </w:r>
      <w:r>
        <w:rPr>
          <w:rFonts w:hint="eastAsia" w:ascii="宋体" w:hAnsi="宋体"/>
          <w:sz w:val="24"/>
          <w:szCs w:val="24"/>
        </w:rPr>
        <w:t>”中列出的所有检测点的防雷检测</w:t>
      </w:r>
      <w:r>
        <w:rPr>
          <w:rFonts w:hint="eastAsia" w:ascii="宋体" w:hAnsi="宋体"/>
          <w:sz w:val="24"/>
          <w:szCs w:val="24"/>
          <w:lang w:eastAsia="zh-CN"/>
        </w:rPr>
        <w:t>。</w:t>
      </w:r>
    </w:p>
    <w:p>
      <w:pPr>
        <w:tabs>
          <w:tab w:val="left" w:pos="2010"/>
        </w:tabs>
        <w:spacing w:line="360" w:lineRule="auto"/>
        <w:ind w:firstLine="480" w:firstLineChars="200"/>
        <w:jc w:val="center"/>
        <w:rPr>
          <w:rFonts w:hint="eastAsia" w:ascii="宋体" w:hAnsi="宋体" w:eastAsia="仿宋"/>
          <w:sz w:val="24"/>
          <w:szCs w:val="24"/>
          <w:lang w:val="en-US" w:eastAsia="zh-CN"/>
        </w:rPr>
      </w:pPr>
      <w:r>
        <w:rPr>
          <w:rFonts w:hint="eastAsia" w:ascii="宋体" w:hAnsi="宋体"/>
          <w:sz w:val="24"/>
          <w:szCs w:val="24"/>
          <w:lang w:val="en-US" w:eastAsia="zh-CN"/>
        </w:rPr>
        <w:t>表1.</w:t>
      </w:r>
      <w:r>
        <w:rPr>
          <w:rFonts w:hint="eastAsia" w:ascii="宋体" w:hAnsi="宋体"/>
          <w:sz w:val="24"/>
          <w:szCs w:val="24"/>
        </w:rPr>
        <w:t>202</w:t>
      </w:r>
      <w:r>
        <w:rPr>
          <w:rFonts w:hint="eastAsia" w:ascii="宋体" w:hAnsi="宋体"/>
          <w:sz w:val="24"/>
          <w:szCs w:val="24"/>
          <w:lang w:val="en-US" w:eastAsia="zh-CN"/>
        </w:rPr>
        <w:t>6</w:t>
      </w:r>
      <w:r>
        <w:rPr>
          <w:rFonts w:hint="eastAsia" w:ascii="宋体" w:hAnsi="宋体"/>
          <w:sz w:val="24"/>
          <w:szCs w:val="24"/>
        </w:rPr>
        <w:t>年防雷检测</w:t>
      </w:r>
      <w:r>
        <w:rPr>
          <w:rFonts w:hint="eastAsia" w:ascii="宋体" w:hAnsi="宋体"/>
          <w:sz w:val="24"/>
          <w:szCs w:val="24"/>
          <w:lang w:val="en-US" w:eastAsia="zh-CN"/>
        </w:rPr>
        <w:t>点</w:t>
      </w:r>
    </w:p>
    <w:tbl>
      <w:tblPr>
        <w:tblStyle w:val="33"/>
        <w:tblW w:w="8406"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41"/>
        <w:gridCol w:w="1725"/>
        <w:gridCol w:w="1245"/>
        <w:gridCol w:w="765"/>
        <w:gridCol w:w="1200"/>
        <w:gridCol w:w="1380"/>
        <w:gridCol w:w="135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4"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序号</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建筑物名称</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检测项目</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单位</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检测数量</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检测次数</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检测类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1</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总装车间检测点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14</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2</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底盘一线</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3</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底盘二线</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4</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仪表台分装线</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5</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内饰二线</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6</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内饰一线</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7</w:t>
            </w:r>
          </w:p>
        </w:tc>
        <w:tc>
          <w:tcPr>
            <w:tcW w:w="1725" w:type="dxa"/>
            <w:tcBorders>
              <w:top w:val="nil"/>
              <w:left w:val="nil"/>
              <w:bottom w:val="nil"/>
              <w:right w:val="nil"/>
            </w:tcBorders>
            <w:shd w:val="clear" w:color="auto" w:fill="auto"/>
            <w:noWrap/>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装配流水线</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8</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加油机</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9</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加注机</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4</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010"/>
              </w:tabs>
              <w:spacing w:line="36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冲压分厂检测点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罩棚检测点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C办公区检测点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冲压流水线</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焊装分厂检测点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烟囱</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流水线</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17</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配送中心检测点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配送中心扶梯检测点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职工餐厅检测点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空压站检测点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21</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配电柜</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22</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接地排</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23</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1#冷干机</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24</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2#冷干机</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25</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3#冷干机</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26</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4#冷干机</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1#空压机</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28</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2#空压机</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29</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3#空压机</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4#空压机</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31</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制冷站检测点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接地排</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33</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配电柜</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锅炉房检测点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35</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放散管</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36</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 xml:space="preserve">配电 </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37</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1#锅炉</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38</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2#锅炉</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39</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3#锅炉</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40</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消防水泵房检测点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41</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配电柜</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42</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控制柜</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43</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110站避雷针</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44</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控制室检测点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45</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变压器接地点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46</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电容器接地点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3</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47</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GIS设备</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48</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试制车间检测点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6</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49</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配电柜</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50</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倒班楼检测点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51</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危废库检查点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52</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烟囱</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53</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尾气检测室检查点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54</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控制柜</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55</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等电位接地排</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56</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罩棚检查点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57</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发车中心罩棚钢柱</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58</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发车中心检查点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59</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发车中心罩棚检查点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60</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发车中心新厂房检查点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61</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涂装-焊装连廊检查点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62</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涂装分厂检查点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7</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63</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除尘设备</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64</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烟囱</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65</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涂装流水线</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6</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66</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污水站配电室</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67</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污水站加药间</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68</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配送中心KD库房</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6"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合计</w:t>
            </w:r>
          </w:p>
        </w:tc>
        <w:tc>
          <w:tcPr>
            <w:tcW w:w="373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182</w:t>
            </w:r>
          </w:p>
        </w:tc>
        <w:tc>
          <w:tcPr>
            <w:tcW w:w="273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集中供油泵检查点</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防冻液供液泵</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3</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发电机油供液泵</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4</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汽油供液泵</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变速箱油供液泵</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6</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管道</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9</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7</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法兰跨接</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8</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8</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机泵</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9</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卸油口</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3</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10</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 xml:space="preserve">等电位接地 </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11</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控制柜</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12</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变速箱油罐</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13</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汽油罐</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14</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柴油罐</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15</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发动机油罐</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16</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防冻液罐</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17</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呼吸阀</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18</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液位计</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19</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卸油口</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20</w:t>
            </w:r>
          </w:p>
        </w:tc>
        <w:tc>
          <w:tcPr>
            <w:tcW w:w="1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静电释放柱</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接地电阻</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点</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6"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合计</w:t>
            </w:r>
          </w:p>
        </w:tc>
        <w:tc>
          <w:tcPr>
            <w:tcW w:w="373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55</w:t>
            </w:r>
          </w:p>
        </w:tc>
        <w:tc>
          <w:tcPr>
            <w:tcW w:w="273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trPr>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总计</w:t>
            </w:r>
          </w:p>
        </w:tc>
        <w:tc>
          <w:tcPr>
            <w:tcW w:w="373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237</w:t>
            </w:r>
          </w:p>
        </w:tc>
        <w:tc>
          <w:tcPr>
            <w:tcW w:w="273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tabs>
                <w:tab w:val="left" w:pos="2010"/>
              </w:tabs>
              <w:kinsoku/>
              <w:wordWrap/>
              <w:overflowPunct/>
              <w:topLinePunct w:val="0"/>
              <w:autoSpaceDE/>
              <w:autoSpaceDN/>
              <w:bidi w:val="0"/>
              <w:adjustRightInd w:val="0"/>
              <w:snapToGrid w:val="0"/>
              <w:spacing w:before="0" w:beforeLines="0" w:after="0" w:afterLines="0" w:line="240" w:lineRule="auto"/>
              <w:jc w:val="center"/>
              <w:textAlignment w:val="center"/>
              <w:rPr>
                <w:rFonts w:hint="eastAsia" w:ascii="宋体" w:hAnsi="宋体" w:eastAsia="宋体" w:cs="宋体"/>
                <w:i w:val="0"/>
                <w:iCs w:val="0"/>
                <w:color w:val="000000"/>
                <w:kern w:val="0"/>
                <w:sz w:val="24"/>
                <w:szCs w:val="24"/>
                <w:u w:val="none"/>
                <w:lang w:val="en-US" w:eastAsia="zh-CN" w:bidi="ar"/>
              </w:rPr>
            </w:pPr>
          </w:p>
        </w:tc>
      </w:tr>
    </w:tbl>
    <w:p>
      <w:pPr>
        <w:numPr>
          <w:ilvl w:val="0"/>
          <w:numId w:val="0"/>
        </w:numPr>
        <w:adjustRightInd w:val="0"/>
        <w:snapToGrid w:val="0"/>
        <w:spacing w:line="360" w:lineRule="auto"/>
        <w:ind w:leftChars="200"/>
        <w:jc w:val="left"/>
        <w:rPr>
          <w:rFonts w:hint="eastAsia" w:ascii="宋体" w:hAnsi="宋体" w:cs="宋体"/>
          <w:bCs/>
          <w:sz w:val="24"/>
          <w:szCs w:val="24"/>
          <w:lang w:val="en-US" w:eastAsia="zh-CN"/>
        </w:rPr>
      </w:pPr>
      <w:r>
        <w:rPr>
          <w:rFonts w:hint="eastAsia" w:ascii="宋体" w:hAnsi="宋体" w:cs="宋体"/>
          <w:bCs/>
          <w:sz w:val="24"/>
          <w:szCs w:val="24"/>
          <w:lang w:val="en-US" w:eastAsia="zh-CN"/>
        </w:rPr>
        <w:t>2.资质要求</w:t>
      </w:r>
    </w:p>
    <w:p>
      <w:pPr>
        <w:numPr>
          <w:ilvl w:val="0"/>
          <w:numId w:val="0"/>
        </w:numPr>
        <w:adjustRightInd w:val="0"/>
        <w:snapToGrid w:val="0"/>
        <w:spacing w:line="360" w:lineRule="auto"/>
        <w:ind w:leftChars="200"/>
        <w:jc w:val="left"/>
        <w:rPr>
          <w:rFonts w:hint="eastAsia" w:ascii="宋体" w:hAnsi="宋体" w:cs="宋体"/>
          <w:bCs/>
          <w:sz w:val="24"/>
          <w:szCs w:val="24"/>
          <w:lang w:val="en-US" w:eastAsia="zh-CN"/>
        </w:rPr>
      </w:pPr>
      <w:r>
        <w:rPr>
          <w:rFonts w:hint="eastAsia" w:ascii="宋体" w:hAnsi="宋体" w:cs="宋体"/>
          <w:bCs/>
          <w:sz w:val="24"/>
          <w:szCs w:val="24"/>
          <w:lang w:val="en-US" w:eastAsia="zh-CN"/>
        </w:rPr>
        <w:t>必须具备雷电防护装置检测能力的人员，其中具有高级技术职称的不少于一名，具有中级技术职称的不少于两名，技术负责人应当具有高级技术职称，从事雷电防护装置检测工作四年以上。公司近三年内开展的雷电防护装置检测项目不少于二十个，且未因检测质量问题引发事故；雷电防护装置检测项目通过省、自治区、直辖市气象主管机构组织的质量考核合格率达百分之九十以上。</w:t>
      </w:r>
    </w:p>
    <w:p>
      <w:pPr>
        <w:snapToGrid w:val="0"/>
        <w:spacing w:line="360" w:lineRule="auto"/>
        <w:rPr>
          <w:rFonts w:hint="default" w:ascii="宋体" w:hAnsi="宋体" w:cs="仿宋"/>
          <w:b/>
          <w:sz w:val="24"/>
          <w:szCs w:val="24"/>
          <w:highlight w:val="none"/>
          <w:lang w:val="en-US" w:eastAsia="zh-CN"/>
        </w:rPr>
      </w:pPr>
      <w:r>
        <w:rPr>
          <w:rFonts w:hint="eastAsia" w:ascii="宋体" w:hAnsi="宋体" w:cs="仿宋"/>
          <w:b/>
          <w:sz w:val="24"/>
          <w:szCs w:val="24"/>
          <w:highlight w:val="none"/>
          <w:lang w:val="en-US" w:eastAsia="zh-CN"/>
        </w:rPr>
        <w:t>三、服务时间及承诺</w:t>
      </w:r>
    </w:p>
    <w:p>
      <w:pPr>
        <w:numPr>
          <w:ilvl w:val="0"/>
          <w:numId w:val="0"/>
        </w:numPr>
        <w:adjustRightInd w:val="0"/>
        <w:snapToGrid w:val="0"/>
        <w:spacing w:line="360" w:lineRule="auto"/>
        <w:ind w:left="420" w:leftChars="0"/>
        <w:jc w:val="left"/>
        <w:rPr>
          <w:rFonts w:hint="default" w:ascii="宋体" w:hAnsi="宋体" w:cs="宋体"/>
          <w:bCs/>
          <w:sz w:val="24"/>
          <w:szCs w:val="24"/>
          <w:lang w:val="en-US" w:eastAsia="zh-CN"/>
        </w:rPr>
      </w:pPr>
      <w:r>
        <w:rPr>
          <w:rFonts w:hint="eastAsia" w:ascii="宋体" w:hAnsi="宋体" w:cs="宋体"/>
          <w:bCs/>
          <w:sz w:val="24"/>
          <w:szCs w:val="24"/>
          <w:lang w:val="en-US" w:eastAsia="zh-CN"/>
        </w:rPr>
        <w:t>1.服务具体内容</w:t>
      </w:r>
    </w:p>
    <w:p>
      <w:pPr>
        <w:numPr>
          <w:ilvl w:val="0"/>
          <w:numId w:val="0"/>
        </w:numPr>
        <w:adjustRightInd w:val="0"/>
        <w:snapToGrid w:val="0"/>
        <w:spacing w:line="360" w:lineRule="auto"/>
        <w:ind w:leftChars="200"/>
        <w:jc w:val="left"/>
        <w:rPr>
          <w:rFonts w:hint="eastAsia" w:ascii="宋体" w:hAnsi="宋体" w:cs="宋体"/>
          <w:bCs/>
          <w:sz w:val="24"/>
          <w:szCs w:val="24"/>
          <w:lang w:val="en-US" w:eastAsia="zh-CN"/>
        </w:rPr>
      </w:pPr>
      <w:r>
        <w:rPr>
          <w:rFonts w:hint="eastAsia" w:ascii="宋体" w:hAnsi="宋体" w:cs="宋体"/>
          <w:bCs/>
          <w:sz w:val="24"/>
          <w:szCs w:val="24"/>
          <w:lang w:val="en-US" w:eastAsia="zh-CN"/>
        </w:rPr>
        <w:t>合同签订后，具体检测时间由甲方生产安排确定，以甲方通知为准。</w:t>
      </w:r>
    </w:p>
    <w:p>
      <w:pPr>
        <w:numPr>
          <w:ilvl w:val="0"/>
          <w:numId w:val="0"/>
        </w:numPr>
        <w:adjustRightInd w:val="0"/>
        <w:snapToGrid w:val="0"/>
        <w:spacing w:line="360" w:lineRule="auto"/>
        <w:ind w:leftChars="200"/>
        <w:jc w:val="left"/>
        <w:rPr>
          <w:rFonts w:hint="eastAsia" w:ascii="宋体" w:hAnsi="宋体" w:cs="宋体"/>
          <w:bCs/>
          <w:sz w:val="24"/>
          <w:szCs w:val="24"/>
          <w:lang w:val="en-US" w:eastAsia="zh-CN"/>
        </w:rPr>
      </w:pPr>
      <w:r>
        <w:rPr>
          <w:rFonts w:hint="eastAsia" w:ascii="宋体" w:hAnsi="宋体" w:cs="宋体"/>
          <w:bCs/>
          <w:sz w:val="24"/>
          <w:szCs w:val="24"/>
          <w:lang w:val="en-US" w:eastAsia="zh-CN"/>
        </w:rPr>
        <w:t>2.服务承诺</w:t>
      </w:r>
    </w:p>
    <w:p>
      <w:pPr>
        <w:numPr>
          <w:ilvl w:val="0"/>
          <w:numId w:val="0"/>
        </w:numPr>
        <w:adjustRightInd w:val="0"/>
        <w:snapToGrid w:val="0"/>
        <w:spacing w:line="360" w:lineRule="auto"/>
        <w:ind w:leftChars="200"/>
        <w:jc w:val="left"/>
        <w:rPr>
          <w:rFonts w:hint="default"/>
          <w:lang w:val="en-US" w:eastAsia="zh-CN"/>
        </w:rPr>
      </w:pPr>
      <w:r>
        <w:rPr>
          <w:rFonts w:hint="eastAsia" w:ascii="宋体" w:hAnsi="宋体" w:cs="宋体"/>
          <w:bCs/>
          <w:sz w:val="24"/>
          <w:szCs w:val="24"/>
          <w:lang w:val="en-US" w:eastAsia="zh-CN"/>
        </w:rPr>
        <w:t>（1）</w:t>
      </w:r>
      <w:r>
        <w:rPr>
          <w:rFonts w:hint="default" w:ascii="宋体" w:hAnsi="宋体" w:cs="宋体"/>
          <w:bCs/>
          <w:sz w:val="24"/>
          <w:szCs w:val="24"/>
          <w:lang w:val="en-US" w:eastAsia="zh-CN"/>
        </w:rPr>
        <w:t>乙方受甲方委托负责甲方防雷检测二类及三类检测点检测服务，并</w:t>
      </w:r>
      <w:r>
        <w:rPr>
          <w:rFonts w:hint="eastAsia" w:ascii="宋体" w:hAnsi="宋体" w:cs="宋体"/>
          <w:bCs/>
          <w:sz w:val="24"/>
          <w:szCs w:val="24"/>
          <w:lang w:val="en-US" w:eastAsia="zh-CN"/>
        </w:rPr>
        <w:t>承诺</w:t>
      </w:r>
      <w:r>
        <w:rPr>
          <w:rFonts w:hint="default" w:ascii="宋体" w:hAnsi="宋体" w:cs="宋体"/>
          <w:bCs/>
          <w:sz w:val="24"/>
          <w:szCs w:val="24"/>
          <w:lang w:val="en-US" w:eastAsia="zh-CN"/>
        </w:rPr>
        <w:t>根据中华人民共和国防雷减灾管理办法：对防雷</w:t>
      </w:r>
      <w:r>
        <w:rPr>
          <w:rFonts w:hint="eastAsia" w:ascii="宋体" w:hAnsi="宋体" w:cs="宋体"/>
          <w:bCs/>
          <w:sz w:val="24"/>
          <w:szCs w:val="24"/>
          <w:lang w:val="en-US" w:eastAsia="zh-CN"/>
        </w:rPr>
        <w:t>检测</w:t>
      </w:r>
      <w:r>
        <w:rPr>
          <w:rFonts w:hint="default"/>
          <w:lang w:val="en-US" w:eastAsia="zh-CN"/>
        </w:rPr>
        <w:t>三类检测点进行每年一次检测，二类检测点进行每</w:t>
      </w:r>
      <w:r>
        <w:rPr>
          <w:rFonts w:hint="eastAsia"/>
          <w:lang w:val="en-US" w:eastAsia="zh-CN"/>
        </w:rPr>
        <w:t>半</w:t>
      </w:r>
      <w:r>
        <w:rPr>
          <w:rFonts w:hint="default"/>
          <w:lang w:val="en-US" w:eastAsia="zh-CN"/>
        </w:rPr>
        <w:t>年一次</w:t>
      </w:r>
      <w:r>
        <w:rPr>
          <w:rFonts w:hint="eastAsia"/>
          <w:lang w:val="en-US" w:eastAsia="zh-CN"/>
        </w:rPr>
        <w:t>检测</w:t>
      </w:r>
      <w:r>
        <w:rPr>
          <w:rFonts w:hint="default"/>
          <w:lang w:val="en-US" w:eastAsia="zh-CN"/>
        </w:rPr>
        <w:t>。乙方负责按国家行业标准和防雷检测点要求进行全面</w:t>
      </w:r>
      <w:r>
        <w:rPr>
          <w:rFonts w:hint="eastAsia"/>
          <w:lang w:val="en-US" w:eastAsia="zh-CN"/>
        </w:rPr>
        <w:t>、</w:t>
      </w:r>
      <w:r>
        <w:rPr>
          <w:rFonts w:hint="default"/>
          <w:lang w:val="en-US" w:eastAsia="zh-CN"/>
        </w:rPr>
        <w:t>规范、有计划的检测</w:t>
      </w:r>
      <w:r>
        <w:rPr>
          <w:rFonts w:hint="eastAsia"/>
          <w:lang w:val="en-US" w:eastAsia="zh-CN"/>
        </w:rPr>
        <w:t>服务</w:t>
      </w:r>
      <w:r>
        <w:rPr>
          <w:rFonts w:hint="default"/>
          <w:lang w:val="en-US" w:eastAsia="zh-CN"/>
        </w:rPr>
        <w:t>。</w:t>
      </w:r>
    </w:p>
    <w:p>
      <w:pPr>
        <w:numPr>
          <w:ilvl w:val="0"/>
          <w:numId w:val="0"/>
        </w:numPr>
        <w:adjustRightInd w:val="0"/>
        <w:snapToGrid w:val="0"/>
        <w:spacing w:line="360" w:lineRule="auto"/>
        <w:ind w:leftChars="200"/>
        <w:jc w:val="left"/>
        <w:rPr>
          <w:rFonts w:hint="default" w:ascii="宋体" w:hAnsi="宋体" w:cs="宋体"/>
          <w:bCs/>
          <w:sz w:val="24"/>
          <w:szCs w:val="24"/>
          <w:lang w:val="en-US" w:eastAsia="zh-CN"/>
        </w:rPr>
      </w:pPr>
      <w:r>
        <w:rPr>
          <w:rFonts w:hint="eastAsia" w:ascii="宋体" w:hAnsi="宋体" w:cs="宋体"/>
          <w:bCs/>
          <w:sz w:val="24"/>
          <w:szCs w:val="24"/>
          <w:lang w:val="en-US" w:eastAsia="zh-CN"/>
        </w:rPr>
        <w:t>（2）</w:t>
      </w:r>
      <w:r>
        <w:rPr>
          <w:rFonts w:hint="default" w:ascii="宋体" w:hAnsi="宋体" w:cs="宋体"/>
          <w:bCs/>
          <w:sz w:val="24"/>
          <w:szCs w:val="24"/>
          <w:lang w:val="en-US" w:eastAsia="zh-CN"/>
        </w:rPr>
        <w:t>乙方在完成甲方委托指定的检测点检测服务后必须出具相应的完整且符合甲方要求的检测报告。</w:t>
      </w:r>
    </w:p>
    <w:p>
      <w:pPr>
        <w:numPr>
          <w:ilvl w:val="0"/>
          <w:numId w:val="0"/>
        </w:numPr>
        <w:adjustRightInd w:val="0"/>
        <w:snapToGrid w:val="0"/>
        <w:spacing w:line="360" w:lineRule="auto"/>
        <w:ind w:leftChars="200"/>
        <w:jc w:val="left"/>
        <w:rPr>
          <w:rFonts w:hint="default" w:ascii="宋体" w:hAnsi="宋体" w:cs="宋体"/>
          <w:bCs/>
          <w:sz w:val="24"/>
          <w:szCs w:val="24"/>
          <w:lang w:val="en-US" w:eastAsia="zh-CN"/>
        </w:rPr>
      </w:pPr>
      <w:r>
        <w:rPr>
          <w:rFonts w:hint="eastAsia" w:ascii="宋体" w:hAnsi="宋体" w:cs="宋体"/>
          <w:bCs/>
          <w:sz w:val="24"/>
          <w:szCs w:val="24"/>
          <w:lang w:val="en-US" w:eastAsia="zh-CN"/>
        </w:rPr>
        <w:t>（3）</w:t>
      </w:r>
      <w:r>
        <w:rPr>
          <w:rFonts w:hint="default" w:ascii="宋体" w:hAnsi="宋体" w:cs="宋体"/>
          <w:bCs/>
          <w:sz w:val="24"/>
          <w:szCs w:val="24"/>
          <w:lang w:val="en-US" w:eastAsia="zh-CN"/>
        </w:rPr>
        <w:t>乙方</w:t>
      </w:r>
      <w:r>
        <w:rPr>
          <w:rFonts w:hint="eastAsia" w:ascii="宋体" w:hAnsi="宋体" w:cs="宋体"/>
          <w:bCs/>
          <w:sz w:val="24"/>
          <w:szCs w:val="24"/>
          <w:lang w:val="en-US" w:eastAsia="zh-CN"/>
        </w:rPr>
        <w:t>工</w:t>
      </w:r>
      <w:r>
        <w:rPr>
          <w:rFonts w:hint="default" w:ascii="宋体" w:hAnsi="宋体" w:cs="宋体"/>
          <w:bCs/>
          <w:sz w:val="24"/>
          <w:szCs w:val="24"/>
          <w:lang w:val="en-US" w:eastAsia="zh-CN"/>
        </w:rPr>
        <w:t>作人员必须服从</w:t>
      </w:r>
      <w:r>
        <w:rPr>
          <w:rFonts w:hint="eastAsia" w:ascii="宋体" w:hAnsi="宋体" w:cs="宋体"/>
          <w:bCs/>
          <w:sz w:val="24"/>
          <w:szCs w:val="24"/>
          <w:lang w:val="en-US" w:eastAsia="zh-CN"/>
        </w:rPr>
        <w:t>甲</w:t>
      </w:r>
      <w:r>
        <w:rPr>
          <w:rFonts w:hint="default" w:ascii="宋体" w:hAnsi="宋体" w:cs="宋体"/>
          <w:bCs/>
          <w:sz w:val="24"/>
          <w:szCs w:val="24"/>
          <w:lang w:val="en-US" w:eastAsia="zh-CN"/>
        </w:rPr>
        <w:t>方项目负责人的</w:t>
      </w:r>
      <w:r>
        <w:rPr>
          <w:rFonts w:hint="eastAsia" w:ascii="宋体" w:hAnsi="宋体" w:cs="宋体"/>
          <w:bCs/>
          <w:sz w:val="24"/>
          <w:szCs w:val="24"/>
          <w:lang w:val="en-US" w:eastAsia="zh-CN"/>
        </w:rPr>
        <w:t>安排</w:t>
      </w:r>
      <w:r>
        <w:rPr>
          <w:rFonts w:hint="default" w:ascii="宋体" w:hAnsi="宋体" w:cs="宋体"/>
          <w:bCs/>
          <w:sz w:val="24"/>
          <w:szCs w:val="24"/>
          <w:lang w:val="en-US" w:eastAsia="zh-CN"/>
        </w:rPr>
        <w:t>，</w:t>
      </w:r>
      <w:r>
        <w:rPr>
          <w:rFonts w:hint="eastAsia" w:ascii="宋体" w:hAnsi="宋体" w:cs="宋体"/>
          <w:bCs/>
          <w:sz w:val="24"/>
          <w:szCs w:val="24"/>
          <w:lang w:val="en-US" w:eastAsia="zh-CN"/>
        </w:rPr>
        <w:t>遵守甲方</w:t>
      </w:r>
      <w:r>
        <w:rPr>
          <w:rFonts w:hint="default" w:ascii="宋体" w:hAnsi="宋体" w:cs="宋体"/>
          <w:bCs/>
          <w:sz w:val="24"/>
          <w:szCs w:val="24"/>
          <w:lang w:val="en-US" w:eastAsia="zh-CN"/>
        </w:rPr>
        <w:t>的规章</w:t>
      </w:r>
      <w:r>
        <w:rPr>
          <w:rFonts w:hint="eastAsia" w:ascii="宋体" w:hAnsi="宋体" w:cs="宋体"/>
          <w:bCs/>
          <w:sz w:val="24"/>
          <w:szCs w:val="24"/>
          <w:lang w:val="en-US" w:eastAsia="zh-CN"/>
        </w:rPr>
        <w:t>制度</w:t>
      </w:r>
      <w:r>
        <w:rPr>
          <w:rFonts w:hint="default" w:ascii="宋体" w:hAnsi="宋体" w:cs="宋体"/>
          <w:bCs/>
          <w:sz w:val="24"/>
          <w:szCs w:val="24"/>
          <w:lang w:val="en-US" w:eastAsia="zh-CN"/>
        </w:rPr>
        <w:t>，</w:t>
      </w:r>
      <w:r>
        <w:rPr>
          <w:rFonts w:hint="eastAsia" w:ascii="宋体" w:hAnsi="宋体" w:cs="宋体"/>
          <w:bCs/>
          <w:sz w:val="24"/>
          <w:szCs w:val="24"/>
          <w:lang w:val="en-US" w:eastAsia="zh-CN"/>
        </w:rPr>
        <w:t>若发生违章等</w:t>
      </w:r>
      <w:r>
        <w:rPr>
          <w:rFonts w:hint="default" w:ascii="宋体" w:hAnsi="宋体" w:cs="宋体"/>
          <w:bCs/>
          <w:sz w:val="24"/>
          <w:szCs w:val="24"/>
          <w:lang w:val="en-US" w:eastAsia="zh-CN"/>
        </w:rPr>
        <w:t>行为时，按甲方的考核</w:t>
      </w:r>
      <w:r>
        <w:rPr>
          <w:rFonts w:hint="eastAsia" w:ascii="宋体" w:hAnsi="宋体" w:cs="宋体"/>
          <w:bCs/>
          <w:sz w:val="24"/>
          <w:szCs w:val="24"/>
          <w:lang w:val="en-US" w:eastAsia="zh-CN"/>
        </w:rPr>
        <w:t>管理</w:t>
      </w:r>
      <w:r>
        <w:rPr>
          <w:rFonts w:hint="default" w:ascii="宋体" w:hAnsi="宋体" w:cs="宋体"/>
          <w:bCs/>
          <w:sz w:val="24"/>
          <w:szCs w:val="24"/>
          <w:lang w:val="en-US" w:eastAsia="zh-CN"/>
        </w:rPr>
        <w:t>标准进行处罚。</w:t>
      </w:r>
    </w:p>
    <w:p>
      <w:pPr>
        <w:numPr>
          <w:ilvl w:val="0"/>
          <w:numId w:val="0"/>
        </w:numPr>
        <w:adjustRightInd w:val="0"/>
        <w:snapToGrid w:val="0"/>
        <w:spacing w:line="360" w:lineRule="auto"/>
        <w:ind w:leftChars="200"/>
        <w:jc w:val="left"/>
        <w:rPr>
          <w:rFonts w:hint="default" w:ascii="宋体" w:hAnsi="宋体" w:cs="宋体"/>
          <w:bCs/>
          <w:sz w:val="24"/>
          <w:szCs w:val="24"/>
          <w:lang w:val="en-US" w:eastAsia="zh-CN"/>
        </w:rPr>
      </w:pPr>
      <w:r>
        <w:rPr>
          <w:rFonts w:hint="eastAsia" w:ascii="宋体" w:hAnsi="宋体" w:cs="宋体"/>
          <w:bCs/>
          <w:sz w:val="24"/>
          <w:szCs w:val="24"/>
          <w:lang w:val="en-US" w:eastAsia="zh-CN"/>
        </w:rPr>
        <w:t>（4）</w:t>
      </w:r>
      <w:r>
        <w:rPr>
          <w:rFonts w:hint="default" w:ascii="宋体" w:hAnsi="宋体" w:cs="宋体"/>
          <w:bCs/>
          <w:sz w:val="24"/>
          <w:szCs w:val="24"/>
          <w:lang w:val="en-US" w:eastAsia="zh-CN"/>
        </w:rPr>
        <w:t>乙方必须按甲方要求进行检测作业，检测内容及项目与要求不符时，甲方有权终止合同。</w:t>
      </w:r>
    </w:p>
    <w:p>
      <w:pPr>
        <w:numPr>
          <w:ilvl w:val="0"/>
          <w:numId w:val="0"/>
        </w:numPr>
        <w:adjustRightInd w:val="0"/>
        <w:snapToGrid w:val="0"/>
        <w:spacing w:line="360" w:lineRule="auto"/>
        <w:ind w:leftChars="200"/>
        <w:jc w:val="left"/>
        <w:rPr>
          <w:rFonts w:hint="default" w:ascii="宋体" w:hAnsi="宋体" w:cs="宋体"/>
          <w:bCs/>
          <w:sz w:val="24"/>
          <w:szCs w:val="24"/>
          <w:lang w:val="en-US" w:eastAsia="zh-CN"/>
        </w:rPr>
      </w:pPr>
      <w:r>
        <w:rPr>
          <w:rFonts w:hint="eastAsia" w:ascii="宋体" w:hAnsi="宋体" w:cs="宋体"/>
          <w:bCs/>
          <w:sz w:val="24"/>
          <w:szCs w:val="24"/>
          <w:lang w:val="en-US" w:eastAsia="zh-CN"/>
        </w:rPr>
        <w:t>（5）</w:t>
      </w:r>
      <w:r>
        <w:rPr>
          <w:rFonts w:hint="default" w:ascii="宋体" w:hAnsi="宋体" w:cs="宋体"/>
          <w:bCs/>
          <w:sz w:val="24"/>
          <w:szCs w:val="24"/>
          <w:lang w:val="en-US" w:eastAsia="zh-CN"/>
        </w:rPr>
        <w:t>乙方承诺严格遵守国家关于保密和隐私</w:t>
      </w:r>
      <w:r>
        <w:rPr>
          <w:rFonts w:hint="eastAsia" w:ascii="宋体" w:hAnsi="宋体" w:cs="宋体"/>
          <w:bCs/>
          <w:sz w:val="24"/>
          <w:szCs w:val="24"/>
          <w:lang w:val="en-US" w:eastAsia="zh-CN"/>
        </w:rPr>
        <w:t>保护</w:t>
      </w:r>
      <w:r>
        <w:rPr>
          <w:rFonts w:hint="default" w:ascii="宋体" w:hAnsi="宋体" w:cs="宋体"/>
          <w:bCs/>
          <w:sz w:val="24"/>
          <w:szCs w:val="24"/>
          <w:lang w:val="en-US" w:eastAsia="zh-CN"/>
        </w:rPr>
        <w:t>等方面的</w:t>
      </w:r>
      <w:r>
        <w:rPr>
          <w:rFonts w:hint="eastAsia" w:ascii="宋体" w:hAnsi="宋体" w:cs="宋体"/>
          <w:bCs/>
          <w:sz w:val="24"/>
          <w:szCs w:val="24"/>
          <w:lang w:val="en-US" w:eastAsia="zh-CN"/>
        </w:rPr>
        <w:t>所有法律</w:t>
      </w:r>
      <w:r>
        <w:rPr>
          <w:rFonts w:hint="default" w:ascii="宋体" w:hAnsi="宋体" w:cs="宋体"/>
          <w:bCs/>
          <w:sz w:val="24"/>
          <w:szCs w:val="24"/>
          <w:lang w:val="en-US" w:eastAsia="zh-CN"/>
        </w:rPr>
        <w:t>法规，不</w:t>
      </w:r>
      <w:r>
        <w:rPr>
          <w:rFonts w:hint="eastAsia" w:ascii="宋体" w:hAnsi="宋体" w:cs="宋体"/>
          <w:bCs/>
          <w:sz w:val="24"/>
          <w:szCs w:val="24"/>
          <w:lang w:val="en-US" w:eastAsia="zh-CN"/>
        </w:rPr>
        <w:t>泄露</w:t>
      </w:r>
      <w:r>
        <w:rPr>
          <w:rFonts w:hint="default" w:ascii="宋体" w:hAnsi="宋体" w:cs="宋体"/>
          <w:bCs/>
          <w:sz w:val="24"/>
          <w:szCs w:val="24"/>
          <w:lang w:val="en-US" w:eastAsia="zh-CN"/>
        </w:rPr>
        <w:t>任何有关甲方客户资料和敏感信息。</w:t>
      </w:r>
    </w:p>
    <w:p>
      <w:pPr>
        <w:numPr>
          <w:ilvl w:val="0"/>
          <w:numId w:val="0"/>
        </w:numPr>
        <w:adjustRightInd w:val="0"/>
        <w:snapToGrid w:val="0"/>
        <w:spacing w:line="360" w:lineRule="auto"/>
        <w:ind w:left="420"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3.安全承诺</w:t>
      </w:r>
    </w:p>
    <w:p>
      <w:pPr>
        <w:numPr>
          <w:ilvl w:val="0"/>
          <w:numId w:val="0"/>
        </w:numPr>
        <w:adjustRightInd w:val="0"/>
        <w:snapToGrid w:val="0"/>
        <w:spacing w:line="360" w:lineRule="auto"/>
        <w:ind w:leftChars="200"/>
        <w:jc w:val="left"/>
        <w:rPr>
          <w:rFonts w:hint="default" w:ascii="宋体" w:hAnsi="宋体" w:cs="宋体"/>
          <w:bCs/>
          <w:sz w:val="24"/>
          <w:szCs w:val="24"/>
          <w:lang w:val="en-US" w:eastAsia="zh-CN"/>
        </w:rPr>
      </w:pPr>
      <w:r>
        <w:rPr>
          <w:rFonts w:hint="eastAsia" w:ascii="宋体" w:hAnsi="宋体" w:cs="宋体"/>
          <w:bCs/>
          <w:sz w:val="24"/>
          <w:szCs w:val="24"/>
          <w:lang w:val="en-US" w:eastAsia="zh-CN"/>
        </w:rPr>
        <w:t>（1）</w:t>
      </w:r>
      <w:r>
        <w:rPr>
          <w:rFonts w:hint="default" w:ascii="宋体" w:hAnsi="宋体" w:cs="宋体"/>
          <w:bCs/>
          <w:sz w:val="24"/>
          <w:szCs w:val="24"/>
          <w:lang w:val="en-US" w:eastAsia="zh-CN"/>
        </w:rPr>
        <w:t>乙方所派人员在服务期间发生的任何人身、财产损失均由乙方承担。</w:t>
      </w:r>
    </w:p>
    <w:p>
      <w:pPr>
        <w:numPr>
          <w:ilvl w:val="0"/>
          <w:numId w:val="0"/>
        </w:numPr>
        <w:adjustRightInd w:val="0"/>
        <w:snapToGrid w:val="0"/>
        <w:spacing w:line="360" w:lineRule="auto"/>
        <w:ind w:leftChars="200"/>
        <w:jc w:val="left"/>
        <w:rPr>
          <w:rFonts w:hint="default" w:ascii="宋体" w:hAnsi="宋体" w:cs="宋体"/>
          <w:bCs/>
          <w:sz w:val="24"/>
          <w:szCs w:val="24"/>
          <w:lang w:val="en-US" w:eastAsia="zh-CN"/>
        </w:rPr>
      </w:pPr>
      <w:r>
        <w:rPr>
          <w:rFonts w:hint="eastAsia" w:ascii="宋体" w:hAnsi="宋体" w:cs="宋体"/>
          <w:bCs/>
          <w:sz w:val="24"/>
          <w:szCs w:val="24"/>
          <w:lang w:val="en-US" w:eastAsia="zh-CN"/>
        </w:rPr>
        <w:t>（2）</w:t>
      </w:r>
      <w:r>
        <w:rPr>
          <w:rFonts w:hint="default" w:ascii="宋体" w:hAnsi="宋体" w:cs="宋体"/>
          <w:bCs/>
          <w:sz w:val="24"/>
          <w:szCs w:val="24"/>
          <w:lang w:val="en-US" w:eastAsia="zh-CN"/>
        </w:rPr>
        <w:t>乙方在现场施工</w:t>
      </w:r>
      <w:r>
        <w:rPr>
          <w:rFonts w:hint="eastAsia" w:ascii="宋体" w:hAnsi="宋体" w:cs="宋体"/>
          <w:bCs/>
          <w:sz w:val="24"/>
          <w:szCs w:val="24"/>
          <w:lang w:val="en-US" w:eastAsia="zh-CN"/>
        </w:rPr>
        <w:t>期间</w:t>
      </w:r>
      <w:r>
        <w:rPr>
          <w:rFonts w:hint="default" w:ascii="宋体" w:hAnsi="宋体" w:cs="宋体"/>
          <w:bCs/>
          <w:sz w:val="24"/>
          <w:szCs w:val="24"/>
          <w:lang w:val="en-US" w:eastAsia="zh-CN"/>
        </w:rPr>
        <w:t>堆放的材料须有序摆放，不能影响通道通行或阻挡设备及设施。</w:t>
      </w:r>
    </w:p>
    <w:p>
      <w:pPr>
        <w:numPr>
          <w:ilvl w:val="0"/>
          <w:numId w:val="0"/>
        </w:numPr>
        <w:adjustRightInd w:val="0"/>
        <w:snapToGrid w:val="0"/>
        <w:spacing w:line="360" w:lineRule="auto"/>
        <w:ind w:leftChars="200"/>
        <w:jc w:val="left"/>
        <w:rPr>
          <w:rFonts w:hint="default" w:ascii="宋体" w:hAnsi="宋体" w:cs="宋体"/>
          <w:bCs/>
          <w:sz w:val="24"/>
          <w:szCs w:val="24"/>
          <w:lang w:val="en-US" w:eastAsia="zh-CN"/>
        </w:rPr>
      </w:pPr>
      <w:r>
        <w:rPr>
          <w:rFonts w:hint="eastAsia" w:ascii="宋体" w:hAnsi="宋体" w:cs="宋体"/>
          <w:bCs/>
          <w:sz w:val="24"/>
          <w:szCs w:val="24"/>
          <w:lang w:val="en-US" w:eastAsia="zh-CN"/>
        </w:rPr>
        <w:t>（3）</w:t>
      </w:r>
      <w:r>
        <w:rPr>
          <w:rFonts w:hint="default" w:ascii="宋体" w:hAnsi="宋体" w:cs="宋体"/>
          <w:bCs/>
          <w:sz w:val="24"/>
          <w:szCs w:val="24"/>
          <w:lang w:val="en-US" w:eastAsia="zh-CN"/>
        </w:rPr>
        <w:t>乙方在检测服务</w:t>
      </w:r>
      <w:r>
        <w:rPr>
          <w:rFonts w:hint="eastAsia" w:ascii="宋体" w:hAnsi="宋体" w:cs="宋体"/>
          <w:bCs/>
          <w:sz w:val="24"/>
          <w:szCs w:val="24"/>
          <w:lang w:val="en-US" w:eastAsia="zh-CN"/>
        </w:rPr>
        <w:t>期间</w:t>
      </w:r>
      <w:r>
        <w:rPr>
          <w:rFonts w:hint="default" w:ascii="宋体" w:hAnsi="宋体" w:cs="宋体"/>
          <w:bCs/>
          <w:sz w:val="24"/>
          <w:szCs w:val="24"/>
          <w:lang w:val="en-US" w:eastAsia="zh-CN"/>
        </w:rPr>
        <w:t>使用的各类设备</w:t>
      </w:r>
      <w:r>
        <w:rPr>
          <w:rFonts w:hint="eastAsia" w:ascii="宋体" w:hAnsi="宋体" w:cs="宋体"/>
          <w:bCs/>
          <w:sz w:val="24"/>
          <w:szCs w:val="24"/>
          <w:lang w:val="en-US" w:eastAsia="zh-CN"/>
        </w:rPr>
        <w:t>、</w:t>
      </w:r>
      <w:r>
        <w:rPr>
          <w:rFonts w:hint="default" w:ascii="宋体" w:hAnsi="宋体" w:cs="宋体"/>
          <w:bCs/>
          <w:sz w:val="24"/>
          <w:szCs w:val="24"/>
          <w:lang w:val="en-US" w:eastAsia="zh-CN"/>
        </w:rPr>
        <w:t>工具由乙方提供，检测作业时必须设置现场安全警示标志。</w:t>
      </w:r>
    </w:p>
    <w:p>
      <w:pPr>
        <w:numPr>
          <w:ilvl w:val="0"/>
          <w:numId w:val="0"/>
        </w:numPr>
        <w:adjustRightInd w:val="0"/>
        <w:snapToGrid w:val="0"/>
        <w:spacing w:line="360" w:lineRule="auto"/>
        <w:ind w:leftChars="200"/>
        <w:jc w:val="left"/>
        <w:rPr>
          <w:rFonts w:hint="default" w:ascii="宋体" w:hAnsi="宋体" w:cs="宋体"/>
          <w:bCs/>
          <w:sz w:val="24"/>
          <w:szCs w:val="24"/>
          <w:lang w:val="en-US" w:eastAsia="zh-CN"/>
        </w:rPr>
      </w:pPr>
      <w:r>
        <w:rPr>
          <w:rFonts w:hint="eastAsia" w:ascii="宋体" w:hAnsi="宋体" w:cs="宋体"/>
          <w:bCs/>
          <w:sz w:val="24"/>
          <w:szCs w:val="24"/>
          <w:lang w:val="en-US" w:eastAsia="zh-CN"/>
        </w:rPr>
        <w:t>（4）</w:t>
      </w:r>
      <w:r>
        <w:rPr>
          <w:rFonts w:hint="default" w:ascii="宋体" w:hAnsi="宋体" w:cs="宋体"/>
          <w:bCs/>
          <w:sz w:val="24"/>
          <w:szCs w:val="24"/>
          <w:lang w:val="en-US" w:eastAsia="zh-CN"/>
        </w:rPr>
        <w:t>乙方检测技术人员在检测期间的</w:t>
      </w:r>
      <w:r>
        <w:rPr>
          <w:rFonts w:hint="eastAsia" w:ascii="宋体" w:hAnsi="宋体" w:cs="宋体"/>
          <w:bCs/>
          <w:sz w:val="24"/>
          <w:szCs w:val="24"/>
          <w:lang w:val="en-US" w:eastAsia="zh-CN"/>
        </w:rPr>
        <w:t>安</w:t>
      </w:r>
      <w:r>
        <w:rPr>
          <w:rFonts w:hint="default" w:ascii="宋体" w:hAnsi="宋体" w:cs="宋体"/>
          <w:bCs/>
          <w:sz w:val="24"/>
          <w:szCs w:val="24"/>
          <w:lang w:val="en-US" w:eastAsia="zh-CN"/>
        </w:rPr>
        <w:t>全责任由乙方全权负责，甲方不承担责任。</w:t>
      </w:r>
    </w:p>
    <w:p>
      <w:pPr>
        <w:numPr>
          <w:ilvl w:val="0"/>
          <w:numId w:val="0"/>
        </w:numPr>
        <w:adjustRightInd w:val="0"/>
        <w:snapToGrid w:val="0"/>
        <w:spacing w:line="360" w:lineRule="auto"/>
        <w:ind w:leftChars="200"/>
        <w:jc w:val="left"/>
        <w:rPr>
          <w:rFonts w:hint="default" w:ascii="宋体" w:hAnsi="宋体" w:cs="宋体"/>
          <w:bCs/>
          <w:sz w:val="24"/>
          <w:szCs w:val="24"/>
          <w:lang w:val="en-US" w:eastAsia="zh-CN"/>
        </w:rPr>
      </w:pPr>
      <w:r>
        <w:rPr>
          <w:rFonts w:hint="eastAsia" w:ascii="宋体" w:hAnsi="宋体" w:cs="宋体"/>
          <w:bCs/>
          <w:sz w:val="24"/>
          <w:szCs w:val="24"/>
          <w:lang w:val="en-US" w:eastAsia="zh-CN"/>
        </w:rPr>
        <w:t>（5）</w:t>
      </w:r>
      <w:r>
        <w:rPr>
          <w:rFonts w:hint="default" w:ascii="宋体" w:hAnsi="宋体" w:cs="宋体"/>
          <w:bCs/>
          <w:sz w:val="24"/>
          <w:szCs w:val="24"/>
          <w:lang w:val="en-US" w:eastAsia="zh-CN"/>
        </w:rPr>
        <w:t>乙方</w:t>
      </w:r>
      <w:r>
        <w:rPr>
          <w:rFonts w:hint="eastAsia" w:ascii="宋体" w:hAnsi="宋体" w:cs="宋体"/>
          <w:bCs/>
          <w:sz w:val="24"/>
          <w:szCs w:val="24"/>
          <w:lang w:val="en-US" w:eastAsia="zh-CN"/>
        </w:rPr>
        <w:t>派遣</w:t>
      </w:r>
      <w:r>
        <w:rPr>
          <w:rFonts w:hint="default" w:ascii="宋体" w:hAnsi="宋体" w:cs="宋体"/>
          <w:bCs/>
          <w:sz w:val="24"/>
          <w:szCs w:val="24"/>
          <w:lang w:val="en-US" w:eastAsia="zh-CN"/>
        </w:rPr>
        <w:t>人员为乙方正式员工，乙方应当向甲方提供加盖乙方印章的</w:t>
      </w:r>
      <w:r>
        <w:rPr>
          <w:rFonts w:hint="eastAsia" w:ascii="宋体" w:hAnsi="宋体" w:cs="宋体"/>
          <w:bCs/>
          <w:sz w:val="24"/>
          <w:szCs w:val="24"/>
          <w:lang w:val="en-US" w:eastAsia="zh-CN"/>
        </w:rPr>
        <w:t>派遣</w:t>
      </w:r>
      <w:r>
        <w:rPr>
          <w:rFonts w:hint="default" w:ascii="宋体" w:hAnsi="宋体" w:cs="宋体"/>
          <w:bCs/>
          <w:sz w:val="24"/>
          <w:szCs w:val="24"/>
          <w:lang w:val="en-US" w:eastAsia="zh-CN"/>
        </w:rPr>
        <w:t>至甲方现场的工作人员名单（应当包括姓名</w:t>
      </w:r>
      <w:r>
        <w:rPr>
          <w:rFonts w:hint="eastAsia" w:ascii="宋体" w:hAnsi="宋体" w:cs="宋体"/>
          <w:bCs/>
          <w:sz w:val="24"/>
          <w:szCs w:val="24"/>
          <w:lang w:val="en-US" w:eastAsia="zh-CN"/>
        </w:rPr>
        <w:t>、</w:t>
      </w:r>
      <w:r>
        <w:rPr>
          <w:rFonts w:hint="default" w:ascii="宋体" w:hAnsi="宋体" w:cs="宋体"/>
          <w:bCs/>
          <w:sz w:val="24"/>
          <w:szCs w:val="24"/>
          <w:lang w:val="en-US" w:eastAsia="zh-CN"/>
        </w:rPr>
        <w:t>身份证</w:t>
      </w:r>
      <w:r>
        <w:rPr>
          <w:rFonts w:hint="eastAsia" w:ascii="宋体" w:hAnsi="宋体" w:cs="宋体"/>
          <w:bCs/>
          <w:sz w:val="24"/>
          <w:szCs w:val="24"/>
          <w:lang w:val="en-US" w:eastAsia="zh-CN"/>
        </w:rPr>
        <w:t>号</w:t>
      </w:r>
      <w:r>
        <w:rPr>
          <w:rFonts w:hint="default" w:ascii="宋体" w:hAnsi="宋体" w:cs="宋体"/>
          <w:bCs/>
          <w:sz w:val="24"/>
          <w:szCs w:val="24"/>
          <w:lang w:val="en-US" w:eastAsia="zh-CN"/>
        </w:rPr>
        <w:t>码</w:t>
      </w:r>
      <w:r>
        <w:rPr>
          <w:rFonts w:hint="eastAsia" w:ascii="宋体" w:hAnsi="宋体" w:cs="宋体"/>
          <w:bCs/>
          <w:sz w:val="24"/>
          <w:szCs w:val="24"/>
          <w:lang w:val="en-US" w:eastAsia="zh-CN"/>
        </w:rPr>
        <w:t>等</w:t>
      </w:r>
      <w:r>
        <w:rPr>
          <w:rFonts w:hint="default" w:ascii="宋体" w:hAnsi="宋体" w:cs="宋体"/>
          <w:bCs/>
          <w:sz w:val="24"/>
          <w:szCs w:val="24"/>
          <w:lang w:val="en-US" w:eastAsia="zh-CN"/>
        </w:rPr>
        <w:t>信息）。</w:t>
      </w:r>
    </w:p>
    <w:p>
      <w:pPr>
        <w:snapToGrid w:val="0"/>
        <w:spacing w:line="360" w:lineRule="auto"/>
        <w:rPr>
          <w:rFonts w:hint="eastAsia" w:ascii="宋体" w:hAnsi="宋体" w:cs="仿宋"/>
          <w:b/>
          <w:sz w:val="24"/>
          <w:szCs w:val="24"/>
          <w:highlight w:val="none"/>
          <w:lang w:val="en-US" w:eastAsia="zh-CN"/>
        </w:rPr>
      </w:pPr>
      <w:r>
        <w:rPr>
          <w:rFonts w:hint="eastAsia" w:ascii="宋体" w:hAnsi="宋体" w:cs="仿宋"/>
          <w:b/>
          <w:sz w:val="24"/>
          <w:szCs w:val="24"/>
          <w:highlight w:val="none"/>
          <w:lang w:val="en-US" w:eastAsia="zh-CN"/>
        </w:rPr>
        <w:t>四、甲乙双方责任</w:t>
      </w:r>
    </w:p>
    <w:p>
      <w:pPr>
        <w:numPr>
          <w:ilvl w:val="0"/>
          <w:numId w:val="0"/>
        </w:numPr>
        <w:adjustRightInd w:val="0"/>
        <w:snapToGrid w:val="0"/>
        <w:spacing w:line="360" w:lineRule="auto"/>
        <w:ind w:left="420"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1.乙方应以审慎区职的态度，严格按照按本合同及其附件规定的要求向甲方提供实施服务，同时应遵守国家法律、法规和甲方的规章制度和工作纪律。</w:t>
      </w:r>
    </w:p>
    <w:p>
      <w:pPr>
        <w:numPr>
          <w:ilvl w:val="0"/>
          <w:numId w:val="0"/>
        </w:numPr>
        <w:adjustRightInd w:val="0"/>
        <w:snapToGrid w:val="0"/>
        <w:spacing w:line="360" w:lineRule="auto"/>
        <w:ind w:left="420"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2.在乙方按照合同及其附件提供实施服务时，甲方应提供必要的服务条件。</w:t>
      </w:r>
    </w:p>
    <w:p>
      <w:pPr>
        <w:numPr>
          <w:ilvl w:val="0"/>
          <w:numId w:val="0"/>
        </w:numPr>
        <w:adjustRightInd w:val="0"/>
        <w:snapToGrid w:val="0"/>
        <w:spacing w:line="360" w:lineRule="auto"/>
        <w:ind w:left="420"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3.在按照合同及其附件提供实施服务时，双方应指派足够的，只备相应能力的人员（包括但不限于：管理人员、业务核心人员、技术人员）参与，且在整个项目服务期间，确保人员的稳定。</w:t>
      </w:r>
    </w:p>
    <w:p>
      <w:pPr>
        <w:snapToGrid w:val="0"/>
        <w:spacing w:line="360" w:lineRule="auto"/>
        <w:rPr>
          <w:rFonts w:hint="eastAsia" w:ascii="宋体" w:hAnsi="宋体" w:cs="仿宋"/>
          <w:b/>
          <w:sz w:val="24"/>
          <w:szCs w:val="24"/>
          <w:highlight w:val="none"/>
          <w:lang w:val="en-US" w:eastAsia="zh-CN"/>
        </w:rPr>
      </w:pPr>
      <w:r>
        <w:rPr>
          <w:rFonts w:hint="eastAsia" w:ascii="宋体" w:hAnsi="宋体" w:cs="仿宋"/>
          <w:b/>
          <w:sz w:val="24"/>
          <w:szCs w:val="24"/>
          <w:highlight w:val="none"/>
          <w:lang w:val="en-US" w:eastAsia="zh-CN"/>
        </w:rPr>
        <w:t>五、验收</w:t>
      </w:r>
    </w:p>
    <w:p>
      <w:pPr>
        <w:numPr>
          <w:ilvl w:val="0"/>
          <w:numId w:val="0"/>
        </w:numPr>
        <w:adjustRightInd w:val="0"/>
        <w:snapToGrid w:val="0"/>
        <w:spacing w:line="360" w:lineRule="auto"/>
        <w:ind w:left="420"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1.验收标准</w:t>
      </w:r>
    </w:p>
    <w:p>
      <w:pPr>
        <w:numPr>
          <w:ilvl w:val="0"/>
          <w:numId w:val="0"/>
        </w:numPr>
        <w:adjustRightInd w:val="0"/>
        <w:snapToGrid w:val="0"/>
        <w:spacing w:line="360" w:lineRule="auto"/>
        <w:ind w:left="420"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乙方</w:t>
      </w:r>
      <w:r>
        <w:rPr>
          <w:rFonts w:hint="default" w:ascii="宋体" w:hAnsi="宋体" w:cs="宋体"/>
          <w:bCs/>
          <w:sz w:val="24"/>
          <w:szCs w:val="24"/>
          <w:lang w:val="en-US" w:eastAsia="zh-CN"/>
        </w:rPr>
        <w:t>出具相应的完整且符合甲方要求的检测报告</w:t>
      </w:r>
      <w:r>
        <w:rPr>
          <w:rFonts w:hint="eastAsia" w:ascii="宋体" w:hAnsi="宋体" w:cs="宋体"/>
          <w:bCs/>
          <w:sz w:val="24"/>
          <w:szCs w:val="24"/>
          <w:lang w:val="en-US" w:eastAsia="zh-CN"/>
        </w:rPr>
        <w:t>。</w:t>
      </w:r>
    </w:p>
    <w:p>
      <w:pPr>
        <w:numPr>
          <w:ilvl w:val="0"/>
          <w:numId w:val="0"/>
        </w:numPr>
        <w:adjustRightInd w:val="0"/>
        <w:snapToGrid w:val="0"/>
        <w:spacing w:line="360" w:lineRule="auto"/>
        <w:ind w:left="420"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2.验收时间</w:t>
      </w:r>
    </w:p>
    <w:p>
      <w:pPr>
        <w:numPr>
          <w:ilvl w:val="0"/>
          <w:numId w:val="0"/>
        </w:numPr>
        <w:adjustRightInd w:val="0"/>
        <w:snapToGrid w:val="0"/>
        <w:spacing w:line="360" w:lineRule="auto"/>
        <w:ind w:left="420" w:leftChars="0"/>
        <w:jc w:val="left"/>
        <w:rPr>
          <w:rFonts w:hint="default" w:ascii="宋体" w:hAnsi="宋体" w:cs="宋体"/>
          <w:bCs/>
          <w:sz w:val="24"/>
          <w:szCs w:val="24"/>
          <w:lang w:val="en-US" w:eastAsia="zh-CN"/>
        </w:rPr>
      </w:pPr>
      <w:r>
        <w:rPr>
          <w:rFonts w:hint="eastAsia" w:ascii="宋体" w:hAnsi="宋体" w:cs="宋体"/>
          <w:bCs/>
          <w:sz w:val="24"/>
          <w:szCs w:val="24"/>
          <w:lang w:val="en-US" w:eastAsia="zh-CN"/>
        </w:rPr>
        <w:t>乙方完成检测内容后，由乙方发起验收申请。</w:t>
      </w:r>
    </w:p>
    <w:p>
      <w:pPr>
        <w:snapToGrid w:val="0"/>
        <w:spacing w:line="360" w:lineRule="auto"/>
        <w:rPr>
          <w:rFonts w:hint="eastAsia" w:ascii="宋体" w:hAnsi="宋体" w:cs="仿宋"/>
          <w:b/>
          <w:sz w:val="24"/>
          <w:szCs w:val="24"/>
          <w:highlight w:val="none"/>
          <w:lang w:val="en-US" w:eastAsia="zh-CN"/>
        </w:rPr>
      </w:pPr>
      <w:r>
        <w:rPr>
          <w:rFonts w:hint="eastAsia" w:ascii="宋体" w:hAnsi="宋体" w:cs="仿宋"/>
          <w:b/>
          <w:sz w:val="24"/>
          <w:szCs w:val="24"/>
          <w:highlight w:val="none"/>
          <w:lang w:val="en-US" w:eastAsia="zh-CN"/>
        </w:rPr>
        <w:t>六、其它</w:t>
      </w:r>
    </w:p>
    <w:p>
      <w:pPr>
        <w:numPr>
          <w:ilvl w:val="0"/>
          <w:numId w:val="0"/>
        </w:numPr>
        <w:adjustRightInd w:val="0"/>
        <w:snapToGrid w:val="0"/>
        <w:spacing w:line="360" w:lineRule="auto"/>
        <w:ind w:left="420"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其余未尽事宜，甲乙双方本着对整个工程负责的态度共同商议解决，如有重大调整，另行签订补充协议。</w:t>
      </w:r>
    </w:p>
    <w:p>
      <w:pPr>
        <w:pStyle w:val="2"/>
        <w:rPr>
          <w:rFonts w:hint="eastAsia" w:ascii="宋体" w:hAnsi="宋体" w:cs="宋体"/>
          <w:bCs/>
          <w:sz w:val="24"/>
          <w:szCs w:val="24"/>
        </w:rPr>
      </w:pPr>
      <w:bookmarkStart w:id="13" w:name="_Toc47976615"/>
      <w:bookmarkStart w:id="14" w:name="_Toc16500"/>
    </w:p>
    <w:p>
      <w:pPr>
        <w:pStyle w:val="3"/>
        <w:rPr>
          <w:rFonts w:hint="eastAsia" w:ascii="宋体" w:hAnsi="宋体" w:cs="宋体"/>
          <w:bCs/>
          <w:sz w:val="24"/>
          <w:szCs w:val="24"/>
        </w:rPr>
      </w:pPr>
    </w:p>
    <w:p>
      <w:pPr>
        <w:pStyle w:val="5"/>
        <w:rPr>
          <w:rFonts w:hint="eastAsia" w:ascii="宋体" w:hAnsi="宋体" w:cs="宋体"/>
          <w:bCs/>
          <w:sz w:val="24"/>
          <w:szCs w:val="24"/>
        </w:rPr>
      </w:pPr>
    </w:p>
    <w:p>
      <w:pPr>
        <w:rPr>
          <w:rFonts w:hint="eastAsia" w:ascii="宋体" w:hAnsi="宋体" w:cs="宋体"/>
          <w:bCs/>
          <w:sz w:val="24"/>
          <w:szCs w:val="24"/>
        </w:rPr>
      </w:pPr>
    </w:p>
    <w:p>
      <w:pPr>
        <w:pStyle w:val="2"/>
        <w:rPr>
          <w:rFonts w:hint="eastAsia" w:ascii="宋体" w:hAnsi="宋体" w:cs="宋体"/>
          <w:bCs/>
          <w:sz w:val="24"/>
          <w:szCs w:val="24"/>
        </w:rPr>
      </w:pPr>
    </w:p>
    <w:p>
      <w:pPr>
        <w:pStyle w:val="3"/>
        <w:rPr>
          <w:rFonts w:hint="eastAsia" w:ascii="宋体" w:hAnsi="宋体" w:cs="宋体"/>
          <w:bCs/>
          <w:sz w:val="24"/>
          <w:szCs w:val="24"/>
        </w:rPr>
      </w:pPr>
    </w:p>
    <w:p>
      <w:pPr>
        <w:pStyle w:val="5"/>
        <w:rPr>
          <w:rFonts w:hint="eastAsia" w:ascii="宋体" w:hAnsi="宋体" w:cs="宋体"/>
          <w:bCs/>
          <w:sz w:val="24"/>
          <w:szCs w:val="24"/>
        </w:rPr>
      </w:pPr>
    </w:p>
    <w:p>
      <w:pPr>
        <w:rPr>
          <w:rFonts w:hint="eastAsia" w:ascii="宋体" w:hAnsi="宋体" w:cs="宋体"/>
          <w:bCs/>
          <w:sz w:val="24"/>
          <w:szCs w:val="24"/>
        </w:rPr>
      </w:pPr>
    </w:p>
    <w:p>
      <w:pPr>
        <w:pStyle w:val="2"/>
        <w:rPr>
          <w:rFonts w:hint="eastAsia" w:ascii="宋体" w:hAnsi="宋体" w:cs="宋体"/>
          <w:bCs/>
          <w:sz w:val="24"/>
          <w:szCs w:val="24"/>
        </w:rPr>
      </w:pPr>
    </w:p>
    <w:p>
      <w:pPr>
        <w:pStyle w:val="75"/>
        <w:adjustRightInd w:val="0"/>
        <w:snapToGrid w:val="0"/>
        <w:jc w:val="left"/>
        <w:outlineLvl w:val="9"/>
        <w:rPr>
          <w:rFonts w:hint="eastAsia" w:ascii="宋体" w:hAnsi="宋体" w:eastAsia="宋体"/>
          <w:sz w:val="24"/>
          <w:szCs w:val="24"/>
        </w:rPr>
      </w:pPr>
    </w:p>
    <w:p>
      <w:pPr>
        <w:pStyle w:val="75"/>
        <w:adjustRightInd w:val="0"/>
        <w:snapToGrid w:val="0"/>
        <w:jc w:val="left"/>
        <w:outlineLvl w:val="9"/>
        <w:rPr>
          <w:rFonts w:hint="eastAsia" w:ascii="宋体" w:hAnsi="宋体" w:eastAsia="宋体"/>
          <w:sz w:val="24"/>
          <w:szCs w:val="24"/>
        </w:rPr>
      </w:pPr>
    </w:p>
    <w:p>
      <w:pPr>
        <w:pStyle w:val="75"/>
        <w:adjustRightInd w:val="0"/>
        <w:snapToGrid w:val="0"/>
        <w:jc w:val="left"/>
        <w:outlineLvl w:val="9"/>
        <w:rPr>
          <w:rFonts w:ascii="宋体" w:hAnsi="宋体" w:eastAsia="宋体"/>
          <w:color w:val="000000"/>
          <w:sz w:val="24"/>
          <w:szCs w:val="24"/>
        </w:rPr>
      </w:pPr>
      <w:r>
        <w:rPr>
          <w:rFonts w:hint="eastAsia" w:ascii="宋体" w:hAnsi="宋体" w:eastAsia="宋体"/>
          <w:sz w:val="24"/>
          <w:szCs w:val="24"/>
        </w:rPr>
        <w:t>第三部分　</w:t>
      </w:r>
      <w:bookmarkEnd w:id="13"/>
      <w:r>
        <w:rPr>
          <w:rFonts w:hint="eastAsia" w:ascii="宋体" w:hAnsi="宋体" w:eastAsia="宋体"/>
          <w:sz w:val="24"/>
          <w:szCs w:val="24"/>
        </w:rPr>
        <w:t>投标文件附件</w:t>
      </w:r>
      <w:bookmarkEnd w:id="14"/>
    </w:p>
    <w:p>
      <w:pPr>
        <w:pStyle w:val="17"/>
        <w:adjustRightInd w:val="0"/>
        <w:snapToGrid w:val="0"/>
        <w:spacing w:line="360" w:lineRule="auto"/>
        <w:jc w:val="left"/>
        <w:rPr>
          <w:rFonts w:hAnsi="宋体"/>
          <w:sz w:val="24"/>
          <w:szCs w:val="24"/>
        </w:rPr>
      </w:pPr>
    </w:p>
    <w:p>
      <w:pPr>
        <w:pStyle w:val="76"/>
        <w:numPr>
          <w:ilvl w:val="0"/>
          <w:numId w:val="0"/>
        </w:numPr>
        <w:adjustRightInd w:val="0"/>
        <w:snapToGrid w:val="0"/>
        <w:jc w:val="left"/>
        <w:outlineLvl w:val="9"/>
        <w:rPr>
          <w:rFonts w:ascii="宋体" w:hAnsi="宋体" w:eastAsia="宋体" w:cs="宋体"/>
          <w:sz w:val="24"/>
          <w:szCs w:val="24"/>
        </w:rPr>
      </w:pPr>
      <w:bookmarkStart w:id="15" w:name="_Toc47976618"/>
      <w:bookmarkStart w:id="16" w:name="_Toc29366865"/>
      <w:bookmarkStart w:id="17" w:name="_Toc29366869"/>
      <w:r>
        <w:rPr>
          <w:rFonts w:hint="eastAsia" w:ascii="宋体" w:hAnsi="宋体" w:eastAsia="宋体" w:cs="宋体"/>
          <w:sz w:val="24"/>
          <w:szCs w:val="24"/>
        </w:rPr>
        <w:t>附件1 法定代表人授权委托书</w:t>
      </w:r>
    </w:p>
    <w:bookmarkEnd w:id="15"/>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cs="Times New Roman"/>
          <w:b/>
          <w:bCs/>
          <w:color w:val="000000"/>
          <w:sz w:val="24"/>
          <w:szCs w:val="24"/>
          <w:u w:val="single"/>
        </w:rPr>
        <w:t>2026年防雷</w:t>
      </w:r>
      <w:r>
        <w:rPr>
          <w:rFonts w:hint="eastAsia" w:ascii="宋体" w:hAnsi="宋体" w:cs="Times New Roman"/>
          <w:b/>
          <w:bCs/>
          <w:color w:val="000000"/>
          <w:sz w:val="24"/>
          <w:szCs w:val="24"/>
          <w:u w:val="single"/>
          <w:lang w:val="en-US" w:eastAsia="zh-CN"/>
        </w:rPr>
        <w:t>检测</w:t>
      </w:r>
      <w:r>
        <w:rPr>
          <w:rFonts w:hint="eastAsia" w:ascii="宋体" w:hAnsi="宋体" w:cs="Times New Roman"/>
          <w:b/>
          <w:bCs/>
          <w:color w:val="000000"/>
          <w:sz w:val="24"/>
          <w:szCs w:val="24"/>
          <w:u w:val="single"/>
        </w:rPr>
        <w:t xml:space="preserve">项目 </w:t>
      </w:r>
      <w:r>
        <w:rPr>
          <w:rFonts w:hint="eastAsia" w:ascii="宋体" w:hAnsi="宋体"/>
          <w:b/>
          <w:bCs/>
          <w:color w:val="000000"/>
          <w:sz w:val="24"/>
          <w:szCs w:val="24"/>
          <w:u w:val="single"/>
        </w:rPr>
        <w:t xml:space="preserve">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3"/>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pPr>
        <w:adjustRightInd w:val="0"/>
        <w:snapToGrid w:val="0"/>
        <w:spacing w:line="360" w:lineRule="auto"/>
        <w:jc w:val="left"/>
        <w:rPr>
          <w:rFonts w:ascii="宋体" w:hAnsi="宋体"/>
          <w:color w:val="000000"/>
          <w:sz w:val="24"/>
          <w:szCs w:val="24"/>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pPr>
        <w:adjustRightInd w:val="0"/>
        <w:snapToGrid w:val="0"/>
        <w:spacing w:line="360" w:lineRule="auto"/>
        <w:jc w:val="left"/>
        <w:rPr>
          <w:rFonts w:ascii="宋体" w:hAnsi="宋体"/>
          <w:sz w:val="24"/>
          <w:szCs w:val="24"/>
          <w:u w:val="single"/>
        </w:rPr>
      </w:pPr>
    </w:p>
    <w:p>
      <w:pPr>
        <w:adjustRightInd w:val="0"/>
        <w:snapToGrid w:val="0"/>
        <w:spacing w:line="360" w:lineRule="auto"/>
        <w:jc w:val="left"/>
        <w:rPr>
          <w:rFonts w:ascii="宋体" w:hAnsi="宋体"/>
          <w:b/>
          <w:bCs/>
          <w:color w:val="000000"/>
          <w:sz w:val="24"/>
          <w:szCs w:val="24"/>
        </w:rPr>
      </w:pPr>
    </w:p>
    <w:p>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pPr>
        <w:pStyle w:val="76"/>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pPr>
        <w:adjustRightInd w:val="0"/>
        <w:snapToGrid w:val="0"/>
        <w:spacing w:line="360" w:lineRule="auto"/>
        <w:jc w:val="left"/>
        <w:rPr>
          <w:rFonts w:ascii="宋体" w:hAnsi="宋体"/>
          <w:b/>
          <w:bCs/>
          <w:sz w:val="24"/>
          <w:szCs w:val="24"/>
        </w:rPr>
      </w:pPr>
    </w:p>
    <w:p>
      <w:pPr>
        <w:adjustRightInd w:val="0"/>
        <w:snapToGrid w:val="0"/>
        <w:spacing w:line="360" w:lineRule="auto"/>
        <w:jc w:val="left"/>
        <w:rPr>
          <w:rFonts w:hint="eastAsia" w:ascii="宋体" w:hAnsi="宋体" w:cs="宋体"/>
          <w:b/>
          <w:bCs/>
          <w:sz w:val="24"/>
          <w:szCs w:val="24"/>
          <w:u w:val="single"/>
        </w:rPr>
      </w:pPr>
      <w:r>
        <w:rPr>
          <w:rFonts w:hint="eastAsia" w:ascii="宋体" w:hAnsi="宋体"/>
          <w:sz w:val="24"/>
          <w:szCs w:val="24"/>
        </w:rPr>
        <w:t>项目名称：</w:t>
      </w:r>
      <w:r>
        <w:rPr>
          <w:rFonts w:hint="eastAsia" w:ascii="宋体" w:hAnsi="宋体" w:cs="宋体"/>
          <w:b/>
          <w:bCs/>
          <w:sz w:val="24"/>
          <w:szCs w:val="24"/>
          <w:u w:val="single"/>
        </w:rPr>
        <w:t>2026年防雷</w:t>
      </w:r>
      <w:r>
        <w:rPr>
          <w:rFonts w:hint="eastAsia" w:ascii="宋体" w:hAnsi="宋体" w:cs="宋体"/>
          <w:b/>
          <w:bCs/>
          <w:sz w:val="24"/>
          <w:szCs w:val="24"/>
          <w:u w:val="single"/>
          <w:lang w:val="en-US" w:eastAsia="zh-CN"/>
        </w:rPr>
        <w:t>检测</w:t>
      </w:r>
      <w:r>
        <w:rPr>
          <w:rFonts w:hint="eastAsia" w:ascii="宋体" w:hAnsi="宋体" w:cs="宋体"/>
          <w:b/>
          <w:bCs/>
          <w:sz w:val="24"/>
          <w:szCs w:val="24"/>
          <w:u w:val="single"/>
        </w:rPr>
        <w:t>项目</w:t>
      </w:r>
    </w:p>
    <w:p>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6"/>
    <w:bookmarkEnd w:id="17"/>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6"/>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pPr>
        <w:pStyle w:val="76"/>
        <w:numPr>
          <w:ilvl w:val="0"/>
          <w:numId w:val="0"/>
        </w:numPr>
        <w:adjustRightInd w:val="0"/>
        <w:snapToGrid w:val="0"/>
        <w:jc w:val="left"/>
        <w:outlineLvl w:val="9"/>
        <w:rPr>
          <w:rFonts w:ascii="宋体" w:hAnsi="宋体" w:eastAsia="宋体" w:cs="宋体"/>
          <w:sz w:val="24"/>
          <w:szCs w:val="24"/>
        </w:rPr>
      </w:pPr>
      <w:bookmarkStart w:id="18" w:name="_Toc47976616"/>
      <w:bookmarkStart w:id="19" w:name="_Toc4225"/>
      <w:r>
        <w:rPr>
          <w:rFonts w:hint="eastAsia" w:ascii="宋体" w:hAnsi="宋体" w:eastAsia="宋体" w:cs="宋体"/>
          <w:sz w:val="24"/>
          <w:szCs w:val="24"/>
        </w:rPr>
        <w:t>附件</w:t>
      </w:r>
      <w:bookmarkEnd w:id="18"/>
      <w:bookmarkEnd w:id="19"/>
      <w:r>
        <w:rPr>
          <w:rFonts w:ascii="宋体" w:hAnsi="宋体" w:eastAsia="宋体" w:cs="宋体"/>
          <w:sz w:val="24"/>
          <w:szCs w:val="24"/>
        </w:rPr>
        <w:t>4</w:t>
      </w:r>
      <w:r>
        <w:rPr>
          <w:rFonts w:hint="eastAsia" w:ascii="宋体" w:hAnsi="宋体" w:eastAsia="宋体" w:cs="宋体"/>
          <w:sz w:val="24"/>
          <w:szCs w:val="24"/>
        </w:rPr>
        <w:t xml:space="preserve"> 投标函</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ascii="宋体" w:hAnsi="宋体" w:eastAsia="宋体" w:cs="宋体"/>
          <w:sz w:val="24"/>
          <w:szCs w:val="24"/>
          <w:u w:val="single"/>
        </w:rPr>
        <w:t>2026年防雷</w:t>
      </w:r>
      <w:r>
        <w:rPr>
          <w:rFonts w:hint="eastAsia" w:ascii="宋体" w:hAnsi="宋体" w:cs="宋体"/>
          <w:sz w:val="24"/>
          <w:szCs w:val="24"/>
          <w:u w:val="single"/>
          <w:lang w:val="en-US" w:eastAsia="zh-CN"/>
        </w:rPr>
        <w:t>检测</w:t>
      </w:r>
      <w:r>
        <w:rPr>
          <w:rFonts w:hint="eastAsia" w:ascii="宋体" w:hAnsi="宋体"/>
          <w:color w:val="000000"/>
          <w:sz w:val="24"/>
          <w:szCs w:val="24"/>
          <w:u w:val="single"/>
        </w:rPr>
        <w:t>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pPr>
        <w:pStyle w:val="66"/>
        <w:numPr>
          <w:ilvl w:val="3"/>
          <w:numId w:val="35"/>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pPr>
        <w:pStyle w:val="66"/>
        <w:numPr>
          <w:ilvl w:val="3"/>
          <w:numId w:val="35"/>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pPr>
        <w:pStyle w:val="66"/>
        <w:numPr>
          <w:ilvl w:val="3"/>
          <w:numId w:val="35"/>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pPr>
        <w:pStyle w:val="66"/>
        <w:numPr>
          <w:ilvl w:val="3"/>
          <w:numId w:val="35"/>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pPr>
        <w:pStyle w:val="66"/>
        <w:numPr>
          <w:ilvl w:val="3"/>
          <w:numId w:val="35"/>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pPr>
        <w:pStyle w:val="66"/>
        <w:numPr>
          <w:ilvl w:val="3"/>
          <w:numId w:val="35"/>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pPr>
        <w:pStyle w:val="80"/>
        <w:adjustRightInd w:val="0"/>
        <w:snapToGrid w:val="0"/>
        <w:rPr>
          <w:rFonts w:hAnsi="宋体"/>
          <w:sz w:val="24"/>
          <w:szCs w:val="24"/>
        </w:rPr>
      </w:pPr>
    </w:p>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6"/>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3"/>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bCs/>
                <w:sz w:val="24"/>
                <w:szCs w:val="24"/>
              </w:rPr>
              <w:t>特种作业及特种设备作业培训项目</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是否偏离</w:t>
            </w:r>
          </w:p>
          <w:p>
            <w:pPr>
              <w:adjustRightInd w:val="0"/>
              <w:snapToGrid w:val="0"/>
              <w:jc w:val="left"/>
              <w:rPr>
                <w:rFonts w:ascii="宋体" w:hAnsi="宋体"/>
                <w:b/>
                <w:sz w:val="24"/>
                <w:szCs w:val="24"/>
              </w:rPr>
            </w:pPr>
            <w:r>
              <w:rPr>
                <w:rFonts w:hint="eastAsia" w:ascii="宋体" w:hAnsi="宋体" w:cs="宋体"/>
                <w:b/>
                <w:sz w:val="24"/>
                <w:szCs w:val="24"/>
              </w:rPr>
              <w:t>（提供说明）</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bl>
    <w:p>
      <w:pPr>
        <w:adjustRightInd w:val="0"/>
        <w:snapToGrid w:val="0"/>
        <w:spacing w:line="360" w:lineRule="auto"/>
        <w:jc w:val="left"/>
        <w:rPr>
          <w:rFonts w:ascii="宋体" w:hAnsi="宋体"/>
          <w:color w:val="000000"/>
          <w:sz w:val="24"/>
          <w:szCs w:val="24"/>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pPr>
        <w:pStyle w:val="2"/>
        <w:adjustRightInd w:val="0"/>
        <w:snapToGrid w:val="0"/>
        <w:spacing w:line="360" w:lineRule="auto"/>
        <w:jc w:val="left"/>
        <w:rPr>
          <w:rFonts w:ascii="宋体" w:hAnsi="宋体" w:eastAsia="宋体"/>
          <w:sz w:val="24"/>
          <w:szCs w:val="24"/>
        </w:rPr>
      </w:pPr>
    </w:p>
    <w:p>
      <w:pPr>
        <w:pStyle w:val="80"/>
        <w:adjustRightInd w:val="0"/>
        <w:snapToGrid w:val="0"/>
        <w:rPr>
          <w:rFonts w:hAnsi="宋体"/>
          <w:sz w:val="24"/>
          <w:szCs w:val="24"/>
        </w:rPr>
      </w:pPr>
    </w:p>
    <w:p>
      <w:pPr>
        <w:pStyle w:val="80"/>
        <w:adjustRightInd w:val="0"/>
        <w:snapToGrid w:val="0"/>
        <w:rPr>
          <w:rFonts w:hAnsi="宋体"/>
          <w:sz w:val="24"/>
          <w:szCs w:val="24"/>
        </w:rPr>
      </w:pPr>
    </w:p>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6"/>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pPr>
        <w:adjustRightInd w:val="0"/>
        <w:snapToGrid w:val="0"/>
        <w:spacing w:line="360" w:lineRule="auto"/>
        <w:jc w:val="left"/>
        <w:rPr>
          <w:rFonts w:ascii="宋体" w:hAnsi="宋体"/>
          <w:b/>
          <w:sz w:val="24"/>
          <w:szCs w:val="24"/>
        </w:rPr>
      </w:pPr>
    </w:p>
    <w:p>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pPr>
        <w:pStyle w:val="2"/>
        <w:adjustRightInd w:val="0"/>
        <w:snapToGrid w:val="0"/>
        <w:spacing w:line="360" w:lineRule="auto"/>
        <w:jc w:val="left"/>
        <w:rPr>
          <w:rFonts w:ascii="宋体" w:hAnsi="宋体" w:eastAsia="宋体"/>
          <w:b/>
          <w:sz w:val="24"/>
          <w:szCs w:val="24"/>
        </w:rPr>
      </w:pPr>
    </w:p>
    <w:p>
      <w:pPr>
        <w:pStyle w:val="2"/>
        <w:adjustRightInd w:val="0"/>
        <w:snapToGrid w:val="0"/>
        <w:spacing w:line="360" w:lineRule="auto"/>
        <w:jc w:val="left"/>
        <w:rPr>
          <w:rFonts w:ascii="宋体" w:hAnsi="宋体" w:eastAsia="宋体"/>
          <w:b/>
          <w:sz w:val="24"/>
          <w:szCs w:val="24"/>
        </w:rPr>
      </w:pPr>
    </w:p>
    <w:p>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pPr>
        <w:adjustRightInd w:val="0"/>
        <w:snapToGrid w:val="0"/>
        <w:spacing w:line="360" w:lineRule="auto"/>
        <w:jc w:val="left"/>
        <w:rPr>
          <w:rFonts w:ascii="宋体" w:hAnsi="宋体"/>
          <w:sz w:val="24"/>
          <w:szCs w:val="24"/>
        </w:rPr>
      </w:pPr>
      <w:r>
        <w:rPr>
          <w:rFonts w:ascii="宋体" w:hAnsi="宋体"/>
          <w:sz w:val="24"/>
          <w:szCs w:val="24"/>
        </w:rPr>
        <w:t xml:space="preserve">地址：      </w:t>
      </w:r>
    </w:p>
    <w:p>
      <w:pPr>
        <w:adjustRightInd w:val="0"/>
        <w:snapToGrid w:val="0"/>
        <w:spacing w:line="360" w:lineRule="auto"/>
        <w:jc w:val="left"/>
        <w:rPr>
          <w:rFonts w:ascii="宋体" w:hAnsi="宋体"/>
          <w:sz w:val="24"/>
          <w:szCs w:val="24"/>
        </w:rPr>
      </w:pPr>
      <w:r>
        <w:rPr>
          <w:rFonts w:ascii="宋体" w:hAnsi="宋体"/>
          <w:sz w:val="24"/>
          <w:szCs w:val="24"/>
        </w:rPr>
        <w:t xml:space="preserve">开户行：     </w:t>
      </w:r>
    </w:p>
    <w:p>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pPr>
        <w:pStyle w:val="76"/>
        <w:numPr>
          <w:ilvl w:val="0"/>
          <w:numId w:val="0"/>
        </w:numPr>
        <w:adjustRightInd w:val="0"/>
        <w:snapToGrid w:val="0"/>
        <w:jc w:val="left"/>
        <w:outlineLvl w:val="9"/>
        <w:rPr>
          <w:rFonts w:ascii="宋体" w:hAnsi="宋体" w:eastAsia="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br w:type="page"/>
      </w:r>
    </w:p>
    <w:p>
      <w:pPr>
        <w:pStyle w:val="76"/>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pPr>
        <w:adjustRightInd w:val="0"/>
        <w:snapToGrid w:val="0"/>
        <w:spacing w:line="360" w:lineRule="auto"/>
        <w:jc w:val="left"/>
        <w:rPr>
          <w:rFonts w:ascii="宋体" w:hAnsi="宋体" w:cs="宋体"/>
          <w:sz w:val="24"/>
          <w:szCs w:val="24"/>
        </w:rPr>
      </w:pPr>
    </w:p>
    <w:p>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srcRect/>
                    <a:stretch>
                      <a:fillRect/>
                    </a:stretch>
                  </pic:blipFill>
                  <pic:spPr>
                    <a:xfrm>
                      <a:off x="0" y="0"/>
                      <a:ext cx="5760085" cy="276669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pPr>
        <w:numPr>
          <w:ilvl w:val="0"/>
          <w:numId w:val="36"/>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pPr>
        <w:pStyle w:val="17"/>
        <w:adjustRightInd w:val="0"/>
        <w:snapToGrid w:val="0"/>
        <w:spacing w:line="360" w:lineRule="auto"/>
        <w:jc w:val="left"/>
        <w:rPr>
          <w:rFonts w:hAnsi="宋体"/>
          <w:sz w:val="24"/>
          <w:szCs w:val="24"/>
        </w:rPr>
      </w:pPr>
    </w:p>
    <w:p>
      <w:pPr>
        <w:adjustRightInd w:val="0"/>
        <w:snapToGrid w:val="0"/>
        <w:spacing w:line="360" w:lineRule="auto"/>
        <w:jc w:val="left"/>
        <w:rPr>
          <w:rFonts w:ascii="宋体" w:hAnsi="宋体" w:cs="宋体"/>
          <w:color w:val="000000"/>
          <w:sz w:val="24"/>
          <w:szCs w:val="24"/>
        </w:rPr>
      </w:pP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pPr>
        <w:pStyle w:val="17"/>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pPr>
        <w:pStyle w:val="17"/>
        <w:adjustRightInd w:val="0"/>
        <w:snapToGrid w:val="0"/>
        <w:spacing w:line="360" w:lineRule="auto"/>
        <w:jc w:val="left"/>
        <w:rPr>
          <w:rFonts w:hAnsi="宋体"/>
          <w:sz w:val="24"/>
          <w:szCs w:val="24"/>
        </w:rPr>
      </w:pPr>
    </w:p>
    <w:p>
      <w:pPr>
        <w:pStyle w:val="17"/>
        <w:adjustRightInd w:val="0"/>
        <w:snapToGrid w:val="0"/>
        <w:spacing w:line="360" w:lineRule="auto"/>
        <w:jc w:val="left"/>
        <w:rPr>
          <w:rFonts w:hAnsi="宋体"/>
          <w:sz w:val="24"/>
          <w:szCs w:val="24"/>
        </w:rPr>
      </w:pP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pPr>
        <w:pStyle w:val="17"/>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pPr>
        <w:pStyle w:val="76"/>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40"/>
          <w:rFonts w:hint="eastAsia" w:ascii="宋体" w:hAnsi="宋体" w:cs="宋体"/>
          <w:sz w:val="24"/>
          <w:szCs w:val="24"/>
        </w:rPr>
        <w:t>https://ecaitong.sinotruk.com:8012/</w:t>
      </w:r>
      <w:r>
        <w:rPr>
          <w:rStyle w:val="40"/>
          <w:rFonts w:hint="eastAsia" w:ascii="宋体" w:hAnsi="宋体" w:cs="宋体"/>
          <w:sz w:val="24"/>
          <w:szCs w:val="24"/>
        </w:rPr>
        <w:fldChar w:fldCharType="end"/>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pPr>
        <w:pStyle w:val="17"/>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pPr>
        <w:pStyle w:val="9"/>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pPr>
        <w:pStyle w:val="9"/>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pPr>
        <w:pStyle w:val="80"/>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auto"/>
    <w:pitch w:val="default"/>
    <w:sig w:usb0="00000000" w:usb1="00000000" w:usb2="00000000" w:usb3="00000000" w:csb0="00040000" w:csb1="00000000"/>
  </w:font>
  <w:font w:name="??">
    <w:altName w:val="Times New Roman"/>
    <w:panose1 w:val="00000000000000000000"/>
    <w:charset w:val="00"/>
    <w:family w:val="roman"/>
    <w:pitch w:val="default"/>
    <w:sig w:usb0="00000000" w:usb1="00000000" w:usb2="00000000" w:usb3="00000000" w:csb0="0000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答疑">
    <w:altName w:val="Segoe Print"/>
    <w:panose1 w:val="00000000000000000000"/>
    <w:charset w:val="00"/>
    <w:family w:val="auto"/>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pPr>
          <w:pStyle w:val="21"/>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framePr w:wrap="around" w:vAnchor="text" w:hAnchor="margin" w:xAlign="center" w:y="1"/>
      <w:rPr>
        <w:rStyle w:val="37"/>
      </w:rPr>
    </w:pPr>
    <w:r>
      <w:fldChar w:fldCharType="begin"/>
    </w:r>
    <w:r>
      <w:rPr>
        <w:rStyle w:val="37"/>
      </w:rPr>
      <w:instrText xml:space="preserve">PAGE  </w:instrText>
    </w:r>
    <w:r>
      <w:fldChar w:fldCharType="end"/>
    </w:r>
  </w:p>
  <w:p>
    <w:pPr>
      <w:pStyle w:val="2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pPr>
              <w:pStyle w:val="21"/>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1"/>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pPr>
              <w:pStyle w:val="21"/>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1"/>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pPr>
              <w:pStyle w:val="21"/>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1"/>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pPr>
              <w:pStyle w:val="21"/>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pPr>
              <w:pStyle w:val="21"/>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78AF32"/>
    <w:multiLevelType w:val="singleLevel"/>
    <w:tmpl w:val="8478AF32"/>
    <w:lvl w:ilvl="0" w:tentative="0">
      <w:start w:val="1"/>
      <w:numFmt w:val="decimal"/>
      <w:lvlText w:val="%1."/>
      <w:lvlJc w:val="left"/>
      <w:pPr>
        <w:tabs>
          <w:tab w:val="left" w:pos="312"/>
        </w:tabs>
      </w:pPr>
    </w:lvl>
  </w:abstractNum>
  <w:abstractNum w:abstractNumId="1">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3">
    <w:nsid w:val="00000003"/>
    <w:multiLevelType w:val="singleLevel"/>
    <w:tmpl w:val="00000003"/>
    <w:lvl w:ilvl="0" w:tentative="0">
      <w:start w:val="5"/>
      <w:numFmt w:val="decimal"/>
      <w:lvlText w:val="%1."/>
      <w:lvlJc w:val="left"/>
      <w:pPr>
        <w:tabs>
          <w:tab w:val="left" w:pos="312"/>
        </w:tabs>
      </w:pPr>
    </w:lvl>
  </w:abstractNum>
  <w:abstractNum w:abstractNumId="4">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6882CE3"/>
    <w:multiLevelType w:val="multilevel"/>
    <w:tmpl w:val="06882CE3"/>
    <w:lvl w:ilvl="0" w:tentative="0">
      <w:start w:val="1"/>
      <w:numFmt w:val="decimal"/>
      <w:pStyle w:val="79"/>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8">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178D3D0E"/>
    <w:multiLevelType w:val="multilevel"/>
    <w:tmpl w:val="178D3D0E"/>
    <w:lvl w:ilvl="0" w:tentative="0">
      <w:start w:val="1"/>
      <w:numFmt w:val="bullet"/>
      <w:pStyle w:val="95"/>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1E7B065C"/>
    <w:multiLevelType w:val="multilevel"/>
    <w:tmpl w:val="1E7B065C"/>
    <w:lvl w:ilvl="0" w:tentative="0">
      <w:start w:val="1"/>
      <w:numFmt w:val="decimal"/>
      <w:pStyle w:val="100"/>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3">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6">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4CB32FC8"/>
    <w:multiLevelType w:val="multilevel"/>
    <w:tmpl w:val="4CB32FC8"/>
    <w:lvl w:ilvl="0" w:tentative="0">
      <w:start w:val="1"/>
      <w:numFmt w:val="upperLetter"/>
      <w:pStyle w:val="10"/>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4">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5">
    <w:nsid w:val="520018B0"/>
    <w:multiLevelType w:val="multilevel"/>
    <w:tmpl w:val="520018B0"/>
    <w:lvl w:ilvl="0" w:tentative="0">
      <w:start w:val="1"/>
      <w:numFmt w:val="decimal"/>
      <w:pStyle w:val="78"/>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6">
    <w:nsid w:val="526A4DE6"/>
    <w:multiLevelType w:val="singleLevel"/>
    <w:tmpl w:val="526A4DE6"/>
    <w:lvl w:ilvl="0" w:tentative="0">
      <w:start w:val="1"/>
      <w:numFmt w:val="decimal"/>
      <w:suff w:val="nothing"/>
      <w:lvlText w:val="%1、"/>
      <w:lvlJc w:val="left"/>
    </w:lvl>
  </w:abstractNum>
  <w:abstractNum w:abstractNumId="27">
    <w:nsid w:val="560F40FB"/>
    <w:multiLevelType w:val="multilevel"/>
    <w:tmpl w:val="560F40FB"/>
    <w:lvl w:ilvl="0" w:tentative="0">
      <w:start w:val="1"/>
      <w:numFmt w:val="lowerLetter"/>
      <w:pStyle w:val="105"/>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8">
    <w:nsid w:val="56D20133"/>
    <w:multiLevelType w:val="multilevel"/>
    <w:tmpl w:val="56D20133"/>
    <w:lvl w:ilvl="0" w:tentative="0">
      <w:start w:val="1"/>
      <w:numFmt w:val="chineseCountingThousand"/>
      <w:pStyle w:val="77"/>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9">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656A6EAE"/>
    <w:multiLevelType w:val="multilevel"/>
    <w:tmpl w:val="656A6EAE"/>
    <w:lvl w:ilvl="0" w:tentative="0">
      <w:start w:val="1"/>
      <w:numFmt w:val="chineseCountingThousand"/>
      <w:pStyle w:val="76"/>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3">
    <w:nsid w:val="6B0AC839"/>
    <w:multiLevelType w:val="singleLevel"/>
    <w:tmpl w:val="6B0AC839"/>
    <w:lvl w:ilvl="0" w:tentative="0">
      <w:start w:val="1"/>
      <w:numFmt w:val="decimal"/>
      <w:lvlText w:val="%1."/>
      <w:lvlJc w:val="left"/>
      <w:pPr>
        <w:tabs>
          <w:tab w:val="left" w:pos="312"/>
        </w:tabs>
        <w:ind w:left="-60"/>
      </w:pPr>
    </w:lvl>
  </w:abstractNum>
  <w:abstractNum w:abstractNumId="34">
    <w:nsid w:val="6F6D7DF7"/>
    <w:multiLevelType w:val="singleLevel"/>
    <w:tmpl w:val="6F6D7DF7"/>
    <w:lvl w:ilvl="0" w:tentative="0">
      <w:start w:val="1"/>
      <w:numFmt w:val="chineseCounting"/>
      <w:suff w:val="nothing"/>
      <w:lvlText w:val="%1、"/>
      <w:lvlJc w:val="left"/>
      <w:rPr>
        <w:rFonts w:hint="eastAsia"/>
      </w:rPr>
    </w:lvl>
  </w:abstractNum>
  <w:abstractNum w:abstractNumId="35">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3"/>
  </w:num>
  <w:num w:numId="2">
    <w:abstractNumId w:val="32"/>
  </w:num>
  <w:num w:numId="3">
    <w:abstractNumId w:val="28"/>
  </w:num>
  <w:num w:numId="4">
    <w:abstractNumId w:val="25"/>
  </w:num>
  <w:num w:numId="5">
    <w:abstractNumId w:val="7"/>
  </w:num>
  <w:num w:numId="6">
    <w:abstractNumId w:val="10"/>
  </w:num>
  <w:num w:numId="7">
    <w:abstractNumId w:val="12"/>
  </w:num>
  <w:num w:numId="8">
    <w:abstractNumId w:val="27"/>
  </w:num>
  <w:num w:numId="9">
    <w:abstractNumId w:val="29"/>
  </w:num>
  <w:num w:numId="10">
    <w:abstractNumId w:val="0"/>
  </w:num>
  <w:num w:numId="11">
    <w:abstractNumId w:val="8"/>
  </w:num>
  <w:num w:numId="12">
    <w:abstractNumId w:val="21"/>
  </w:num>
  <w:num w:numId="13">
    <w:abstractNumId w:val="22"/>
  </w:num>
  <w:num w:numId="14">
    <w:abstractNumId w:val="4"/>
  </w:num>
  <w:num w:numId="15">
    <w:abstractNumId w:val="6"/>
  </w:num>
  <w:num w:numId="16">
    <w:abstractNumId w:val="2"/>
  </w:num>
  <w:num w:numId="17">
    <w:abstractNumId w:val="31"/>
  </w:num>
  <w:num w:numId="18">
    <w:abstractNumId w:val="19"/>
  </w:num>
  <w:num w:numId="19">
    <w:abstractNumId w:val="11"/>
  </w:num>
  <w:num w:numId="20">
    <w:abstractNumId w:val="24"/>
  </w:num>
  <w:num w:numId="21">
    <w:abstractNumId w:val="5"/>
  </w:num>
  <w:num w:numId="22">
    <w:abstractNumId w:val="14"/>
  </w:num>
  <w:num w:numId="23">
    <w:abstractNumId w:val="9"/>
  </w:num>
  <w:num w:numId="24">
    <w:abstractNumId w:val="30"/>
  </w:num>
  <w:num w:numId="25">
    <w:abstractNumId w:val="18"/>
  </w:num>
  <w:num w:numId="26">
    <w:abstractNumId w:val="26"/>
  </w:num>
  <w:num w:numId="27">
    <w:abstractNumId w:val="35"/>
  </w:num>
  <w:num w:numId="28">
    <w:abstractNumId w:val="1"/>
  </w:num>
  <w:num w:numId="29">
    <w:abstractNumId w:val="15"/>
  </w:num>
  <w:num w:numId="30">
    <w:abstractNumId w:val="16"/>
  </w:num>
  <w:num w:numId="31">
    <w:abstractNumId w:val="17"/>
  </w:num>
  <w:num w:numId="32">
    <w:abstractNumId w:val="20"/>
  </w:num>
  <w:num w:numId="33">
    <w:abstractNumId w:val="34"/>
  </w:num>
  <w:num w:numId="34">
    <w:abstractNumId w:val="33"/>
  </w:num>
  <w:num w:numId="35">
    <w:abstractNumId w:val="13"/>
  </w:num>
  <w:num w:numId="3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2"/>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12F3B"/>
    <w:rsid w:val="01563B79"/>
    <w:rsid w:val="02CC3DCA"/>
    <w:rsid w:val="02FC4FF1"/>
    <w:rsid w:val="02FE76EF"/>
    <w:rsid w:val="03F033B0"/>
    <w:rsid w:val="041E5F90"/>
    <w:rsid w:val="042D7FF0"/>
    <w:rsid w:val="057C1D39"/>
    <w:rsid w:val="05891259"/>
    <w:rsid w:val="0654565B"/>
    <w:rsid w:val="08633479"/>
    <w:rsid w:val="0A486315"/>
    <w:rsid w:val="0A63147A"/>
    <w:rsid w:val="0A81331A"/>
    <w:rsid w:val="0ADB2EF0"/>
    <w:rsid w:val="0ADD4CBE"/>
    <w:rsid w:val="0C83309C"/>
    <w:rsid w:val="0CB51572"/>
    <w:rsid w:val="0DE73E36"/>
    <w:rsid w:val="0E1E5070"/>
    <w:rsid w:val="0E4D31E3"/>
    <w:rsid w:val="0E530E38"/>
    <w:rsid w:val="10DC2AA3"/>
    <w:rsid w:val="10FA7C8C"/>
    <w:rsid w:val="12F64B6E"/>
    <w:rsid w:val="130B198F"/>
    <w:rsid w:val="13B54178"/>
    <w:rsid w:val="13FA68E0"/>
    <w:rsid w:val="141014E8"/>
    <w:rsid w:val="15BB1367"/>
    <w:rsid w:val="16A918E4"/>
    <w:rsid w:val="17D966D6"/>
    <w:rsid w:val="19517BDA"/>
    <w:rsid w:val="19E33213"/>
    <w:rsid w:val="1A463A67"/>
    <w:rsid w:val="1B481CDF"/>
    <w:rsid w:val="1BA3160C"/>
    <w:rsid w:val="1BC71D3B"/>
    <w:rsid w:val="1C153A84"/>
    <w:rsid w:val="1C3C33BC"/>
    <w:rsid w:val="1C59115B"/>
    <w:rsid w:val="1C5E1B4F"/>
    <w:rsid w:val="1D596BD7"/>
    <w:rsid w:val="1E086BAA"/>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A0F05B6"/>
    <w:rsid w:val="2B12477E"/>
    <w:rsid w:val="2B271A58"/>
    <w:rsid w:val="2B6304A7"/>
    <w:rsid w:val="2BAC194A"/>
    <w:rsid w:val="2BCB24AC"/>
    <w:rsid w:val="2C642D3E"/>
    <w:rsid w:val="2CF6734C"/>
    <w:rsid w:val="2D4D284A"/>
    <w:rsid w:val="2D663463"/>
    <w:rsid w:val="2D8567CF"/>
    <w:rsid w:val="2E112A52"/>
    <w:rsid w:val="2EF96EE4"/>
    <w:rsid w:val="31E37A09"/>
    <w:rsid w:val="32C207BF"/>
    <w:rsid w:val="33093FF2"/>
    <w:rsid w:val="3380787D"/>
    <w:rsid w:val="33822A0F"/>
    <w:rsid w:val="34F565DC"/>
    <w:rsid w:val="35D271A0"/>
    <w:rsid w:val="36254FE4"/>
    <w:rsid w:val="36AA39B8"/>
    <w:rsid w:val="372F61E0"/>
    <w:rsid w:val="39322FCA"/>
    <w:rsid w:val="395C1BFB"/>
    <w:rsid w:val="3A503E1E"/>
    <w:rsid w:val="3AB90991"/>
    <w:rsid w:val="3B6C1963"/>
    <w:rsid w:val="3B706131"/>
    <w:rsid w:val="3BF833EC"/>
    <w:rsid w:val="3C8E02FC"/>
    <w:rsid w:val="3E0838CB"/>
    <w:rsid w:val="3E6F041E"/>
    <w:rsid w:val="3E846635"/>
    <w:rsid w:val="3F9D2397"/>
    <w:rsid w:val="418D0CE6"/>
    <w:rsid w:val="41A5482C"/>
    <w:rsid w:val="4275481E"/>
    <w:rsid w:val="428B617A"/>
    <w:rsid w:val="42947BD5"/>
    <w:rsid w:val="42CE288A"/>
    <w:rsid w:val="433D7BDC"/>
    <w:rsid w:val="437E1813"/>
    <w:rsid w:val="43A427AA"/>
    <w:rsid w:val="43F95365"/>
    <w:rsid w:val="444E2202"/>
    <w:rsid w:val="45354CBC"/>
    <w:rsid w:val="455157FF"/>
    <w:rsid w:val="45BD47FC"/>
    <w:rsid w:val="45CC5FB2"/>
    <w:rsid w:val="46B75BA8"/>
    <w:rsid w:val="46E91D19"/>
    <w:rsid w:val="48C97955"/>
    <w:rsid w:val="49880C8F"/>
    <w:rsid w:val="4A8835F7"/>
    <w:rsid w:val="4B592E71"/>
    <w:rsid w:val="4C142ECC"/>
    <w:rsid w:val="4CD32C8D"/>
    <w:rsid w:val="4CE30CC8"/>
    <w:rsid w:val="4DF75369"/>
    <w:rsid w:val="4EA23B01"/>
    <w:rsid w:val="4EB0217D"/>
    <w:rsid w:val="4F482E54"/>
    <w:rsid w:val="4F8B220C"/>
    <w:rsid w:val="504F4EAF"/>
    <w:rsid w:val="516C4BAA"/>
    <w:rsid w:val="51972637"/>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2B615B"/>
    <w:rsid w:val="5F4F52F9"/>
    <w:rsid w:val="60651FB9"/>
    <w:rsid w:val="614E12EC"/>
    <w:rsid w:val="616D6769"/>
    <w:rsid w:val="61D77F79"/>
    <w:rsid w:val="629E3C71"/>
    <w:rsid w:val="63F04A69"/>
    <w:rsid w:val="64237D8D"/>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BFB35AB"/>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5B525F7"/>
    <w:rsid w:val="764F7753"/>
    <w:rsid w:val="76AC3757"/>
    <w:rsid w:val="77D4005C"/>
    <w:rsid w:val="78292927"/>
    <w:rsid w:val="78E42452"/>
    <w:rsid w:val="79826852"/>
    <w:rsid w:val="7AD41BC8"/>
    <w:rsid w:val="7B9854E0"/>
    <w:rsid w:val="7C6021A7"/>
    <w:rsid w:val="7CAB4D9F"/>
    <w:rsid w:val="7CB93F8E"/>
    <w:rsid w:val="7CF66B46"/>
    <w:rsid w:val="7D4A0A5C"/>
    <w:rsid w:val="7D97125D"/>
    <w:rsid w:val="7DB618B0"/>
    <w:rsid w:val="7DBD28BA"/>
    <w:rsid w:val="7E2748F9"/>
    <w:rsid w:val="7E736B66"/>
    <w:rsid w:val="7ED87E7D"/>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8"/>
    <w:pPr>
      <w:widowControl w:val="0"/>
      <w:jc w:val="both"/>
    </w:pPr>
    <w:rPr>
      <w:rFonts w:ascii="Times New Roman" w:hAnsi="Times New Roman" w:eastAsia="宋体" w:cs="Times New Roman"/>
      <w:kern w:val="2"/>
      <w:sz w:val="21"/>
      <w:lang w:val="en-US" w:eastAsia="zh-CN" w:bidi="ar-SA"/>
    </w:rPr>
  </w:style>
  <w:style w:type="paragraph" w:styleId="6">
    <w:name w:val="heading 1"/>
    <w:basedOn w:val="1"/>
    <w:next w:val="1"/>
    <w:link w:val="71"/>
    <w:semiHidden/>
    <w:qFormat/>
    <w:uiPriority w:val="0"/>
    <w:pPr>
      <w:keepNext/>
      <w:keepLines/>
      <w:spacing w:before="340" w:after="330" w:line="578" w:lineRule="auto"/>
      <w:outlineLvl w:val="0"/>
    </w:pPr>
    <w:rPr>
      <w:b/>
      <w:bCs/>
      <w:kern w:val="44"/>
      <w:sz w:val="44"/>
      <w:szCs w:val="44"/>
    </w:rPr>
  </w:style>
  <w:style w:type="paragraph" w:styleId="7">
    <w:name w:val="heading 2"/>
    <w:basedOn w:val="1"/>
    <w:next w:val="1"/>
    <w:link w:val="85"/>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8">
    <w:name w:val="heading 3"/>
    <w:basedOn w:val="1"/>
    <w:next w:val="1"/>
    <w:link w:val="115"/>
    <w:semiHidden/>
    <w:qFormat/>
    <w:uiPriority w:val="0"/>
    <w:pPr>
      <w:keepNext/>
      <w:keepLines/>
      <w:spacing w:line="416" w:lineRule="auto"/>
      <w:outlineLvl w:val="2"/>
    </w:pPr>
    <w:rPr>
      <w:b/>
      <w:bCs/>
      <w:sz w:val="32"/>
      <w:szCs w:val="32"/>
    </w:rPr>
  </w:style>
  <w:style w:type="paragraph" w:styleId="9">
    <w:name w:val="heading 4"/>
    <w:basedOn w:val="1"/>
    <w:next w:val="1"/>
    <w:link w:val="81"/>
    <w:semiHidden/>
    <w:qFormat/>
    <w:uiPriority w:val="0"/>
    <w:pPr>
      <w:keepNext/>
      <w:keepLines/>
      <w:spacing w:line="360" w:lineRule="auto"/>
      <w:outlineLvl w:val="3"/>
    </w:pPr>
    <w:rPr>
      <w:rFonts w:ascii="Arial" w:hAnsi="Arial"/>
      <w:b/>
      <w:bCs/>
      <w:szCs w:val="28"/>
    </w:rPr>
  </w:style>
  <w:style w:type="paragraph" w:styleId="10">
    <w:name w:val="heading 5"/>
    <w:basedOn w:val="1"/>
    <w:next w:val="1"/>
    <w:link w:val="82"/>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5">
    <w:name w:val="Default Paragraph Font"/>
    <w:semiHidden/>
    <w:unhideWhenUsed/>
    <w:qFormat/>
    <w:uiPriority w:val="1"/>
  </w:style>
  <w:style w:type="table" w:default="1" w:styleId="33">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3"/>
    <w:link w:val="45"/>
    <w:semiHidden/>
    <w:qFormat/>
    <w:uiPriority w:val="98"/>
    <w:rPr>
      <w:rFonts w:ascii="仿宋_GB2312" w:eastAsia="仿宋_GB2312"/>
      <w:sz w:val="32"/>
    </w:rPr>
  </w:style>
  <w:style w:type="paragraph" w:customStyle="1" w:styleId="3">
    <w:name w:val="一级条标题"/>
    <w:basedOn w:val="4"/>
    <w:next w:val="5"/>
    <w:qFormat/>
    <w:uiPriority w:val="0"/>
    <w:pPr>
      <w:tabs>
        <w:tab w:val="left" w:pos="360"/>
        <w:tab w:val="left" w:pos="840"/>
      </w:tabs>
      <w:ind w:hanging="840"/>
      <w:outlineLvl w:val="1"/>
    </w:pPr>
  </w:style>
  <w:style w:type="paragraph" w:customStyle="1" w:styleId="4">
    <w:name w:val="章标题"/>
    <w:next w:val="1"/>
    <w:qFormat/>
    <w:uiPriority w:val="0"/>
    <w:pPr>
      <w:spacing w:before="156" w:beforeLines="50" w:after="156" w:afterLines="50"/>
      <w:jc w:val="both"/>
      <w:outlineLvl w:val="1"/>
    </w:pPr>
    <w:rPr>
      <w:rFonts w:ascii="黑体" w:hAnsi="Times New Roman" w:eastAsia="黑体" w:cs="Times New Roman"/>
      <w:sz w:val="24"/>
      <w:lang w:val="en-US" w:eastAsia="zh-CN" w:bidi="ar-SA"/>
    </w:rPr>
  </w:style>
  <w:style w:type="paragraph" w:customStyle="1" w:styleId="5">
    <w:name w:val="段"/>
    <w:next w:val="1"/>
    <w:qFormat/>
    <w:uiPriority w:val="0"/>
    <w:pPr>
      <w:autoSpaceDE w:val="0"/>
      <w:autoSpaceDN w:val="0"/>
      <w:ind w:firstLine="200" w:firstLineChars="200"/>
      <w:jc w:val="both"/>
    </w:pPr>
    <w:rPr>
      <w:rFonts w:ascii="??" w:hAnsi="??" w:eastAsia="??" w:cs="宋体"/>
      <w:color w:val="000000"/>
      <w:szCs w:val="28"/>
      <w:lang w:val="en-US" w:eastAsia="zh-CN" w:bidi="ar-SA"/>
    </w:rPr>
  </w:style>
  <w:style w:type="paragraph" w:styleId="11">
    <w:name w:val="E-mail Signature"/>
    <w:basedOn w:val="1"/>
    <w:link w:val="108"/>
    <w:semiHidden/>
    <w:qFormat/>
    <w:uiPriority w:val="99"/>
    <w:pPr>
      <w:spacing w:after="200" w:line="276" w:lineRule="auto"/>
      <w:jc w:val="left"/>
    </w:pPr>
    <w:rPr>
      <w:rFonts w:ascii="Calibri" w:hAnsi="Calibri"/>
      <w:kern w:val="0"/>
      <w:szCs w:val="21"/>
    </w:rPr>
  </w:style>
  <w:style w:type="paragraph" w:styleId="12">
    <w:name w:val="caption"/>
    <w:basedOn w:val="1"/>
    <w:next w:val="1"/>
    <w:semiHidden/>
    <w:qFormat/>
    <w:uiPriority w:val="98"/>
    <w:pPr>
      <w:spacing w:before="152" w:after="160"/>
    </w:pPr>
    <w:rPr>
      <w:rFonts w:ascii="Arial" w:hAnsi="Arial" w:eastAsia="黑体" w:cs="Arial"/>
      <w:sz w:val="20"/>
    </w:rPr>
  </w:style>
  <w:style w:type="paragraph" w:styleId="13">
    <w:name w:val="Document Map"/>
    <w:basedOn w:val="1"/>
    <w:link w:val="97"/>
    <w:semiHidden/>
    <w:qFormat/>
    <w:uiPriority w:val="0"/>
    <w:pPr>
      <w:adjustRightInd w:val="0"/>
      <w:spacing w:line="312" w:lineRule="atLeast"/>
      <w:textAlignment w:val="baseline"/>
    </w:pPr>
    <w:rPr>
      <w:rFonts w:ascii="宋体"/>
      <w:kern w:val="0"/>
      <w:sz w:val="18"/>
      <w:szCs w:val="18"/>
    </w:rPr>
  </w:style>
  <w:style w:type="paragraph" w:styleId="14">
    <w:name w:val="annotation text"/>
    <w:basedOn w:val="1"/>
    <w:link w:val="49"/>
    <w:qFormat/>
    <w:uiPriority w:val="99"/>
    <w:pPr>
      <w:jc w:val="left"/>
    </w:pPr>
  </w:style>
  <w:style w:type="paragraph" w:styleId="15">
    <w:name w:val="Body Text Indent"/>
    <w:basedOn w:val="1"/>
    <w:next w:val="1"/>
    <w:link w:val="52"/>
    <w:semiHidden/>
    <w:qFormat/>
    <w:uiPriority w:val="0"/>
    <w:pPr>
      <w:spacing w:after="120"/>
      <w:ind w:left="420" w:leftChars="200"/>
    </w:pPr>
    <w:rPr>
      <w:rFonts w:ascii="Calibri" w:hAnsi="Calibri"/>
      <w:szCs w:val="22"/>
    </w:rPr>
  </w:style>
  <w:style w:type="paragraph" w:styleId="16">
    <w:name w:val="toc 3"/>
    <w:basedOn w:val="1"/>
    <w:next w:val="1"/>
    <w:semiHidden/>
    <w:qFormat/>
    <w:uiPriority w:val="39"/>
    <w:pPr>
      <w:adjustRightInd w:val="0"/>
      <w:spacing w:line="312" w:lineRule="atLeast"/>
      <w:ind w:left="840" w:leftChars="400"/>
      <w:textAlignment w:val="baseline"/>
    </w:pPr>
    <w:rPr>
      <w:kern w:val="0"/>
      <w:sz w:val="24"/>
    </w:rPr>
  </w:style>
  <w:style w:type="paragraph" w:styleId="17">
    <w:name w:val="Plain Text"/>
    <w:basedOn w:val="1"/>
    <w:link w:val="54"/>
    <w:qFormat/>
    <w:uiPriority w:val="0"/>
    <w:rPr>
      <w:rFonts w:ascii="宋体" w:hAnsi="Courier New"/>
    </w:rPr>
  </w:style>
  <w:style w:type="paragraph" w:styleId="18">
    <w:name w:val="Date"/>
    <w:basedOn w:val="1"/>
    <w:next w:val="1"/>
    <w:link w:val="91"/>
    <w:semiHidden/>
    <w:qFormat/>
    <w:uiPriority w:val="0"/>
    <w:pPr>
      <w:adjustRightInd w:val="0"/>
      <w:spacing w:line="312" w:lineRule="atLeast"/>
      <w:ind w:left="100" w:leftChars="2500"/>
      <w:textAlignment w:val="baseline"/>
    </w:pPr>
    <w:rPr>
      <w:kern w:val="0"/>
      <w:sz w:val="24"/>
    </w:rPr>
  </w:style>
  <w:style w:type="paragraph" w:styleId="19">
    <w:name w:val="Body Text Indent 2"/>
    <w:basedOn w:val="1"/>
    <w:link w:val="90"/>
    <w:semiHidden/>
    <w:qFormat/>
    <w:uiPriority w:val="0"/>
    <w:pPr>
      <w:adjustRightInd w:val="0"/>
      <w:spacing w:after="120" w:line="480" w:lineRule="auto"/>
      <w:ind w:left="420" w:leftChars="200"/>
      <w:textAlignment w:val="baseline"/>
    </w:pPr>
    <w:rPr>
      <w:kern w:val="0"/>
      <w:sz w:val="24"/>
    </w:rPr>
  </w:style>
  <w:style w:type="paragraph" w:styleId="20">
    <w:name w:val="Balloon Text"/>
    <w:basedOn w:val="1"/>
    <w:link w:val="51"/>
    <w:semiHidden/>
    <w:qFormat/>
    <w:uiPriority w:val="0"/>
    <w:rPr>
      <w:sz w:val="18"/>
      <w:szCs w:val="18"/>
    </w:rPr>
  </w:style>
  <w:style w:type="paragraph" w:styleId="21">
    <w:name w:val="footer"/>
    <w:basedOn w:val="1"/>
    <w:link w:val="46"/>
    <w:qFormat/>
    <w:uiPriority w:val="99"/>
    <w:pPr>
      <w:tabs>
        <w:tab w:val="center" w:pos="4153"/>
        <w:tab w:val="right" w:pos="8306"/>
      </w:tabs>
      <w:snapToGrid w:val="0"/>
      <w:jc w:val="left"/>
    </w:pPr>
    <w:rPr>
      <w:sz w:val="18"/>
      <w:szCs w:val="18"/>
    </w:rPr>
  </w:style>
  <w:style w:type="paragraph" w:styleId="22">
    <w:name w:val="header"/>
    <w:basedOn w:val="1"/>
    <w:link w:val="56"/>
    <w:semiHidden/>
    <w:qFormat/>
    <w:uiPriority w:val="0"/>
    <w:pPr>
      <w:pBdr>
        <w:bottom w:val="single" w:color="auto" w:sz="6" w:space="1"/>
      </w:pBdr>
      <w:tabs>
        <w:tab w:val="center" w:pos="4153"/>
        <w:tab w:val="right" w:pos="8306"/>
      </w:tabs>
      <w:snapToGrid w:val="0"/>
      <w:jc w:val="center"/>
    </w:pPr>
    <w:rPr>
      <w:sz w:val="18"/>
      <w:szCs w:val="18"/>
    </w:rPr>
  </w:style>
  <w:style w:type="paragraph" w:styleId="23">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4">
    <w:name w:val="List"/>
    <w:basedOn w:val="1"/>
    <w:qFormat/>
    <w:uiPriority w:val="0"/>
    <w:pPr>
      <w:ind w:left="200" w:hanging="200" w:hangingChars="200"/>
    </w:pPr>
    <w:rPr>
      <w:szCs w:val="21"/>
    </w:rPr>
  </w:style>
  <w:style w:type="paragraph" w:styleId="25">
    <w:name w:val="Body Text Indent 3"/>
    <w:basedOn w:val="1"/>
    <w:link w:val="87"/>
    <w:semiHidden/>
    <w:qFormat/>
    <w:uiPriority w:val="0"/>
    <w:pPr>
      <w:spacing w:line="360" w:lineRule="auto"/>
      <w:ind w:left="1347" w:leftChars="413" w:hanging="480" w:hangingChars="200"/>
    </w:pPr>
    <w:rPr>
      <w:rFonts w:ascii="宋体" w:hAnsi="宋体"/>
      <w:color w:val="FF0000"/>
      <w:sz w:val="24"/>
      <w:szCs w:val="24"/>
    </w:rPr>
  </w:style>
  <w:style w:type="paragraph" w:styleId="26">
    <w:name w:val="index 9"/>
    <w:basedOn w:val="1"/>
    <w:next w:val="1"/>
    <w:semiHidden/>
    <w:qFormat/>
    <w:uiPriority w:val="98"/>
    <w:pPr>
      <w:ind w:left="1600" w:leftChars="1600"/>
    </w:pPr>
  </w:style>
  <w:style w:type="paragraph" w:styleId="27">
    <w:name w:val="toc 2"/>
    <w:basedOn w:val="1"/>
    <w:next w:val="1"/>
    <w:qFormat/>
    <w:uiPriority w:val="39"/>
    <w:pPr>
      <w:ind w:left="420" w:leftChars="200"/>
    </w:pPr>
  </w:style>
  <w:style w:type="paragraph" w:styleId="28">
    <w:name w:val="Message Header"/>
    <w:basedOn w:val="1"/>
    <w:link w:val="112"/>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9">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30">
    <w:name w:val="Title"/>
    <w:basedOn w:val="1"/>
    <w:next w:val="1"/>
    <w:link w:val="74"/>
    <w:semiHidden/>
    <w:qFormat/>
    <w:uiPriority w:val="0"/>
    <w:pPr>
      <w:spacing w:before="240" w:after="60"/>
      <w:jc w:val="center"/>
      <w:outlineLvl w:val="0"/>
    </w:pPr>
    <w:rPr>
      <w:rFonts w:eastAsia="黑体" w:asciiTheme="majorHAnsi" w:hAnsiTheme="majorHAnsi" w:cstheme="majorBidi"/>
      <w:b/>
      <w:bCs/>
      <w:sz w:val="36"/>
      <w:szCs w:val="32"/>
    </w:rPr>
  </w:style>
  <w:style w:type="paragraph" w:styleId="31">
    <w:name w:val="annotation subject"/>
    <w:basedOn w:val="14"/>
    <w:next w:val="14"/>
    <w:link w:val="57"/>
    <w:semiHidden/>
    <w:qFormat/>
    <w:uiPriority w:val="98"/>
    <w:rPr>
      <w:b/>
      <w:bCs/>
    </w:rPr>
  </w:style>
  <w:style w:type="paragraph" w:styleId="32">
    <w:name w:val="Body Text First Indent 2"/>
    <w:basedOn w:val="15"/>
    <w:next w:val="27"/>
    <w:qFormat/>
    <w:uiPriority w:val="0"/>
    <w:pPr>
      <w:spacing w:line="276" w:lineRule="auto"/>
      <w:ind w:left="200" w:firstLine="200" w:firstLineChars="200"/>
      <w:jc w:val="left"/>
    </w:pPr>
  </w:style>
  <w:style w:type="table" w:styleId="34">
    <w:name w:val="Table Grid"/>
    <w:basedOn w:val="3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6">
    <w:name w:val="Strong"/>
    <w:semiHidden/>
    <w:qFormat/>
    <w:uiPriority w:val="98"/>
    <w:rPr>
      <w:b/>
    </w:rPr>
  </w:style>
  <w:style w:type="character" w:styleId="37">
    <w:name w:val="page number"/>
    <w:basedOn w:val="35"/>
    <w:semiHidden/>
    <w:qFormat/>
    <w:uiPriority w:val="0"/>
  </w:style>
  <w:style w:type="character" w:styleId="38">
    <w:name w:val="FollowedHyperlink"/>
    <w:semiHidden/>
    <w:qFormat/>
    <w:uiPriority w:val="98"/>
    <w:rPr>
      <w:color w:val="800080"/>
      <w:u w:val="single"/>
    </w:rPr>
  </w:style>
  <w:style w:type="character" w:styleId="39">
    <w:name w:val="Emphasis"/>
    <w:semiHidden/>
    <w:qFormat/>
    <w:uiPriority w:val="98"/>
    <w:rPr>
      <w:i/>
      <w:iCs/>
    </w:rPr>
  </w:style>
  <w:style w:type="character" w:styleId="40">
    <w:name w:val="Hyperlink"/>
    <w:basedOn w:val="35"/>
    <w:qFormat/>
    <w:uiPriority w:val="99"/>
    <w:rPr>
      <w:rFonts w:cs="Times New Roman"/>
      <w:color w:val="1F4F88"/>
      <w:u w:val="none"/>
    </w:rPr>
  </w:style>
  <w:style w:type="character" w:styleId="41">
    <w:name w:val="annotation reference"/>
    <w:semiHidden/>
    <w:qFormat/>
    <w:uiPriority w:val="98"/>
    <w:rPr>
      <w:sz w:val="21"/>
      <w:szCs w:val="21"/>
    </w:rPr>
  </w:style>
  <w:style w:type="paragraph" w:customStyle="1" w:styleId="42">
    <w:name w:val="正文 Char Char"/>
    <w:qFormat/>
    <w:uiPriority w:val="0"/>
    <w:pPr>
      <w:spacing w:after="200" w:line="276" w:lineRule="auto"/>
      <w:jc w:val="both"/>
    </w:pPr>
    <w:rPr>
      <w:rFonts w:ascii="Times New Roman" w:hAnsi="Times New Roman" w:eastAsia="宋体" w:cs="Times New Roman"/>
      <w:b/>
      <w:sz w:val="21"/>
      <w:szCs w:val="22"/>
      <w:lang w:val="en-US" w:eastAsia="zh-CN" w:bidi="ar-SA"/>
    </w:rPr>
  </w:style>
  <w:style w:type="character" w:customStyle="1" w:styleId="43">
    <w:name w:val="Char Char3"/>
    <w:semiHidden/>
    <w:qFormat/>
    <w:uiPriority w:val="98"/>
    <w:rPr>
      <w:rFonts w:ascii="宋体" w:hAnsi="Courier New" w:eastAsia="宋体"/>
      <w:kern w:val="2"/>
      <w:sz w:val="21"/>
      <w:lang w:val="en-US" w:eastAsia="zh-CN" w:bidi="ar-SA"/>
    </w:rPr>
  </w:style>
  <w:style w:type="character" w:customStyle="1" w:styleId="44">
    <w:name w:val="纯文本 Char"/>
    <w:semiHidden/>
    <w:qFormat/>
    <w:uiPriority w:val="98"/>
    <w:rPr>
      <w:rFonts w:ascii="宋体" w:hAnsi="Courier New" w:eastAsia="宋体"/>
      <w:kern w:val="2"/>
      <w:sz w:val="21"/>
      <w:lang w:val="en-US" w:eastAsia="zh-CN" w:bidi="ar-SA"/>
    </w:rPr>
  </w:style>
  <w:style w:type="character" w:customStyle="1" w:styleId="45">
    <w:name w:val="正文文本 字符"/>
    <w:link w:val="2"/>
    <w:semiHidden/>
    <w:qFormat/>
    <w:uiPriority w:val="98"/>
    <w:rPr>
      <w:rFonts w:ascii="仿宋_GB2312" w:eastAsia="仿宋_GB2312"/>
      <w:kern w:val="2"/>
      <w:sz w:val="32"/>
    </w:rPr>
  </w:style>
  <w:style w:type="character" w:customStyle="1" w:styleId="46">
    <w:name w:val="页脚 字符"/>
    <w:link w:val="21"/>
    <w:qFormat/>
    <w:uiPriority w:val="99"/>
    <w:rPr>
      <w:kern w:val="2"/>
      <w:sz w:val="18"/>
      <w:szCs w:val="18"/>
    </w:rPr>
  </w:style>
  <w:style w:type="character" w:customStyle="1" w:styleId="47">
    <w:name w:val="标题 3 字符"/>
    <w:semiHidden/>
    <w:qFormat/>
    <w:uiPriority w:val="0"/>
    <w:rPr>
      <w:b/>
      <w:bCs/>
      <w:kern w:val="2"/>
      <w:sz w:val="32"/>
      <w:szCs w:val="32"/>
    </w:rPr>
  </w:style>
  <w:style w:type="character" w:customStyle="1" w:styleId="48">
    <w:name w:val="正文文本 Char"/>
    <w:semiHidden/>
    <w:qFormat/>
    <w:uiPriority w:val="98"/>
    <w:rPr>
      <w:rFonts w:ascii="仿宋_GB2312" w:eastAsia="仿宋_GB2312"/>
      <w:kern w:val="2"/>
      <w:sz w:val="32"/>
    </w:rPr>
  </w:style>
  <w:style w:type="character" w:customStyle="1" w:styleId="49">
    <w:name w:val="批注文字 字符"/>
    <w:link w:val="14"/>
    <w:qFormat/>
    <w:uiPriority w:val="99"/>
    <w:rPr>
      <w:kern w:val="2"/>
      <w:sz w:val="21"/>
    </w:rPr>
  </w:style>
  <w:style w:type="character" w:customStyle="1" w:styleId="50">
    <w:name w:val="apple-converted-space"/>
    <w:basedOn w:val="35"/>
    <w:semiHidden/>
    <w:qFormat/>
    <w:uiPriority w:val="98"/>
  </w:style>
  <w:style w:type="character" w:customStyle="1" w:styleId="51">
    <w:name w:val="批注框文本 字符"/>
    <w:link w:val="20"/>
    <w:semiHidden/>
    <w:qFormat/>
    <w:uiPriority w:val="98"/>
    <w:rPr>
      <w:kern w:val="2"/>
      <w:sz w:val="18"/>
      <w:szCs w:val="18"/>
    </w:rPr>
  </w:style>
  <w:style w:type="character" w:customStyle="1" w:styleId="52">
    <w:name w:val="正文文本缩进 字符"/>
    <w:link w:val="15"/>
    <w:semiHidden/>
    <w:qFormat/>
    <w:uiPriority w:val="0"/>
    <w:rPr>
      <w:rFonts w:ascii="Calibri" w:hAnsi="Calibri"/>
      <w:kern w:val="2"/>
      <w:sz w:val="21"/>
      <w:szCs w:val="22"/>
    </w:rPr>
  </w:style>
  <w:style w:type="character" w:customStyle="1" w:styleId="53">
    <w:name w:val="Char Char5"/>
    <w:semiHidden/>
    <w:qFormat/>
    <w:uiPriority w:val="98"/>
    <w:rPr>
      <w:rFonts w:ascii="宋体" w:hAnsi="Courier New" w:eastAsia="宋体"/>
      <w:kern w:val="2"/>
      <w:sz w:val="21"/>
      <w:lang w:val="en-US" w:eastAsia="zh-CN" w:bidi="ar-SA"/>
    </w:rPr>
  </w:style>
  <w:style w:type="character" w:customStyle="1" w:styleId="54">
    <w:name w:val="纯文本 字符1"/>
    <w:link w:val="17"/>
    <w:semiHidden/>
    <w:qFormat/>
    <w:uiPriority w:val="0"/>
    <w:rPr>
      <w:rFonts w:ascii="宋体" w:hAnsi="Courier New"/>
      <w:kern w:val="2"/>
      <w:sz w:val="21"/>
    </w:rPr>
  </w:style>
  <w:style w:type="character" w:customStyle="1" w:styleId="55">
    <w:name w:val="纯文本 字符"/>
    <w:semiHidden/>
    <w:qFormat/>
    <w:uiPriority w:val="98"/>
    <w:rPr>
      <w:rFonts w:ascii="宋体" w:hAnsi="Courier New" w:eastAsia="宋体"/>
    </w:rPr>
  </w:style>
  <w:style w:type="character" w:customStyle="1" w:styleId="56">
    <w:name w:val="页眉 字符"/>
    <w:link w:val="22"/>
    <w:semiHidden/>
    <w:qFormat/>
    <w:uiPriority w:val="0"/>
    <w:rPr>
      <w:kern w:val="2"/>
      <w:sz w:val="18"/>
      <w:szCs w:val="18"/>
    </w:rPr>
  </w:style>
  <w:style w:type="character" w:customStyle="1" w:styleId="57">
    <w:name w:val="批注主题 字符"/>
    <w:link w:val="31"/>
    <w:semiHidden/>
    <w:qFormat/>
    <w:uiPriority w:val="98"/>
    <w:rPr>
      <w:b/>
      <w:bCs/>
      <w:kern w:val="2"/>
      <w:sz w:val="21"/>
    </w:rPr>
  </w:style>
  <w:style w:type="character" w:customStyle="1" w:styleId="58">
    <w:name w:val="Char Char2"/>
    <w:semiHidden/>
    <w:qFormat/>
    <w:uiPriority w:val="98"/>
    <w:rPr>
      <w:rFonts w:ascii="宋体" w:hAnsi="Courier New" w:cs="宋体"/>
      <w:kern w:val="2"/>
      <w:sz w:val="21"/>
      <w:szCs w:val="21"/>
    </w:rPr>
  </w:style>
  <w:style w:type="character" w:customStyle="1" w:styleId="59">
    <w:name w:val="HTML Markup"/>
    <w:semiHidden/>
    <w:qFormat/>
    <w:uiPriority w:val="98"/>
    <w:rPr>
      <w:vanish/>
      <w:color w:val="FF0000"/>
    </w:rPr>
  </w:style>
  <w:style w:type="character" w:customStyle="1" w:styleId="60">
    <w:name w:val="纯文本 Char3"/>
    <w:semiHidden/>
    <w:qFormat/>
    <w:uiPriority w:val="98"/>
    <w:rPr>
      <w:rFonts w:ascii="宋体" w:hAnsi="Courier New" w:eastAsia="宋体"/>
      <w:kern w:val="2"/>
      <w:sz w:val="21"/>
      <w:lang w:val="en-US" w:eastAsia="zh-CN" w:bidi="ar-SA"/>
    </w:rPr>
  </w:style>
  <w:style w:type="character" w:customStyle="1" w:styleId="61">
    <w:name w:val="正文文本缩进 Char"/>
    <w:link w:val="62"/>
    <w:semiHidden/>
    <w:qFormat/>
    <w:uiPriority w:val="98"/>
    <w:rPr>
      <w:kern w:val="2"/>
      <w:sz w:val="21"/>
    </w:rPr>
  </w:style>
  <w:style w:type="paragraph" w:customStyle="1" w:styleId="62">
    <w:name w:val="正文文本缩进1"/>
    <w:basedOn w:val="1"/>
    <w:link w:val="61"/>
    <w:semiHidden/>
    <w:qFormat/>
    <w:uiPriority w:val="98"/>
    <w:pPr>
      <w:spacing w:after="120"/>
      <w:ind w:left="420" w:leftChars="200"/>
    </w:pPr>
  </w:style>
  <w:style w:type="paragraph" w:customStyle="1" w:styleId="63">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4">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5">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6">
    <w:name w:val="List Paragraph"/>
    <w:basedOn w:val="1"/>
    <w:qFormat/>
    <w:uiPriority w:val="34"/>
    <w:pPr>
      <w:ind w:firstLine="420" w:firstLineChars="200"/>
    </w:pPr>
    <w:rPr>
      <w:rFonts w:ascii="Calibri" w:hAnsi="Calibri"/>
      <w:szCs w:val="22"/>
    </w:rPr>
  </w:style>
  <w:style w:type="paragraph" w:customStyle="1" w:styleId="67">
    <w:name w:val="列出段落1"/>
    <w:basedOn w:val="1"/>
    <w:semiHidden/>
    <w:qFormat/>
    <w:uiPriority w:val="98"/>
    <w:pPr>
      <w:ind w:firstLine="420" w:firstLineChars="200"/>
    </w:pPr>
    <w:rPr>
      <w:rFonts w:ascii="Calibri" w:hAnsi="Calibri"/>
      <w:szCs w:val="22"/>
    </w:rPr>
  </w:style>
  <w:style w:type="paragraph" w:customStyle="1" w:styleId="68">
    <w:name w:val="二级列表 Char"/>
    <w:basedOn w:val="1"/>
    <w:semiHidden/>
    <w:qFormat/>
    <w:uiPriority w:val="98"/>
    <w:rPr>
      <w:rFonts w:ascii="Calibri" w:hAnsi="Calibri"/>
    </w:rPr>
  </w:style>
  <w:style w:type="paragraph" w:customStyle="1" w:styleId="69">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70">
    <w:name w:val="style61"/>
    <w:semiHidden/>
    <w:qFormat/>
    <w:uiPriority w:val="98"/>
  </w:style>
  <w:style w:type="character" w:customStyle="1" w:styleId="71">
    <w:name w:val="标题 1 字符"/>
    <w:basedOn w:val="35"/>
    <w:link w:val="6"/>
    <w:semiHidden/>
    <w:qFormat/>
    <w:uiPriority w:val="0"/>
    <w:rPr>
      <w:b/>
      <w:bCs/>
      <w:kern w:val="44"/>
      <w:sz w:val="44"/>
      <w:szCs w:val="44"/>
    </w:rPr>
  </w:style>
  <w:style w:type="paragraph" w:customStyle="1" w:styleId="72">
    <w:name w:val="TOC 标题1"/>
    <w:basedOn w:val="6"/>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3">
    <w:name w:val="标题 2 字符"/>
    <w:basedOn w:val="35"/>
    <w:semiHidden/>
    <w:qFormat/>
    <w:uiPriority w:val="0"/>
    <w:rPr>
      <w:rFonts w:asciiTheme="majorHAnsi" w:hAnsiTheme="majorHAnsi" w:eastAsiaTheme="majorEastAsia" w:cstheme="majorBidi"/>
      <w:b/>
      <w:bCs/>
      <w:kern w:val="2"/>
      <w:sz w:val="32"/>
      <w:szCs w:val="32"/>
    </w:rPr>
  </w:style>
  <w:style w:type="character" w:customStyle="1" w:styleId="74">
    <w:name w:val="标题 字符"/>
    <w:basedOn w:val="35"/>
    <w:link w:val="30"/>
    <w:semiHidden/>
    <w:qFormat/>
    <w:uiPriority w:val="0"/>
    <w:rPr>
      <w:rFonts w:eastAsia="黑体" w:asciiTheme="majorHAnsi" w:hAnsiTheme="majorHAnsi" w:cstheme="majorBidi"/>
      <w:b/>
      <w:bCs/>
      <w:kern w:val="2"/>
      <w:sz w:val="36"/>
      <w:szCs w:val="32"/>
    </w:rPr>
  </w:style>
  <w:style w:type="paragraph" w:customStyle="1" w:styleId="75">
    <w:name w:val="章节"/>
    <w:basedOn w:val="17"/>
    <w:qFormat/>
    <w:uiPriority w:val="0"/>
    <w:pPr>
      <w:spacing w:line="360" w:lineRule="auto"/>
      <w:jc w:val="center"/>
      <w:outlineLvl w:val="0"/>
    </w:pPr>
    <w:rPr>
      <w:rFonts w:ascii="黑体" w:eastAsia="黑体"/>
      <w:b/>
      <w:bCs/>
      <w:sz w:val="36"/>
      <w:szCs w:val="36"/>
    </w:rPr>
  </w:style>
  <w:style w:type="paragraph" w:customStyle="1" w:styleId="76">
    <w:name w:val="一级标题"/>
    <w:basedOn w:val="17"/>
    <w:qFormat/>
    <w:uiPriority w:val="1"/>
    <w:pPr>
      <w:numPr>
        <w:ilvl w:val="0"/>
        <w:numId w:val="2"/>
      </w:numPr>
      <w:spacing w:line="360" w:lineRule="auto"/>
      <w:ind w:left="420"/>
      <w:outlineLvl w:val="1"/>
    </w:pPr>
    <w:rPr>
      <w:rFonts w:ascii="黑体" w:eastAsia="黑体"/>
      <w:b/>
      <w:bCs/>
      <w:sz w:val="28"/>
    </w:rPr>
  </w:style>
  <w:style w:type="paragraph" w:customStyle="1" w:styleId="77">
    <w:name w:val="（二）级标题"/>
    <w:basedOn w:val="17"/>
    <w:qFormat/>
    <w:uiPriority w:val="2"/>
    <w:pPr>
      <w:numPr>
        <w:ilvl w:val="0"/>
        <w:numId w:val="3"/>
      </w:numPr>
      <w:spacing w:line="360" w:lineRule="auto"/>
      <w:outlineLvl w:val="2"/>
    </w:pPr>
    <w:rPr>
      <w:b/>
    </w:rPr>
  </w:style>
  <w:style w:type="paragraph" w:customStyle="1" w:styleId="78">
    <w:name w:val="3级标题"/>
    <w:basedOn w:val="17"/>
    <w:link w:val="106"/>
    <w:qFormat/>
    <w:uiPriority w:val="3"/>
    <w:pPr>
      <w:numPr>
        <w:ilvl w:val="0"/>
        <w:numId w:val="4"/>
      </w:numPr>
      <w:spacing w:line="360" w:lineRule="auto"/>
      <w:outlineLvl w:val="3"/>
    </w:pPr>
    <w:rPr>
      <w:b/>
    </w:rPr>
  </w:style>
  <w:style w:type="paragraph" w:customStyle="1" w:styleId="79">
    <w:name w:val="（4）级标题"/>
    <w:basedOn w:val="17"/>
    <w:qFormat/>
    <w:uiPriority w:val="8"/>
    <w:pPr>
      <w:numPr>
        <w:ilvl w:val="0"/>
        <w:numId w:val="5"/>
      </w:numPr>
      <w:spacing w:line="360" w:lineRule="auto"/>
      <w:outlineLvl w:val="4"/>
    </w:pPr>
  </w:style>
  <w:style w:type="paragraph" w:customStyle="1" w:styleId="80">
    <w:name w:val="标书正文"/>
    <w:basedOn w:val="17"/>
    <w:link w:val="101"/>
    <w:qFormat/>
    <w:uiPriority w:val="9"/>
    <w:pPr>
      <w:spacing w:line="360" w:lineRule="auto"/>
      <w:jc w:val="left"/>
    </w:pPr>
  </w:style>
  <w:style w:type="character" w:customStyle="1" w:styleId="81">
    <w:name w:val="标题 4 字符"/>
    <w:basedOn w:val="35"/>
    <w:link w:val="9"/>
    <w:semiHidden/>
    <w:qFormat/>
    <w:uiPriority w:val="0"/>
    <w:rPr>
      <w:rFonts w:ascii="Arial" w:hAnsi="Arial"/>
      <w:b/>
      <w:bCs/>
      <w:kern w:val="2"/>
      <w:sz w:val="21"/>
      <w:szCs w:val="28"/>
    </w:rPr>
  </w:style>
  <w:style w:type="character" w:customStyle="1" w:styleId="82">
    <w:name w:val="标题 5 字符"/>
    <w:basedOn w:val="35"/>
    <w:link w:val="10"/>
    <w:semiHidden/>
    <w:qFormat/>
    <w:uiPriority w:val="0"/>
    <w:rPr>
      <w:rFonts w:ascii="宋体" w:hAnsi="宋体"/>
      <w:bCs/>
      <w:iCs/>
      <w:color w:val="000000"/>
      <w:sz w:val="28"/>
      <w:szCs w:val="28"/>
    </w:rPr>
  </w:style>
  <w:style w:type="paragraph" w:customStyle="1" w:styleId="83">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4">
    <w:name w:val="case31"/>
    <w:qFormat/>
    <w:uiPriority w:val="0"/>
    <w:rPr>
      <w:rFonts w:hint="default" w:ascii="ˎ̥" w:hAnsi="ˎ̥"/>
      <w:sz w:val="21"/>
      <w:szCs w:val="21"/>
    </w:rPr>
  </w:style>
  <w:style w:type="character" w:customStyle="1" w:styleId="85">
    <w:name w:val="标题 2 字符1"/>
    <w:link w:val="7"/>
    <w:qFormat/>
    <w:uiPriority w:val="0"/>
    <w:rPr>
      <w:rFonts w:ascii="宋体" w:hAnsi="宋体"/>
      <w:bCs/>
      <w:sz w:val="24"/>
      <w:szCs w:val="32"/>
    </w:rPr>
  </w:style>
  <w:style w:type="character" w:customStyle="1" w:styleId="86">
    <w:name w:val="标题 Char"/>
    <w:qFormat/>
    <w:uiPriority w:val="0"/>
    <w:rPr>
      <w:rFonts w:ascii="宋体" w:hAnsi="宋体" w:cs="Times New Roman"/>
      <w:b/>
      <w:bCs/>
      <w:sz w:val="24"/>
      <w:szCs w:val="32"/>
    </w:rPr>
  </w:style>
  <w:style w:type="character" w:customStyle="1" w:styleId="87">
    <w:name w:val="正文文本缩进 3 字符"/>
    <w:basedOn w:val="35"/>
    <w:link w:val="25"/>
    <w:semiHidden/>
    <w:qFormat/>
    <w:uiPriority w:val="0"/>
    <w:rPr>
      <w:rFonts w:ascii="宋体" w:hAnsi="宋体"/>
      <w:color w:val="FF0000"/>
      <w:kern w:val="2"/>
      <w:sz w:val="24"/>
      <w:szCs w:val="24"/>
    </w:rPr>
  </w:style>
  <w:style w:type="paragraph" w:customStyle="1" w:styleId="88">
    <w:name w:val="_Style 4"/>
    <w:basedOn w:val="6"/>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9">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90">
    <w:name w:val="正文文本缩进 2 字符"/>
    <w:basedOn w:val="35"/>
    <w:link w:val="19"/>
    <w:semiHidden/>
    <w:qFormat/>
    <w:uiPriority w:val="0"/>
    <w:rPr>
      <w:sz w:val="24"/>
    </w:rPr>
  </w:style>
  <w:style w:type="character" w:customStyle="1" w:styleId="91">
    <w:name w:val="日期 字符"/>
    <w:basedOn w:val="35"/>
    <w:link w:val="18"/>
    <w:semiHidden/>
    <w:qFormat/>
    <w:uiPriority w:val="0"/>
    <w:rPr>
      <w:sz w:val="24"/>
    </w:rPr>
  </w:style>
  <w:style w:type="paragraph" w:customStyle="1" w:styleId="92">
    <w:name w:val="Char1 Char Char Char Char Char Char"/>
    <w:basedOn w:val="1"/>
    <w:qFormat/>
    <w:uiPriority w:val="0"/>
    <w:rPr>
      <w:rFonts w:ascii="Tahoma" w:hAnsi="Tahoma"/>
      <w:sz w:val="24"/>
    </w:rPr>
  </w:style>
  <w:style w:type="paragraph" w:customStyle="1" w:styleId="93">
    <w:name w:val="样式1"/>
    <w:basedOn w:val="1"/>
    <w:qFormat/>
    <w:uiPriority w:val="0"/>
    <w:pPr>
      <w:adjustRightInd w:val="0"/>
      <w:spacing w:line="420" w:lineRule="auto"/>
      <w:jc w:val="center"/>
      <w:textAlignment w:val="baseline"/>
    </w:pPr>
    <w:rPr>
      <w:rFonts w:ascii="宋体"/>
      <w:kern w:val="0"/>
      <w:sz w:val="24"/>
    </w:rPr>
  </w:style>
  <w:style w:type="paragraph" w:customStyle="1" w:styleId="94">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5">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6">
    <w:name w:val="文档结构图 字符"/>
    <w:basedOn w:val="35"/>
    <w:semiHidden/>
    <w:qFormat/>
    <w:uiPriority w:val="98"/>
    <w:rPr>
      <w:rFonts w:ascii="Microsoft YaHei UI" w:eastAsia="Microsoft YaHei UI"/>
      <w:kern w:val="2"/>
      <w:sz w:val="18"/>
      <w:szCs w:val="18"/>
    </w:rPr>
  </w:style>
  <w:style w:type="character" w:customStyle="1" w:styleId="97">
    <w:name w:val="文档结构图 字符1"/>
    <w:basedOn w:val="35"/>
    <w:link w:val="13"/>
    <w:semiHidden/>
    <w:qFormat/>
    <w:uiPriority w:val="0"/>
    <w:rPr>
      <w:rFonts w:ascii="宋体"/>
      <w:sz w:val="18"/>
      <w:szCs w:val="18"/>
    </w:rPr>
  </w:style>
  <w:style w:type="paragraph" w:customStyle="1" w:styleId="98">
    <w:name w:val="表格"/>
    <w:basedOn w:val="1"/>
    <w:link w:val="99"/>
    <w:qFormat/>
    <w:uiPriority w:val="10"/>
    <w:rPr>
      <w:rFonts w:ascii="宋体" w:hAnsi="宋体"/>
      <w:szCs w:val="30"/>
    </w:rPr>
  </w:style>
  <w:style w:type="character" w:customStyle="1" w:styleId="99">
    <w:name w:val="表格 字符"/>
    <w:basedOn w:val="35"/>
    <w:link w:val="98"/>
    <w:qFormat/>
    <w:uiPriority w:val="10"/>
    <w:rPr>
      <w:rFonts w:ascii="宋体" w:hAnsi="宋体"/>
      <w:kern w:val="2"/>
      <w:sz w:val="21"/>
      <w:szCs w:val="30"/>
    </w:rPr>
  </w:style>
  <w:style w:type="paragraph" w:customStyle="1" w:styleId="100">
    <w:name w:val="5）级标题"/>
    <w:basedOn w:val="80"/>
    <w:link w:val="102"/>
    <w:qFormat/>
    <w:uiPriority w:val="11"/>
    <w:pPr>
      <w:numPr>
        <w:ilvl w:val="0"/>
        <w:numId w:val="7"/>
      </w:numPr>
      <w:ind w:firstLine="0"/>
    </w:pPr>
  </w:style>
  <w:style w:type="character" w:customStyle="1" w:styleId="101">
    <w:name w:val="标书正文 字符"/>
    <w:basedOn w:val="54"/>
    <w:link w:val="80"/>
    <w:qFormat/>
    <w:uiPriority w:val="9"/>
    <w:rPr>
      <w:rFonts w:ascii="宋体" w:hAnsi="Courier New"/>
      <w:kern w:val="2"/>
      <w:sz w:val="21"/>
    </w:rPr>
  </w:style>
  <w:style w:type="character" w:customStyle="1" w:styleId="102">
    <w:name w:val="5）级标题 字符"/>
    <w:basedOn w:val="101"/>
    <w:link w:val="100"/>
    <w:qFormat/>
    <w:uiPriority w:val="11"/>
    <w:rPr>
      <w:rFonts w:ascii="宋体" w:hAnsi="Courier New"/>
      <w:kern w:val="2"/>
      <w:sz w:val="21"/>
    </w:rPr>
  </w:style>
  <w:style w:type="paragraph" w:customStyle="1" w:styleId="103">
    <w:name w:val="样式 标题 4 + 段前: 5 磅 段后: 5 磅 行距: 单倍行距"/>
    <w:next w:val="26"/>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4">
    <w:name w:val="不明显强调1"/>
    <w:basedOn w:val="35"/>
    <w:qFormat/>
    <w:uiPriority w:val="19"/>
    <w:rPr>
      <w:rFonts w:eastAsia="宋体"/>
      <w:i/>
      <w:iCs/>
      <w:color w:val="auto"/>
      <w:sz w:val="21"/>
    </w:rPr>
  </w:style>
  <w:style w:type="paragraph" w:customStyle="1" w:styleId="105">
    <w:name w:val="⑥级标题"/>
    <w:basedOn w:val="78"/>
    <w:link w:val="107"/>
    <w:qFormat/>
    <w:uiPriority w:val="12"/>
    <w:pPr>
      <w:numPr>
        <w:numId w:val="8"/>
      </w:numPr>
    </w:pPr>
  </w:style>
  <w:style w:type="character" w:customStyle="1" w:styleId="106">
    <w:name w:val="3级标题 字符"/>
    <w:basedOn w:val="54"/>
    <w:link w:val="78"/>
    <w:qFormat/>
    <w:uiPriority w:val="3"/>
    <w:rPr>
      <w:rFonts w:ascii="宋体" w:hAnsi="Courier New"/>
      <w:b/>
      <w:kern w:val="2"/>
      <w:sz w:val="21"/>
    </w:rPr>
  </w:style>
  <w:style w:type="character" w:customStyle="1" w:styleId="107">
    <w:name w:val="⑥级标题 字符"/>
    <w:basedOn w:val="106"/>
    <w:link w:val="105"/>
    <w:qFormat/>
    <w:uiPriority w:val="12"/>
    <w:rPr>
      <w:rFonts w:ascii="宋体" w:hAnsi="Courier New"/>
      <w:kern w:val="2"/>
      <w:sz w:val="21"/>
    </w:rPr>
  </w:style>
  <w:style w:type="character" w:customStyle="1" w:styleId="108">
    <w:name w:val="电子邮件签名 字符"/>
    <w:link w:val="11"/>
    <w:semiHidden/>
    <w:qFormat/>
    <w:locked/>
    <w:uiPriority w:val="99"/>
    <w:rPr>
      <w:sz w:val="21"/>
      <w:szCs w:val="21"/>
    </w:rPr>
  </w:style>
  <w:style w:type="character" w:customStyle="1" w:styleId="109">
    <w:name w:val="电子邮件签名 字符1"/>
    <w:basedOn w:val="35"/>
    <w:semiHidden/>
    <w:qFormat/>
    <w:uiPriority w:val="98"/>
    <w:rPr>
      <w:rFonts w:ascii="Times New Roman" w:hAnsi="Times New Roman"/>
      <w:kern w:val="2"/>
      <w:sz w:val="21"/>
    </w:rPr>
  </w:style>
  <w:style w:type="character" w:customStyle="1" w:styleId="110">
    <w:name w:val="HR正文 Char"/>
    <w:link w:val="111"/>
    <w:qFormat/>
    <w:uiPriority w:val="0"/>
    <w:rPr>
      <w:kern w:val="2"/>
      <w:sz w:val="24"/>
      <w:szCs w:val="24"/>
    </w:rPr>
  </w:style>
  <w:style w:type="paragraph" w:customStyle="1" w:styleId="111">
    <w:name w:val="HR正文"/>
    <w:basedOn w:val="1"/>
    <w:link w:val="110"/>
    <w:qFormat/>
    <w:uiPriority w:val="0"/>
    <w:pPr>
      <w:spacing w:line="300" w:lineRule="auto"/>
      <w:ind w:firstLine="200" w:firstLineChars="200"/>
    </w:pPr>
    <w:rPr>
      <w:rFonts w:ascii="Calibri" w:hAnsi="Calibri"/>
      <w:sz w:val="24"/>
      <w:szCs w:val="24"/>
    </w:rPr>
  </w:style>
  <w:style w:type="character" w:customStyle="1" w:styleId="112">
    <w:name w:val="信息标题 字符"/>
    <w:link w:val="28"/>
    <w:semiHidden/>
    <w:qFormat/>
    <w:locked/>
    <w:uiPriority w:val="99"/>
    <w:rPr>
      <w:rFonts w:ascii="Cambria" w:hAnsi="Cambria" w:cs="Cambria"/>
      <w:sz w:val="24"/>
      <w:szCs w:val="24"/>
      <w:shd w:val="pct20" w:color="auto" w:fill="auto"/>
    </w:rPr>
  </w:style>
  <w:style w:type="character" w:customStyle="1" w:styleId="113">
    <w:name w:val="信息标题 字符1"/>
    <w:basedOn w:val="35"/>
    <w:semiHidden/>
    <w:qFormat/>
    <w:uiPriority w:val="98"/>
    <w:rPr>
      <w:rFonts w:asciiTheme="majorHAnsi" w:hAnsiTheme="majorHAnsi" w:eastAsiaTheme="majorEastAsia" w:cstheme="majorBidi"/>
      <w:kern w:val="2"/>
      <w:sz w:val="24"/>
      <w:szCs w:val="24"/>
      <w:shd w:val="pct20" w:color="auto" w:fill="auto"/>
    </w:rPr>
  </w:style>
  <w:style w:type="character" w:customStyle="1" w:styleId="114">
    <w:name w:val="页眉 Char1"/>
    <w:semiHidden/>
    <w:qFormat/>
    <w:locked/>
    <w:uiPriority w:val="0"/>
    <w:rPr>
      <w:rFonts w:ascii="Calibri" w:hAnsi="Calibri"/>
      <w:sz w:val="18"/>
      <w:szCs w:val="18"/>
    </w:rPr>
  </w:style>
  <w:style w:type="character" w:customStyle="1" w:styleId="115">
    <w:name w:val="标题 3 字符1"/>
    <w:link w:val="8"/>
    <w:qFormat/>
    <w:uiPriority w:val="0"/>
    <w:rPr>
      <w:b/>
      <w:sz w:val="32"/>
    </w:rPr>
  </w:style>
  <w:style w:type="paragraph" w:customStyle="1" w:styleId="116">
    <w:name w:val="Table Paragraph"/>
    <w:basedOn w:val="1"/>
    <w:qFormat/>
    <w:uiPriority w:val="1"/>
    <w:rPr>
      <w:rFonts w:ascii="宋体" w:hAnsi="宋体" w:cs="宋体"/>
    </w:rPr>
  </w:style>
  <w:style w:type="table" w:customStyle="1" w:styleId="117">
    <w:name w:val="Table Normal"/>
    <w:qFormat/>
    <w:uiPriority w:val="0"/>
    <w:tblPr>
      <w:tblCellMar>
        <w:top w:w="0" w:type="dxa"/>
        <w:left w:w="0" w:type="dxa"/>
        <w:bottom w:w="0" w:type="dxa"/>
        <w:right w:w="0" w:type="dxa"/>
      </w:tblCellMar>
    </w:tblPr>
  </w:style>
  <w:style w:type="paragraph" w:styleId="118">
    <w:name w:val="No Spacing"/>
    <w:qFormat/>
    <w:uiPriority w:val="1"/>
    <w:pPr>
      <w:widowControl w:val="0"/>
      <w:jc w:val="both"/>
    </w:pPr>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27</Pages>
  <Words>9135</Words>
  <Characters>9793</Characters>
  <Lines>79</Lines>
  <Paragraphs>22</Paragraphs>
  <TotalTime>53</TotalTime>
  <ScaleCrop>false</ScaleCrop>
  <LinksUpToDate>false</LinksUpToDate>
  <CharactersWithSpaces>11051</CharactersWithSpaces>
  <Application>WPS Office_11.8.2.12309_F1E327BC-269C-435d-A152-05C5408002CA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cp:lastModifiedBy>
  <cp:lastPrinted>2020-06-28T02:28:00Z</cp:lastPrinted>
  <dcterms:modified xsi:type="dcterms:W3CDTF">2026-03-12T06:20:20Z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C0E52DBF9FCB4F07BC67952552803439_13</vt:lpwstr>
  </property>
  <property fmtid="{D5CDD505-2E9C-101B-9397-08002B2CF9AE}" pid="4" name="KSOTemplateDocerSaveRecord">
    <vt:lpwstr>eyJoZGlkIjoiZjMzZmFmMzFkM2Q2NDM0Y2E5MDAzZjc3ODc3MTY0YjUiLCJ1c2VySWQiOiIxNzY1MTA2ODU1In0=</vt:lpwstr>
  </property>
</Properties>
</file>