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宋体" w:hAnsi="宋体"/>
          <w:sz w:val="48"/>
          <w:szCs w:val="48"/>
        </w:rPr>
      </w:pPr>
    </w:p>
    <w:p>
      <w:pPr>
        <w:ind w:right="280"/>
        <w:jc w:val="center"/>
        <w:rPr>
          <w:rFonts w:ascii="楷体_GB2312" w:hAnsi="宋体" w:eastAsia="楷体_GB2312"/>
          <w:sz w:val="52"/>
          <w:szCs w:val="52"/>
        </w:rPr>
      </w:pPr>
    </w:p>
    <w:p>
      <w:pPr>
        <w:ind w:right="280"/>
        <w:jc w:val="center"/>
        <w:rPr>
          <w:rFonts w:hint="eastAsia" w:ascii="楷体_GB2312" w:hAnsi="宋体" w:eastAsia="楷体_GB2312"/>
          <w:sz w:val="52"/>
          <w:szCs w:val="52"/>
          <w:highlight w:val="none"/>
          <w:lang w:val="en-US" w:eastAsia="zh-CN"/>
        </w:rPr>
      </w:pPr>
      <w:r>
        <w:rPr>
          <w:rFonts w:hint="eastAsia" w:ascii="楷体_GB2312" w:hAnsi="宋体" w:eastAsia="楷体_GB2312"/>
          <w:sz w:val="52"/>
          <w:szCs w:val="52"/>
          <w:highlight w:val="none"/>
          <w:lang w:val="en-US" w:eastAsia="zh-CN"/>
        </w:rPr>
        <w:t>济南车桥公司桥壳加工线起重设备改造技改项目</w:t>
      </w:r>
    </w:p>
    <w:p>
      <w:pPr>
        <w:ind w:right="280"/>
        <w:jc w:val="center"/>
        <w:rPr>
          <w:sz w:val="28"/>
          <w:szCs w:val="28"/>
          <w:highlight w:val="none"/>
        </w:rPr>
      </w:pPr>
    </w:p>
    <w:p>
      <w:pPr>
        <w:ind w:right="280"/>
        <w:jc w:val="center"/>
        <w:rPr>
          <w:sz w:val="28"/>
          <w:szCs w:val="28"/>
          <w:highlight w:val="none"/>
        </w:rPr>
      </w:pPr>
    </w:p>
    <w:p>
      <w:pPr>
        <w:jc w:val="center"/>
        <w:rPr>
          <w:rFonts w:ascii="宋体" w:hAnsi="宋体" w:cs="宋体"/>
          <w:sz w:val="72"/>
          <w:szCs w:val="72"/>
          <w:highlight w:val="none"/>
        </w:rPr>
      </w:pPr>
      <w:r>
        <w:rPr>
          <w:rFonts w:hint="eastAsia" w:ascii="宋体" w:hAnsi="宋体" w:cs="宋体"/>
          <w:sz w:val="72"/>
          <w:szCs w:val="72"/>
          <w:highlight w:val="none"/>
        </w:rPr>
        <w:t>招标文件</w:t>
      </w:r>
    </w:p>
    <w:p>
      <w:pPr>
        <w:jc w:val="center"/>
        <w:rPr>
          <w:rFonts w:ascii="宋体" w:hAnsi="宋体"/>
          <w:sz w:val="48"/>
          <w:szCs w:val="48"/>
          <w:highlight w:val="none"/>
        </w:rPr>
      </w:pPr>
    </w:p>
    <w:p>
      <w:pPr>
        <w:jc w:val="center"/>
        <w:rPr>
          <w:rFonts w:ascii="宋体" w:hAnsi="宋体"/>
          <w:sz w:val="48"/>
          <w:szCs w:val="48"/>
          <w:highlight w:val="none"/>
        </w:rPr>
      </w:pPr>
    </w:p>
    <w:p>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ZBGL2026020027</w:t>
      </w:r>
    </w:p>
    <w:p>
      <w:pPr>
        <w:jc w:val="center"/>
        <w:rPr>
          <w:rFonts w:ascii="宋体" w:hAnsi="宋体"/>
          <w:sz w:val="48"/>
          <w:szCs w:val="48"/>
          <w:highlight w:val="none"/>
        </w:rPr>
      </w:pPr>
    </w:p>
    <w:p>
      <w:pPr>
        <w:jc w:val="center"/>
        <w:rPr>
          <w:rFonts w:ascii="宋体" w:hAnsi="宋体"/>
          <w:sz w:val="48"/>
          <w:szCs w:val="48"/>
          <w:highlight w:val="none"/>
        </w:rPr>
      </w:pPr>
    </w:p>
    <w:p>
      <w:pPr>
        <w:jc w:val="center"/>
        <w:rPr>
          <w:rFonts w:ascii="宋体" w:hAnsi="宋体"/>
          <w:sz w:val="28"/>
          <w:szCs w:val="28"/>
          <w:highlight w:val="none"/>
        </w:rPr>
      </w:pPr>
    </w:p>
    <w:p>
      <w:pPr>
        <w:jc w:val="center"/>
        <w:rPr>
          <w:rFonts w:ascii="宋体" w:hAnsi="宋体"/>
          <w:sz w:val="28"/>
          <w:szCs w:val="28"/>
          <w:highlight w:val="none"/>
        </w:rPr>
      </w:pPr>
    </w:p>
    <w:p>
      <w:pPr>
        <w:jc w:val="center"/>
        <w:rPr>
          <w:rFonts w:hint="eastAsia" w:ascii="宋体" w:hAnsi="宋体" w:eastAsia="宋体"/>
          <w:sz w:val="28"/>
          <w:szCs w:val="28"/>
          <w:highlight w:val="cyan"/>
          <w:lang w:eastAsia="zh-CN"/>
        </w:rPr>
      </w:pPr>
      <w:r>
        <w:rPr>
          <w:rFonts w:hint="eastAsia" w:ascii="宋体" w:hAnsi="宋体"/>
          <w:sz w:val="28"/>
          <w:szCs w:val="28"/>
          <w:highlight w:val="none"/>
        </w:rPr>
        <w:t>招 标 人：</w:t>
      </w:r>
      <w:r>
        <w:rPr>
          <w:rFonts w:hint="eastAsia" w:ascii="宋体" w:hAnsi="宋体"/>
          <w:sz w:val="28"/>
          <w:szCs w:val="28"/>
          <w:highlight w:val="none"/>
          <w:lang w:eastAsia="zh-CN"/>
        </w:rPr>
        <w:t>重汽（济南）车桥有限公司</w:t>
      </w:r>
    </w:p>
    <w:p>
      <w:pPr>
        <w:jc w:val="center"/>
        <w:rPr>
          <w:rFonts w:ascii="宋体" w:hAnsi="宋体"/>
          <w:sz w:val="28"/>
          <w:szCs w:val="28"/>
          <w:highlight w:val="none"/>
        </w:rPr>
      </w:pPr>
    </w:p>
    <w:p>
      <w:pPr>
        <w:spacing w:line="480" w:lineRule="auto"/>
        <w:jc w:val="center"/>
        <w:rPr>
          <w:rFonts w:ascii="宋体" w:hAnsi="宋体"/>
          <w:b/>
          <w:bCs/>
          <w:sz w:val="48"/>
          <w:szCs w:val="48"/>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2月</w:t>
      </w:r>
    </w:p>
    <w:p>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pPr>
            <w:pStyle w:val="69"/>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pPr>
            <w:pStyle w:val="21"/>
            <w:tabs>
              <w:tab w:val="right" w:leader="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_Toc23927 </w:instrText>
          </w:r>
          <w:r>
            <w:rPr>
              <w:rFonts w:hint="eastAsia" w:ascii="Calibri" w:hAnsi="Calibri"/>
              <w:bCs/>
              <w:kern w:val="44"/>
              <w:szCs w:val="44"/>
            </w:rPr>
            <w:fldChar w:fldCharType="separate"/>
          </w:r>
          <w:r>
            <w:rPr>
              <w:rFonts w:hint="eastAsia"/>
            </w:rPr>
            <w:t>第一部分  投标人须知</w:t>
          </w:r>
          <w:r>
            <w:tab/>
          </w:r>
          <w:r>
            <w:fldChar w:fldCharType="begin"/>
          </w:r>
          <w:r>
            <w:instrText xml:space="preserve"> PAGEREF _Toc23927 \h </w:instrText>
          </w:r>
          <w:r>
            <w:fldChar w:fldCharType="separate"/>
          </w:r>
          <w:r>
            <w:t>2</w:t>
          </w:r>
          <w:r>
            <w:fldChar w:fldCharType="end"/>
          </w:r>
          <w:r>
            <w:rPr>
              <w:rFonts w:hint="eastAsia" w:ascii="Calibri" w:hAnsi="Calibri"/>
              <w:bCs/>
              <w:kern w:val="44"/>
              <w:szCs w:val="44"/>
            </w:rPr>
            <w:fldChar w:fldCharType="end"/>
          </w:r>
        </w:p>
        <w:p>
          <w:pPr>
            <w:pStyle w:val="21"/>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_Toc16839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_Toc16839 \h </w:instrText>
          </w:r>
          <w:r>
            <w:fldChar w:fldCharType="separate"/>
          </w:r>
          <w:r>
            <w:t>13</w:t>
          </w:r>
          <w:r>
            <w:fldChar w:fldCharType="end"/>
          </w:r>
          <w:r>
            <w:rPr>
              <w:rFonts w:hint="eastAsia" w:ascii="Calibri" w:hAnsi="Calibri" w:eastAsia="宋体" w:cs="Times New Roman"/>
              <w:bCs/>
              <w:kern w:val="44"/>
              <w:szCs w:val="44"/>
            </w:rPr>
            <w:fldChar w:fldCharType="end"/>
          </w:r>
        </w:p>
        <w:p>
          <w:pPr>
            <w:pStyle w:val="21"/>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_Toc8030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_Toc8030 \h </w:instrText>
          </w:r>
          <w:r>
            <w:fldChar w:fldCharType="separate"/>
          </w:r>
          <w:r>
            <w:t>14</w:t>
          </w:r>
          <w:r>
            <w:fldChar w:fldCharType="end"/>
          </w:r>
          <w:r>
            <w:rPr>
              <w:rFonts w:hint="eastAsia" w:ascii="Calibri" w:hAnsi="Calibri" w:eastAsia="宋体" w:cs="Times New Roman"/>
              <w:bCs/>
              <w:kern w:val="44"/>
              <w:szCs w:val="44"/>
            </w:rPr>
            <w:fldChar w:fldCharType="end"/>
          </w:r>
        </w:p>
        <w:p>
          <w:pPr>
            <w:pStyle w:val="21"/>
            <w:tabs>
              <w:tab w:val="right" w:leader="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_Toc16500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_Toc16500 \h </w:instrText>
          </w:r>
          <w:r>
            <w:fldChar w:fldCharType="separate"/>
          </w:r>
          <w:r>
            <w:t>15</w:t>
          </w:r>
          <w:r>
            <w:fldChar w:fldCharType="end"/>
          </w:r>
          <w:r>
            <w:rPr>
              <w:rFonts w:hint="eastAsia" w:ascii="Calibri" w:hAnsi="Calibri" w:eastAsia="宋体" w:cs="Times New Roman"/>
              <w:bCs/>
              <w:kern w:val="44"/>
              <w:szCs w:val="44"/>
            </w:rPr>
            <w:fldChar w:fldCharType="end"/>
          </w:r>
        </w:p>
        <w:p>
          <w:pPr>
            <w:pStyle w:val="21"/>
          </w:pPr>
          <w:r>
            <w:rPr>
              <w:rFonts w:hint="eastAsia" w:ascii="Calibri" w:hAnsi="Calibri" w:eastAsia="宋体" w:cs="Times New Roman"/>
              <w:bCs/>
              <w:kern w:val="44"/>
              <w:szCs w:val="44"/>
            </w:rPr>
            <w:fldChar w:fldCharType="end"/>
          </w:r>
        </w:p>
      </w:sdtContent>
    </w:sdt>
    <w:p>
      <w:pPr>
        <w:pStyle w:val="15"/>
        <w:tabs>
          <w:tab w:val="left" w:pos="2940"/>
        </w:tabs>
        <w:spacing w:line="360" w:lineRule="auto"/>
      </w:pPr>
      <w:r>
        <w:tab/>
      </w:r>
    </w:p>
    <w:p>
      <w:pPr>
        <w:pStyle w:val="15"/>
        <w:spacing w:line="360" w:lineRule="auto"/>
        <w:jc w:val="center"/>
      </w:pPr>
    </w:p>
    <w:p>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pPr>
        <w:pStyle w:val="72"/>
      </w:pPr>
      <w:bookmarkStart w:id="0" w:name="_Toc23927"/>
      <w:bookmarkStart w:id="1" w:name="_Toc47976595"/>
      <w:r>
        <w:rPr>
          <w:rFonts w:hint="eastAsia"/>
        </w:rPr>
        <w:t>第一部分  投标人须知</w:t>
      </w:r>
      <w:bookmarkEnd w:id="0"/>
      <w:bookmarkEnd w:id="1"/>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2" w:name="_Toc47976596"/>
      <w:r>
        <w:rPr>
          <w:rFonts w:hint="eastAsia" w:cs="Times New Roman"/>
        </w:rPr>
        <w:t>项目</w:t>
      </w:r>
      <w:r>
        <w:rPr>
          <w:rFonts w:hint="eastAsia"/>
        </w:rPr>
        <w:t>介绍</w:t>
      </w:r>
      <w:bookmarkEnd w:id="2"/>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rPr>
        <w:t>项目名称：</w:t>
      </w:r>
      <w:r>
        <w:rPr>
          <w:rFonts w:hint="eastAsia"/>
          <w:highlight w:val="none"/>
          <w:lang w:val="en-US" w:eastAsia="zh-CN"/>
        </w:rPr>
        <w:t>济南车桥公司桥壳加工线起重设备改造技改项目</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rPr>
        <w:t>项目编号：</w:t>
      </w:r>
      <w:r>
        <w:rPr>
          <w:rFonts w:hint="eastAsia"/>
          <w:highlight w:val="none"/>
          <w:lang w:val="en-US" w:eastAsia="zh-CN"/>
        </w:rPr>
        <w:t>ZBGL2026020027</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rPr>
        <w:t>招标形式：</w:t>
      </w:r>
      <w:bookmarkStart w:id="3" w:name="_Toc47112482"/>
      <w:r>
        <w:rPr>
          <w:rFonts w:hint="eastAsia"/>
          <w:highlight w:val="none"/>
          <w:lang w:val="en-US" w:eastAsia="zh-CN"/>
        </w:rPr>
        <w:t>公开招标</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highlight w:val="none"/>
        </w:rPr>
      </w:pPr>
      <w:r>
        <w:rPr>
          <w:rFonts w:hint="eastAsia"/>
          <w:highlight w:val="none"/>
          <w:lang w:val="en-US" w:eastAsia="zh-CN"/>
        </w:rPr>
        <w:t>项目概况：桥壳加工分部及驱动桥部采购45挂环链电动葫芦。</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u w:val="none"/>
          <w:lang w:val="en-US" w:eastAsia="zh-CN"/>
        </w:rPr>
      </w:pPr>
      <w:r>
        <w:rPr>
          <w:rFonts w:hint="eastAsia"/>
          <w:lang w:val="en-US" w:eastAsia="zh-CN"/>
        </w:rPr>
        <w:t>报价：</w:t>
      </w:r>
    </w:p>
    <w:p>
      <w:pPr>
        <w:pStyle w:val="77"/>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eastAsia" w:ascii="宋体" w:hAnsi="宋体" w:eastAsia="宋体" w:cs="宋体"/>
          <w:b/>
          <w:bCs/>
          <w:color w:val="FF0000"/>
          <w:sz w:val="21"/>
          <w:szCs w:val="21"/>
          <w:highlight w:val="yellow"/>
          <w:u w:val="none"/>
          <w:lang w:val="en-US" w:eastAsia="zh-CN"/>
        </w:rPr>
      </w:pPr>
      <w:r>
        <w:rPr>
          <w:rFonts w:hint="eastAsia" w:ascii="宋体" w:hAnsi="宋体" w:eastAsia="宋体" w:cs="宋体"/>
          <w:i w:val="0"/>
          <w:iCs w:val="0"/>
          <w:caps w:val="0"/>
          <w:color w:val="0F1115"/>
          <w:spacing w:val="0"/>
          <w:sz w:val="21"/>
          <w:szCs w:val="21"/>
          <w:shd w:val="clear" w:fill="FFFFFF"/>
          <w:lang w:val="en-US" w:eastAsia="zh-CN"/>
        </w:rPr>
        <w:t>本</w:t>
      </w:r>
      <w:r>
        <w:rPr>
          <w:rFonts w:hint="eastAsia" w:ascii="宋体" w:hAnsi="宋体" w:eastAsia="宋体" w:cs="宋体"/>
          <w:i w:val="0"/>
          <w:iCs w:val="0"/>
          <w:caps w:val="0"/>
          <w:color w:val="0F1115"/>
          <w:spacing w:val="0"/>
          <w:sz w:val="21"/>
          <w:szCs w:val="21"/>
          <w:shd w:val="clear" w:fill="FFFFFF"/>
        </w:rPr>
        <w:t>项目的所有报价均以人民币填报。投标人应分别报出不含税金额、税率和</w:t>
      </w:r>
      <w:r>
        <w:rPr>
          <w:rFonts w:hint="eastAsia" w:cs="Times New Roman"/>
          <w:b/>
          <w:bCs/>
          <w:color w:val="auto"/>
          <w:highlight w:val="none"/>
          <w:u w:val="none"/>
          <w:lang w:val="en-US" w:eastAsia="zh-CN"/>
        </w:rPr>
        <w:t>价税合计金额</w:t>
      </w:r>
      <w:r>
        <w:rPr>
          <w:rFonts w:hint="eastAsia" w:ascii="宋体" w:hAnsi="宋体" w:eastAsia="宋体" w:cs="宋体"/>
          <w:i w:val="0"/>
          <w:iCs w:val="0"/>
          <w:caps w:val="0"/>
          <w:color w:val="0F1115"/>
          <w:spacing w:val="0"/>
          <w:sz w:val="21"/>
          <w:szCs w:val="21"/>
          <w:shd w:val="clear" w:fill="FFFFFF"/>
        </w:rPr>
        <w:t>。</w:t>
      </w:r>
    </w:p>
    <w:p>
      <w:pPr>
        <w:pStyle w:val="77"/>
        <w:keepNext w:val="0"/>
        <w:keepLines w:val="0"/>
        <w:pageBreakBefore w:val="0"/>
        <w:widowControl w:val="0"/>
        <w:numPr>
          <w:ilvl w:val="1"/>
          <w:numId w:val="10"/>
        </w:numPr>
        <w:kinsoku/>
        <w:wordWrap/>
        <w:overflowPunct/>
        <w:topLinePunct w:val="0"/>
        <w:autoSpaceDE/>
        <w:autoSpaceDN/>
        <w:bidi w:val="0"/>
        <w:adjustRightInd/>
        <w:snapToGrid/>
        <w:spacing w:line="440" w:lineRule="exact"/>
        <w:ind w:left="0" w:leftChars="0" w:firstLine="420" w:firstLineChars="200"/>
        <w:textAlignment w:val="auto"/>
        <w:rPr>
          <w:rFonts w:hint="default" w:cs="Times New Roman"/>
          <w:highlight w:val="none"/>
          <w:u w:val="none"/>
          <w:lang w:val="en-US" w:eastAsia="zh-CN"/>
        </w:rPr>
      </w:pPr>
      <w:r>
        <w:rPr>
          <w:rFonts w:hint="eastAsia" w:ascii="宋体" w:hAnsi="宋体" w:eastAsia="宋体" w:cs="宋体"/>
          <w:i w:val="0"/>
          <w:iCs w:val="0"/>
          <w:caps w:val="0"/>
          <w:color w:val="0F1115"/>
          <w:spacing w:val="0"/>
          <w:sz w:val="21"/>
          <w:szCs w:val="21"/>
          <w:shd w:val="clear" w:fill="FFFFFF"/>
        </w:rPr>
        <w:t>投标限价</w:t>
      </w:r>
      <w:r>
        <w:rPr>
          <w:rFonts w:hint="eastAsia" w:hAnsi="宋体" w:cs="宋体"/>
          <w:i w:val="0"/>
          <w:iCs w:val="0"/>
          <w:caps w:val="0"/>
          <w:color w:val="0F1115"/>
          <w:spacing w:val="0"/>
          <w:sz w:val="21"/>
          <w:szCs w:val="21"/>
          <w:shd w:val="clear" w:fill="FFFFFF"/>
          <w:lang w:eastAsia="zh-CN"/>
        </w:rPr>
        <w:t>：</w:t>
      </w:r>
      <w:r>
        <w:rPr>
          <w:rFonts w:hint="eastAsia" w:hAnsi="宋体" w:cs="宋体"/>
          <w:i w:val="0"/>
          <w:iCs w:val="0"/>
          <w:caps w:val="0"/>
          <w:color w:val="0F1115"/>
          <w:spacing w:val="0"/>
          <w:sz w:val="21"/>
          <w:szCs w:val="21"/>
          <w:shd w:val="clear" w:fill="FFFFFF"/>
          <w:lang w:val="en-US" w:eastAsia="zh-CN"/>
        </w:rPr>
        <w:t>无限价</w:t>
      </w:r>
      <w:r>
        <w:rPr>
          <w:rFonts w:hint="eastAsia" w:ascii="宋体" w:hAnsi="宋体" w:eastAsia="宋体" w:cs="宋体"/>
          <w:i w:val="0"/>
          <w:iCs w:val="0"/>
          <w:caps w:val="0"/>
          <w:color w:val="0F1115"/>
          <w:spacing w:val="0"/>
          <w:sz w:val="21"/>
          <w:szCs w:val="21"/>
          <w:highlight w:val="none"/>
          <w:shd w:val="clear" w:fill="FFFFFF"/>
        </w:rPr>
        <w:t>。</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80" w:firstLineChars="200"/>
        <w:jc w:val="left"/>
        <w:textAlignment w:val="auto"/>
        <w:rPr>
          <w:rFonts w:hint="eastAsia" w:eastAsia="宋体" w:cs="Times New Roman"/>
          <w:highlight w:val="none"/>
          <w:u w:val="none"/>
          <w:lang w:val="en-US" w:eastAsia="zh-CN"/>
        </w:rPr>
      </w:pPr>
      <w:r>
        <w:rPr>
          <w:rFonts w:hint="eastAsia" w:ascii="Times New Roman" w:hAnsi="Times New Roman" w:cs="Times New Roman"/>
          <w:color w:val="000000"/>
          <w:sz w:val="24"/>
          <w:szCs w:val="24"/>
          <w:highlight w:val="none"/>
          <w:lang w:val="en-US" w:eastAsia="zh-CN"/>
        </w:rPr>
        <w:t>注：</w:t>
      </w:r>
      <w:r>
        <w:rPr>
          <w:rFonts w:hint="default" w:ascii="Times New Roman" w:hAnsi="Times New Roman" w:eastAsia="宋体" w:cs="Times New Roman"/>
          <w:color w:val="000000"/>
          <w:sz w:val="24"/>
          <w:szCs w:val="24"/>
          <w:highlight w:val="none"/>
        </w:rPr>
        <w:t>投标人自行勘察现场，进行合理报价。投标总报价应包括设备费、原厂服务费及相关配件、随机资料、保险、税费、运杂、安装调试、与其他专业配合及可预见的风险以及其它不可预见等全部费用。</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default" w:cs="Times New Roman"/>
          <w:lang w:val="en-US" w:eastAsia="zh-CN"/>
        </w:rPr>
      </w:pPr>
      <w:r>
        <w:rPr>
          <w:rFonts w:hint="default" w:cs="Times New Roman"/>
          <w:lang w:val="en-US" w:eastAsia="zh-CN"/>
        </w:rPr>
        <w:t>资金来源：企业自筹，已落实。</w:t>
      </w:r>
    </w:p>
    <w:p>
      <w:pPr>
        <w:pStyle w:val="77"/>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54" w:leftChars="0" w:hanging="454" w:firstLineChars="0"/>
        <w:textAlignment w:val="auto"/>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招标人名称：重汽（济南）车桥有限公司 </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招标人地址：济南市高新区世纪大道757号车桥公司 </w:t>
      </w:r>
    </w:p>
    <w:p>
      <w:pPr>
        <w:keepNext w:val="0"/>
        <w:keepLines w:val="0"/>
        <w:pageBreakBefore w:val="0"/>
        <w:widowControl w:val="0"/>
        <w:kinsoku/>
        <w:wordWrap/>
        <w:overflowPunct/>
        <w:topLinePunct w:val="0"/>
        <w:autoSpaceDE/>
        <w:autoSpaceDN/>
        <w:bidi w:val="0"/>
        <w:adjustRightInd/>
        <w:snapToGrid/>
        <w:spacing w:line="400" w:lineRule="exact"/>
        <w:ind w:left="0" w:firstLine="422"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b/>
          <w:bCs/>
          <w:kern w:val="2"/>
          <w:sz w:val="21"/>
          <w:lang w:val="en-US" w:eastAsia="zh-CN" w:bidi="ar-SA"/>
        </w:rPr>
        <w:t>商务联系人：</w:t>
      </w:r>
      <w:r>
        <w:rPr>
          <w:rFonts w:hint="eastAsia" w:ascii="宋体" w:hAnsi="Courier New" w:cs="Times New Roman"/>
          <w:kern w:val="2"/>
          <w:sz w:val="21"/>
          <w:lang w:val="en-US" w:eastAsia="zh-CN" w:bidi="ar-SA"/>
        </w:rPr>
        <w:t>李月兵</w:t>
      </w:r>
    </w:p>
    <w:p>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2093</w:t>
      </w:r>
    </w:p>
    <w:p>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eastAsia" w:ascii="宋体" w:hAnsi="Courier New" w:eastAsia="宋体" w:cs="Times New Roman"/>
          <w:color w:val="auto"/>
          <w:kern w:val="2"/>
          <w:sz w:val="21"/>
          <w:highlight w:val="none"/>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highlight w:val="none"/>
          <w:lang w:val="en-US" w:eastAsia="zh-CN" w:bidi="ar-SA"/>
        </w:rPr>
        <w:fldChar w:fldCharType="begin"/>
      </w:r>
      <w:r>
        <w:rPr>
          <w:rFonts w:hint="eastAsia" w:ascii="宋体" w:hAnsi="Courier New" w:eastAsia="宋体" w:cs="Times New Roman"/>
          <w:color w:val="auto"/>
          <w:kern w:val="2"/>
          <w:sz w:val="21"/>
          <w:highlight w:val="none"/>
          <w:lang w:val="en-US" w:eastAsia="zh-CN" w:bidi="ar-SA"/>
        </w:rPr>
        <w:instrText xml:space="preserve"> HYPERLINK "mailto:lvyidi@sinotruk.com" </w:instrText>
      </w:r>
      <w:r>
        <w:rPr>
          <w:rFonts w:hint="eastAsia" w:ascii="宋体" w:hAnsi="Courier New" w:eastAsia="宋体" w:cs="Times New Roman"/>
          <w:color w:val="auto"/>
          <w:kern w:val="2"/>
          <w:sz w:val="21"/>
          <w:highlight w:val="none"/>
          <w:lang w:val="en-US" w:eastAsia="zh-CN" w:bidi="ar-SA"/>
        </w:rPr>
        <w:fldChar w:fldCharType="separate"/>
      </w:r>
      <w:r>
        <w:rPr>
          <w:rStyle w:val="38"/>
          <w:rFonts w:hint="eastAsia" w:ascii="宋体" w:hAnsi="Courier New" w:cs="Times New Roman"/>
          <w:color w:val="auto"/>
          <w:kern w:val="2"/>
          <w:sz w:val="21"/>
          <w:highlight w:val="none"/>
          <w:lang w:val="en-US" w:eastAsia="zh-CN" w:bidi="ar-SA"/>
        </w:rPr>
        <w:t>liyuebing</w:t>
      </w:r>
      <w:r>
        <w:rPr>
          <w:rStyle w:val="38"/>
          <w:rFonts w:hint="eastAsia" w:ascii="宋体" w:hAnsi="Courier New" w:eastAsia="宋体" w:cs="Times New Roman"/>
          <w:color w:val="auto"/>
          <w:kern w:val="2"/>
          <w:sz w:val="21"/>
          <w:highlight w:val="none"/>
          <w:lang w:val="en-US" w:eastAsia="zh-CN" w:bidi="ar-SA"/>
        </w:rPr>
        <w:t>@sinotruk.com</w:t>
      </w:r>
      <w:r>
        <w:rPr>
          <w:rFonts w:hint="eastAsia" w:ascii="宋体" w:hAnsi="Courier New" w:eastAsia="宋体" w:cs="Times New Roman"/>
          <w:color w:val="auto"/>
          <w:kern w:val="2"/>
          <w:sz w:val="21"/>
          <w:highlight w:val="none"/>
          <w:lang w:val="en-US" w:eastAsia="zh-CN" w:bidi="ar-SA"/>
        </w:rPr>
        <w:fldChar w:fldCharType="end"/>
      </w:r>
    </w:p>
    <w:bookmarkEnd w:id="3"/>
    <w:p>
      <w:pPr>
        <w:keepNext w:val="0"/>
        <w:keepLines w:val="0"/>
        <w:pageBreakBefore w:val="0"/>
        <w:widowControl w:val="0"/>
        <w:kinsoku/>
        <w:wordWrap/>
        <w:overflowPunct/>
        <w:topLinePunct w:val="0"/>
        <w:autoSpaceDE/>
        <w:autoSpaceDN/>
        <w:bidi w:val="0"/>
        <w:adjustRightInd/>
        <w:snapToGrid/>
        <w:spacing w:line="440" w:lineRule="exact"/>
        <w:ind w:left="0" w:firstLine="422" w:firstLineChars="200"/>
        <w:textAlignment w:val="auto"/>
        <w:rPr>
          <w:rFonts w:hint="default"/>
          <w:b/>
          <w:bCs/>
          <w:highlight w:val="none"/>
          <w:lang w:val="en-US" w:eastAsia="zh-CN"/>
        </w:rPr>
      </w:pPr>
      <w:r>
        <w:rPr>
          <w:rFonts w:hint="default"/>
          <w:b/>
          <w:bCs/>
          <w:highlight w:val="none"/>
          <w:lang w:val="en-US" w:eastAsia="zh-CN"/>
        </w:rPr>
        <w:t>技术联系人：李杜卓</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highlight w:val="none"/>
          <w:lang w:val="en-US" w:eastAsia="zh-CN"/>
        </w:rPr>
      </w:pPr>
      <w:r>
        <w:rPr>
          <w:rFonts w:hint="default"/>
          <w:highlight w:val="none"/>
          <w:lang w:val="en-US" w:eastAsia="zh-CN"/>
        </w:rPr>
        <w:t>电话：18265410835</w:t>
      </w:r>
    </w:p>
    <w:p>
      <w:pPr>
        <w:keepNext w:val="0"/>
        <w:keepLines w:val="0"/>
        <w:pageBreakBefore w:val="0"/>
        <w:widowControl w:val="0"/>
        <w:kinsoku/>
        <w:wordWrap/>
        <w:overflowPunct/>
        <w:topLinePunct w:val="0"/>
        <w:autoSpaceDE/>
        <w:autoSpaceDN/>
        <w:bidi w:val="0"/>
        <w:adjustRightInd/>
        <w:snapToGrid/>
        <w:spacing w:line="440" w:lineRule="exact"/>
        <w:ind w:left="0" w:firstLine="420" w:firstLineChars="200"/>
        <w:textAlignment w:val="auto"/>
        <w:rPr>
          <w:rFonts w:hint="default"/>
          <w:highlight w:val="none"/>
          <w:lang w:val="en-US" w:eastAsia="zh-CN"/>
        </w:rPr>
      </w:pPr>
      <w:r>
        <w:rPr>
          <w:rFonts w:hint="default"/>
          <w:highlight w:val="none"/>
          <w:lang w:val="en-US" w:eastAsia="zh-CN"/>
        </w:rPr>
        <w:t>邮箱：17865139657@163.com</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bookmarkStart w:id="4" w:name="_Toc47976598"/>
      <w:r>
        <w:rPr>
          <w:rFonts w:hint="eastAsia"/>
        </w:rPr>
        <w:t>合格的投标人</w:t>
      </w:r>
      <w:bookmarkEnd w:id="4"/>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拟投标人必须是在中华人民共和国境内注册的独立法人机构，具有独立承担民事责任能力；注册资金不少于</w:t>
      </w:r>
      <w:r>
        <w:rPr>
          <w:rFonts w:hint="eastAsia" w:ascii="Times New Roman" w:hAnsi="Times New Roman" w:cs="Times New Roman"/>
          <w:b w:val="0"/>
          <w:bCs/>
          <w:strike w:val="0"/>
          <w:dstrike w:val="0"/>
          <w:highlight w:val="none"/>
          <w:lang w:val="en-US" w:eastAsia="zh-CN"/>
        </w:rPr>
        <w:t>100</w:t>
      </w:r>
      <w:r>
        <w:rPr>
          <w:rFonts w:hint="eastAsia" w:ascii="Times New Roman" w:hAnsi="Times New Roman" w:cs="Times New Roman"/>
          <w:b w:val="0"/>
          <w:bCs/>
          <w:strike w:val="0"/>
          <w:dstrike w:val="0"/>
          <w:highlight w:val="none"/>
        </w:rPr>
        <w:t>万人民币（或等值其他货币）；公司成立三年以上（以营业执照成立日期到开标当日满三年为准），且经营范围满足招标人需求；并在人员、设备、资金等方面具有承担本项目的能力；</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拟投标人应提供营业执照副本原件和扫描件（需盖章）；</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拟投标人应提供法定代表人资格证明文件；</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在“国家企业信用信息公示系统”“中国执行信息公开网”“信用中国”“天眼查”“裁判文书网”等信息平台中，无行</w:t>
      </w:r>
      <w:r>
        <w:rPr>
          <w:rFonts w:hint="eastAsia" w:cs="Times New Roman"/>
          <w:b w:val="0"/>
          <w:bCs/>
          <w:strike w:val="0"/>
          <w:dstrike w:val="0"/>
          <w:highlight w:val="none"/>
          <w:lang w:val="en-US" w:eastAsia="zh-CN"/>
        </w:rPr>
        <w:t>相关</w:t>
      </w:r>
      <w:r>
        <w:rPr>
          <w:rFonts w:hint="eastAsia" w:ascii="Times New Roman" w:hAnsi="Times New Roman" w:cs="Times New Roman"/>
          <w:b w:val="0"/>
          <w:bCs/>
          <w:strike w:val="0"/>
          <w:dstrike w:val="0"/>
          <w:highlight w:val="none"/>
        </w:rPr>
        <w:t>政处罚及失信记录等信息；</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拟投标人不存在严重违规或被列入招标人“黑名单”的声明；</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拟投标人有与本次招标内容相同或类似项目业绩，且近3年内无因服务不当而造成重大事故；</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拟投标人近三年内在经营活动中无与本项目有关的违法及重大违规情况；</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拟投标人须认可招标人的工作指令，包括节、假日能正常开展工作的要求；</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拟投标人财务状况良好，最近半年纳税正常；</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拟投标人信用证明材料（征信中心出具的信用报告）未显示异常；</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拟投标人的直接或间接股东、法定代表人、董事、监事、高管非重汽员工及其亲属；</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lang w:val="en-US" w:eastAsia="zh-CN"/>
        </w:rPr>
        <w:t>投标单位需为设备制造单位</w:t>
      </w:r>
      <w:r>
        <w:rPr>
          <w:rFonts w:hint="eastAsia" w:ascii="Times New Roman" w:hAnsi="Times New Roman" w:cs="Times New Roman"/>
          <w:b w:val="0"/>
          <w:bCs/>
          <w:strike w:val="0"/>
          <w:dstrike w:val="0"/>
          <w:highlight w:val="none"/>
        </w:rPr>
        <w:t>；</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本项目不接受联合体投标，拟投标人必须是最终投标单位和签订合同单位，不得以任何理由将已中标项目以任何形式分包或转包给其他单位；</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rFonts w:hint="eastAsia" w:ascii="Times New Roman" w:hAnsi="Times New Roman" w:cs="Times New Roman"/>
          <w:b w:val="0"/>
          <w:bCs/>
          <w:strike w:val="0"/>
          <w:dstrike w:val="0"/>
          <w:highlight w:val="none"/>
        </w:rPr>
      </w:pPr>
      <w:r>
        <w:rPr>
          <w:rFonts w:hint="eastAsia" w:ascii="Times New Roman" w:hAnsi="Times New Roman" w:cs="Times New Roman"/>
          <w:b w:val="0"/>
          <w:bCs/>
          <w:strike w:val="0"/>
          <w:dstrike w:val="0"/>
          <w:highlight w:val="none"/>
        </w:rPr>
        <w:t>无招标违规、谎报年度报告信息、提供虚假资质资料等行为或其他行政处罚记录。</w:t>
      </w:r>
    </w:p>
    <w:p>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0" w:firstLineChars="0"/>
        <w:textAlignment w:val="auto"/>
        <w:rPr>
          <w:b w:val="0"/>
          <w:bCs/>
          <w:strike w:val="0"/>
          <w:dstrike w:val="0"/>
          <w:highlight w:val="none"/>
        </w:rPr>
      </w:pPr>
      <w:r>
        <w:rPr>
          <w:rFonts w:hint="eastAsia" w:cs="Times New Roman"/>
          <w:b w:val="0"/>
          <w:bCs/>
          <w:strike w:val="0"/>
          <w:dstrike w:val="0"/>
          <w:highlight w:val="none"/>
        </w:rPr>
        <w:t>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r>
        <w:rPr>
          <w:rFonts w:hint="eastAsia"/>
          <w:b w:val="0"/>
          <w:bCs/>
          <w:strike w:val="0"/>
          <w:dstrike w:val="0"/>
          <w:highlight w:val="none"/>
          <w:lang w:eastAsia="zh-CN"/>
        </w:rPr>
        <w:t>；</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pPr>
        <w:pStyle w:val="77"/>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u w:val="single"/>
          <w:lang w:val="en-US" w:eastAsia="zh-CN"/>
        </w:rPr>
        <w:t>20</w:t>
      </w:r>
      <w:r>
        <w:rPr>
          <w:rFonts w:hint="eastAsia" w:cs="Times New Roman"/>
          <w:highlight w:val="yellow"/>
          <w:u w:val="single"/>
          <w:lang w:val="en-US" w:eastAsia="zh-CN"/>
        </w:rPr>
        <w:t>26</w:t>
      </w:r>
      <w:r>
        <w:rPr>
          <w:rFonts w:hint="eastAsia" w:ascii="宋体" w:hAnsi="Courier New" w:eastAsia="宋体" w:cs="Times New Roman"/>
          <w:highlight w:val="yellow"/>
          <w:u w:val="single"/>
          <w:lang w:val="en-US" w:eastAsia="zh-CN"/>
        </w:rPr>
        <w:t>年</w:t>
      </w:r>
      <w:r>
        <w:rPr>
          <w:rFonts w:hint="eastAsia" w:cs="Times New Roman"/>
          <w:highlight w:val="yellow"/>
          <w:u w:val="single"/>
          <w:lang w:val="en-US" w:eastAsia="zh-CN"/>
        </w:rPr>
        <w:t>2</w:t>
      </w:r>
      <w:r>
        <w:rPr>
          <w:rFonts w:hint="eastAsia" w:ascii="宋体" w:hAnsi="Courier New" w:eastAsia="宋体" w:cs="Times New Roman"/>
          <w:highlight w:val="yellow"/>
          <w:u w:val="single"/>
          <w:lang w:val="en-US" w:eastAsia="zh-CN"/>
        </w:rPr>
        <w:t>月</w:t>
      </w:r>
      <w:r>
        <w:rPr>
          <w:rFonts w:hint="eastAsia" w:cs="Times New Roman"/>
          <w:highlight w:val="yellow"/>
          <w:u w:val="single"/>
          <w:lang w:val="en-US" w:eastAsia="zh-CN"/>
        </w:rPr>
        <w:t>24</w:t>
      </w:r>
      <w:r>
        <w:rPr>
          <w:rFonts w:hint="eastAsia" w:ascii="宋体" w:hAnsi="Courier New" w:eastAsia="宋体" w:cs="Times New Roman"/>
          <w:highlight w:val="yellow"/>
          <w:u w:val="single"/>
          <w:lang w:val="en-US" w:eastAsia="zh-CN"/>
        </w:rPr>
        <w:t>日</w:t>
      </w:r>
      <w:r>
        <w:rPr>
          <w:rFonts w:hint="eastAsia" w:cs="Times New Roman"/>
          <w:highlight w:val="yellow"/>
          <w:u w:val="single"/>
          <w:lang w:val="en-US" w:eastAsia="zh-CN"/>
        </w:rPr>
        <w:t>；</w:t>
      </w:r>
    </w:p>
    <w:p>
      <w:pPr>
        <w:pStyle w:val="77"/>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投标报名</w:t>
      </w:r>
    </w:p>
    <w:p>
      <w:pPr>
        <w:pStyle w:val="77"/>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jc w:val="both"/>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应标截止时间：</w:t>
      </w:r>
      <w:r>
        <w:rPr>
          <w:rFonts w:hint="eastAsia" w:eastAsia="宋体" w:cs="宋体"/>
          <w:highlight w:val="yellow"/>
          <w:u w:val="single"/>
        </w:rPr>
        <w:t>202</w:t>
      </w:r>
      <w:r>
        <w:rPr>
          <w:rFonts w:hint="eastAsia" w:cs="宋体"/>
          <w:highlight w:val="yellow"/>
          <w:u w:val="single"/>
          <w:lang w:val="en-US" w:eastAsia="zh-CN"/>
        </w:rPr>
        <w:t>6</w:t>
      </w:r>
      <w:r>
        <w:rPr>
          <w:rFonts w:hint="eastAsia" w:eastAsia="宋体" w:cs="宋体"/>
          <w:highlight w:val="yellow"/>
          <w:u w:val="single"/>
        </w:rPr>
        <w:t>年</w:t>
      </w:r>
      <w:r>
        <w:rPr>
          <w:rFonts w:hint="eastAsia" w:cs="宋体"/>
          <w:highlight w:val="yellow"/>
          <w:u w:val="single"/>
          <w:lang w:val="en-US" w:eastAsia="zh-CN"/>
        </w:rPr>
        <w:t>3</w:t>
      </w:r>
      <w:r>
        <w:rPr>
          <w:rFonts w:hint="eastAsia" w:eastAsia="宋体" w:cs="宋体"/>
          <w:highlight w:val="yellow"/>
          <w:u w:val="single"/>
        </w:rPr>
        <w:t>月</w:t>
      </w:r>
      <w:r>
        <w:rPr>
          <w:rFonts w:hint="eastAsia" w:cs="宋体"/>
          <w:highlight w:val="yellow"/>
          <w:u w:val="single"/>
          <w:lang w:val="en-US" w:eastAsia="zh-CN"/>
        </w:rPr>
        <w:t>9</w:t>
      </w:r>
      <w:r>
        <w:rPr>
          <w:rFonts w:hint="eastAsia" w:eastAsia="宋体" w:cs="宋体"/>
          <w:highlight w:val="yellow"/>
          <w:u w:val="single"/>
        </w:rPr>
        <w:t>日</w:t>
      </w:r>
      <w:r>
        <w:rPr>
          <w:rFonts w:hint="eastAsia" w:cs="宋体"/>
          <w:highlight w:val="yellow"/>
          <w:u w:val="single"/>
          <w:lang w:val="en-US" w:eastAsia="zh-CN"/>
        </w:rPr>
        <w:t>17</w:t>
      </w:r>
      <w:r>
        <w:rPr>
          <w:rFonts w:hint="eastAsia"/>
          <w:highlight w:val="yellow"/>
          <w:u w:val="single"/>
          <w:lang w:val="en-US" w:eastAsia="zh-CN"/>
        </w:rPr>
        <w:t>:00:00</w:t>
      </w:r>
      <w:r>
        <w:rPr>
          <w:rFonts w:hint="default" w:ascii="宋体" w:hAnsi="Courier New" w:eastAsia="宋体" w:cs="Times New Roman"/>
          <w:highlight w:val="yellow"/>
          <w:u w:val="single"/>
          <w:lang w:val="en-US" w:eastAsia="zh-CN"/>
        </w:rPr>
        <w:t>（北京时间）</w:t>
      </w:r>
      <w:r>
        <w:rPr>
          <w:rFonts w:hint="eastAsia" w:cs="Times New Roman"/>
          <w:highlight w:val="none"/>
          <w:u w:val="single"/>
          <w:lang w:val="en-US" w:eastAsia="zh-CN"/>
        </w:rPr>
        <w:t>；</w:t>
      </w:r>
    </w:p>
    <w:p>
      <w:pPr>
        <w:pStyle w:val="77"/>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宋体"/>
          <w:sz w:val="21"/>
          <w:szCs w:val="21"/>
          <w:highlight w:val="none"/>
          <w:lang w:val="en-US" w:eastAsia="zh-CN"/>
        </w:rPr>
        <w:t>报名方式：</w:t>
      </w:r>
      <w:r>
        <w:rPr>
          <w:rFonts w:hint="eastAsia" w:eastAsia="宋体" w:cs="宋体"/>
          <w:sz w:val="21"/>
          <w:szCs w:val="21"/>
          <w:highlight w:val="none"/>
          <w:lang w:val="en-US" w:eastAsia="zh-CN"/>
        </w:rPr>
        <w:t>拟</w:t>
      </w:r>
      <w:r>
        <w:rPr>
          <w:rFonts w:hint="eastAsia" w:cs="Times New Roman"/>
          <w:highlight w:val="none"/>
          <w:lang w:val="en-US" w:eastAsia="zh-CN"/>
        </w:rPr>
        <w:t>投标</w:t>
      </w:r>
      <w:r>
        <w:rPr>
          <w:rFonts w:hint="eastAsia" w:eastAsia="宋体" w:cs="宋体"/>
          <w:sz w:val="21"/>
          <w:szCs w:val="21"/>
          <w:highlight w:val="none"/>
          <w:lang w:val="en-US" w:eastAsia="zh-CN"/>
        </w:rPr>
        <w:t>人根据招标人在中国重汽官网公开媒体上发布的招标信息，在</w:t>
      </w:r>
      <w:r>
        <w:rPr>
          <w:rFonts w:hint="eastAsia" w:eastAsia="宋体" w:cs="宋体"/>
          <w:b/>
          <w:bCs/>
          <w:sz w:val="21"/>
          <w:szCs w:val="21"/>
          <w:highlight w:val="none"/>
          <w:lang w:val="en-US" w:eastAsia="zh-CN"/>
        </w:rPr>
        <w:t>“中国重汽e采通”</w:t>
      </w:r>
      <w:r>
        <w:rPr>
          <w:rFonts w:hint="eastAsia" w:eastAsia="宋体" w:cs="宋体"/>
          <w:sz w:val="21"/>
          <w:szCs w:val="21"/>
          <w:highlight w:val="none"/>
          <w:lang w:val="en-US" w:eastAsia="zh-CN"/>
        </w:rPr>
        <w:t>平台报名。</w:t>
      </w:r>
    </w:p>
    <w:p>
      <w:pPr>
        <w:pStyle w:val="77"/>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cs="Times New Roman"/>
          <w:highlight w:val="none"/>
          <w:lang w:val="en-US" w:eastAsia="zh-CN"/>
        </w:rPr>
        <w:t>疑问提交</w:t>
      </w:r>
    </w:p>
    <w:p>
      <w:pPr>
        <w:pStyle w:val="77"/>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single"/>
          <w:lang w:val="en-US" w:eastAsia="zh-CN"/>
        </w:rPr>
        <w:t>20</w:t>
      </w:r>
      <w:r>
        <w:rPr>
          <w:rFonts w:hint="eastAsia" w:cs="Times New Roman"/>
          <w:highlight w:val="none"/>
          <w:u w:val="single"/>
          <w:lang w:val="en-US" w:eastAsia="zh-CN"/>
        </w:rPr>
        <w:t>25</w:t>
      </w:r>
      <w:r>
        <w:rPr>
          <w:rFonts w:hint="eastAsia" w:ascii="宋体" w:hAnsi="Courier New" w:eastAsia="宋体" w:cs="Times New Roman"/>
          <w:highlight w:val="none"/>
          <w:u w:val="single"/>
          <w:lang w:val="en-US" w:eastAsia="zh-CN"/>
        </w:rPr>
        <w:t>年</w:t>
      </w:r>
      <w:r>
        <w:rPr>
          <w:rFonts w:hint="eastAsia" w:cs="Times New Roman"/>
          <w:highlight w:val="none"/>
          <w:u w:val="single"/>
          <w:lang w:val="en-US" w:eastAsia="zh-CN"/>
        </w:rPr>
        <w:t>3</w:t>
      </w:r>
      <w:r>
        <w:rPr>
          <w:rFonts w:hint="eastAsia" w:ascii="宋体" w:hAnsi="Courier New" w:eastAsia="宋体" w:cs="Times New Roman"/>
          <w:highlight w:val="none"/>
          <w:u w:val="single"/>
          <w:lang w:val="en-US" w:eastAsia="zh-CN"/>
        </w:rPr>
        <w:t>月</w:t>
      </w:r>
      <w:r>
        <w:rPr>
          <w:rFonts w:hint="eastAsia" w:cs="Times New Roman"/>
          <w:highlight w:val="none"/>
          <w:u w:val="single"/>
          <w:lang w:val="en-US" w:eastAsia="zh-CN"/>
        </w:rPr>
        <w:t>8</w:t>
      </w:r>
      <w:r>
        <w:rPr>
          <w:rFonts w:hint="eastAsia" w:ascii="宋体" w:hAnsi="Courier New" w:eastAsia="宋体" w:cs="Times New Roman"/>
          <w:highlight w:val="none"/>
          <w:u w:val="single"/>
          <w:lang w:val="en-US" w:eastAsia="zh-CN"/>
        </w:rPr>
        <w:t>日</w:t>
      </w:r>
      <w:r>
        <w:rPr>
          <w:rFonts w:hint="default" w:ascii="宋体" w:hAnsi="Courier New" w:eastAsia="宋体" w:cs="Times New Roman"/>
          <w:highlight w:val="none"/>
          <w:u w:val="single"/>
          <w:lang w:val="en-US" w:eastAsia="zh-CN"/>
        </w:rPr>
        <w:t>12:00</w:t>
      </w:r>
      <w:r>
        <w:rPr>
          <w:rFonts w:hint="eastAsia"/>
          <w:highlight w:val="none"/>
          <w:u w:val="single"/>
          <w:lang w:val="en-US" w:eastAsia="zh-CN"/>
        </w:rPr>
        <w:t>:00</w:t>
      </w:r>
      <w:r>
        <w:rPr>
          <w:rFonts w:hint="default" w:ascii="宋体" w:hAnsi="Courier New" w:eastAsia="宋体" w:cs="Times New Roman"/>
          <w:highlight w:val="none"/>
          <w:u w:val="single"/>
          <w:lang w:val="en-US" w:eastAsia="zh-CN"/>
        </w:rPr>
        <w:t>（北京时间）</w:t>
      </w:r>
      <w:r>
        <w:rPr>
          <w:rFonts w:hint="eastAsia" w:cs="Times New Roman"/>
          <w:highlight w:val="none"/>
          <w:u w:val="single"/>
          <w:lang w:val="en-US" w:eastAsia="zh-CN"/>
        </w:rPr>
        <w:t>；</w:t>
      </w:r>
    </w:p>
    <w:p>
      <w:pPr>
        <w:pStyle w:val="77"/>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pPr>
        <w:pStyle w:val="77"/>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outlineLvl w:val="2"/>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pPr>
        <w:pStyle w:val="77"/>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none"/>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yellow"/>
          <w:u w:val="single"/>
          <w:lang w:val="en-US" w:eastAsia="zh-CN"/>
        </w:rPr>
        <w:t>20</w:t>
      </w:r>
      <w:r>
        <w:rPr>
          <w:rFonts w:hint="eastAsia" w:cs="Times New Roman"/>
          <w:highlight w:val="yellow"/>
          <w:u w:val="single"/>
          <w:lang w:val="en-US" w:eastAsia="zh-CN"/>
        </w:rPr>
        <w:t>26</w:t>
      </w:r>
      <w:r>
        <w:rPr>
          <w:rFonts w:hint="eastAsia" w:ascii="宋体" w:hAnsi="Courier New" w:eastAsia="宋体" w:cs="Times New Roman"/>
          <w:highlight w:val="yellow"/>
          <w:u w:val="single"/>
          <w:lang w:val="en-US" w:eastAsia="zh-CN"/>
        </w:rPr>
        <w:t>年</w:t>
      </w:r>
      <w:r>
        <w:rPr>
          <w:rFonts w:hint="eastAsia" w:cs="Times New Roman"/>
          <w:highlight w:val="yellow"/>
          <w:u w:val="single"/>
          <w:lang w:val="en-US" w:eastAsia="zh-CN"/>
        </w:rPr>
        <w:t>3月8日</w:t>
      </w:r>
      <w:r>
        <w:rPr>
          <w:rFonts w:hint="default" w:ascii="宋体" w:hAnsi="Courier New" w:eastAsia="宋体" w:cs="Times New Roman"/>
          <w:highlight w:val="yellow"/>
          <w:u w:val="single"/>
          <w:lang w:val="en-US" w:eastAsia="zh-CN"/>
        </w:rPr>
        <w:t>17:00</w:t>
      </w:r>
      <w:r>
        <w:rPr>
          <w:rFonts w:hint="eastAsia" w:ascii="宋体" w:hAnsi="Courier New" w:eastAsia="宋体" w:cs="Times New Roman"/>
          <w:highlight w:val="yellow"/>
          <w:u w:val="single"/>
          <w:lang w:val="en-US" w:eastAsia="zh-CN"/>
        </w:rPr>
        <w:t>前</w:t>
      </w:r>
      <w:r>
        <w:rPr>
          <w:rFonts w:hint="eastAsia" w:cs="Times New Roman"/>
          <w:highlight w:val="yellow"/>
          <w:u w:val="single"/>
          <w:lang w:val="en-US" w:eastAsia="zh-CN"/>
        </w:rPr>
        <w:t>；</w:t>
      </w:r>
    </w:p>
    <w:p>
      <w:pPr>
        <w:pStyle w:val="77"/>
        <w:keepNext w:val="0"/>
        <w:keepLines w:val="0"/>
        <w:pageBreakBefore w:val="0"/>
        <w:widowControl w:val="0"/>
        <w:numPr>
          <w:ilvl w:val="1"/>
          <w:numId w:val="15"/>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pPr>
        <w:pStyle w:val="73"/>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投标文件的组成</w:t>
      </w:r>
    </w:p>
    <w:p>
      <w:pPr>
        <w:pStyle w:val="77"/>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val="en-US" w:eastAsia="zh-CN"/>
        </w:rPr>
      </w:pPr>
      <w:r>
        <w:rPr>
          <w:rFonts w:hint="eastAsia" w:cs="Times New Roman"/>
          <w:lang w:val="en-US" w:eastAsia="zh-CN"/>
        </w:rPr>
        <w:t>本项目投标文件为</w:t>
      </w:r>
      <w:r>
        <w:rPr>
          <w:rFonts w:hint="eastAsia" w:ascii="Times New Roman" w:hAnsi="Times New Roman" w:cs="Times New Roman"/>
          <w:color w:val="auto"/>
          <w:lang w:val="en-US" w:eastAsia="zh-CN"/>
        </w:rPr>
        <w:t>盖章扫描</w:t>
      </w:r>
      <w:r>
        <w:rPr>
          <w:rFonts w:hint="eastAsia" w:cs="Times New Roman"/>
          <w:lang w:val="en-US" w:eastAsia="zh-CN"/>
        </w:rPr>
        <w:t>电子版投标文件。</w:t>
      </w:r>
      <w:r>
        <w:rPr>
          <w:rFonts w:hint="eastAsia"/>
          <w:lang w:val="en-US" w:eastAsia="zh-CN"/>
        </w:rPr>
        <w:t>投标人编写的投标文件由《投标文件（资质标）》、</w:t>
      </w:r>
      <w:r>
        <w:rPr>
          <w:rFonts w:hint="eastAsia"/>
          <w:highlight w:val="none"/>
          <w:lang w:val="en-US" w:eastAsia="zh-CN"/>
        </w:rPr>
        <w:t>《投标文件（技术标）》和《投标文件（商务标）》文件组成，共计3个文件。所</w:t>
      </w:r>
      <w:r>
        <w:rPr>
          <w:rFonts w:hint="eastAsia"/>
          <w:lang w:val="en-US" w:eastAsia="zh-CN"/>
        </w:rPr>
        <w:t>有文件应按“公司简称+文件名称”格式命名，并编制目录。</w:t>
      </w:r>
    </w:p>
    <w:p>
      <w:pPr>
        <w:pStyle w:val="77"/>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Times New Roman" w:hAnsi="Times New Roman" w:cs="Times New Roman"/>
          <w:color w:val="auto"/>
        </w:rPr>
      </w:pPr>
      <w:r>
        <w:rPr>
          <w:rFonts w:hint="eastAsia" w:ascii="黑体" w:hAnsi="黑体" w:eastAsia="黑体" w:cs="黑体"/>
          <w:b w:val="0"/>
          <w:bCs/>
          <w:sz w:val="21"/>
          <w:szCs w:val="21"/>
          <w:highlight w:val="none"/>
        </w:rPr>
        <w:t>资质文件</w:t>
      </w:r>
      <w:r>
        <w:rPr>
          <w:rFonts w:hint="eastAsia" w:ascii="黑体" w:hAnsi="黑体" w:eastAsia="黑体" w:cs="黑体"/>
          <w:b w:val="0"/>
          <w:bCs/>
          <w:sz w:val="21"/>
          <w:szCs w:val="21"/>
          <w:highlight w:val="none"/>
          <w:lang w:val="en-US" w:eastAsia="zh-CN"/>
        </w:rPr>
        <w:t xml:space="preserve"> </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rPr>
      </w:pPr>
      <w:r>
        <w:rPr>
          <w:rFonts w:hint="eastAsia" w:ascii="Times New Roman" w:hAnsi="Times New Roman" w:cs="Times New Roman"/>
          <w:color w:val="auto"/>
        </w:rPr>
        <w:t>营业执照副本原件</w:t>
      </w:r>
      <w:r>
        <w:rPr>
          <w:rFonts w:hint="eastAsia" w:ascii="Times New Roman" w:hAnsi="Times New Roman" w:cs="Times New Roman"/>
          <w:color w:val="auto"/>
          <w:lang w:val="en-US" w:eastAsia="zh-CN"/>
        </w:rPr>
        <w:t>或复印件</w:t>
      </w:r>
      <w:r>
        <w:rPr>
          <w:rFonts w:hint="default" w:ascii="Times New Roman" w:hAnsi="Times New Roman" w:cs="Times New Roman"/>
          <w:color w:val="auto"/>
        </w:rPr>
        <w:t>（需加盖公章）</w:t>
      </w:r>
      <w:r>
        <w:rPr>
          <w:rFonts w:hint="eastAsia" w:ascii="Times New Roman" w:hAnsi="Times New Roman" w:cs="Times New Roman"/>
          <w:color w:val="auto"/>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default" w:ascii="Times New Roman" w:hAnsi="Times New Roman" w:cs="Times New Roman"/>
          <w:color w:val="auto"/>
        </w:rPr>
        <w:t>法</w:t>
      </w:r>
      <w:r>
        <w:rPr>
          <w:rFonts w:hint="default" w:ascii="Times New Roman" w:hAnsi="Times New Roman" w:cs="Times New Roman"/>
          <w:color w:val="auto"/>
          <w:highlight w:val="none"/>
        </w:rPr>
        <w:t>定代表人授权书（附件</w:t>
      </w: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rPr>
        <w:t>）；法定代表人参加投标的，提供法人身份证明文件即可；被授权人参加投标的，需提供法定代表人授权委托书（含法人身份证和被授权人身份证正反面复印件）</w:t>
      </w:r>
      <w:r>
        <w:rPr>
          <w:rFonts w:hint="default" w:ascii="Times New Roman" w:hAnsi="Times New Roman" w:cs="Times New Roman"/>
          <w:color w:val="auto"/>
          <w:highlight w:val="none"/>
          <w:lang w:val="en-US" w:eastAsia="zh-CN"/>
        </w:rPr>
        <w:t>和</w:t>
      </w:r>
      <w:r>
        <w:rPr>
          <w:rFonts w:hint="default" w:ascii="Times New Roman" w:hAnsi="Times New Roman" w:cs="Times New Roman"/>
          <w:color w:val="auto"/>
          <w:highlight w:val="none"/>
        </w:rPr>
        <w:t>被授权人近</w:t>
      </w:r>
      <w:r>
        <w:rPr>
          <w:rFonts w:hint="default" w:ascii="Times New Roman" w:hAnsi="Times New Roman" w:cs="Times New Roman"/>
          <w:color w:val="auto"/>
          <w:highlight w:val="none"/>
          <w:lang w:val="en-US" w:eastAsia="zh-CN"/>
        </w:rPr>
        <w:t>6</w:t>
      </w:r>
      <w:r>
        <w:rPr>
          <w:rFonts w:hint="default" w:ascii="Times New Roman" w:hAnsi="Times New Roman" w:cs="Times New Roman"/>
          <w:color w:val="auto"/>
          <w:highlight w:val="none"/>
        </w:rPr>
        <w:t>个月</w:t>
      </w:r>
      <w:r>
        <w:rPr>
          <w:rFonts w:hint="default" w:ascii="Times New Roman" w:hAnsi="Times New Roman" w:cs="Times New Roman"/>
          <w:color w:val="auto"/>
          <w:highlight w:val="none"/>
          <w:lang w:val="en-US" w:eastAsia="zh-CN"/>
        </w:rPr>
        <w:t>及以上在授权单位的社保</w:t>
      </w:r>
      <w:r>
        <w:rPr>
          <w:rFonts w:hint="default" w:ascii="Times New Roman" w:hAnsi="Times New Roman" w:cs="Times New Roman"/>
          <w:color w:val="auto"/>
          <w:highlight w:val="none"/>
        </w:rPr>
        <w:t>缴纳证明</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lang w:val="en-US" w:eastAsia="zh-CN"/>
        </w:rPr>
        <w:t>需加盖公章</w:t>
      </w:r>
      <w:r>
        <w:rPr>
          <w:rFonts w:hint="eastAsia" w:ascii="Times New Roman" w:hAnsi="Times New Roman" w:cs="Times New Roman"/>
          <w:color w:val="auto"/>
          <w:highlight w:val="none"/>
          <w:lang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cs="Times New Roman"/>
          <w:b w:val="0"/>
          <w:bCs/>
          <w:strike w:val="0"/>
          <w:dstrike w:val="0"/>
          <w:highlight w:val="none"/>
        </w:rPr>
        <w:t>2022年1月1日至今经会计师事务所审计且出具无保留意见的财务审计报告，并加盖公章，（如投标人公司没有经审计的财务报告，可提供加盖公章的近三年财务报表，包括但不限于资产负债表、利润表、现金流量表），且未显示异常</w:t>
      </w:r>
      <w:r>
        <w:rPr>
          <w:rFonts w:hint="eastAsia" w:ascii="宋体" w:hAnsi="宋体" w:eastAsia="宋体" w:cs="Times New Roman"/>
          <w:b w:val="0"/>
          <w:bCs/>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企业最近半年完税证明、信用证明材料（征信报告）；</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年度纳税信用评价信息（可从电子税务局查询截图，需加盖公章）；</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rPr>
      </w:pPr>
      <w:r>
        <w:rPr>
          <w:rFonts w:hint="eastAsia" w:ascii="Times New Roman" w:hAnsi="Times New Roman" w:cs="Times New Roman"/>
          <w:color w:val="auto"/>
          <w:highlight w:val="none"/>
          <w:lang w:val="en-US" w:eastAsia="zh-CN"/>
        </w:rPr>
        <w:t>企业对外担保说明（写明贵单位对外有无对外担保和质押业务，需加盖公章）；</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投标人在国家企业信用信息公示系统中无与本项目有关的行政处罚、经营异常和失信信息的声明（附投标当日系统内相关截图）</w:t>
      </w:r>
      <w:r>
        <w:rPr>
          <w:rFonts w:hint="eastAsia" w:ascii="Times New Roman" w:hAnsi="Times New Roman" w:cs="Times New Roman"/>
          <w:color w:val="auto"/>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highlight w:val="none"/>
          <w:lang w:val="en-US" w:eastAsia="zh-CN"/>
        </w:rPr>
      </w:pPr>
      <w:r>
        <w:rPr>
          <w:rFonts w:hint="default" w:ascii="Times New Roman" w:hAnsi="Times New Roman" w:cs="Times New Roman"/>
          <w:color w:val="auto"/>
          <w:highlight w:val="none"/>
          <w:lang w:val="en-US" w:eastAsia="zh-CN"/>
        </w:rPr>
        <w:t>保密承诺函（附件</w:t>
      </w:r>
      <w:r>
        <w:rPr>
          <w:rFonts w:hint="eastAsia" w:ascii="Times New Roman" w:hAnsi="Times New Roman" w:cs="Times New Roman"/>
          <w:color w:val="auto"/>
          <w:highlight w:val="none"/>
          <w:lang w:val="en-US" w:eastAsia="zh-CN"/>
        </w:rPr>
        <w:t>2</w:t>
      </w:r>
      <w:r>
        <w:rPr>
          <w:rFonts w:hint="default" w:ascii="Times New Roman" w:hAnsi="Times New Roman" w:cs="Times New Roman"/>
          <w:color w:val="auto"/>
          <w:highlight w:val="none"/>
          <w:lang w:val="en-US" w:eastAsia="zh-CN"/>
        </w:rPr>
        <w:t>，需盖章）</w:t>
      </w:r>
      <w:r>
        <w:rPr>
          <w:rFonts w:hint="eastAsia" w:ascii="Times New Roman" w:hAnsi="Times New Roman" w:cs="Times New Roman"/>
          <w:color w:val="auto"/>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lang w:val="en-US" w:eastAsia="zh-CN"/>
        </w:rPr>
      </w:pPr>
      <w:r>
        <w:rPr>
          <w:rFonts w:hint="eastAsia" w:cs="Times New Roman"/>
          <w:b w:val="0"/>
          <w:bCs/>
          <w:strike w:val="0"/>
          <w:dstrike w:val="0"/>
          <w:highlight w:val="none"/>
        </w:rPr>
        <w:t>与本次招标内容相同或类似项目业绩，近3年内无因服务不当而造成重大事故</w:t>
      </w:r>
      <w:r>
        <w:rPr>
          <w:rFonts w:hint="eastAsia" w:cs="Times New Roman"/>
          <w:b w:val="0"/>
          <w:bCs/>
          <w:strike w:val="0"/>
          <w:dstrike w:val="0"/>
          <w:highlight w:val="none"/>
          <w:lang w:val="en-US" w:eastAsia="zh-CN"/>
        </w:rPr>
        <w:t>的声明；</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420" w:firstLineChars="200"/>
        <w:textAlignment w:val="auto"/>
        <w:rPr>
          <w:rFonts w:hint="default" w:ascii="Times New Roman" w:hAnsi="Times New Roman" w:cs="Times New Roman"/>
          <w:color w:val="auto"/>
          <w:highlight w:val="none"/>
          <w:lang w:val="en-US" w:eastAsia="zh-CN"/>
        </w:rPr>
      </w:pPr>
      <w:r>
        <w:rPr>
          <w:rFonts w:hint="eastAsia" w:ascii="Times New Roman" w:hAnsi="Times New Roman" w:cs="Times New Roman"/>
          <w:color w:val="auto"/>
          <w:highlight w:val="none"/>
          <w:lang w:val="en-US" w:eastAsia="zh-CN"/>
        </w:rPr>
        <w:t>投标保证金缴纳凭证，同时正文描述付款账号、户名、开户行名称、开户行行号、保证金金额。</w:t>
      </w:r>
    </w:p>
    <w:p>
      <w:pPr>
        <w:pStyle w:val="77"/>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422" w:firstLineChars="200"/>
        <w:textAlignment w:val="auto"/>
        <w:rPr>
          <w:b/>
          <w:bCs/>
          <w:color w:val="auto"/>
        </w:rPr>
      </w:pPr>
      <w:r>
        <w:rPr>
          <w:rFonts w:hint="eastAsia"/>
          <w:b/>
          <w:bCs/>
          <w:color w:val="auto"/>
        </w:rPr>
        <w:t>对于投标人资质审核不通过的，招标人有权拒绝其投标。</w:t>
      </w:r>
    </w:p>
    <w:p>
      <w:pPr>
        <w:pStyle w:val="77"/>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rPr>
      </w:pPr>
      <w:r>
        <w:rPr>
          <w:rFonts w:hint="eastAsia" w:ascii="黑体" w:hAnsi="黑体" w:eastAsia="黑体" w:cs="黑体"/>
          <w:b w:val="0"/>
          <w:bCs/>
          <w:sz w:val="21"/>
          <w:szCs w:val="21"/>
          <w:highlight w:val="none"/>
          <w:lang w:val="en-US" w:eastAsia="zh-CN"/>
        </w:rPr>
        <w:t>技术标</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技术配置对比表。</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投标设备配置明细表，列明项目设备分项配置规格型号、品牌等信息（要求与附件8 分项报价表完全对应），但注意：</w:t>
      </w:r>
      <w:r>
        <w:rPr>
          <w:rFonts w:hint="eastAsia" w:cs="Times New Roman"/>
          <w:b/>
          <w:bCs/>
          <w:highlight w:val="none"/>
          <w:lang w:val="en-US" w:eastAsia="zh-CN"/>
        </w:rPr>
        <w:t>此表在技术标书中，禁止出现任何分项价格及项目总价</w:t>
      </w:r>
      <w:r>
        <w:rPr>
          <w:rFonts w:hint="eastAsia" w:cs="Times New Roman"/>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技术规格偏离表（附件3）；</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 xml:space="preserve">技术性能、参数的描述； </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lang w:val="en-US" w:eastAsia="zh-CN"/>
        </w:rPr>
        <w:t xml:space="preserve">备品备件工具材料明细表； </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lang w:val="en-US" w:eastAsia="zh-CN"/>
        </w:rPr>
      </w:pPr>
      <w:r>
        <w:rPr>
          <w:rFonts w:hint="eastAsia" w:cs="Times New Roman"/>
          <w:highlight w:val="none"/>
        </w:rPr>
        <w:t>技术标书</w:t>
      </w:r>
      <w:r>
        <w:rPr>
          <w:rFonts w:hint="eastAsia" w:cs="Times New Roman"/>
          <w:highlight w:val="none"/>
          <w:lang w:val="en-US" w:eastAsia="zh-CN"/>
        </w:rPr>
        <w:t>要求的其他内容。</w:t>
      </w:r>
    </w:p>
    <w:p>
      <w:pPr>
        <w:pStyle w:val="77"/>
        <w:keepNext w:val="0"/>
        <w:keepLines w:val="0"/>
        <w:pageBreakBefore w:val="0"/>
        <w:widowControl w:val="0"/>
        <w:numPr>
          <w:ilvl w:val="1"/>
          <w:numId w:val="17"/>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sz w:val="21"/>
          <w:szCs w:val="21"/>
          <w:highlight w:val="none"/>
          <w:lang w:val="en-US" w:eastAsia="zh-CN"/>
        </w:rPr>
      </w:pPr>
      <w:r>
        <w:rPr>
          <w:rFonts w:hint="eastAsia" w:ascii="黑体" w:hAnsi="黑体" w:eastAsia="黑体" w:cs="黑体"/>
          <w:b w:val="0"/>
          <w:bCs/>
          <w:sz w:val="21"/>
          <w:szCs w:val="21"/>
          <w:highlight w:val="none"/>
          <w:lang w:val="en-US" w:eastAsia="zh-CN"/>
        </w:rPr>
        <w:t>商务标</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开标一览表（附件4）</w:t>
      </w:r>
      <w:r>
        <w:rPr>
          <w:rFonts w:hint="eastAsia" w:cs="Times New Roman"/>
          <w:highlight w:val="none"/>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投标函（附件</w:t>
      </w:r>
      <w:r>
        <w:rPr>
          <w:rFonts w:hint="eastAsia" w:cs="Times New Roman"/>
          <w:highlight w:val="none"/>
          <w:lang w:val="en-US" w:eastAsia="zh-CN"/>
        </w:rPr>
        <w:t>5</w:t>
      </w:r>
      <w:r>
        <w:rPr>
          <w:rFonts w:hint="eastAsia" w:cs="Times New Roman"/>
          <w:highlight w:val="none"/>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lang w:val="en-US" w:eastAsia="zh-CN"/>
        </w:rPr>
        <w:t>服务承诺函（附件6），</w:t>
      </w:r>
      <w:r>
        <w:rPr>
          <w:rFonts w:hint="eastAsia" w:cs="Times New Roman"/>
          <w:b w:val="0"/>
          <w:bCs/>
          <w:strike w:val="0"/>
          <w:dstrike w:val="0"/>
          <w:highlight w:val="none"/>
        </w:rPr>
        <w:t>认可招标人的工作指令，包括节、假日能正常开展工作的要求</w:t>
      </w:r>
      <w:r>
        <w:rPr>
          <w:rFonts w:hint="eastAsia" w:cs="Times New Roman"/>
          <w:highlight w:val="none"/>
          <w:lang w:val="en-US" w:eastAsia="zh-CN"/>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eastAsia" w:cs="Times New Roman"/>
          <w:highlight w:val="none"/>
        </w:rPr>
      </w:pPr>
      <w:r>
        <w:rPr>
          <w:rFonts w:hint="eastAsia" w:cs="Times New Roman"/>
          <w:highlight w:val="none"/>
        </w:rPr>
        <w:t>商务条款偏离表（附件</w:t>
      </w:r>
      <w:r>
        <w:rPr>
          <w:rFonts w:hint="eastAsia" w:cs="Times New Roman"/>
          <w:highlight w:val="none"/>
          <w:lang w:val="en-US" w:eastAsia="zh-CN"/>
        </w:rPr>
        <w:t>7</w:t>
      </w:r>
      <w:r>
        <w:rPr>
          <w:rFonts w:hint="eastAsia" w:cs="Times New Roman"/>
          <w:highlight w:val="none"/>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eastAsia" w:cs="Times New Roman"/>
          <w:highlight w:val="none"/>
        </w:rPr>
        <w:t>分项报价表（附件</w:t>
      </w:r>
      <w:r>
        <w:rPr>
          <w:rFonts w:hint="eastAsia" w:cs="Times New Roman"/>
          <w:highlight w:val="none"/>
          <w:lang w:val="en-US" w:eastAsia="zh-CN"/>
        </w:rPr>
        <w:t>8</w:t>
      </w:r>
      <w:r>
        <w:rPr>
          <w:rFonts w:hint="eastAsia" w:cs="Times New Roman"/>
          <w:highlight w:val="none"/>
        </w:rPr>
        <w:t>）；</w:t>
      </w:r>
    </w:p>
    <w:p>
      <w:pPr>
        <w:pStyle w:val="77"/>
        <w:keepNext w:val="0"/>
        <w:keepLines w:val="0"/>
        <w:pageBreakBefore w:val="0"/>
        <w:widowControl w:val="0"/>
        <w:numPr>
          <w:ilvl w:val="2"/>
          <w:numId w:val="17"/>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highlight w:val="none"/>
          <w:lang w:val="en-US" w:eastAsia="zh-CN"/>
        </w:rPr>
      </w:pPr>
      <w:r>
        <w:rPr>
          <w:rFonts w:hint="eastAsia" w:cs="Times New Roman"/>
          <w:highlight w:val="none"/>
        </w:rPr>
        <w:t>备配件目录价格及折扣报价表</w:t>
      </w:r>
      <w:r>
        <w:rPr>
          <w:rFonts w:hint="eastAsia" w:cs="Times New Roman"/>
          <w:highlight w:val="none"/>
          <w:lang w:eastAsia="zh-CN"/>
        </w:rPr>
        <w:t>；</w:t>
      </w:r>
    </w:p>
    <w:p>
      <w:pPr>
        <w:pStyle w:val="77"/>
        <w:keepNext w:val="0"/>
        <w:keepLines w:val="0"/>
        <w:pageBreakBefore w:val="0"/>
        <w:widowControl w:val="0"/>
        <w:numPr>
          <w:ilvl w:val="0"/>
          <w:numId w:val="18"/>
        </w:numPr>
        <w:kinsoku/>
        <w:wordWrap/>
        <w:overflowPunct/>
        <w:topLinePunct w:val="0"/>
        <w:autoSpaceDE/>
        <w:autoSpaceDN/>
        <w:bidi w:val="0"/>
        <w:adjustRightInd/>
        <w:snapToGrid/>
        <w:spacing w:line="440" w:lineRule="exact"/>
        <w:ind w:left="0" w:leftChars="0" w:firstLine="0" w:firstLineChars="0"/>
        <w:textAlignment w:val="auto"/>
        <w:rPr>
          <w:rFonts w:hint="default" w:cs="Times New Roman"/>
          <w:b w:val="0"/>
          <w:bCs w:val="0"/>
          <w:highlight w:val="none"/>
          <w:lang w:val="en-US" w:eastAsia="zh-CN"/>
        </w:rPr>
      </w:pPr>
      <w:r>
        <w:rPr>
          <w:rFonts w:hint="eastAsia" w:cs="Times New Roman"/>
          <w:b w:val="0"/>
          <w:bCs w:val="0"/>
          <w:highlight w:val="none"/>
          <w:lang w:val="en-US" w:eastAsia="zh-CN"/>
        </w:rPr>
        <w:t>商务报价注意内容：报价单位为万元（含税）</w:t>
      </w:r>
      <w:r>
        <w:rPr>
          <w:rFonts w:hint="eastAsia" w:cs="Times New Roman"/>
          <w:b w:val="0"/>
          <w:bCs w:val="0"/>
          <w:highlight w:val="none"/>
        </w:rPr>
        <w:t>。</w:t>
      </w:r>
    </w:p>
    <w:p>
      <w:pPr>
        <w:pStyle w:val="73"/>
        <w:keepNext w:val="0"/>
        <w:keepLines w:val="0"/>
        <w:pageBreakBefore w:val="0"/>
        <w:widowControl w:val="0"/>
        <w:numPr>
          <w:ilvl w:val="0"/>
          <w:numId w:val="16"/>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sz w:val="24"/>
          <w:szCs w:val="24"/>
          <w:lang w:val="en-US" w:eastAsia="zh-CN"/>
        </w:rPr>
      </w:pPr>
      <w:r>
        <w:rPr>
          <w:rFonts w:hint="eastAsia" w:ascii="黑体" w:hAnsi="黑体" w:eastAsia="黑体" w:cs="黑体"/>
          <w:b w:val="0"/>
          <w:sz w:val="24"/>
          <w:szCs w:val="24"/>
          <w:lang w:val="en-US" w:eastAsia="zh-CN"/>
        </w:rPr>
        <w:t>投标文件的投递</w:t>
      </w:r>
    </w:p>
    <w:p>
      <w:pPr>
        <w:pStyle w:val="77"/>
        <w:keepNext w:val="0"/>
        <w:keepLines w:val="0"/>
        <w:pageBreakBefore w:val="0"/>
        <w:widowControl w:val="0"/>
        <w:numPr>
          <w:ilvl w:val="1"/>
          <w:numId w:val="16"/>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投标方式</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630" w:firstLineChars="300"/>
        <w:textAlignment w:val="auto"/>
        <w:outlineLvl w:val="3"/>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本项目投标文件分为纸质版投标文件和电子版投标文件，均由《投标文件（资质标）》、《投标文件（技术标）》、《投标文件（商务标）》（需要包含开标一览表）文件组成，共计3个文件。</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3"/>
        <w:rPr>
          <w:rFonts w:hint="default" w:ascii="Times New Roman" w:hAnsi="Times New Roman" w:cs="Times New Roman"/>
          <w:color w:val="auto"/>
          <w:lang w:val="en-US" w:eastAsia="zh-CN"/>
        </w:rPr>
      </w:pPr>
      <w:r>
        <w:rPr>
          <w:rFonts w:hint="default" w:ascii="Times New Roman" w:hAnsi="Times New Roman" w:cs="Times New Roman"/>
          <w:color w:val="auto"/>
          <w:lang w:val="en-US" w:eastAsia="zh-CN"/>
        </w:rPr>
        <w:t>《投标文件（资质标）》一个文件（里面是全部资质投标书），投标文件（技术标）》一个文件（里面是全部技术投标书），《投标文件（商务标）》（开标一览表）一个文件（里面是全部商务投标书），</w:t>
      </w:r>
      <w:r>
        <w:rPr>
          <w:rFonts w:hint="default" w:ascii="Times New Roman" w:hAnsi="Times New Roman" w:cs="Times New Roman"/>
          <w:color w:val="auto"/>
          <w:highlight w:val="yellow"/>
          <w:lang w:val="en-US" w:eastAsia="zh-CN"/>
        </w:rPr>
        <w:t>具体组成等详细要求见招标文件第三部分投标文件编制第三条。</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textAlignment w:val="auto"/>
        <w:outlineLvl w:val="3"/>
        <w:rPr>
          <w:rFonts w:hint="default" w:ascii="Times New Roman" w:hAnsi="Times New Roman" w:cs="Times New Roman"/>
          <w:color w:val="auto"/>
          <w:lang w:val="en-US" w:eastAsia="zh-CN"/>
        </w:rPr>
      </w:pPr>
      <w:r>
        <w:rPr>
          <w:rFonts w:hint="eastAsia" w:ascii="Times New Roman" w:hAnsi="Times New Roman" w:cs="Times New Roman"/>
          <w:color w:val="auto"/>
          <w:lang w:val="en-US" w:eastAsia="zh-CN"/>
        </w:rPr>
        <w:t xml:space="preserve">      </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color w:val="auto"/>
          <w:lang w:val="en-US" w:eastAsia="zh-CN"/>
        </w:rPr>
      </w:pPr>
      <w:r>
        <w:rPr>
          <w:rFonts w:hint="eastAsia" w:ascii="Times New Roman" w:hAnsi="Times New Roman" w:cs="Times New Roman"/>
          <w:color w:val="auto"/>
          <w:lang w:val="en-US" w:eastAsia="zh-CN"/>
        </w:rPr>
        <w:t>在中国重汽e采通平台应标成功后，进入“供应商投标”环节：</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textAlignment w:val="auto"/>
        <w:rPr>
          <w:rFonts w:hint="eastAsia" w:ascii="Times New Roman" w:hAnsi="Times New Roman" w:cs="Times New Roman"/>
          <w:b/>
          <w:bCs/>
          <w:color w:val="auto"/>
          <w:lang w:val="en-US" w:eastAsia="zh-CN"/>
        </w:rPr>
      </w:pPr>
      <w:r>
        <w:rPr>
          <w:rFonts w:hint="eastAsia" w:ascii="Times New Roman" w:hAnsi="Times New Roman" w:cs="Times New Roman"/>
          <w:color w:val="auto"/>
          <w:lang w:val="en-US" w:eastAsia="zh-CN"/>
        </w:rPr>
        <w:t>投递盖章扫描版电子标书（包含资质标书、</w:t>
      </w:r>
      <w:r>
        <w:rPr>
          <w:rFonts w:hint="eastAsia" w:ascii="Times New Roman" w:hAnsi="Times New Roman" w:cs="Times New Roman"/>
          <w:color w:val="auto"/>
          <w:highlight w:val="none"/>
          <w:lang w:val="en-US" w:eastAsia="zh-CN"/>
        </w:rPr>
        <w:t>技术标书、</w:t>
      </w:r>
      <w:r>
        <w:rPr>
          <w:rFonts w:hint="eastAsia" w:ascii="Times New Roman" w:hAnsi="Times New Roman" w:cs="Times New Roman"/>
          <w:color w:val="auto"/>
          <w:lang w:val="en-US" w:eastAsia="zh-CN"/>
        </w:rPr>
        <w:t>商务标书）</w:t>
      </w:r>
      <w:r>
        <w:rPr>
          <w:rFonts w:hint="eastAsia" w:ascii="宋体" w:hAnsi="宋体" w:eastAsia="宋体" w:cs="宋体"/>
          <w:sz w:val="24"/>
          <w:szCs w:val="24"/>
        </w:rPr>
        <w:t>，</w:t>
      </w:r>
      <w:r>
        <w:rPr>
          <w:rFonts w:hint="eastAsia" w:ascii="Times New Roman" w:hAnsi="Times New Roman" w:cs="Times New Roman"/>
          <w:color w:val="auto"/>
          <w:lang w:val="en-US" w:eastAsia="zh-CN"/>
        </w:rPr>
        <w:t>用“公司名称+文件名称”命名。</w:t>
      </w:r>
      <w:r>
        <w:rPr>
          <w:rFonts w:hint="eastAsia" w:ascii="Times New Roman" w:hAnsi="Times New Roman" w:cs="Times New Roman"/>
          <w:b/>
          <w:bCs/>
          <w:color w:val="auto"/>
          <w:lang w:val="en-US" w:eastAsia="zh-CN"/>
        </w:rPr>
        <w:t>若逾期未在中国重汽e采通平台上传电子标书，即便递交了纸质版投标文件，一律视为无效投标。</w:t>
      </w:r>
    </w:p>
    <w:p>
      <w:pPr>
        <w:ind w:firstLine="422" w:firstLineChars="200"/>
        <w:rPr>
          <w:rFonts w:hint="eastAsia" w:ascii="Times New Roman" w:hAnsi="Times New Roman" w:eastAsia="宋体" w:cs="Times New Roman"/>
          <w:b/>
          <w:bCs/>
          <w:color w:val="auto"/>
          <w:kern w:val="2"/>
          <w:sz w:val="21"/>
          <w:lang w:val="en-US" w:eastAsia="zh-CN" w:bidi="ar-SA"/>
        </w:rPr>
      </w:pPr>
      <w:r>
        <w:rPr>
          <w:rFonts w:hint="eastAsia" w:ascii="Times New Roman" w:hAnsi="Times New Roman" w:eastAsia="宋体" w:cs="Times New Roman"/>
          <w:b/>
          <w:bCs/>
          <w:color w:val="auto"/>
          <w:kern w:val="2"/>
          <w:sz w:val="21"/>
          <w:lang w:val="en-US" w:eastAsia="zh-CN" w:bidi="ar-SA"/>
        </w:rPr>
        <w:t>纸质标书的份数要求为一式五份，正本一份，副本四份，同类文件封装在一个包封里，包封表面按照附件9标注文件信息；共计三个包封。</w:t>
      </w:r>
    </w:p>
    <w:p>
      <w:pPr>
        <w:pStyle w:val="15"/>
        <w:ind w:firstLine="422" w:firstLineChars="200"/>
        <w:rPr>
          <w:rFonts w:hint="eastAsia" w:ascii="Times New Roman" w:hAnsi="Times New Roman" w:eastAsia="宋体" w:cs="Times New Roman"/>
          <w:b/>
          <w:bCs/>
          <w:color w:val="auto"/>
          <w:kern w:val="2"/>
          <w:sz w:val="21"/>
          <w:lang w:val="en-US" w:eastAsia="zh-CN" w:bidi="ar-SA"/>
        </w:rPr>
      </w:pPr>
      <w:r>
        <w:rPr>
          <w:rFonts w:hint="eastAsia" w:ascii="Times New Roman" w:hAnsi="Times New Roman" w:eastAsia="宋体" w:cs="Times New Roman"/>
          <w:b/>
          <w:bCs/>
          <w:color w:val="auto"/>
          <w:kern w:val="2"/>
          <w:sz w:val="21"/>
          <w:lang w:val="en-US" w:eastAsia="zh-CN" w:bidi="ar-SA"/>
        </w:rPr>
        <w:t>投标需自行携带纸质投标文件至开标地点。</w:t>
      </w:r>
    </w:p>
    <w:p>
      <w:pPr>
        <w:pStyle w:val="77"/>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textAlignment w:val="auto"/>
        <w:rPr>
          <w:rFonts w:hint="eastAsia" w:ascii="Times New Roman" w:hAnsi="Times New Roman" w:cs="Times New Roman"/>
          <w:b/>
          <w:bCs/>
          <w:color w:val="auto"/>
          <w:lang w:val="en-US" w:eastAsia="zh-CN"/>
        </w:rPr>
      </w:pPr>
    </w:p>
    <w:p>
      <w:pPr>
        <w:pStyle w:val="77"/>
        <w:keepNext w:val="0"/>
        <w:keepLines w:val="0"/>
        <w:pageBreakBefore w:val="0"/>
        <w:widowControl w:val="0"/>
        <w:numPr>
          <w:ilvl w:val="1"/>
          <w:numId w:val="16"/>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lang w:val="en-US" w:eastAsia="zh-CN"/>
        </w:rPr>
      </w:pPr>
      <w:r>
        <w:rPr>
          <w:rFonts w:hint="eastAsia"/>
          <w:lang w:val="en-US" w:eastAsia="zh-CN"/>
        </w:rPr>
        <w:t>投标文件</w:t>
      </w:r>
      <w:r>
        <w:rPr>
          <w:rFonts w:hint="eastAsia" w:ascii="宋体" w:hAnsi="Courier New" w:eastAsia="宋体" w:cs="Times New Roman"/>
          <w:highlight w:val="none"/>
          <w:lang w:val="en-US" w:eastAsia="zh-CN"/>
        </w:rPr>
        <w:t>递交</w:t>
      </w:r>
      <w:r>
        <w:rPr>
          <w:rFonts w:hint="eastAsia"/>
          <w:lang w:val="en-US" w:eastAsia="zh-CN"/>
        </w:rPr>
        <w:t>截止时间：</w:t>
      </w:r>
      <w:r>
        <w:rPr>
          <w:rFonts w:hint="eastAsia"/>
          <w:highlight w:val="yellow"/>
          <w:u w:val="single"/>
          <w:lang w:val="en-US" w:eastAsia="zh-CN"/>
        </w:rPr>
        <w:t>2026年3月16日9:00:00</w:t>
      </w:r>
      <w:r>
        <w:rPr>
          <w:rFonts w:hint="default"/>
          <w:highlight w:val="yellow"/>
          <w:u w:val="single"/>
          <w:lang w:val="en-US" w:eastAsia="zh-CN"/>
        </w:rPr>
        <w:t>（</w:t>
      </w:r>
      <w:r>
        <w:rPr>
          <w:rFonts w:hint="default" w:ascii="宋体" w:hAnsi="Courier New" w:eastAsia="宋体" w:cs="Times New Roman"/>
          <w:highlight w:val="yellow"/>
          <w:u w:val="single"/>
          <w:lang w:val="en-US" w:eastAsia="zh-CN"/>
        </w:rPr>
        <w:t>北京时间）</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pPr>
        <w:pStyle w:val="73"/>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u w:val="single"/>
          <w:lang w:val="en-US" w:eastAsia="zh-CN"/>
        </w:rPr>
      </w:pPr>
      <w:r>
        <w:rPr>
          <w:rFonts w:hint="eastAsia" w:ascii="黑体" w:hAnsi="黑体" w:eastAsia="黑体" w:cs="黑体"/>
          <w:b w:val="0"/>
          <w:bCs w:val="0"/>
          <w:sz w:val="24"/>
          <w:szCs w:val="24"/>
          <w:highlight w:val="none"/>
        </w:rPr>
        <w:t>投标保证金的缴纳</w:t>
      </w:r>
    </w:p>
    <w:p>
      <w:pPr>
        <w:pStyle w:val="77"/>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pPr>
        <w:pStyle w:val="77"/>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pPr>
        <w:pStyle w:val="77"/>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r>
        <w:rPr>
          <w:rFonts w:hint="eastAsia" w:hAnsi="宋体" w:cs="宋体"/>
          <w:b w:val="0"/>
          <w:bCs w:val="0"/>
          <w:sz w:val="21"/>
          <w:szCs w:val="21"/>
          <w:highlight w:val="none"/>
          <w:lang w:eastAsia="zh-CN"/>
        </w:rPr>
        <w:t>。</w:t>
      </w:r>
    </w:p>
    <w:p>
      <w:pPr>
        <w:pStyle w:val="77"/>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default"/>
          <w:highlight w:val="none"/>
          <w:lang w:val="en-US" w:eastAsia="zh-CN"/>
        </w:rPr>
      </w:pPr>
      <w:r>
        <w:rPr>
          <w:rFonts w:hint="eastAsia"/>
          <w:highlight w:val="none"/>
        </w:rPr>
        <w:t>投标保证金的金额：人民币</w:t>
      </w:r>
      <w:r>
        <w:rPr>
          <w:rFonts w:hint="eastAsia"/>
          <w:highlight w:val="none"/>
          <w:lang w:val="en-US" w:eastAsia="zh-CN"/>
        </w:rPr>
        <w:t>10000</w:t>
      </w:r>
      <w:r>
        <w:rPr>
          <w:rFonts w:hint="eastAsia"/>
          <w:highlight w:val="none"/>
        </w:rPr>
        <w:t>元</w:t>
      </w:r>
    </w:p>
    <w:p>
      <w:pPr>
        <w:pStyle w:val="77"/>
        <w:keepNext w:val="0"/>
        <w:keepLines w:val="0"/>
        <w:pageBreakBefore w:val="0"/>
        <w:widowControl w:val="0"/>
        <w:kinsoku/>
        <w:wordWrap/>
        <w:overflowPunct/>
        <w:topLinePunct w:val="0"/>
        <w:autoSpaceDE/>
        <w:autoSpaceDN/>
        <w:bidi w:val="0"/>
        <w:adjustRightInd/>
        <w:snapToGrid/>
        <w:spacing w:line="440" w:lineRule="exact"/>
        <w:ind w:left="420" w:leftChars="200" w:firstLine="0" w:firstLineChars="0"/>
        <w:textAlignment w:val="auto"/>
        <w:rPr>
          <w:rFonts w:hint="eastAsia" w:cs="Times New Roman"/>
          <w:lang w:val="en-US" w:eastAsia="zh-CN"/>
        </w:rPr>
      </w:pPr>
      <w:r>
        <w:rPr>
          <w:rFonts w:ascii="宋体" w:hAnsi="宋体" w:eastAsia="宋体" w:cs="宋体"/>
          <w:sz w:val="24"/>
          <w:szCs w:val="24"/>
        </w:rPr>
        <w:t>单位名称：重汽（济南）车桥有限公司</w:t>
      </w:r>
      <w:r>
        <w:rPr>
          <w:rFonts w:ascii="宋体" w:hAnsi="宋体" w:eastAsia="宋体" w:cs="宋体"/>
          <w:sz w:val="24"/>
          <w:szCs w:val="24"/>
        </w:rPr>
        <w:br w:type="textWrapping"/>
      </w:r>
      <w:r>
        <w:rPr>
          <w:rFonts w:ascii="宋体" w:hAnsi="宋体" w:eastAsia="宋体" w:cs="宋体"/>
          <w:sz w:val="24"/>
          <w:szCs w:val="24"/>
        </w:rPr>
        <w:t>开户名称：重汽（济南）车桥有限公司</w:t>
      </w:r>
      <w:r>
        <w:rPr>
          <w:rFonts w:ascii="宋体" w:hAnsi="宋体" w:eastAsia="宋体" w:cs="宋体"/>
          <w:sz w:val="24"/>
          <w:szCs w:val="24"/>
        </w:rPr>
        <w:br w:type="textWrapping"/>
      </w:r>
      <w:r>
        <w:rPr>
          <w:rFonts w:ascii="宋体" w:hAnsi="宋体" w:eastAsia="宋体" w:cs="宋体"/>
          <w:sz w:val="24"/>
          <w:szCs w:val="24"/>
        </w:rPr>
        <w:t>开户银行：浙商银行股份有限公司济南分行</w:t>
      </w:r>
      <w:r>
        <w:rPr>
          <w:rFonts w:ascii="宋体" w:hAnsi="宋体" w:eastAsia="宋体" w:cs="宋体"/>
          <w:sz w:val="24"/>
          <w:szCs w:val="24"/>
        </w:rPr>
        <w:br w:type="textWrapping"/>
      </w:r>
      <w:r>
        <w:rPr>
          <w:rFonts w:ascii="宋体" w:hAnsi="宋体" w:eastAsia="宋体" w:cs="宋体"/>
          <w:sz w:val="24"/>
          <w:szCs w:val="24"/>
        </w:rPr>
        <w:t>银行帐号：4510000010120100527995</w:t>
      </w:r>
    </w:p>
    <w:p>
      <w:pPr>
        <w:pStyle w:val="77"/>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422" w:firstLineChars="200"/>
        <w:textAlignment w:val="auto"/>
        <w:rPr>
          <w:rFonts w:hint="eastAsia"/>
          <w:b/>
          <w:bCs/>
          <w:lang w:val="en-US" w:eastAsia="zh-CN"/>
        </w:rPr>
      </w:pPr>
      <w:r>
        <w:rPr>
          <w:rFonts w:hint="eastAsia"/>
          <w:b/>
          <w:bCs/>
          <w:lang w:val="en-US" w:eastAsia="zh-CN"/>
        </w:rPr>
        <w:t>转账附言：公司名称+项目名称+投标保证金。</w:t>
      </w:r>
    </w:p>
    <w:p>
      <w:pPr>
        <w:pStyle w:val="77"/>
        <w:keepNext w:val="0"/>
        <w:keepLines w:val="0"/>
        <w:pageBreakBefore w:val="0"/>
        <w:widowControl w:val="0"/>
        <w:numPr>
          <w:ilvl w:val="1"/>
          <w:numId w:val="20"/>
        </w:numPr>
        <w:kinsoku/>
        <w:wordWrap/>
        <w:overflowPunct/>
        <w:topLinePunct w:val="0"/>
        <w:autoSpaceDE/>
        <w:autoSpaceDN/>
        <w:bidi w:val="0"/>
        <w:adjustRightInd/>
        <w:snapToGrid/>
        <w:spacing w:line="440" w:lineRule="exact"/>
        <w:ind w:left="0" w:leftChars="0" w:firstLine="0" w:firstLineChars="0"/>
        <w:textAlignment w:val="auto"/>
        <w:outlineLvl w:val="3"/>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保证金缴纳</w:t>
      </w:r>
      <w:r>
        <w:rPr>
          <w:rFonts w:hint="eastAsia" w:cs="Times New Roman"/>
        </w:rPr>
        <w:t>截止</w:t>
      </w:r>
      <w:r>
        <w:rPr>
          <w:rFonts w:hint="eastAsia" w:ascii="宋体" w:hAnsi="宋体" w:eastAsia="宋体" w:cs="宋体"/>
          <w:b w:val="0"/>
          <w:bCs w:val="0"/>
          <w:sz w:val="21"/>
          <w:szCs w:val="21"/>
          <w:highlight w:val="none"/>
        </w:rPr>
        <w:t>时间：202</w:t>
      </w:r>
      <w:r>
        <w:rPr>
          <w:rFonts w:hint="eastAsia" w:hAnsi="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hAnsi="宋体" w:cs="宋体"/>
          <w:b w:val="0"/>
          <w:bCs w:val="0"/>
          <w:sz w:val="21"/>
          <w:szCs w:val="21"/>
          <w:highlight w:val="none"/>
          <w:lang w:val="en-US" w:eastAsia="zh-CN"/>
        </w:rPr>
        <w:t>3</w:t>
      </w:r>
      <w:r>
        <w:rPr>
          <w:rFonts w:hint="eastAsia" w:ascii="宋体" w:hAnsi="宋体" w:eastAsia="宋体" w:cs="宋体"/>
          <w:b w:val="0"/>
          <w:bCs w:val="0"/>
          <w:sz w:val="21"/>
          <w:szCs w:val="21"/>
          <w:highlight w:val="none"/>
        </w:rPr>
        <w:t>月</w:t>
      </w:r>
      <w:r>
        <w:rPr>
          <w:rFonts w:hint="eastAsia" w:hAnsi="宋体" w:cs="宋体"/>
          <w:b w:val="0"/>
          <w:bCs w:val="0"/>
          <w:sz w:val="21"/>
          <w:szCs w:val="21"/>
          <w:highlight w:val="none"/>
          <w:lang w:val="en-US" w:eastAsia="zh-CN"/>
        </w:rPr>
        <w:t>9</w:t>
      </w:r>
      <w:r>
        <w:rPr>
          <w:rFonts w:hint="eastAsia" w:ascii="宋体" w:hAnsi="宋体" w:eastAsia="宋体" w:cs="宋体"/>
          <w:b w:val="0"/>
          <w:bCs w:val="0"/>
          <w:sz w:val="21"/>
          <w:szCs w:val="21"/>
          <w:highlight w:val="none"/>
        </w:rPr>
        <w:t>日</w:t>
      </w:r>
      <w:r>
        <w:rPr>
          <w:rFonts w:hint="eastAsia" w:hAnsi="宋体" w:cs="宋体"/>
          <w:b w:val="0"/>
          <w:bCs w:val="0"/>
          <w:sz w:val="21"/>
          <w:szCs w:val="21"/>
          <w:highlight w:val="none"/>
          <w:lang w:val="en-US" w:eastAsia="zh-CN"/>
        </w:rPr>
        <w:t>17</w:t>
      </w:r>
      <w:r>
        <w:rPr>
          <w:rFonts w:hint="eastAsia"/>
          <w:u w:val="none"/>
          <w:lang w:val="en-US" w:eastAsia="zh-CN"/>
        </w:rPr>
        <w:t>:00:00</w:t>
      </w:r>
      <w:r>
        <w:rPr>
          <w:rFonts w:hint="default" w:ascii="宋体" w:hAnsi="Courier New" w:eastAsia="宋体" w:cs="Times New Roman"/>
          <w:highlight w:val="none"/>
          <w:u w:val="none"/>
          <w:lang w:val="en-US" w:eastAsia="zh-CN"/>
        </w:rPr>
        <w:t>（北京时间）</w:t>
      </w:r>
    </w:p>
    <w:p>
      <w:pPr>
        <w:pStyle w:val="73"/>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对于没有中标的</w:t>
      </w:r>
      <w:r>
        <w:rPr>
          <w:rFonts w:hint="eastAsia" w:ascii="黑体" w:hAnsi="黑体" w:eastAsia="黑体" w:cs="黑体"/>
          <w:b w:val="0"/>
          <w:bCs w:val="0"/>
          <w:sz w:val="24"/>
          <w:szCs w:val="24"/>
          <w:highlight w:val="none"/>
          <w:lang w:eastAsia="zh-CN"/>
        </w:rPr>
        <w:t>投标人</w:t>
      </w:r>
      <w:r>
        <w:rPr>
          <w:rFonts w:hint="eastAsia" w:ascii="黑体" w:hAnsi="黑体" w:eastAsia="黑体" w:cs="黑体"/>
          <w:b w:val="0"/>
          <w:bCs w:val="0"/>
          <w:sz w:val="24"/>
          <w:szCs w:val="24"/>
          <w:highlight w:val="none"/>
        </w:rPr>
        <w:t>，投标保证金将于招标人内部完成中标人评审并确认最终中标人后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予以原路返还（无息）；对于中标方，投标保证金将在签订合同后</w:t>
      </w:r>
      <w:r>
        <w:rPr>
          <w:rFonts w:hint="eastAsia" w:hAnsi="黑体" w:cs="黑体"/>
          <w:b w:val="0"/>
          <w:bCs w:val="0"/>
          <w:sz w:val="24"/>
          <w:szCs w:val="24"/>
          <w:highlight w:val="none"/>
          <w:u w:val="single"/>
          <w:lang w:val="en-US" w:eastAsia="zh-CN"/>
        </w:rPr>
        <w:t>一个付款周期</w:t>
      </w:r>
      <w:r>
        <w:rPr>
          <w:rFonts w:hint="eastAsia" w:ascii="黑体" w:hAnsi="黑体" w:eastAsia="黑体" w:cs="黑体"/>
          <w:b w:val="0"/>
          <w:bCs w:val="0"/>
          <w:sz w:val="24"/>
          <w:szCs w:val="24"/>
          <w:highlight w:val="none"/>
        </w:rPr>
        <w:t>原路返还（无息）。</w:t>
      </w:r>
    </w:p>
    <w:p>
      <w:pPr>
        <w:pStyle w:val="73"/>
        <w:keepNext w:val="0"/>
        <w:keepLines w:val="0"/>
        <w:pageBreakBefore w:val="0"/>
        <w:widowControl w:val="0"/>
        <w:numPr>
          <w:ilvl w:val="0"/>
          <w:numId w:val="19"/>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rPr>
        <w:t>发生</w:t>
      </w:r>
      <w:r>
        <w:rPr>
          <w:rFonts w:hint="eastAsia" w:ascii="黑体" w:hAnsi="黑体" w:eastAsia="黑体" w:cs="黑体"/>
          <w:b w:val="0"/>
          <w:bCs w:val="0"/>
          <w:sz w:val="24"/>
          <w:szCs w:val="24"/>
          <w:highlight w:val="none"/>
          <w:lang w:val="en-US" w:eastAsia="zh-CN"/>
        </w:rPr>
        <w:t>以下</w:t>
      </w:r>
      <w:r>
        <w:rPr>
          <w:rFonts w:hint="eastAsia" w:ascii="黑体" w:hAnsi="黑体" w:eastAsia="黑体" w:cs="黑体"/>
          <w:b w:val="0"/>
          <w:bCs w:val="0"/>
          <w:sz w:val="24"/>
          <w:szCs w:val="24"/>
          <w:highlight w:val="none"/>
        </w:rPr>
        <w:t>情况时，有权没收保证金：</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ascii="宋体" w:hAnsi="宋体" w:eastAsia="宋体" w:cs="宋体"/>
          <w:b w:val="0"/>
          <w:bCs w:val="0"/>
          <w:szCs w:val="21"/>
          <w:highlight w:val="none"/>
        </w:rPr>
        <w:t>供</w:t>
      </w:r>
      <w:r>
        <w:rPr>
          <w:rFonts w:hint="eastAsia"/>
        </w:rPr>
        <w:t>应商在提交响应文件截止时间后撤回响应文件的；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供应商在响应文件中提供虚假材料的；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除因不可抗力或谈判文件、询价通知书认可的情形以外，成交供应商不与采购人签订合同的；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供应商与采购人、其他供应商或者采购代理机构恶意串通、围标、陪标的；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供应商有违约违规行为或被投诉、举报的，在调查处理期间，保证金暂不退还，待调查处理结束后按有关规定处理。</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截至开标前3天，投标人无正当理由、未以书面形式向招标人递交说明而在投标截止日不来投标的。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lang w:val="en-US" w:eastAsia="zh-CN"/>
        </w:rPr>
      </w:pPr>
      <w:r>
        <w:rPr>
          <w:rFonts w:hint="eastAsia"/>
        </w:rPr>
        <w:t>自中标通知书发出之日起30日内，中标人无正当理由投标人无正当签订合同的；</w:t>
      </w:r>
    </w:p>
    <w:p>
      <w:pPr>
        <w:pStyle w:val="77"/>
        <w:keepNext w:val="0"/>
        <w:keepLines w:val="0"/>
        <w:pageBreakBefore w:val="0"/>
        <w:widowControl w:val="0"/>
        <w:numPr>
          <w:ilvl w:val="1"/>
          <w:numId w:val="19"/>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仿宋_GB2312" w:cs="宋体"/>
          <w:b w:val="0"/>
          <w:bCs w:val="0"/>
          <w:szCs w:val="24"/>
          <w:highlight w:val="none"/>
          <w:lang w:val="en-US" w:eastAsia="zh-CN"/>
        </w:rPr>
      </w:pPr>
      <w:r>
        <w:rPr>
          <w:rFonts w:hint="eastAsia"/>
        </w:rPr>
        <w:t>采购文件规定</w:t>
      </w:r>
      <w:r>
        <w:rPr>
          <w:rFonts w:hint="eastAsia" w:ascii="宋体" w:hAnsi="宋体" w:eastAsia="宋体" w:cs="宋体"/>
          <w:b w:val="0"/>
          <w:bCs w:val="0"/>
          <w:szCs w:val="21"/>
          <w:highlight w:val="none"/>
        </w:rPr>
        <w:t>的其他情形</w:t>
      </w:r>
      <w:r>
        <w:rPr>
          <w:rFonts w:hint="eastAsia" w:ascii="宋体" w:hAnsi="宋体" w:eastAsia="宋体" w:cs="宋体"/>
          <w:b w:val="0"/>
          <w:bCs w:val="0"/>
          <w:szCs w:val="21"/>
          <w:highlight w:val="none"/>
          <w:lang w:eastAsia="zh-CN"/>
        </w:rPr>
        <w:t>。</w:t>
      </w:r>
    </w:p>
    <w:bookmarkEnd w:id="5"/>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开评标</w:t>
      </w:r>
    </w:p>
    <w:p>
      <w:pPr>
        <w:pStyle w:val="73"/>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开标时间和地点</w:t>
      </w:r>
    </w:p>
    <w:p>
      <w:pPr>
        <w:pStyle w:val="77"/>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hAnsi="宋体" w:cs="宋体"/>
          <w:b w:val="0"/>
          <w:bCs w:val="0"/>
          <w:sz w:val="21"/>
          <w:szCs w:val="21"/>
          <w:highlight w:val="yellow"/>
          <w:lang w:val="en-US" w:eastAsia="zh-CN"/>
        </w:rPr>
        <w:t>2026年3</w:t>
      </w:r>
      <w:r>
        <w:rPr>
          <w:rFonts w:hint="eastAsia" w:ascii="宋体" w:hAnsi="宋体" w:eastAsia="宋体" w:cs="宋体"/>
          <w:b w:val="0"/>
          <w:bCs w:val="0"/>
          <w:sz w:val="21"/>
          <w:szCs w:val="21"/>
          <w:highlight w:val="yellow"/>
          <w:lang w:val="en-US" w:eastAsia="zh-CN"/>
        </w:rPr>
        <w:t>月</w:t>
      </w:r>
      <w:r>
        <w:rPr>
          <w:rFonts w:hint="eastAsia" w:hAnsi="宋体" w:cs="宋体"/>
          <w:b w:val="0"/>
          <w:bCs w:val="0"/>
          <w:sz w:val="21"/>
          <w:szCs w:val="21"/>
          <w:highlight w:val="yellow"/>
          <w:lang w:val="en-US" w:eastAsia="zh-CN"/>
        </w:rPr>
        <w:t>1</w:t>
      </w:r>
      <w:bookmarkStart w:id="1421" w:name="_GoBack"/>
      <w:bookmarkEnd w:id="1421"/>
      <w:r>
        <w:rPr>
          <w:rFonts w:hint="eastAsia" w:hAnsi="宋体" w:cs="宋体"/>
          <w:b w:val="0"/>
          <w:bCs w:val="0"/>
          <w:sz w:val="21"/>
          <w:szCs w:val="21"/>
          <w:highlight w:val="yellow"/>
          <w:lang w:val="en-US" w:eastAsia="zh-CN"/>
        </w:rPr>
        <w:t>6</w:t>
      </w:r>
      <w:r>
        <w:rPr>
          <w:rFonts w:hint="eastAsia" w:ascii="宋体" w:hAnsi="宋体" w:eastAsia="宋体" w:cs="宋体"/>
          <w:b w:val="0"/>
          <w:bCs w:val="0"/>
          <w:sz w:val="21"/>
          <w:szCs w:val="21"/>
          <w:highlight w:val="yellow"/>
          <w:lang w:val="en-US" w:eastAsia="zh-CN"/>
        </w:rPr>
        <w:t>日</w:t>
      </w:r>
      <w:r>
        <w:rPr>
          <w:rFonts w:hint="default" w:ascii="宋体" w:hAnsi="宋体" w:eastAsia="宋体" w:cs="宋体"/>
          <w:b w:val="0"/>
          <w:bCs w:val="0"/>
          <w:sz w:val="21"/>
          <w:szCs w:val="21"/>
          <w:highlight w:val="yellow"/>
          <w:lang w:val="en-US" w:eastAsia="zh-CN"/>
        </w:rPr>
        <w:t>9:00:00（北京时间）</w:t>
      </w:r>
      <w:r>
        <w:rPr>
          <w:rFonts w:hint="eastAsia" w:ascii="宋体" w:hAnsi="宋体" w:eastAsia="宋体" w:cs="宋体"/>
          <w:b w:val="0"/>
          <w:bCs w:val="0"/>
          <w:sz w:val="21"/>
          <w:szCs w:val="21"/>
          <w:highlight w:val="none"/>
          <w:lang w:val="en-US" w:eastAsia="zh-CN"/>
        </w:rPr>
        <w:t>，</w:t>
      </w:r>
      <w:r>
        <w:rPr>
          <w:rFonts w:hint="default" w:ascii="宋体" w:hAnsi="宋体" w:eastAsia="宋体" w:cs="宋体"/>
          <w:b w:val="0"/>
          <w:bCs w:val="0"/>
          <w:sz w:val="21"/>
          <w:szCs w:val="21"/>
          <w:highlight w:val="none"/>
          <w:lang w:val="en-US" w:eastAsia="zh-CN"/>
        </w:rPr>
        <w:t>若有变动另行通知。</w:t>
      </w:r>
    </w:p>
    <w:p>
      <w:pPr>
        <w:pStyle w:val="77"/>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w:t>
      </w:r>
      <w:r>
        <w:rPr>
          <w:rFonts w:hint="eastAsia" w:ascii="宋体" w:hAnsi="Courier New" w:eastAsia="宋体" w:cs="Times New Roman"/>
          <w:kern w:val="2"/>
          <w:sz w:val="21"/>
          <w:lang w:val="en-US" w:eastAsia="zh-CN" w:bidi="ar-SA"/>
        </w:rPr>
        <w:t>济南市高新区</w:t>
      </w:r>
      <w:r>
        <w:rPr>
          <w:rFonts w:hint="eastAsia" w:cs="Times New Roman"/>
          <w:kern w:val="2"/>
          <w:sz w:val="21"/>
          <w:lang w:val="en-US" w:eastAsia="zh-CN" w:bidi="ar-SA"/>
        </w:rPr>
        <w:t>世纪大道757号车桥公司第二会议室</w:t>
      </w:r>
      <w:r>
        <w:rPr>
          <w:rFonts w:hint="eastAsia" w:ascii="宋体" w:hAnsi="宋体" w:eastAsia="宋体" w:cs="宋体"/>
          <w:b w:val="0"/>
          <w:bCs w:val="0"/>
          <w:sz w:val="21"/>
          <w:szCs w:val="21"/>
          <w:highlight w:val="none"/>
          <w:lang w:val="en-US" w:eastAsia="zh-CN"/>
        </w:rPr>
        <w:t xml:space="preserve"> </w:t>
      </w:r>
    </w:p>
    <w:p>
      <w:pPr>
        <w:pStyle w:val="77"/>
        <w:keepNext w:val="0"/>
        <w:keepLines w:val="0"/>
        <w:pageBreakBefore w:val="0"/>
        <w:widowControl w:val="0"/>
        <w:numPr>
          <w:ilvl w:val="1"/>
          <w:numId w:val="2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color w:val="000000"/>
          <w:sz w:val="21"/>
          <w:szCs w:val="21"/>
          <w:highlight w:val="none"/>
        </w:rPr>
      </w:pPr>
      <w:r>
        <w:rPr>
          <w:rFonts w:hint="eastAsia" w:ascii="宋体" w:hAnsi="宋体" w:eastAsia="宋体" w:cs="宋体"/>
          <w:b w:val="0"/>
          <w:bCs w:val="0"/>
          <w:sz w:val="21"/>
          <w:szCs w:val="21"/>
          <w:highlight w:val="none"/>
          <w:lang w:val="en-US" w:eastAsia="zh-CN"/>
        </w:rPr>
        <w:t>开标方式：</w:t>
      </w:r>
      <w:r>
        <w:rPr>
          <w:rFonts w:hint="eastAsia" w:cs="Times New Roman"/>
          <w:b/>
          <w:bCs w:val="0"/>
          <w:color w:val="auto"/>
          <w:kern w:val="2"/>
          <w:sz w:val="21"/>
          <w:highlight w:val="none"/>
          <w:u w:val="none"/>
          <w:lang w:val="en-US" w:eastAsia="zh-CN" w:bidi="ar-SA"/>
        </w:rPr>
        <w:t>现场</w:t>
      </w:r>
      <w:r>
        <w:rPr>
          <w:rFonts w:hint="eastAsia" w:cs="Times New Roman"/>
          <w:b/>
          <w:bCs w:val="0"/>
          <w:color w:val="auto"/>
          <w:highlight w:val="none"/>
          <w:u w:val="none"/>
          <w:lang w:val="en-US" w:eastAsia="zh-CN"/>
        </w:rPr>
        <w:t>招标。</w:t>
      </w:r>
    </w:p>
    <w:p>
      <w:pPr>
        <w:pStyle w:val="73"/>
        <w:keepNext w:val="0"/>
        <w:keepLines w:val="0"/>
        <w:pageBreakBefore w:val="0"/>
        <w:widowControl w:val="0"/>
        <w:numPr>
          <w:ilvl w:val="0"/>
          <w:numId w:val="22"/>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评标</w:t>
      </w:r>
    </w:p>
    <w:p>
      <w:pPr>
        <w:pStyle w:val="73"/>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评标方法</w:t>
      </w:r>
    </w:p>
    <w:p>
      <w:pPr>
        <w:pStyle w:val="7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本次招标采用综合评分法评标，即在最大限度地满足招标文件实质性要求的前提下，按照评分标准中规定的评分因素和评分细则进行综合评价、评分。</w:t>
      </w:r>
    </w:p>
    <w:p>
      <w:pPr>
        <w:pStyle w:val="7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ascii="宋体" w:hAnsi="宋体" w:eastAsia="宋体" w:cs="宋体"/>
          <w:b w:val="0"/>
          <w:bCs w:val="0"/>
          <w:sz w:val="21"/>
          <w:szCs w:val="21"/>
          <w:highlight w:val="none"/>
          <w:u w:val="none"/>
          <w:lang w:val="en-US" w:eastAsia="zh-CN"/>
        </w:rPr>
      </w:pPr>
      <w:r>
        <w:rPr>
          <w:rFonts w:hint="eastAsia" w:ascii="宋体" w:hAnsi="宋体" w:eastAsia="宋体" w:cs="宋体"/>
          <w:b w:val="0"/>
          <w:bCs w:val="0"/>
          <w:sz w:val="21"/>
          <w:szCs w:val="21"/>
          <w:highlight w:val="none"/>
          <w:u w:val="none"/>
          <w:lang w:val="en-US" w:eastAsia="zh-CN"/>
        </w:rPr>
        <w:t>评标委员会各成员独立对每一份有效投标文件进行评价并对除报价以外的评分项目进行评分，报价得分由工作人员通过计算得出。</w:t>
      </w:r>
    </w:p>
    <w:p>
      <w:pPr>
        <w:pStyle w:val="7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420" w:firstLineChars="200"/>
        <w:textAlignment w:val="auto"/>
        <w:outlineLvl w:val="9"/>
        <w:rPr>
          <w:rFonts w:hint="eastAsia"/>
          <w:highlight w:val="yellow"/>
          <w:u w:val="none"/>
          <w:lang w:val="en-US" w:eastAsia="zh-CN"/>
        </w:rPr>
      </w:pPr>
      <w:r>
        <w:rPr>
          <w:rFonts w:hint="eastAsia" w:ascii="宋体" w:hAnsi="宋体" w:eastAsia="宋体" w:cs="宋体"/>
          <w:b w:val="0"/>
          <w:bCs w:val="0"/>
          <w:sz w:val="21"/>
          <w:szCs w:val="21"/>
          <w:highlight w:val="yellow"/>
          <w:u w:val="none"/>
          <w:lang w:val="en-US" w:eastAsia="zh-CN"/>
        </w:rPr>
        <w:t>综合得分=技术分×40%＋商务标得分×60%</w:t>
      </w:r>
    </w:p>
    <w:p>
      <w:pPr>
        <w:pStyle w:val="73"/>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评标流程</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应标资格审查：在“中国重汽e采通”应标报名时，按照</w:t>
      </w:r>
      <w:r>
        <w:rPr>
          <w:rFonts w:hint="eastAsia" w:ascii="宋体" w:hAnsi="宋体" w:cs="宋体"/>
          <w:b w:val="0"/>
          <w:bCs/>
          <w:color w:val="000000"/>
          <w:sz w:val="21"/>
          <w:szCs w:val="21"/>
          <w:highlight w:val="none"/>
          <w:lang w:val="en-US" w:eastAsia="zh-CN"/>
        </w:rPr>
        <w:t>招标公告</w:t>
      </w:r>
      <w:r>
        <w:rPr>
          <w:rFonts w:hint="eastAsia" w:ascii="宋体" w:hAnsi="宋体" w:eastAsia="宋体" w:cs="宋体"/>
          <w:b w:val="0"/>
          <w:bCs/>
          <w:color w:val="000000"/>
          <w:sz w:val="21"/>
          <w:szCs w:val="21"/>
          <w:highlight w:val="none"/>
          <w:lang w:val="en-US" w:eastAsia="zh-CN"/>
        </w:rPr>
        <w:t>编制</w:t>
      </w:r>
      <w:r>
        <w:rPr>
          <w:rFonts w:hint="eastAsia" w:ascii="宋体" w:hAnsi="宋体" w:eastAsia="宋体" w:cs="宋体"/>
          <w:b w:val="0"/>
          <w:bCs/>
          <w:color w:val="000000"/>
          <w:sz w:val="21"/>
          <w:szCs w:val="21"/>
          <w:highlight w:val="none"/>
        </w:rPr>
        <w:t>资料，上传完毕后，等待审核；</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通过应标资格审查的单位进入投标环节，按照“SRM系统供应商用户手册</w:t>
      </w:r>
      <w:r>
        <w:rPr>
          <w:rFonts w:hint="eastAsia" w:ascii="宋体" w:hAnsi="宋体" w:cs="宋体"/>
          <w:b w:val="0"/>
          <w:bCs/>
          <w:color w:val="000000"/>
          <w:sz w:val="21"/>
          <w:szCs w:val="21"/>
          <w:highlight w:val="none"/>
          <w:lang w:eastAsia="zh-CN"/>
        </w:rPr>
        <w:t>（</w:t>
      </w:r>
      <w:r>
        <w:rPr>
          <w:rFonts w:hint="eastAsia" w:ascii="宋体" w:hAnsi="宋体" w:cs="宋体"/>
          <w:b w:val="0"/>
          <w:bCs/>
          <w:color w:val="000000"/>
          <w:sz w:val="21"/>
          <w:szCs w:val="21"/>
          <w:highlight w:val="none"/>
          <w:lang w:val="en-US" w:eastAsia="zh-CN"/>
        </w:rPr>
        <w:t>附件9</w:t>
      </w:r>
      <w:r>
        <w:rPr>
          <w:rFonts w:hint="eastAsia" w:ascii="宋体" w:hAnsi="宋体" w:cs="宋体"/>
          <w:b w:val="0"/>
          <w:bCs/>
          <w:color w:val="000000"/>
          <w:sz w:val="21"/>
          <w:szCs w:val="21"/>
          <w:highlight w:val="none"/>
          <w:lang w:eastAsia="zh-CN"/>
        </w:rPr>
        <w:t>）</w:t>
      </w:r>
      <w:r>
        <w:rPr>
          <w:rFonts w:hint="eastAsia" w:ascii="宋体" w:hAnsi="宋体" w:eastAsia="宋体" w:cs="宋体"/>
          <w:b w:val="0"/>
          <w:bCs/>
          <w:color w:val="000000"/>
          <w:sz w:val="21"/>
          <w:szCs w:val="21"/>
          <w:highlight w:val="none"/>
        </w:rPr>
        <w:t>”，在重汽e采通平台投递电子标书（包含资质标、技术标、商务标）；没有通过应标资质审查的单位不能进入投标环节；</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资质标评审：资质标审核通过的单位，可以进入公开唱标环节；</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公开唱标：公示资质标入围单位的开标价格及商务条款响应情况；</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ascii="宋体" w:hAnsi="宋体" w:eastAsia="宋体" w:cs="宋体"/>
          <w:b w:val="0"/>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val="0"/>
          <w:bCs/>
          <w:color w:val="000000"/>
          <w:sz w:val="21"/>
          <w:szCs w:val="21"/>
          <w:highlight w:val="none"/>
          <w:lang w:val="en-US" w:eastAsia="zh-CN"/>
        </w:rPr>
        <w:t>评分详见</w:t>
      </w:r>
      <w:r>
        <w:rPr>
          <w:rFonts w:hint="eastAsia" w:ascii="宋体" w:hAnsi="宋体" w:eastAsia="宋体" w:cs="宋体"/>
          <w:b w:val="0"/>
          <w:bCs/>
          <w:color w:val="000000"/>
          <w:sz w:val="21"/>
          <w:szCs w:val="21"/>
          <w:highlight w:val="none"/>
        </w:rPr>
        <w:t>评分标准；</w:t>
      </w:r>
    </w:p>
    <w:p>
      <w:pPr>
        <w:keepNext w:val="0"/>
        <w:keepLines w:val="0"/>
        <w:pageBreakBefore w:val="0"/>
        <w:widowControl w:val="0"/>
        <w:numPr>
          <w:ilvl w:val="0"/>
          <w:numId w:val="24"/>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val="0"/>
          <w:bCs/>
          <w:color w:val="000000"/>
          <w:sz w:val="21"/>
          <w:szCs w:val="21"/>
          <w:highlight w:val="none"/>
        </w:rPr>
      </w:pPr>
      <w:r>
        <w:rPr>
          <w:rFonts w:hint="eastAsia" w:ascii="宋体" w:hAnsi="宋体" w:eastAsia="宋体" w:cs="宋体"/>
          <w:b w:val="0"/>
          <w:bCs/>
          <w:color w:val="000000"/>
          <w:sz w:val="21"/>
          <w:szCs w:val="21"/>
          <w:highlight w:val="none"/>
        </w:rPr>
        <w:t>商务标评审：商务条款</w:t>
      </w:r>
      <w:r>
        <w:rPr>
          <w:rFonts w:hint="eastAsia" w:ascii="宋体" w:hAnsi="宋体" w:cs="宋体"/>
          <w:b w:val="0"/>
          <w:bCs/>
          <w:color w:val="000000"/>
          <w:sz w:val="21"/>
          <w:szCs w:val="21"/>
          <w:highlight w:val="none"/>
          <w:lang w:val="en-US" w:eastAsia="zh-CN"/>
        </w:rPr>
        <w:t>相</w:t>
      </w:r>
      <w:r>
        <w:rPr>
          <w:rFonts w:hint="eastAsia" w:ascii="宋体" w:hAnsi="宋体" w:eastAsia="宋体" w:cs="宋体"/>
          <w:b w:val="0"/>
          <w:bCs/>
          <w:color w:val="000000"/>
          <w:sz w:val="21"/>
          <w:szCs w:val="21"/>
          <w:highlight w:val="none"/>
        </w:rPr>
        <w:t>应确认→价格澄清→商务标评审</w:t>
      </w:r>
      <w:r>
        <w:rPr>
          <w:rFonts w:hint="eastAsia" w:ascii="宋体" w:hAnsi="宋体" w:eastAsia="宋体" w:cs="宋体"/>
          <w:b w:val="0"/>
          <w:bCs/>
          <w:color w:val="000000"/>
          <w:sz w:val="21"/>
          <w:szCs w:val="21"/>
          <w:highlight w:val="none"/>
          <w:lang w:val="en-US" w:eastAsia="zh-CN"/>
        </w:rPr>
        <w:t>；采用多轮商务谈判评审，</w:t>
      </w:r>
      <w:r>
        <w:rPr>
          <w:rFonts w:hint="eastAsia" w:ascii="宋体" w:hAnsi="宋体" w:eastAsia="宋体" w:cs="宋体"/>
          <w:b w:val="0"/>
          <w:bCs/>
          <w:color w:val="000000"/>
          <w:sz w:val="21"/>
          <w:szCs w:val="21"/>
          <w:highlight w:val="none"/>
        </w:rPr>
        <w:t>期间产生的商务价格澄清均由投标人在重汽e采通平台限时内完成提交；</w:t>
      </w:r>
    </w:p>
    <w:p>
      <w:pPr>
        <w:pStyle w:val="77"/>
        <w:keepNext w:val="0"/>
        <w:keepLines w:val="0"/>
        <w:pageBreakBefore w:val="0"/>
        <w:widowControl w:val="0"/>
        <w:numPr>
          <w:ilvl w:val="0"/>
          <w:numId w:val="21"/>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注意：所有参与现场投标的投标人，需要自带笔记本电脑在</w:t>
      </w:r>
      <w:r>
        <w:rPr>
          <w:rFonts w:hint="eastAsia"/>
          <w:lang w:eastAsia="zh-CN"/>
        </w:rPr>
        <w:t>“</w:t>
      </w:r>
      <w:r>
        <w:rPr>
          <w:rFonts w:hint="eastAsia"/>
        </w:rPr>
        <w:t>重汽e采通</w:t>
      </w:r>
      <w:r>
        <w:rPr>
          <w:rFonts w:hint="eastAsia"/>
          <w:lang w:eastAsia="zh-CN"/>
        </w:rPr>
        <w:t>”</w:t>
      </w:r>
      <w:r>
        <w:rPr>
          <w:rFonts w:hint="eastAsia"/>
        </w:rPr>
        <w:t>进行自主投标和提交澄清函；投标和提交澄清函均有时间限制，超时未提交的按无效处理。</w:t>
      </w:r>
    </w:p>
    <w:p>
      <w:pPr>
        <w:pStyle w:val="73"/>
        <w:keepNext w:val="0"/>
        <w:keepLines w:val="0"/>
        <w:pageBreakBefore w:val="0"/>
        <w:widowControl w:val="0"/>
        <w:numPr>
          <w:ilvl w:val="1"/>
          <w:numId w:val="22"/>
        </w:numPr>
        <w:kinsoku/>
        <w:wordWrap/>
        <w:overflowPunct/>
        <w:topLinePunct w:val="0"/>
        <w:autoSpaceDE/>
        <w:autoSpaceDN/>
        <w:bidi w:val="0"/>
        <w:adjustRightInd/>
        <w:snapToGrid/>
        <w:spacing w:before="79" w:beforeLines="25" w:line="440" w:lineRule="exact"/>
        <w:ind w:left="0" w:leftChars="0" w:firstLine="0" w:firstLineChars="0"/>
        <w:textAlignment w:val="auto"/>
        <w:outlineLvl w:val="3"/>
        <w:rPr>
          <w:rFonts w:hint="eastAsia" w:ascii="黑体" w:hAnsi="黑体" w:eastAsia="黑体" w:cs="黑体"/>
          <w:b w:val="0"/>
          <w:bCs w:val="0"/>
          <w:sz w:val="21"/>
          <w:szCs w:val="21"/>
          <w:highlight w:val="none"/>
          <w:lang w:val="en-US" w:eastAsia="zh-CN"/>
        </w:rPr>
      </w:pPr>
      <w:r>
        <w:rPr>
          <w:rFonts w:hint="eastAsia" w:ascii="黑体" w:hAnsi="黑体" w:eastAsia="黑体" w:cs="黑体"/>
          <w:b w:val="0"/>
          <w:bCs w:val="0"/>
          <w:sz w:val="21"/>
          <w:szCs w:val="21"/>
          <w:highlight w:val="none"/>
          <w:lang w:val="en-US" w:eastAsia="zh-CN"/>
        </w:rPr>
        <w:t>评分标准</w:t>
      </w:r>
      <w:r>
        <w:rPr>
          <w:rFonts w:hint="eastAsia" w:hAnsi="黑体" w:cs="黑体"/>
          <w:b w:val="0"/>
          <w:bCs w:val="0"/>
          <w:sz w:val="21"/>
          <w:szCs w:val="21"/>
          <w:highlight w:val="none"/>
          <w:lang w:val="en-US" w:eastAsia="zh-CN"/>
        </w:rPr>
        <w:t xml:space="preserve"> </w:t>
      </w:r>
    </w:p>
    <w:tbl>
      <w:tblPr>
        <w:tblStyle w:val="31"/>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880"/>
        <w:gridCol w:w="1765"/>
        <w:gridCol w:w="1350"/>
        <w:gridCol w:w="4298"/>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评标因素</w:t>
            </w:r>
          </w:p>
        </w:tc>
        <w:tc>
          <w:tcPr>
            <w:tcW w:w="88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总分</w:t>
            </w:r>
          </w:p>
        </w:tc>
        <w:tc>
          <w:tcPr>
            <w:tcW w:w="1765"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rFonts w:hint="eastAsia" w:eastAsia="宋体"/>
                <w:b/>
                <w:szCs w:val="21"/>
                <w:lang w:eastAsia="zh-CN"/>
              </w:rPr>
            </w:pPr>
            <w:r>
              <w:rPr>
                <w:rFonts w:hint="eastAsia"/>
                <w:b/>
              </w:rPr>
              <w:t>评审内容</w:t>
            </w:r>
          </w:p>
        </w:tc>
        <w:tc>
          <w:tcPr>
            <w:tcW w:w="135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最高</w:t>
            </w:r>
          </w:p>
          <w:p>
            <w:pPr>
              <w:spacing w:line="320" w:lineRule="exact"/>
              <w:ind w:right="34" w:rightChars="16"/>
              <w:jc w:val="center"/>
              <w:rPr>
                <w:b/>
                <w:szCs w:val="21"/>
              </w:rPr>
            </w:pPr>
            <w:r>
              <w:rPr>
                <w:rFonts w:hint="eastAsia"/>
                <w:b/>
              </w:rPr>
              <w:t>得分</w:t>
            </w:r>
          </w:p>
        </w:tc>
        <w:tc>
          <w:tcPr>
            <w:tcW w:w="4298"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rPr>
            </w:pPr>
            <w:r>
              <w:rPr>
                <w:rFonts w:hint="eastAsia"/>
                <w:b/>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rPr>
                <w:rFonts w:hint="eastAsia" w:ascii="宋体" w:eastAsia="宋体"/>
                <w:lang w:eastAsia="zh-CN"/>
              </w:rPr>
            </w:pPr>
            <w:r>
              <w:rPr>
                <w:rFonts w:hint="eastAsia" w:ascii="宋体"/>
              </w:rPr>
              <w:t>技术标</w:t>
            </w:r>
          </w:p>
        </w:tc>
        <w:tc>
          <w:tcPr>
            <w:tcW w:w="880" w:type="dxa"/>
            <w:vMerge w:val="restart"/>
            <w:tcBorders>
              <w:top w:val="single" w:color="auto" w:sz="4" w:space="0"/>
              <w:left w:val="single" w:color="auto" w:sz="4" w:space="0"/>
              <w:right w:val="single" w:color="auto" w:sz="4" w:space="0"/>
            </w:tcBorders>
            <w:vAlign w:val="center"/>
          </w:tcPr>
          <w:p>
            <w:pPr>
              <w:spacing w:line="440" w:lineRule="exact"/>
              <w:jc w:val="center"/>
              <w:rPr>
                <w:rFonts w:hint="default" w:ascii="宋体" w:eastAsia="宋体"/>
                <w:lang w:val="en-US" w:eastAsia="zh-CN"/>
              </w:rPr>
            </w:pPr>
            <w:r>
              <w:rPr>
                <w:rFonts w:hint="eastAsia" w:ascii="宋体"/>
                <w:lang w:val="en-US" w:eastAsia="zh-CN"/>
              </w:rPr>
              <w:t>100</w:t>
            </w:r>
          </w:p>
        </w:tc>
        <w:tc>
          <w:tcPr>
            <w:tcW w:w="1765" w:type="dxa"/>
            <w:tcBorders>
              <w:top w:val="single" w:color="auto" w:sz="4" w:space="0"/>
              <w:left w:val="single" w:color="auto" w:sz="4" w:space="0"/>
              <w:right w:val="single" w:color="auto" w:sz="4" w:space="0"/>
            </w:tcBorders>
            <w:vAlign w:val="center"/>
          </w:tcPr>
          <w:p>
            <w:pPr>
              <w:spacing w:line="420" w:lineRule="exact"/>
              <w:rPr>
                <w:rFonts w:ascii="宋体"/>
              </w:rPr>
            </w:pPr>
            <w:r>
              <w:rPr>
                <w:rFonts w:hint="eastAsia" w:ascii="宋体" w:hAnsi="宋体"/>
                <w:bCs/>
              </w:rPr>
              <w:t>投标人资质</w:t>
            </w:r>
            <w:r>
              <w:rPr>
                <w:rFonts w:hint="eastAsia" w:ascii="宋体" w:hAnsi="宋体"/>
                <w:bCs/>
                <w:lang w:eastAsia="zh-CN"/>
              </w:rPr>
              <w:t>，</w:t>
            </w:r>
            <w:r>
              <w:rPr>
                <w:rFonts w:hint="eastAsia" w:ascii="宋体" w:hAnsi="宋体"/>
                <w:bCs/>
              </w:rPr>
              <w:t>具备有效营业执照且经营范围涵盖相关设备销售</w:t>
            </w:r>
            <w:r>
              <w:rPr>
                <w:rFonts w:hint="eastAsia" w:ascii="宋体" w:hAnsi="宋体"/>
                <w:bCs/>
                <w:lang w:eastAsia="zh-CN"/>
              </w:rPr>
              <w:t>，拥有设备生产或代理授权证明。</w:t>
            </w:r>
          </w:p>
        </w:tc>
        <w:tc>
          <w:tcPr>
            <w:tcW w:w="1350" w:type="dxa"/>
            <w:tcBorders>
              <w:top w:val="single" w:color="auto" w:sz="4" w:space="0"/>
              <w:left w:val="single" w:color="auto" w:sz="4" w:space="0"/>
              <w:bottom w:val="single" w:color="auto" w:sz="4" w:space="0"/>
              <w:right w:val="single" w:color="auto" w:sz="4" w:space="0"/>
            </w:tcBorders>
            <w:vAlign w:val="center"/>
          </w:tcPr>
          <w:p>
            <w:pPr>
              <w:spacing w:line="420" w:lineRule="exact"/>
              <w:jc w:val="center"/>
              <w:rPr>
                <w:rFonts w:hint="default" w:ascii="宋体" w:eastAsia="宋体"/>
                <w:szCs w:val="21"/>
                <w:lang w:val="en-US" w:eastAsia="zh-CN"/>
              </w:rPr>
            </w:pPr>
            <w:r>
              <w:rPr>
                <w:rFonts w:hint="eastAsia" w:ascii="宋体" w:hAnsi="宋体" w:eastAsia="宋体"/>
                <w:lang w:val="en-US" w:eastAsia="zh-CN"/>
              </w:rPr>
              <w:t>10</w:t>
            </w:r>
          </w:p>
        </w:tc>
        <w:tc>
          <w:tcPr>
            <w:tcW w:w="4298" w:type="dxa"/>
            <w:tcBorders>
              <w:top w:val="single" w:color="auto" w:sz="4" w:space="0"/>
              <w:left w:val="single" w:color="auto" w:sz="4" w:space="0"/>
              <w:bottom w:val="single" w:color="auto" w:sz="4" w:space="0"/>
              <w:right w:val="single" w:color="auto" w:sz="4" w:space="0"/>
            </w:tcBorders>
            <w:vAlign w:val="center"/>
          </w:tcPr>
          <w:p>
            <w:pPr>
              <w:spacing w:line="420" w:lineRule="exact"/>
            </w:pPr>
            <w:r>
              <w:rPr>
                <w:rFonts w:hint="eastAsia" w:ascii="宋体" w:hAnsi="宋体"/>
                <w:bCs/>
              </w:rPr>
              <w:t>投标人资质</w:t>
            </w:r>
            <w:r>
              <w:rPr>
                <w:rFonts w:hint="eastAsia" w:ascii="宋体" w:hAnsi="宋体"/>
                <w:bCs/>
                <w:lang w:eastAsia="zh-CN"/>
              </w:rPr>
              <w:t>，</w:t>
            </w:r>
            <w:r>
              <w:rPr>
                <w:rFonts w:hint="eastAsia" w:ascii="宋体" w:hAnsi="宋体"/>
                <w:bCs/>
              </w:rPr>
              <w:t>具备有效营业执照且经营范围涵盖相关设备销售</w:t>
            </w:r>
            <w:r>
              <w:rPr>
                <w:rFonts w:hint="eastAsia" w:ascii="宋体" w:hAnsi="宋体"/>
                <w:bCs/>
                <w:lang w:eastAsia="zh-CN"/>
              </w:rPr>
              <w:t>，拥有设备生产或代理授权证明。</w:t>
            </w:r>
            <w:r>
              <w:rPr>
                <w:rFonts w:hint="eastAsia" w:ascii="宋体" w:hAnsi="宋体"/>
                <w:bCs/>
              </w:rPr>
              <w:t>视情况得0-</w:t>
            </w:r>
            <w:r>
              <w:rPr>
                <w:rFonts w:hint="eastAsia" w:ascii="宋体" w:hAnsi="宋体"/>
                <w:bCs/>
                <w:lang w:val="en-US" w:eastAsia="zh-CN"/>
              </w:rPr>
              <w:t>10分。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ascii="宋体"/>
                <w:szCs w:val="21"/>
              </w:rPr>
            </w:pPr>
            <w:r>
              <w:rPr>
                <w:rFonts w:hint="eastAsia" w:ascii="宋体" w:hAnsi="宋体"/>
                <w:bCs/>
              </w:rPr>
              <w:t>产品方案技术先进、各系统完善、性能可靠，设备主要核心部件，具备自身技术优势</w:t>
            </w:r>
            <w:r>
              <w:rPr>
                <w:rFonts w:hint="eastAsia" w:ascii="宋体" w:hAnsi="宋体"/>
                <w:bCs/>
                <w:lang w:eastAsia="zh-CN"/>
              </w:rPr>
              <w:t>。</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ascii="宋体"/>
                <w:szCs w:val="21"/>
              </w:rPr>
            </w:pPr>
            <w:r>
              <w:rPr>
                <w:rFonts w:hint="eastAsia" w:ascii="宋体" w:hAnsi="宋体" w:eastAsia="宋体"/>
                <w:lang w:val="en-US" w:eastAsia="zh-CN"/>
              </w:rPr>
              <w:t>50</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产品方案技术先进、各系统完善、性能可靠，设备主要核心部件，具备自身技术优势，节能环</w:t>
            </w:r>
            <w:r>
              <w:rPr>
                <w:rFonts w:hint="eastAsia" w:ascii="宋体" w:hAnsi="宋体"/>
                <w:bCs/>
                <w:highlight w:val="none"/>
              </w:rPr>
              <w:t>保</w:t>
            </w:r>
            <w:r>
              <w:rPr>
                <w:rFonts w:hint="eastAsia" w:ascii="宋体" w:hAnsi="宋体"/>
                <w:bCs/>
                <w:highlight w:val="none"/>
                <w:lang w:eastAsia="zh-CN"/>
              </w:rPr>
              <w:t>；</w:t>
            </w:r>
            <w:r>
              <w:rPr>
                <w:rFonts w:hint="eastAsia" w:ascii="宋体" w:hAnsi="宋体"/>
                <w:bCs/>
                <w:highlight w:val="none"/>
                <w:lang w:val="en-US" w:eastAsia="zh-CN"/>
              </w:rPr>
              <w:t>轴承外环压装、车轮螺栓压装符合要求，工装简便切换方便、实用，翻转机和合鼓装置有效结合应用，</w:t>
            </w:r>
            <w:r>
              <w:rPr>
                <w:rFonts w:hint="eastAsia" w:ascii="宋体" w:hAnsi="宋体"/>
                <w:bCs/>
                <w:highlight w:val="none"/>
              </w:rPr>
              <w:t>视情</w:t>
            </w:r>
            <w:r>
              <w:rPr>
                <w:rFonts w:hint="eastAsia" w:ascii="宋体" w:hAnsi="宋体"/>
                <w:bCs/>
              </w:rPr>
              <w:t>况得0-</w:t>
            </w:r>
            <w:r>
              <w:rPr>
                <w:rFonts w:hint="eastAsia" w:ascii="宋体" w:hAnsi="宋体"/>
                <w:bCs/>
                <w:lang w:val="en-US" w:eastAsia="zh-CN"/>
              </w:rPr>
              <w:t>50分。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ascii="宋体"/>
                <w:szCs w:val="21"/>
              </w:rPr>
            </w:pPr>
            <w:r>
              <w:rPr>
                <w:rFonts w:hint="eastAsia" w:ascii="宋体" w:hAnsi="宋体"/>
                <w:bCs/>
              </w:rPr>
              <w:t>产品维保</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ascii="宋体"/>
                <w:szCs w:val="21"/>
              </w:rPr>
            </w:pPr>
            <w:r>
              <w:rPr>
                <w:rFonts w:hint="eastAsia" w:ascii="宋体" w:hAnsi="宋体" w:eastAsia="宋体"/>
                <w:szCs w:val="21"/>
                <w:lang w:val="en-US" w:eastAsia="zh-CN"/>
              </w:rPr>
              <w:t>5</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易于维修、操作方便，产品附件配置齐全，质量可靠，设备在使用期内的维护费用，视情况得0-</w:t>
            </w:r>
            <w:r>
              <w:rPr>
                <w:rFonts w:hint="eastAsia" w:ascii="宋体" w:hAnsi="宋体"/>
                <w:bCs/>
                <w:lang w:val="en-US" w:eastAsia="zh-CN"/>
              </w:rPr>
              <w:t>5分。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pPr>
            <w:r>
              <w:rPr>
                <w:rFonts w:hint="eastAsia" w:ascii="宋体" w:hAnsi="宋体"/>
              </w:rPr>
              <w:t>计划控制</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pPr>
            <w:r>
              <w:rPr>
                <w:rFonts w:hint="eastAsia" w:ascii="宋体" w:hAnsi="宋体" w:eastAsia="宋体"/>
                <w:szCs w:val="21"/>
                <w:lang w:val="en-US" w:eastAsia="zh-CN"/>
              </w:rPr>
              <w:t>5</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有详细可行的行动计划能保证项目进度，有风险管理。综合评审，自主赋分。视情况得0-</w:t>
            </w:r>
            <w:r>
              <w:rPr>
                <w:rFonts w:hint="eastAsia" w:ascii="宋体" w:hAnsi="宋体"/>
                <w:bCs/>
                <w:lang w:val="en-US" w:eastAsia="zh-CN"/>
              </w:rPr>
              <w:t>5分。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hint="default" w:eastAsia="宋体"/>
                <w:lang w:val="en-US" w:eastAsia="zh-CN"/>
              </w:rPr>
            </w:pPr>
            <w:r>
              <w:rPr>
                <w:rFonts w:hint="eastAsia" w:ascii="宋体" w:hAnsi="宋体"/>
              </w:rPr>
              <w:t>业绩</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hint="eastAsia" w:ascii="宋体"/>
                <w:lang w:val="en-US" w:eastAsia="zh-CN"/>
              </w:rPr>
            </w:pPr>
            <w:r>
              <w:rPr>
                <w:rFonts w:hint="eastAsia" w:ascii="宋体" w:hAnsi="宋体"/>
              </w:rPr>
              <w:t>5</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最近连续三年有国内外知名</w:t>
            </w:r>
            <w:r>
              <w:rPr>
                <w:rFonts w:hint="eastAsia" w:ascii="宋体" w:hAnsi="宋体"/>
                <w:bCs/>
                <w:lang w:val="en-US" w:eastAsia="zh-CN"/>
              </w:rPr>
              <w:t>厂家同类设备的</w:t>
            </w:r>
            <w:r>
              <w:rPr>
                <w:rFonts w:hint="eastAsia" w:ascii="宋体" w:hAnsi="宋体"/>
                <w:bCs/>
              </w:rPr>
              <w:t>供货经历或其他大型供货经历</w:t>
            </w:r>
            <w:r>
              <w:rPr>
                <w:rFonts w:hint="eastAsia" w:ascii="宋体" w:hAnsi="宋体"/>
                <w:bCs/>
                <w:lang w:eastAsia="zh-CN"/>
              </w:rPr>
              <w:t>、</w:t>
            </w:r>
            <w:r>
              <w:rPr>
                <w:rFonts w:hint="eastAsia" w:ascii="宋体" w:hAnsi="宋体"/>
                <w:bCs/>
                <w:lang w:val="en-US" w:eastAsia="zh-CN"/>
              </w:rPr>
              <w:t>安装施工经验，并提供从调试完毕后截至目前实际正常运行时间证明，</w:t>
            </w:r>
            <w:r>
              <w:rPr>
                <w:rFonts w:hint="eastAsia" w:ascii="宋体" w:hAnsi="宋体"/>
                <w:bCs/>
              </w:rPr>
              <w:t>提供3份以上投标同类产品开发合同证明材料，得5分；提供3份得4分；提供2份得3分；提供1份证明材料的，得2分；无证明材料的，不得分。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hint="eastAsia"/>
                <w:b/>
                <w:bCs/>
                <w:lang w:val="en-US" w:eastAsia="zh-CN"/>
              </w:rPr>
            </w:pPr>
            <w:r>
              <w:rPr>
                <w:rFonts w:hint="eastAsia" w:ascii="宋体" w:hAnsi="宋体"/>
              </w:rPr>
              <w:t>质量保证</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hint="eastAsia" w:ascii="宋体"/>
                <w:lang w:val="en-US" w:eastAsia="zh-CN"/>
              </w:rPr>
            </w:pPr>
            <w:r>
              <w:rPr>
                <w:rFonts w:hint="eastAsia" w:ascii="宋体" w:hAnsi="宋体"/>
              </w:rPr>
              <w:t>5</w:t>
            </w:r>
          </w:p>
        </w:tc>
        <w:tc>
          <w:tcPr>
            <w:tcW w:w="4298" w:type="dxa"/>
            <w:tcBorders>
              <w:top w:val="single" w:color="auto" w:sz="4" w:space="0"/>
              <w:left w:val="single" w:color="auto" w:sz="4" w:space="0"/>
              <w:bottom w:val="nil"/>
              <w:right w:val="single" w:color="auto" w:sz="4" w:space="0"/>
            </w:tcBorders>
            <w:vAlign w:val="center"/>
          </w:tcPr>
          <w:p>
            <w:pPr>
              <w:spacing w:line="420" w:lineRule="exact"/>
            </w:pPr>
            <w:r>
              <w:rPr>
                <w:rFonts w:hint="eastAsia" w:ascii="宋体" w:hAnsi="宋体"/>
                <w:bCs/>
              </w:rPr>
              <w:t>具有良好的质量管理体系和完备的检测体系，保证设备造质量符合要求（提供相应证明材料）。根据提供的资料综合评审，自主赋分。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hint="eastAsia"/>
                <w:b/>
                <w:bCs/>
                <w:lang w:val="en-US" w:eastAsia="zh-CN"/>
              </w:rPr>
            </w:pPr>
            <w:r>
              <w:rPr>
                <w:rFonts w:hint="eastAsia"/>
                <w:szCs w:val="21"/>
                <w:highlight w:val="none"/>
                <w:lang w:val="en-US" w:eastAsia="zh-CN"/>
              </w:rPr>
              <w:t>技术偏离</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hint="eastAsia" w:ascii="宋体"/>
                <w:lang w:val="en-US" w:eastAsia="zh-CN"/>
              </w:rPr>
            </w:pPr>
            <w:r>
              <w:rPr>
                <w:rFonts w:hint="eastAsia" w:ascii="宋体" w:hAnsi="宋体"/>
                <w:lang w:val="en-US" w:eastAsia="zh-CN"/>
              </w:rPr>
              <w:t>5</w:t>
            </w:r>
          </w:p>
        </w:tc>
        <w:tc>
          <w:tcPr>
            <w:tcW w:w="4298" w:type="dxa"/>
            <w:tcBorders>
              <w:top w:val="single" w:color="auto" w:sz="4" w:space="0"/>
              <w:left w:val="single" w:color="auto" w:sz="4" w:space="0"/>
              <w:bottom w:val="nil"/>
              <w:right w:val="single" w:color="auto" w:sz="4" w:space="0"/>
            </w:tcBorders>
            <w:vAlign w:val="center"/>
          </w:tcPr>
          <w:p>
            <w:pPr>
              <w:spacing w:line="420" w:lineRule="exact"/>
              <w:rPr>
                <w:rFonts w:hint="eastAsia"/>
                <w:szCs w:val="21"/>
                <w:lang w:val="en-US" w:eastAsia="zh-CN"/>
              </w:rPr>
            </w:pPr>
            <w:r>
              <w:rPr>
                <w:rFonts w:hint="eastAsia"/>
                <w:szCs w:val="21"/>
                <w:lang w:val="en-US" w:eastAsia="zh-CN"/>
              </w:rPr>
              <w:t>技术方案优于招标要求的视情况加1-5分；</w:t>
            </w:r>
          </w:p>
          <w:p>
            <w:pPr>
              <w:spacing w:line="420" w:lineRule="exact"/>
            </w:pPr>
            <w:r>
              <w:rPr>
                <w:rFonts w:hint="eastAsia"/>
                <w:szCs w:val="21"/>
                <w:lang w:val="en-US" w:eastAsia="zh-CN"/>
              </w:rPr>
              <w:t>不满足招标要求的视情况减1-5分。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880" w:type="dxa"/>
            <w:vMerge w:val="continue"/>
            <w:tcBorders>
              <w:left w:val="single" w:color="auto" w:sz="4" w:space="0"/>
              <w:bottom w:val="single" w:color="auto" w:sz="4" w:space="0"/>
              <w:right w:val="single" w:color="auto" w:sz="4" w:space="0"/>
            </w:tcBorders>
            <w:vAlign w:val="center"/>
          </w:tcPr>
          <w:p>
            <w:pPr>
              <w:widowControl/>
              <w:jc w:val="center"/>
              <w:rPr>
                <w:rFonts w:ascii="宋体"/>
              </w:rPr>
            </w:pPr>
          </w:p>
        </w:tc>
        <w:tc>
          <w:tcPr>
            <w:tcW w:w="1765" w:type="dxa"/>
            <w:tcBorders>
              <w:top w:val="single" w:color="auto" w:sz="4" w:space="0"/>
              <w:left w:val="single" w:color="auto" w:sz="4" w:space="0"/>
              <w:bottom w:val="single" w:color="auto" w:sz="4" w:space="0"/>
              <w:right w:val="single" w:color="auto" w:sz="4" w:space="0"/>
            </w:tcBorders>
            <w:vAlign w:val="center"/>
          </w:tcPr>
          <w:p>
            <w:pPr>
              <w:spacing w:line="420" w:lineRule="exact"/>
              <w:rPr>
                <w:rFonts w:hint="eastAsia"/>
                <w:b/>
                <w:bCs/>
                <w:lang w:val="en-US" w:eastAsia="zh-CN"/>
              </w:rPr>
            </w:pPr>
            <w:r>
              <w:rPr>
                <w:rFonts w:hint="eastAsia" w:ascii="宋体" w:hAnsi="宋体" w:eastAsia="宋体"/>
                <w:lang w:val="en-US" w:eastAsia="zh-CN"/>
              </w:rPr>
              <w:t>项目交期</w:t>
            </w:r>
          </w:p>
        </w:tc>
        <w:tc>
          <w:tcPr>
            <w:tcW w:w="1350" w:type="dxa"/>
            <w:tcBorders>
              <w:top w:val="single" w:color="auto" w:sz="4" w:space="0"/>
              <w:left w:val="single" w:color="auto" w:sz="4" w:space="0"/>
              <w:bottom w:val="nil"/>
              <w:right w:val="single" w:color="auto" w:sz="4" w:space="0"/>
            </w:tcBorders>
            <w:vAlign w:val="center"/>
          </w:tcPr>
          <w:p>
            <w:pPr>
              <w:spacing w:line="420" w:lineRule="exact"/>
              <w:jc w:val="center"/>
              <w:rPr>
                <w:rFonts w:hint="eastAsia" w:ascii="宋体"/>
                <w:lang w:val="en-US" w:eastAsia="zh-CN"/>
              </w:rPr>
            </w:pPr>
            <w:r>
              <w:rPr>
                <w:rFonts w:hint="eastAsia" w:ascii="宋体" w:hAnsi="宋体" w:eastAsia="宋体"/>
                <w:szCs w:val="21"/>
                <w:lang w:val="en-US" w:eastAsia="zh-CN"/>
              </w:rPr>
              <w:t>15</w:t>
            </w:r>
          </w:p>
        </w:tc>
        <w:tc>
          <w:tcPr>
            <w:tcW w:w="4298" w:type="dxa"/>
            <w:tcBorders>
              <w:top w:val="single" w:color="auto" w:sz="4" w:space="0"/>
              <w:left w:val="single" w:color="auto" w:sz="4" w:space="0"/>
              <w:bottom w:val="nil"/>
              <w:right w:val="single" w:color="auto" w:sz="4" w:space="0"/>
            </w:tcBorders>
            <w:vAlign w:val="center"/>
          </w:tcPr>
          <w:p>
            <w:pPr>
              <w:tabs>
                <w:tab w:val="left" w:pos="7854"/>
              </w:tabs>
            </w:pPr>
            <w:r>
              <w:rPr>
                <w:rFonts w:hint="eastAsia"/>
                <w:szCs w:val="21"/>
              </w:rPr>
              <w:t>可以提前完成项目交货，视情况得</w:t>
            </w:r>
            <w:r>
              <w:rPr>
                <w:szCs w:val="21"/>
              </w:rPr>
              <w:t>0-</w:t>
            </w:r>
            <w:r>
              <w:rPr>
                <w:rFonts w:hint="eastAsia"/>
                <w:szCs w:val="21"/>
                <w:lang w:val="en-US" w:eastAsia="zh-CN"/>
              </w:rPr>
              <w:t>15分。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00" w:lineRule="exact"/>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880" w:type="dxa"/>
            <w:tcBorders>
              <w:top w:val="single" w:color="auto" w:sz="4" w:space="0"/>
              <w:left w:val="single" w:color="auto" w:sz="4" w:space="0"/>
              <w:bottom w:val="single" w:color="auto" w:sz="4" w:space="0"/>
              <w:right w:val="single" w:color="auto" w:sz="4" w:space="0"/>
            </w:tcBorders>
            <w:vAlign w:val="center"/>
          </w:tcPr>
          <w:p>
            <w:pPr>
              <w:jc w:val="center"/>
              <w:rPr>
                <w:rFonts w:ascii="宋体"/>
                <w:b/>
                <w:szCs w:val="21"/>
                <w:highlight w:val="none"/>
              </w:rPr>
            </w:pPr>
            <w:r>
              <w:rPr>
                <w:rFonts w:hint="eastAsia" w:ascii="宋体"/>
                <w:lang w:val="en-US" w:eastAsia="zh-CN"/>
              </w:rPr>
              <w:t>100</w:t>
            </w:r>
          </w:p>
        </w:tc>
        <w:tc>
          <w:tcPr>
            <w:tcW w:w="1765" w:type="dxa"/>
            <w:tcBorders>
              <w:top w:val="single" w:color="auto" w:sz="4" w:space="0"/>
              <w:left w:val="single" w:color="auto" w:sz="4" w:space="0"/>
              <w:bottom w:val="single" w:color="auto" w:sz="4" w:space="0"/>
              <w:right w:val="single" w:color="auto" w:sz="4" w:space="0"/>
            </w:tcBorders>
            <w:vAlign w:val="center"/>
          </w:tcPr>
          <w:p>
            <w:pPr>
              <w:jc w:val="center"/>
              <w:rPr>
                <w:rFonts w:ascii="宋体"/>
                <w:b/>
                <w:szCs w:val="21"/>
                <w:highlight w:val="none"/>
              </w:rPr>
            </w:pPr>
            <w:r>
              <w:rPr>
                <w:rFonts w:hint="eastAsia" w:ascii="宋体" w:hAnsi="宋体"/>
                <w:highlight w:val="none"/>
              </w:rPr>
              <w:t>投标报价</w:t>
            </w:r>
          </w:p>
        </w:tc>
        <w:tc>
          <w:tcPr>
            <w:tcW w:w="1350" w:type="dxa"/>
            <w:tcBorders>
              <w:top w:val="single" w:color="auto" w:sz="4" w:space="0"/>
              <w:left w:val="single" w:color="auto" w:sz="4" w:space="0"/>
              <w:bottom w:val="nil"/>
              <w:right w:val="single" w:color="auto" w:sz="4" w:space="0"/>
            </w:tcBorders>
            <w:vAlign w:val="center"/>
          </w:tcPr>
          <w:p>
            <w:pPr>
              <w:spacing w:line="440" w:lineRule="exact"/>
              <w:jc w:val="center"/>
              <w:rPr>
                <w:rFonts w:hint="default" w:ascii="宋体" w:hAnsi="宋体" w:eastAsia="宋体"/>
                <w:highlight w:val="none"/>
                <w:lang w:val="en-US" w:eastAsia="zh-CN"/>
              </w:rPr>
            </w:pPr>
            <w:r>
              <w:rPr>
                <w:rFonts w:hint="eastAsia" w:ascii="宋体" w:hAnsi="宋体"/>
                <w:highlight w:val="none"/>
                <w:lang w:val="en-US" w:eastAsia="zh-CN"/>
              </w:rPr>
              <w:t>100</w:t>
            </w:r>
          </w:p>
        </w:tc>
        <w:tc>
          <w:tcPr>
            <w:tcW w:w="4298" w:type="dxa"/>
            <w:tcBorders>
              <w:top w:val="single" w:color="auto" w:sz="4" w:space="0"/>
              <w:left w:val="single" w:color="auto" w:sz="4" w:space="0"/>
              <w:bottom w:val="nil"/>
              <w:right w:val="single" w:color="auto" w:sz="4" w:space="0"/>
            </w:tcBorders>
            <w:vAlign w:val="center"/>
          </w:tcPr>
          <w:p>
            <w:pPr>
              <w:spacing w:line="420" w:lineRule="exact"/>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 xml:space="preserve">评标基准价： </w:t>
            </w:r>
          </w:p>
          <w:p>
            <w:pPr>
              <w:spacing w:line="420" w:lineRule="exact"/>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1、评标基准价为所有合理有效的最终投标报价的最低价。</w:t>
            </w:r>
          </w:p>
          <w:p>
            <w:pPr>
              <w:spacing w:line="420" w:lineRule="exact"/>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2、有效的评标基准价得100分；其他投标人的价格得分按下列公式计算：投标价格得分=100×（评标基准价/投标报价）。</w:t>
            </w:r>
          </w:p>
          <w:p>
            <w:pPr>
              <w:spacing w:line="420" w:lineRule="exact"/>
              <w:rPr>
                <w:highlight w:val="yellow"/>
              </w:rPr>
            </w:pPr>
            <w:r>
              <w:rPr>
                <w:rFonts w:hint="eastAsia" w:ascii="Times New Roman" w:hAnsi="Times New Roman" w:cs="Times New Roman"/>
                <w:szCs w:val="21"/>
                <w:lang w:val="en-US" w:eastAsia="zh-CN"/>
              </w:rPr>
              <w:t>注：得分值取小数点后两位，不足一个百分点的，按照四舍五入法计算。</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pPr>
              <w:rPr>
                <w:rFonts w:ascii="宋体"/>
                <w:szCs w:val="21"/>
              </w:rPr>
            </w:pPr>
            <w:r>
              <w:rPr>
                <w:rFonts w:hint="eastAsia" w:ascii="宋体" w:hAnsi="宋体"/>
              </w:rPr>
              <w:t>备注：</w:t>
            </w:r>
          </w:p>
          <w:p>
            <w:pPr>
              <w:rPr>
                <w:rFonts w:ascii="宋体"/>
              </w:rPr>
            </w:pPr>
            <w:r>
              <w:rPr>
                <w:rFonts w:hint="eastAsia" w:ascii="宋体" w:hAnsi="宋体"/>
              </w:rPr>
              <w:t>1、通过初审者为有效投标。</w:t>
            </w:r>
          </w:p>
          <w:p>
            <w:pPr>
              <w:rPr>
                <w:rFonts w:hint="eastAsia" w:ascii="宋体" w:eastAsia="宋体"/>
                <w:b/>
                <w:bCs/>
                <w:color w:val="FF0000"/>
                <w:sz w:val="18"/>
                <w:szCs w:val="18"/>
                <w:lang w:eastAsia="zh-CN"/>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pPr>
              <w:rPr>
                <w:rFonts w:hint="eastAsia" w:ascii="宋体" w:hAnsi="宋体"/>
              </w:rPr>
            </w:pPr>
            <w:r>
              <w:rPr>
                <w:rFonts w:hint="eastAsia" w:ascii="宋体" w:hAnsi="宋体"/>
              </w:rPr>
              <w:t>3、评委打分超过得分界限或未按本方法赋分时，该评委的打分按废票处理。</w:t>
            </w:r>
          </w:p>
          <w:p>
            <w:pPr>
              <w:rPr>
                <w:rFonts w:hint="eastAsia" w:ascii="宋体" w:hAnsi="宋体"/>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p>
            <w:r>
              <w:rPr>
                <w:rFonts w:hint="eastAsia" w:ascii="宋体" w:hAnsi="宋体" w:cs="Times New Roman"/>
                <w:lang w:val="en-US" w:eastAsia="zh-CN"/>
              </w:rPr>
              <w:t>5、综合得分=技术分×40%＋商务标得分×60%</w:t>
            </w:r>
          </w:p>
        </w:tc>
      </w:tr>
    </w:tbl>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cs="Times New Roman"/>
          <w:lang w:val="en-US" w:eastAsia="zh-CN"/>
        </w:rPr>
        <w:t>定标</w:t>
      </w:r>
    </w:p>
    <w:p>
      <w:pPr>
        <w:pStyle w:val="77"/>
        <w:keepNext w:val="0"/>
        <w:keepLines w:val="0"/>
        <w:pageBreakBefore w:val="0"/>
        <w:widowControl w:val="0"/>
        <w:kinsoku/>
        <w:wordWrap/>
        <w:overflowPunct/>
        <w:topLinePunct w:val="0"/>
        <w:autoSpaceDE/>
        <w:autoSpaceDN/>
        <w:bidi w:val="0"/>
        <w:adjustRightInd/>
        <w:snapToGrid/>
        <w:spacing w:line="440" w:lineRule="exact"/>
        <w:ind w:firstLine="420" w:firstLineChars="200"/>
        <w:textAlignment w:val="auto"/>
        <w:rPr>
          <w:rFonts w:hint="eastAsia"/>
          <w:lang w:eastAsia="zh-CN"/>
        </w:rPr>
      </w:pPr>
      <w:r>
        <w:rPr>
          <w:rFonts w:hint="eastAsia"/>
        </w:rPr>
        <w:t>本项目只产生</w:t>
      </w:r>
      <w:r>
        <w:rPr>
          <w:rFonts w:hint="eastAsia"/>
          <w:lang w:val="en-US" w:eastAsia="zh-CN"/>
        </w:rPr>
        <w:t>1</w:t>
      </w:r>
      <w:r>
        <w:rPr>
          <w:rFonts w:hint="eastAsia"/>
        </w:rPr>
        <w:t>个中标人。中标人签订合同前须进行最终审查。最终审查的对象</w:t>
      </w:r>
      <w:r>
        <w:rPr>
          <w:rFonts w:hint="eastAsia"/>
          <w:lang w:val="en-US" w:eastAsia="zh-CN"/>
        </w:rPr>
        <w:t>是</w:t>
      </w:r>
      <w:r>
        <w:rPr>
          <w:rFonts w:hint="eastAsia"/>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lang w:val="en-US" w:eastAsia="zh-CN"/>
        </w:rPr>
        <w:t>的</w:t>
      </w:r>
      <w:r>
        <w:rPr>
          <w:rFonts w:hint="eastAsia"/>
        </w:rPr>
        <w:t>，则本次评标作废</w:t>
      </w:r>
      <w:r>
        <w:rPr>
          <w:rFonts w:hint="eastAsia"/>
          <w:lang w:val="en-US" w:eastAsia="zh-CN"/>
        </w:rPr>
        <w:t>或变更意向中标人</w:t>
      </w:r>
      <w:r>
        <w:rPr>
          <w:rFonts w:hint="eastAsia"/>
          <w:lang w:eastAsia="zh-CN"/>
        </w:rPr>
        <w:t>。</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废标及终止招标</w:t>
      </w:r>
    </w:p>
    <w:p>
      <w:pPr>
        <w:pStyle w:val="73"/>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投标人提供的有关资格、资质证明文件不合格、不真实或提供虚假投标材料；</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投标人在报价有效期内撤回投标；</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lang w:eastAsia="zh-CN"/>
        </w:rPr>
      </w:pPr>
      <w:r>
        <w:rPr>
          <w:rFonts w:hint="eastAsia"/>
        </w:rPr>
        <w:t>在整个评标过程中，投标人有企图影响评标结果公正性的任何活动；</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投标人以任何方式诋毁其他投标人；</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投标人串通投标；</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投标人被举报、检举，并经招标人查实无误的；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以他人名义投标或者以其他方式弄虚作假，骗取中标的；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投标人负责人为同一人或者存在控股、管理关系的不同单位；</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有效投标不足三家；</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不同投标人的投标文件异常一致或者投标报价呈规律性差异的；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投标人报价均超过</w:t>
      </w:r>
      <w:r>
        <w:rPr>
          <w:rFonts w:hint="eastAsia"/>
          <w:lang w:val="en-US" w:eastAsia="zh-CN"/>
        </w:rPr>
        <w:t>最高限价</w:t>
      </w:r>
      <w:r>
        <w:rPr>
          <w:rFonts w:hint="eastAsia"/>
        </w:rPr>
        <w:t>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未按要求填报商务报价资料，对招标开展造成较大影响；</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lang w:val="en-US" w:eastAsia="zh-CN"/>
        </w:rPr>
        <w:t>未按照招标人规定的时间内在中国重汽e采通完成投标的；</w:t>
      </w:r>
    </w:p>
    <w:p>
      <w:pPr>
        <w:pStyle w:val="77"/>
        <w:keepNext w:val="0"/>
        <w:keepLines w:val="0"/>
        <w:pageBreakBefore w:val="0"/>
        <w:widowControl w:val="0"/>
        <w:numPr>
          <w:ilvl w:val="1"/>
          <w:numId w:val="26"/>
        </w:numPr>
        <w:kinsoku/>
        <w:wordWrap/>
        <w:overflowPunct/>
        <w:topLinePunct w:val="0"/>
        <w:autoSpaceDE/>
        <w:autoSpaceDN/>
        <w:bidi w:val="0"/>
        <w:adjustRightInd/>
        <w:snapToGrid/>
        <w:spacing w:line="440" w:lineRule="exact"/>
        <w:ind w:left="0" w:leftChars="0" w:firstLine="0" w:firstLineChars="0"/>
        <w:textAlignment w:val="auto"/>
        <w:rPr>
          <w:rFonts w:hint="eastAsia"/>
        </w:rPr>
      </w:pPr>
      <w:r>
        <w:rPr>
          <w:rFonts w:hint="eastAsia"/>
        </w:rPr>
        <w:t>法律、法规规定的其他情况。</w:t>
      </w:r>
    </w:p>
    <w:p>
      <w:pPr>
        <w:pStyle w:val="73"/>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出现下列情形之一，招标人有权否决所有投标人的投标，并终止招标。</w:t>
      </w:r>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lang w:eastAsia="zh-CN"/>
        </w:rPr>
      </w:pPr>
      <w:r>
        <w:rPr>
          <w:rFonts w:hint="eastAsia" w:ascii="宋体" w:hAnsi="宋体" w:eastAsia="宋体" w:cs="宋体"/>
          <w:sz w:val="21"/>
          <w:szCs w:val="21"/>
          <w:highlight w:val="none"/>
        </w:rPr>
        <w:t>符合条件的投标人或者对招标文件做实质响应的投标人不足三家的；</w:t>
      </w:r>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评标委员会经评审，认为所有投标都不符合招标文件要求的；</w:t>
      </w:r>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因重大变故，采购任务取消的</w:t>
      </w:r>
      <w:bookmarkStart w:id="6" w:name="OLE_LINK27"/>
      <w:bookmarkStart w:id="7" w:name="OLE_LINK25"/>
      <w:bookmarkStart w:id="8" w:name="OLE_LINK26"/>
      <w:bookmarkStart w:id="9" w:name="OLE_LINK29"/>
      <w:bookmarkStart w:id="10" w:name="OLE_LINK28"/>
      <w:r>
        <w:rPr>
          <w:rFonts w:hint="eastAsia" w:ascii="宋体" w:hAnsi="宋体" w:eastAsia="宋体" w:cs="宋体"/>
          <w:sz w:val="21"/>
          <w:szCs w:val="21"/>
          <w:highlight w:val="none"/>
        </w:rPr>
        <w:t>；</w:t>
      </w:r>
      <w:bookmarkEnd w:id="6"/>
      <w:bookmarkEnd w:id="7"/>
      <w:bookmarkEnd w:id="8"/>
      <w:bookmarkEnd w:id="9"/>
      <w:bookmarkEnd w:id="10"/>
    </w:p>
    <w:p>
      <w:pPr>
        <w:keepNext w:val="0"/>
        <w:keepLines w:val="0"/>
        <w:pageBreakBefore w:val="0"/>
        <w:widowControl w:val="0"/>
        <w:numPr>
          <w:ilvl w:val="1"/>
          <w:numId w:val="25"/>
        </w:numPr>
        <w:kinsoku/>
        <w:wordWrap/>
        <w:overflowPunct/>
        <w:topLinePunct w:val="0"/>
        <w:autoSpaceDE/>
        <w:autoSpaceDN/>
        <w:bidi w:val="0"/>
        <w:adjustRightInd/>
        <w:snapToGrid/>
        <w:spacing w:line="440" w:lineRule="exact"/>
        <w:ind w:left="0" w:leftChars="0" w:right="0" w:rightChars="0" w:firstLine="0" w:firstLineChars="0"/>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招标人认为其他应终止招标的情形。</w:t>
      </w:r>
    </w:p>
    <w:p>
      <w:pPr>
        <w:pStyle w:val="73"/>
        <w:keepNext w:val="0"/>
        <w:keepLines w:val="0"/>
        <w:pageBreakBefore w:val="0"/>
        <w:widowControl w:val="0"/>
        <w:numPr>
          <w:ilvl w:val="0"/>
          <w:numId w:val="25"/>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黑体" w:hAnsi="黑体" w:eastAsia="黑体" w:cs="黑体"/>
          <w:b w:val="0"/>
          <w:bCs w:val="0"/>
          <w:sz w:val="24"/>
          <w:szCs w:val="24"/>
          <w:highlight w:val="none"/>
          <w:lang w:val="en-US" w:eastAsia="zh-CN"/>
        </w:rPr>
      </w:pPr>
      <w:r>
        <w:rPr>
          <w:rFonts w:hint="eastAsia" w:ascii="黑体" w:hAnsi="黑体" w:eastAsia="黑体" w:cs="黑体"/>
          <w:b w:val="0"/>
          <w:bCs w:val="0"/>
          <w:sz w:val="24"/>
          <w:szCs w:val="24"/>
          <w:highlight w:val="none"/>
          <w:lang w:val="en-US" w:eastAsia="zh-CN"/>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hAnsi="Courier New" w:cs="Times New Roman"/>
          <w:highlight w:val="none"/>
          <w:lang w:val="en-US" w:eastAsia="zh-CN"/>
        </w:rPr>
        <w:t>合同</w:t>
      </w:r>
      <w:r>
        <w:rPr>
          <w:rFonts w:hint="eastAsia"/>
          <w:lang w:val="en-US" w:eastAsia="zh-CN"/>
        </w:rPr>
        <w:t>签订</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招标人根据评标工作小组的评标结果确定中标人，在重汽e采通平台公布中标结果，并发送中标通知。</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color w:val="000000"/>
          <w:sz w:val="21"/>
          <w:szCs w:val="21"/>
        </w:rPr>
      </w:pPr>
      <w:r>
        <w:rPr>
          <w:rFonts w:hint="eastAsia" w:ascii="宋体" w:hAnsi="宋体" w:cs="宋体"/>
          <w:color w:val="000000"/>
          <w:sz w:val="21"/>
          <w:szCs w:val="21"/>
        </w:rPr>
        <w:t>中标人应该在中标通知书规定的时间、地点与招标人签订采购合同，否则按照开标后撤回投标处理。</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ascii="宋体" w:hAnsi="宋体" w:cs="宋体"/>
          <w:b w:val="0"/>
          <w:bCs w:val="0"/>
          <w:sz w:val="21"/>
          <w:szCs w:val="21"/>
        </w:rPr>
      </w:pPr>
      <w:r>
        <w:rPr>
          <w:rFonts w:hint="eastAsia" w:ascii="宋体" w:hAnsi="宋体" w:cs="宋体"/>
          <w:b w:val="0"/>
          <w:bCs w:val="0"/>
          <w:color w:val="000000"/>
          <w:sz w:val="21"/>
          <w:szCs w:val="21"/>
        </w:rPr>
        <w:t>中标人应当按照合同约定的履约责任，在保证质量的前提下完成中标项目，不得将中标项目转包或分包给他人，否则视为违约，招标人有权解除合同。</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pPr>
      <w:r>
        <w:rPr>
          <w:rFonts w:hint="eastAsia" w:ascii="宋体" w:hAnsi="宋体" w:cs="宋体"/>
          <w:b w:val="0"/>
          <w:bCs w:val="0"/>
          <w:color w:val="000000"/>
          <w:sz w:val="21"/>
          <w:szCs w:val="21"/>
        </w:rPr>
        <w:t>招标人有权指定招标人的关联单位作为合同签订人，与中标人签署相关合同，且具体权利义务以中标人与招标人的关联公司最终签署的合同为准</w:t>
      </w:r>
      <w:r>
        <w:rPr>
          <w:rFonts w:hint="eastAsia" w:ascii="宋体" w:hAnsi="宋体" w:cs="宋体"/>
          <w:b w:val="0"/>
          <w:bCs w:val="0"/>
          <w:color w:val="000000"/>
          <w:sz w:val="21"/>
          <w:szCs w:val="21"/>
          <w:lang w:eastAsia="zh-CN"/>
        </w:rPr>
        <w:t>。</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中标人由于履行义务的能力或信用有严重缺陷，招标人有权取消其中标资格，招标人将从中标候选单位中依序重新确定中标人，或重新组织招标；</w:t>
      </w:r>
    </w:p>
    <w:p>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val="0"/>
          <w:color w:val="000000"/>
          <w:sz w:val="21"/>
          <w:szCs w:val="21"/>
          <w:highlight w:val="none"/>
        </w:rPr>
      </w:pPr>
      <w:r>
        <w:rPr>
          <w:rFonts w:hint="eastAsia" w:ascii="宋体" w:hAnsi="宋体" w:cs="宋体"/>
          <w:b/>
          <w:bCs w:val="0"/>
          <w:sz w:val="21"/>
          <w:szCs w:val="21"/>
        </w:rPr>
        <w:t>合同以双方最终签署的版本为准。</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pPr>
      <w:r>
        <w:rPr>
          <w:rFonts w:hint="eastAsia"/>
          <w:lang w:val="en-US" w:eastAsia="zh-CN"/>
        </w:rPr>
        <w:t>交货及付款</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eastAsia" w:cs="Times New Roman"/>
          <w:lang w:val="en-US" w:eastAsia="zh-CN"/>
        </w:rPr>
      </w:pPr>
      <w:r>
        <w:rPr>
          <w:rFonts w:hint="eastAsia" w:cs="Times New Roman"/>
          <w:lang w:val="en-US" w:eastAsia="zh-CN"/>
        </w:rPr>
        <w:t>交货时间：</w:t>
      </w:r>
    </w:p>
    <w:p>
      <w:pPr>
        <w:pStyle w:val="77"/>
        <w:keepNext w:val="0"/>
        <w:keepLines w:val="0"/>
        <w:pageBreakBefore w:val="0"/>
        <w:widowControl w:val="0"/>
        <w:numPr>
          <w:ilvl w:val="1"/>
          <w:numId w:val="28"/>
        </w:numPr>
        <w:kinsoku/>
        <w:wordWrap/>
        <w:overflowPunct/>
        <w:topLinePunct w:val="0"/>
        <w:autoSpaceDE/>
        <w:autoSpaceDN/>
        <w:bidi w:val="0"/>
        <w:adjustRightInd/>
        <w:snapToGrid/>
        <w:spacing w:line="440" w:lineRule="exact"/>
        <w:ind w:left="840" w:leftChars="0" w:hanging="420" w:firstLineChars="0"/>
        <w:textAlignment w:val="auto"/>
        <w:rPr>
          <w:rFonts w:hint="eastAsia" w:cs="Times New Roman"/>
          <w:lang w:val="en-US" w:eastAsia="zh-CN"/>
        </w:rPr>
      </w:pPr>
      <w:r>
        <w:rPr>
          <w:rFonts w:hint="eastAsia" w:cs="Times New Roman"/>
          <w:lang w:val="en-US" w:eastAsia="zh-CN"/>
        </w:rPr>
        <w:t>投标方应自合同签定之日起，30个日历日之内交货至供货地点；</w:t>
      </w:r>
    </w:p>
    <w:p>
      <w:pPr>
        <w:pStyle w:val="77"/>
        <w:keepNext w:val="0"/>
        <w:keepLines w:val="0"/>
        <w:pageBreakBefore w:val="0"/>
        <w:widowControl w:val="0"/>
        <w:numPr>
          <w:ilvl w:val="1"/>
          <w:numId w:val="28"/>
        </w:numPr>
        <w:kinsoku/>
        <w:wordWrap/>
        <w:overflowPunct/>
        <w:topLinePunct w:val="0"/>
        <w:autoSpaceDE/>
        <w:autoSpaceDN/>
        <w:bidi w:val="0"/>
        <w:adjustRightInd/>
        <w:snapToGrid/>
        <w:spacing w:line="440" w:lineRule="exact"/>
        <w:ind w:left="840" w:leftChars="0" w:hanging="420" w:firstLineChars="0"/>
        <w:textAlignment w:val="auto"/>
        <w:rPr>
          <w:rFonts w:hint="eastAsia" w:cs="Times New Roman"/>
          <w:lang w:val="en-US" w:eastAsia="zh-CN"/>
        </w:rPr>
      </w:pPr>
      <w:r>
        <w:rPr>
          <w:rFonts w:hint="eastAsia" w:cs="Times New Roman"/>
          <w:lang w:val="en-US" w:eastAsia="zh-CN"/>
        </w:rPr>
        <w:t>接续 20 个日历日之内安装调试完毕；</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eastAsia" w:cs="Times New Roman"/>
          <w:lang w:val="en-US" w:eastAsia="zh-CN"/>
        </w:rPr>
      </w:pPr>
      <w:r>
        <w:rPr>
          <w:rFonts w:hint="eastAsia" w:cs="Times New Roman"/>
          <w:highlight w:val="none"/>
          <w:lang w:val="en-US" w:eastAsia="zh-CN"/>
        </w:rPr>
        <w:t>质保期：</w:t>
      </w:r>
      <w:r>
        <w:rPr>
          <w:rFonts w:hint="eastAsia" w:cs="Times New Roman"/>
          <w:lang w:val="en-US" w:eastAsia="zh-CN"/>
        </w:rPr>
        <w:t>自终验收签字生效之日起  12 个月。</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eastAsia" w:cs="Times New Roman"/>
          <w:lang w:val="en-US" w:eastAsia="zh-CN"/>
        </w:rPr>
      </w:pPr>
      <w:r>
        <w:rPr>
          <w:rFonts w:hint="eastAsia" w:cs="Times New Roman"/>
          <w:lang w:val="en-US" w:eastAsia="zh-CN"/>
        </w:rPr>
        <w:t>付款方式：半年期商业汇票（包括银行承兑汇票和商业承兑汇票）</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eastAsia" w:cs="Times New Roman"/>
          <w:lang w:val="en-US" w:eastAsia="zh-CN"/>
        </w:rPr>
      </w:pPr>
      <w:r>
        <w:rPr>
          <w:rFonts w:hint="eastAsia" w:cs="Times New Roman"/>
          <w:lang w:val="en-US" w:eastAsia="zh-CN"/>
        </w:rPr>
        <w:t>付款节点：</w:t>
      </w:r>
    </w:p>
    <w:p>
      <w:pPr>
        <w:ind w:firstLine="480" w:firstLineChars="200"/>
        <w:rPr>
          <w:rFonts w:ascii="宋体" w:hAnsi="宋体" w:eastAsia="宋体" w:cs="宋体"/>
          <w:sz w:val="24"/>
          <w:szCs w:val="24"/>
        </w:rPr>
      </w:pPr>
      <w:r>
        <w:rPr>
          <w:rFonts w:ascii="宋体" w:hAnsi="宋体" w:eastAsia="宋体" w:cs="宋体"/>
          <w:sz w:val="24"/>
          <w:szCs w:val="24"/>
        </w:rPr>
        <w:t>1.合同生效设备全部到齐无质量问题通过买方初步验收并到货后，卖方开具金额为该合同设备价格30%的增值税专用发票带30%的收据（含复印件二份），经买方依照财务制度审核无误后支付合同价款的30%。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2.设备全部到齐，经现场安装、调试、验收合格交付使用后，卖方提交金额为合同价款60%的收据并附带下列单据，经买方依照财务制度审核无误后支付合同价款的60%。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a.金额为该合同设备价格70%的增值税专用发票（含复印件二份），具体开票信息详见发票信息表，根据表中所列分别开具增值税发票。</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b.该套设备最终验收报告的原件及其复印件两份。</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3.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pPr>
        <w:pStyle w:val="77"/>
        <w:keepNext w:val="0"/>
        <w:keepLines w:val="0"/>
        <w:pageBreakBefore w:val="0"/>
        <w:widowControl w:val="0"/>
        <w:numPr>
          <w:ilvl w:val="0"/>
          <w:numId w:val="28"/>
        </w:numPr>
        <w:kinsoku/>
        <w:wordWrap/>
        <w:overflowPunct/>
        <w:topLinePunct w:val="0"/>
        <w:autoSpaceDE/>
        <w:autoSpaceDN/>
        <w:bidi w:val="0"/>
        <w:adjustRightInd/>
        <w:snapToGrid/>
        <w:spacing w:line="440" w:lineRule="exact"/>
        <w:ind w:left="425" w:leftChars="0" w:hanging="425" w:firstLineChars="0"/>
        <w:textAlignment w:val="auto"/>
        <w:rPr>
          <w:rFonts w:hint="default" w:cs="Times New Roman"/>
          <w:lang w:val="en-US" w:eastAsia="zh-CN"/>
        </w:rPr>
      </w:pPr>
      <w:r>
        <w:rPr>
          <w:rFonts w:hint="eastAsia" w:cs="Times New Roman"/>
          <w:lang w:val="en-US" w:eastAsia="zh-CN"/>
        </w:rPr>
        <w:t>付款方式和付款比例不允许偏离</w:t>
      </w:r>
    </w:p>
    <w:p>
      <w:pPr>
        <w:pStyle w:val="73"/>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lang w:val="en-US" w:eastAsia="zh-CN"/>
        </w:rPr>
      </w:pPr>
      <w:r>
        <w:rPr>
          <w:rFonts w:hint="eastAsia"/>
          <w:lang w:val="en-US" w:eastAsia="zh-CN"/>
        </w:rPr>
        <w:t>本次招标最终解释权归</w:t>
      </w:r>
      <w:r>
        <w:rPr>
          <w:rFonts w:hint="eastAsia"/>
          <w:highlight w:val="none"/>
          <w:lang w:val="en-US" w:eastAsia="zh-CN"/>
        </w:rPr>
        <w:t>重汽（济南）车桥有限公司</w:t>
      </w:r>
      <w:r>
        <w:rPr>
          <w:rFonts w:hint="eastAsia"/>
          <w:lang w:val="en-US" w:eastAsia="zh-CN"/>
        </w:rPr>
        <w:t>。</w:t>
      </w:r>
    </w:p>
    <w:p>
      <w:pPr>
        <w:pStyle w:val="77"/>
        <w:bidi w:val="0"/>
      </w:pPr>
    </w:p>
    <w:p>
      <w:pPr>
        <w:pStyle w:val="77"/>
        <w:bidi w:val="0"/>
        <w:rPr>
          <w:rFonts w:hint="eastAsia"/>
        </w:rPr>
      </w:pPr>
      <w:bookmarkStart w:id="11" w:name="_Toc47976607"/>
    </w:p>
    <w:p>
      <w:pPr>
        <w:pStyle w:val="77"/>
        <w:bidi w:val="0"/>
        <w:rPr>
          <w:rFonts w:hint="eastAsia"/>
        </w:rPr>
      </w:pPr>
    </w:p>
    <w:p>
      <w:pPr>
        <w:pStyle w:val="77"/>
        <w:bidi w:val="0"/>
        <w:rPr>
          <w:rFonts w:hint="eastAsia"/>
        </w:rPr>
      </w:pPr>
    </w:p>
    <w:p>
      <w:pPr>
        <w:pStyle w:val="77"/>
        <w:bidi w:val="0"/>
        <w:rPr>
          <w:rFonts w:hint="eastAsia"/>
        </w:rPr>
      </w:pPr>
    </w:p>
    <w:p>
      <w:pPr>
        <w:rPr>
          <w:rFonts w:hint="eastAsia"/>
        </w:rPr>
      </w:pPr>
      <w:r>
        <w:rPr>
          <w:rFonts w:hint="eastAsia"/>
        </w:rPr>
        <w:br w:type="page"/>
      </w:r>
    </w:p>
    <w:p>
      <w:pPr>
        <w:pStyle w:val="72"/>
        <w:jc w:val="center"/>
        <w:rPr>
          <w:b w:val="0"/>
          <w:bCs w:val="0"/>
        </w:rPr>
      </w:pPr>
      <w:bookmarkStart w:id="12" w:name="_Toc16839"/>
      <w:r>
        <w:rPr>
          <w:rFonts w:hint="eastAsia"/>
        </w:rPr>
        <w:t>第二部分　</w:t>
      </w:r>
      <w:bookmarkEnd w:id="11"/>
      <w:r>
        <w:rPr>
          <w:rFonts w:hint="eastAsia"/>
          <w:lang w:val="en-US" w:eastAsia="zh-CN"/>
        </w:rPr>
        <w:t>技术标书</w:t>
      </w:r>
      <w:bookmarkEnd w:id="12"/>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13" w:name="_Toc31266"/>
      <w:r>
        <w:rPr>
          <w:rFonts w:hint="eastAsia" w:ascii="仿宋" w:hAnsi="仿宋" w:eastAsia="仿宋" w:cs="仿宋"/>
          <w:b/>
          <w:bCs/>
          <w:color w:val="000000" w:themeColor="text1"/>
          <w:lang w:val="en-US" w:eastAsia="zh-CN"/>
          <w14:textFill>
            <w14:solidFill>
              <w14:schemeClr w14:val="tx1"/>
            </w14:solidFill>
          </w14:textFill>
        </w:rPr>
        <w:t>第</w:t>
      </w:r>
      <w:r>
        <w:rPr>
          <w:rFonts w:hint="eastAsia" w:ascii="仿宋" w:hAnsi="仿宋" w:eastAsia="仿宋" w:cs="仿宋"/>
          <w:b/>
          <w:bCs/>
          <w:color w:val="000000" w:themeColor="text1"/>
          <w14:textFill>
            <w14:solidFill>
              <w14:schemeClr w14:val="tx1"/>
            </w14:solidFill>
          </w14:textFill>
        </w:rPr>
        <w:t>一章采购货物概况</w:t>
      </w:r>
      <w:bookmarkEnd w:id="13"/>
      <w:bookmarkStart w:id="14" w:name="_Toc133783967"/>
    </w:p>
    <w:p>
      <w:pPr>
        <w:adjustRightInd w:val="0"/>
        <w:snapToGrid w:val="0"/>
        <w:spacing w:line="360" w:lineRule="auto"/>
        <w:jc w:val="center"/>
        <w:outlineLvl w:val="1"/>
        <w:rPr>
          <w:rFonts w:ascii="仿宋" w:hAnsi="仿宋" w:eastAsia="仿宋" w:cs="仿宋"/>
          <w:b/>
          <w:bCs/>
          <w:color w:val="000000" w:themeColor="text1"/>
          <w14:textFill>
            <w14:solidFill>
              <w14:schemeClr w14:val="tx1"/>
            </w14:solidFill>
          </w14:textFill>
        </w:rPr>
      </w:pPr>
      <w:bookmarkStart w:id="15" w:name="_Toc73112397"/>
      <w:bookmarkStart w:id="16" w:name="_Toc27214"/>
      <w:bookmarkStart w:id="17" w:name="_Toc2554"/>
      <w:bookmarkStart w:id="18" w:name="_Toc22942"/>
      <w:bookmarkStart w:id="19" w:name="_Toc2152"/>
      <w:bookmarkStart w:id="20" w:name="_Toc30808"/>
      <w:bookmarkStart w:id="21" w:name="_Toc2996"/>
      <w:bookmarkStart w:id="22" w:name="_Toc4004"/>
      <w:bookmarkStart w:id="23" w:name="_Toc6436"/>
      <w:bookmarkStart w:id="24" w:name="_Toc5400"/>
      <w:bookmarkStart w:id="25" w:name="_Toc2940"/>
      <w:bookmarkStart w:id="26" w:name="_Toc7333"/>
      <w:bookmarkStart w:id="27" w:name="_Toc11411"/>
      <w:bookmarkStart w:id="28" w:name="_Toc17474"/>
      <w:bookmarkStart w:id="29" w:name="_Toc19070"/>
      <w:bookmarkStart w:id="30" w:name="_Toc5172"/>
      <w:bookmarkStart w:id="31" w:name="_Toc11763"/>
      <w:bookmarkStart w:id="32" w:name="_Toc22424"/>
      <w:bookmarkStart w:id="33" w:name="_Toc29605"/>
      <w:bookmarkStart w:id="34" w:name="_Toc24689"/>
      <w:bookmarkStart w:id="35" w:name="_Toc30246"/>
      <w:bookmarkStart w:id="36" w:name="_Toc23180"/>
      <w:bookmarkStart w:id="37" w:name="_Toc27040"/>
      <w:bookmarkStart w:id="38" w:name="_Toc10612"/>
      <w:bookmarkStart w:id="39" w:name="_Toc6606"/>
      <w:bookmarkStart w:id="40" w:name="_Toc21756"/>
      <w:bookmarkStart w:id="41" w:name="_Toc6498"/>
      <w:bookmarkStart w:id="42" w:name="_Toc9983"/>
      <w:bookmarkStart w:id="43" w:name="_Toc31000"/>
      <w:bookmarkStart w:id="44" w:name="_Toc30245"/>
      <w:bookmarkStart w:id="45" w:name="_Toc5826"/>
      <w:bookmarkStart w:id="46" w:name="_Toc5983"/>
      <w:bookmarkStart w:id="47" w:name="_Toc29927"/>
      <w:bookmarkStart w:id="48" w:name="_Toc29157"/>
      <w:bookmarkStart w:id="49" w:name="_Toc892"/>
      <w:bookmarkStart w:id="50" w:name="_Toc7515"/>
      <w:bookmarkStart w:id="51" w:name="_Toc8362"/>
      <w:bookmarkStart w:id="52" w:name="_Toc16714"/>
      <w:bookmarkStart w:id="53" w:name="_Toc5609"/>
      <w:bookmarkStart w:id="54" w:name="_Toc864"/>
      <w:bookmarkStart w:id="55" w:name="_Toc25011"/>
      <w:bookmarkStart w:id="56" w:name="_Toc7159"/>
      <w:bookmarkStart w:id="57" w:name="_Toc28361"/>
      <w:bookmarkStart w:id="58" w:name="_Toc5420"/>
      <w:bookmarkStart w:id="59" w:name="_Toc21892"/>
      <w:r>
        <w:rPr>
          <w:rFonts w:hint="eastAsia" w:ascii="仿宋" w:hAnsi="仿宋" w:eastAsia="仿宋" w:cs="仿宋"/>
          <w:b/>
          <w:bCs/>
          <w:color w:val="000000" w:themeColor="text1"/>
          <w14:textFill>
            <w14:solidFill>
              <w14:schemeClr w14:val="tx1"/>
            </w14:solidFill>
          </w14:textFill>
        </w:rPr>
        <w:t>第一节使用环境</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pPr>
        <w:pStyle w:val="17"/>
        <w:tabs>
          <w:tab w:val="left" w:pos="0"/>
        </w:tabs>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1项目名称：</w:t>
      </w:r>
      <w:r>
        <w:rPr>
          <w:rFonts w:hint="eastAsia" w:ascii="仿宋" w:hAnsi="仿宋" w:eastAsia="仿宋" w:cs="仿宋"/>
          <w:color w:val="000000" w:themeColor="text1"/>
          <w:shd w:val="pct10" w:color="auto" w:fill="FFFFFF"/>
          <w14:textFill>
            <w14:solidFill>
              <w14:schemeClr w14:val="tx1"/>
            </w14:solidFill>
          </w14:textFill>
        </w:rPr>
        <w:t>桥壳加工线起重设备改造技改项目</w:t>
      </w:r>
    </w:p>
    <w:p>
      <w:pPr>
        <w:pStyle w:val="17"/>
        <w:snapToGrid w:val="0"/>
        <w:spacing w:line="360" w:lineRule="auto"/>
        <w:ind w:firstLine="480" w:firstLineChars="200"/>
        <w:rPr>
          <w:rFonts w:ascii="仿宋" w:hAnsi="仿宋" w:eastAsia="仿宋" w:cs="仿宋"/>
          <w:color w:val="000000" w:themeColor="text1"/>
          <w:shd w:val="pct10" w:color="auto" w:fill="FFFFFF"/>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2建设地点：</w:t>
      </w:r>
      <w:r>
        <w:rPr>
          <w:rFonts w:hint="eastAsia" w:ascii="仿宋" w:hAnsi="仿宋" w:eastAsia="仿宋" w:cs="仿宋"/>
          <w:color w:val="000000" w:themeColor="text1"/>
          <w:shd w:val="pct10" w:color="auto" w:fill="FFFFFF"/>
          <w14:textFill>
            <w14:solidFill>
              <w14:schemeClr w14:val="tx1"/>
            </w14:solidFill>
          </w14:textFill>
        </w:rPr>
        <w:t>重汽(济南)车桥有限公司</w:t>
      </w:r>
      <w:r>
        <w:rPr>
          <w:rFonts w:hint="eastAsia" w:ascii="仿宋" w:hAnsi="仿宋" w:eastAsia="仿宋" w:cs="仿宋"/>
          <w:color w:val="000000" w:themeColor="text1"/>
          <w14:textFill>
            <w14:solidFill>
              <w14:schemeClr w14:val="tx1"/>
            </w14:solidFill>
          </w14:textFill>
        </w:rPr>
        <w:t>（工地）</w:t>
      </w:r>
    </w:p>
    <w:p>
      <w:pPr>
        <w:pStyle w:val="17"/>
        <w:snapToGrid w:val="0"/>
        <w:spacing w:line="360" w:lineRule="auto"/>
        <w:ind w:firstLine="480" w:firstLineChars="200"/>
        <w:rPr>
          <w:rFonts w:ascii="仿宋" w:hAnsi="仿宋" w:eastAsia="仿宋" w:cs="仿宋"/>
          <w:color w:val="000000" w:themeColor="text1"/>
          <w:shd w:val="pct10" w:color="auto" w:fill="FFFFFF"/>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3使用地点：</w:t>
      </w:r>
      <w:r>
        <w:rPr>
          <w:rFonts w:hint="eastAsia" w:ascii="仿宋" w:hAnsi="仿宋" w:eastAsia="仿宋" w:cs="仿宋"/>
          <w:color w:val="000000" w:themeColor="text1"/>
          <w:shd w:val="pct10" w:color="auto" w:fill="FFFFFF"/>
          <w14:textFill>
            <w14:solidFill>
              <w14:schemeClr w14:val="tx1"/>
            </w14:solidFill>
          </w14:textFill>
        </w:rPr>
        <w:t>车桥公司桥壳</w:t>
      </w:r>
      <w:r>
        <w:rPr>
          <w:rFonts w:hint="eastAsia" w:ascii="仿宋" w:hAnsi="仿宋" w:eastAsia="仿宋" w:cs="仿宋"/>
          <w:color w:val="000000" w:themeColor="text1"/>
          <w:shd w:val="pct10" w:color="auto" w:fill="FFFFFF"/>
          <w:lang w:val="en-US" w:eastAsia="zh-CN"/>
          <w14:textFill>
            <w14:solidFill>
              <w14:schemeClr w14:val="tx1"/>
            </w14:solidFill>
          </w14:textFill>
        </w:rPr>
        <w:t>加工一部</w:t>
      </w:r>
      <w:r>
        <w:rPr>
          <w:rFonts w:hint="eastAsia" w:ascii="仿宋" w:hAnsi="仿宋" w:eastAsia="仿宋" w:cs="仿宋"/>
          <w:color w:val="000000" w:themeColor="text1"/>
          <w14:textFill>
            <w14:solidFill>
              <w14:schemeClr w14:val="tx1"/>
            </w14:solidFill>
          </w14:textFill>
        </w:rPr>
        <w:t>（室内）</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4工作制度：全年工作</w:t>
      </w:r>
      <w:r>
        <w:rPr>
          <w:rFonts w:hint="eastAsia" w:ascii="仿宋" w:hAnsi="仿宋" w:eastAsia="仿宋" w:cs="仿宋"/>
          <w:color w:val="000000" w:themeColor="text1"/>
          <w:shd w:val="pct10" w:color="auto" w:fill="FFFFFF"/>
          <w14:textFill>
            <w14:solidFill>
              <w14:schemeClr w14:val="tx1"/>
            </w14:solidFill>
          </w14:textFill>
        </w:rPr>
        <w:t>300</w:t>
      </w:r>
      <w:r>
        <w:rPr>
          <w:rFonts w:hint="eastAsia" w:ascii="仿宋" w:hAnsi="仿宋" w:eastAsia="仿宋" w:cs="仿宋"/>
          <w:color w:val="000000" w:themeColor="text1"/>
          <w14:textFill>
            <w14:solidFill>
              <w14:schemeClr w14:val="tx1"/>
            </w14:solidFill>
          </w14:textFill>
        </w:rPr>
        <w:t>天、</w:t>
      </w:r>
      <w:r>
        <w:rPr>
          <w:rFonts w:hint="eastAsia" w:ascii="仿宋" w:hAnsi="仿宋" w:eastAsia="仿宋" w:cs="仿宋"/>
          <w:color w:val="000000" w:themeColor="text1"/>
          <w:shd w:val="pct10" w:color="auto" w:fill="FFFFFF"/>
          <w14:textFill>
            <w14:solidFill>
              <w14:schemeClr w14:val="tx1"/>
            </w14:solidFill>
          </w14:textFill>
        </w:rPr>
        <w:t>3</w:t>
      </w:r>
      <w:r>
        <w:rPr>
          <w:rFonts w:hint="eastAsia" w:ascii="仿宋" w:hAnsi="仿宋" w:eastAsia="仿宋" w:cs="仿宋"/>
          <w:color w:val="000000" w:themeColor="text1"/>
          <w14:textFill>
            <w14:solidFill>
              <w14:schemeClr w14:val="tx1"/>
            </w14:solidFill>
          </w14:textFill>
        </w:rPr>
        <w:t xml:space="preserve">班制、设备年时基数 </w:t>
      </w:r>
      <w:r>
        <w:rPr>
          <w:rFonts w:hint="eastAsia" w:ascii="仿宋" w:hAnsi="仿宋" w:eastAsia="仿宋" w:cs="仿宋"/>
          <w:color w:val="000000" w:themeColor="text1"/>
          <w:shd w:val="pct10" w:color="auto" w:fill="FFFFFF"/>
          <w14:textFill>
            <w14:solidFill>
              <w14:schemeClr w14:val="tx1"/>
            </w14:solidFill>
          </w14:textFill>
        </w:rPr>
        <w:t>7200</w:t>
      </w:r>
      <w:r>
        <w:rPr>
          <w:rFonts w:hint="eastAsia" w:ascii="仿宋" w:hAnsi="仿宋" w:eastAsia="仿宋" w:cs="仿宋"/>
          <w:color w:val="000000" w:themeColor="text1"/>
          <w14:textFill>
            <w14:solidFill>
              <w14:schemeClr w14:val="tx1"/>
            </w14:solidFill>
          </w14:textFill>
        </w:rPr>
        <w:t xml:space="preserve"> 小时</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5使用地点区域自然环境：</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5.1海拨高度：1000m以下。</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5.2环境温度：室外极端最低温度-19.7℃、极端最高温度42℃，昼夜最大温差25℃；室内温度5～40℃。</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5.3相对湿度：年平均59%，最大95%、最小15%。</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5.4 地震裂度：七度。</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6能源环境：</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6.1电力：中国制式，供电电压</w:t>
      </w:r>
      <w:r>
        <w:rPr>
          <w:rFonts w:hint="eastAsia" w:ascii="仿宋" w:hAnsi="仿宋" w:eastAsia="仿宋" w:cs="仿宋"/>
          <w:color w:val="000000" w:themeColor="text1"/>
          <w:u w:val="single"/>
          <w:shd w:val="pct10" w:color="auto" w:fill="FFFFFF"/>
          <w14:textFill>
            <w14:solidFill>
              <w14:schemeClr w14:val="tx1"/>
            </w14:solidFill>
          </w14:textFill>
        </w:rPr>
        <w:t>380V±15%/220V±15%</w:t>
      </w:r>
      <w:r>
        <w:rPr>
          <w:rFonts w:hint="eastAsia" w:ascii="仿宋" w:hAnsi="仿宋" w:eastAsia="仿宋" w:cs="仿宋"/>
          <w:color w:val="000000" w:themeColor="text1"/>
          <w14:textFill>
            <w14:solidFill>
              <w14:schemeClr w14:val="tx1"/>
            </w14:solidFill>
          </w14:textFill>
        </w:rPr>
        <w:t>，供电频率50Hz±2%。</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xml:space="preserve">6.2 </w:t>
      </w:r>
      <w:r>
        <w:rPr>
          <w:rFonts w:hint="eastAsia" w:ascii="仿宋" w:hAnsi="仿宋" w:eastAsia="仿宋" w:cs="仿宋"/>
          <w:color w:val="000000" w:themeColor="text1"/>
          <w:kern w:val="0"/>
          <w14:textFill>
            <w14:solidFill>
              <w14:schemeClr w14:val="tx1"/>
            </w14:solidFill>
          </w14:textFill>
        </w:rPr>
        <w:t>给水：市政自来水</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6.3压缩空气：自备空压机自产压缩空气，压力范围</w:t>
      </w:r>
      <w:r>
        <w:rPr>
          <w:rFonts w:hint="eastAsia" w:ascii="仿宋" w:hAnsi="仿宋" w:eastAsia="仿宋" w:cs="仿宋"/>
          <w:color w:val="000000" w:themeColor="text1"/>
          <w:u w:val="single"/>
          <w:shd w:val="pct10" w:color="auto" w:fill="FFFFFF"/>
          <w14:textFill>
            <w14:solidFill>
              <w14:schemeClr w14:val="tx1"/>
            </w14:solidFill>
          </w14:textFill>
        </w:rPr>
        <w:t>0.5 ±0.1MPa</w:t>
      </w:r>
      <w:r>
        <w:rPr>
          <w:rFonts w:hint="eastAsia" w:ascii="仿宋" w:hAnsi="仿宋" w:eastAsia="仿宋" w:cs="仿宋"/>
          <w:color w:val="000000" w:themeColor="text1"/>
          <w14:textFill>
            <w14:solidFill>
              <w14:schemeClr w14:val="tx1"/>
            </w14:solidFill>
          </w14:textFill>
        </w:rPr>
        <w:t>。</w:t>
      </w:r>
      <w:bookmarkStart w:id="60" w:name="_Toc15369"/>
      <w:bookmarkStart w:id="61" w:name="_Toc8728"/>
      <w:bookmarkStart w:id="62" w:name="_Toc21616"/>
      <w:bookmarkStart w:id="63" w:name="_Toc429"/>
      <w:bookmarkStart w:id="64" w:name="_Toc22983"/>
      <w:bookmarkStart w:id="65" w:name="_Toc18569"/>
      <w:bookmarkStart w:id="66" w:name="_Toc6433"/>
      <w:bookmarkStart w:id="67" w:name="_Toc30431"/>
      <w:bookmarkStart w:id="68" w:name="_Toc29333"/>
      <w:bookmarkStart w:id="69" w:name="_Toc27449"/>
      <w:bookmarkStart w:id="70" w:name="_Toc11744"/>
      <w:bookmarkStart w:id="71" w:name="_Toc9143"/>
      <w:bookmarkStart w:id="72" w:name="_Toc5374"/>
      <w:bookmarkStart w:id="73" w:name="_Toc24563"/>
      <w:bookmarkStart w:id="74" w:name="_Toc12401"/>
      <w:bookmarkStart w:id="75" w:name="_Toc24481"/>
      <w:bookmarkStart w:id="76" w:name="_Toc9671"/>
      <w:bookmarkStart w:id="77" w:name="_Toc13324"/>
      <w:bookmarkStart w:id="78" w:name="_Toc17682"/>
      <w:bookmarkStart w:id="79" w:name="_Toc23473"/>
      <w:bookmarkStart w:id="80" w:name="_Toc6636"/>
      <w:bookmarkStart w:id="81" w:name="_Toc29019"/>
      <w:bookmarkStart w:id="82" w:name="_Toc27857"/>
      <w:bookmarkStart w:id="83" w:name="_Toc17543"/>
      <w:bookmarkStart w:id="84" w:name="_Toc17605"/>
      <w:bookmarkStart w:id="85" w:name="_Toc4175"/>
      <w:bookmarkStart w:id="86" w:name="_Toc9561"/>
      <w:bookmarkStart w:id="87" w:name="_Toc133783968"/>
      <w:bookmarkStart w:id="88" w:name="_Toc9784"/>
      <w:bookmarkStart w:id="89" w:name="_Toc5421"/>
      <w:bookmarkStart w:id="90" w:name="_Toc31241"/>
      <w:bookmarkStart w:id="91" w:name="_Toc5282"/>
      <w:bookmarkStart w:id="92" w:name="_Toc8740"/>
    </w:p>
    <w:p>
      <w:pPr>
        <w:adjustRightInd w:val="0"/>
        <w:snapToGrid w:val="0"/>
        <w:spacing w:line="360" w:lineRule="auto"/>
        <w:jc w:val="center"/>
        <w:outlineLvl w:val="1"/>
        <w:rPr>
          <w:rFonts w:ascii="仿宋" w:hAnsi="仿宋" w:eastAsia="仿宋" w:cs="仿宋"/>
          <w:color w:val="000000" w:themeColor="text1"/>
          <w14:textFill>
            <w14:solidFill>
              <w14:schemeClr w14:val="tx1"/>
            </w14:solidFill>
          </w14:textFill>
        </w:rPr>
      </w:pPr>
      <w:bookmarkStart w:id="93" w:name="_Toc1424"/>
      <w:bookmarkStart w:id="94" w:name="_Toc18778"/>
      <w:bookmarkStart w:id="95" w:name="_Toc32599"/>
      <w:bookmarkStart w:id="96" w:name="_Toc18032"/>
      <w:bookmarkStart w:id="97" w:name="_Toc10013"/>
      <w:bookmarkStart w:id="98" w:name="_Toc73112398"/>
      <w:bookmarkStart w:id="99" w:name="_Toc1523"/>
      <w:bookmarkStart w:id="100" w:name="_Toc21957"/>
      <w:bookmarkStart w:id="101" w:name="_Toc21130"/>
      <w:bookmarkStart w:id="102" w:name="_Toc13544"/>
      <w:bookmarkStart w:id="103" w:name="_Toc17750"/>
      <w:bookmarkStart w:id="104" w:name="_Toc21302"/>
      <w:bookmarkStart w:id="105" w:name="_Toc20734"/>
      <w:bookmarkStart w:id="106" w:name="_Toc24559"/>
      <w:bookmarkStart w:id="107" w:name="_Toc29190"/>
      <w:bookmarkStart w:id="108" w:name="_Toc24624"/>
      <w:bookmarkStart w:id="109" w:name="_Toc8560"/>
      <w:r>
        <w:rPr>
          <w:rFonts w:hint="eastAsia" w:ascii="仿宋" w:hAnsi="仿宋" w:eastAsia="仿宋" w:cs="仿宋"/>
          <w:b/>
          <w:bCs/>
          <w:color w:val="000000" w:themeColor="text1"/>
          <w14:textFill>
            <w14:solidFill>
              <w14:schemeClr w14:val="tx1"/>
            </w14:solidFill>
          </w14:textFill>
        </w:rPr>
        <w:t>第二节采购货物概况</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1货物：</w:t>
      </w:r>
      <w:r>
        <w:rPr>
          <w:rFonts w:hint="eastAsia" w:ascii="仿宋" w:hAnsi="仿宋" w:eastAsia="仿宋" w:cs="仿宋"/>
          <w:color w:val="auto"/>
          <w:highlight w:val="none"/>
          <w:u w:val="single"/>
          <w:lang w:val="en-US" w:eastAsia="zh-CN"/>
        </w:rPr>
        <w:t>柔性吊</w:t>
      </w:r>
      <w:r>
        <w:rPr>
          <w:rFonts w:hint="eastAsia" w:ascii="仿宋" w:hAnsi="仿宋" w:eastAsia="仿宋" w:cs="仿宋"/>
          <w:color w:val="000000" w:themeColor="text1"/>
          <w14:textFill>
            <w14:solidFill>
              <w14:schemeClr w14:val="tx1"/>
            </w14:solidFill>
          </w14:textFill>
        </w:rPr>
        <w:t>（详见下表）</w:t>
      </w:r>
    </w:p>
    <w:p>
      <w:pPr>
        <w:pStyle w:val="17"/>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2货物数量：</w:t>
      </w:r>
      <w:r>
        <w:rPr>
          <w:rFonts w:hint="eastAsia" w:ascii="仿宋" w:hAnsi="仿宋" w:eastAsia="仿宋" w:cs="仿宋"/>
          <w:color w:val="auto"/>
          <w:highlight w:val="none"/>
          <w:u w:val="single"/>
          <w:lang w:val="en-US" w:eastAsia="zh-CN"/>
        </w:rPr>
        <w:t>45套</w:t>
      </w:r>
      <w:r>
        <w:rPr>
          <w:rFonts w:hint="eastAsia" w:ascii="仿宋" w:hAnsi="仿宋" w:eastAsia="仿宋" w:cs="仿宋"/>
          <w:color w:val="auto"/>
          <w:highlight w:val="none"/>
        </w:rPr>
        <w:t>（详见下表）</w:t>
      </w:r>
    </w:p>
    <w:p>
      <w:pPr>
        <w:pStyle w:val="17"/>
        <w:snapToGrid w:val="0"/>
        <w:spacing w:line="360" w:lineRule="auto"/>
        <w:ind w:firstLine="480" w:firstLineChars="200"/>
        <w:rPr>
          <w:rFonts w:ascii="仿宋" w:hAnsi="仿宋" w:eastAsia="仿宋" w:cs="仿宋"/>
          <w:color w:val="auto"/>
          <w:highlight w:val="none"/>
        </w:rPr>
      </w:pPr>
      <w:r>
        <w:rPr>
          <w:rFonts w:hint="eastAsia" w:ascii="仿宋" w:hAnsi="仿宋" w:eastAsia="仿宋" w:cs="仿宋"/>
          <w:color w:val="auto"/>
          <w:highlight w:val="none"/>
        </w:rPr>
        <w:t>采购货物主要构成一览表</w:t>
      </w:r>
    </w:p>
    <w:tbl>
      <w:tblPr>
        <w:tblStyle w:val="31"/>
        <w:tblW w:w="85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5"/>
        <w:gridCol w:w="1429"/>
        <w:gridCol w:w="1543"/>
        <w:gridCol w:w="984"/>
        <w:gridCol w:w="1065"/>
        <w:gridCol w:w="1450"/>
        <w:gridCol w:w="1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9" w:hRule="atLeast"/>
          <w:jc w:val="center"/>
        </w:trPr>
        <w:tc>
          <w:tcPr>
            <w:tcW w:w="885"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both"/>
              <w:textAlignment w:val="auto"/>
              <w:rPr>
                <w:rFonts w:ascii="仿宋" w:hAnsi="仿宋" w:eastAsia="仿宋" w:cs="仿宋"/>
                <w:color w:val="auto"/>
                <w:sz w:val="21"/>
                <w:szCs w:val="21"/>
                <w:highlight w:val="none"/>
              </w:rPr>
            </w:pPr>
            <w:r>
              <w:rPr>
                <w:rFonts w:hint="eastAsia" w:ascii="仿宋" w:hAnsi="仿宋" w:eastAsia="仿宋" w:cs="仿宋"/>
                <w:color w:val="auto"/>
                <w:kern w:val="2"/>
                <w:sz w:val="21"/>
                <w:szCs w:val="21"/>
                <w:highlight w:val="none"/>
              </w:rPr>
              <w:t>序号</w:t>
            </w:r>
          </w:p>
        </w:tc>
        <w:tc>
          <w:tcPr>
            <w:tcW w:w="1429"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both"/>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货物名称</w:t>
            </w:r>
          </w:p>
        </w:tc>
        <w:tc>
          <w:tcPr>
            <w:tcW w:w="1543"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both"/>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型号规格</w:t>
            </w:r>
          </w:p>
        </w:tc>
        <w:tc>
          <w:tcPr>
            <w:tcW w:w="984" w:type="dxa"/>
            <w:shd w:val="clear" w:color="auto" w:fill="auto"/>
            <w:vAlign w:val="top"/>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both"/>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单位</w:t>
            </w:r>
          </w:p>
        </w:tc>
        <w:tc>
          <w:tcPr>
            <w:tcW w:w="1065"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both"/>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数量</w:t>
            </w:r>
          </w:p>
        </w:tc>
        <w:tc>
          <w:tcPr>
            <w:tcW w:w="1450"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both"/>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安装地点</w:t>
            </w:r>
          </w:p>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both"/>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 服务对象</w:t>
            </w:r>
          </w:p>
        </w:tc>
        <w:tc>
          <w:tcPr>
            <w:tcW w:w="1200"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both"/>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供货方式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9" w:hRule="atLeast"/>
          <w:jc w:val="center"/>
        </w:trPr>
        <w:tc>
          <w:tcPr>
            <w:tcW w:w="885"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ascii="仿宋" w:hAnsi="仿宋" w:eastAsia="仿宋" w:cs="仿宋"/>
                <w:color w:val="auto"/>
                <w:sz w:val="21"/>
                <w:szCs w:val="21"/>
                <w:highlight w:val="none"/>
              </w:rPr>
            </w:pPr>
            <w:r>
              <w:rPr>
                <w:rFonts w:hint="eastAsia" w:ascii="仿宋" w:hAnsi="仿宋" w:eastAsia="仿宋" w:cs="仿宋"/>
                <w:color w:val="auto"/>
                <w:kern w:val="2"/>
                <w:sz w:val="21"/>
                <w:szCs w:val="21"/>
                <w:highlight w:val="none"/>
              </w:rPr>
              <w:t>1</w:t>
            </w:r>
          </w:p>
        </w:tc>
        <w:tc>
          <w:tcPr>
            <w:tcW w:w="1429"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柔性吊</w:t>
            </w:r>
          </w:p>
        </w:tc>
        <w:tc>
          <w:tcPr>
            <w:tcW w:w="1543"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250kg</w:t>
            </w:r>
          </w:p>
        </w:tc>
        <w:tc>
          <w:tcPr>
            <w:tcW w:w="984" w:type="dxa"/>
            <w:shd w:val="clear" w:color="auto" w:fill="auto"/>
            <w:vAlign w:val="top"/>
          </w:tcPr>
          <w:p>
            <w:pPr>
              <w:pStyle w:val="17"/>
              <w:keepNext w:val="0"/>
              <w:keepLines w:val="0"/>
              <w:pageBreakBefore w:val="0"/>
              <w:widowControl w:val="0"/>
              <w:kinsoku/>
              <w:wordWrap/>
              <w:overflowPunct/>
              <w:topLinePunct w:val="0"/>
              <w:autoSpaceDE/>
              <w:autoSpaceDN/>
              <w:bidi w:val="0"/>
              <w:adjustRightInd/>
              <w:snapToGrid w:val="0"/>
              <w:spacing w:line="240" w:lineRule="atLeast"/>
              <w:jc w:val="left"/>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套</w:t>
            </w:r>
          </w:p>
        </w:tc>
        <w:tc>
          <w:tcPr>
            <w:tcW w:w="1065"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43</w:t>
            </w:r>
          </w:p>
        </w:tc>
        <w:tc>
          <w:tcPr>
            <w:tcW w:w="1450"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桥壳加工一部</w:t>
            </w:r>
          </w:p>
        </w:tc>
        <w:tc>
          <w:tcPr>
            <w:tcW w:w="1200"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交钥匙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jc w:val="center"/>
        </w:trPr>
        <w:tc>
          <w:tcPr>
            <w:tcW w:w="885"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2</w:t>
            </w:r>
          </w:p>
        </w:tc>
        <w:tc>
          <w:tcPr>
            <w:tcW w:w="1429"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hint="eastAsia"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rPr>
              <w:t>柔性吊</w:t>
            </w:r>
          </w:p>
        </w:tc>
        <w:tc>
          <w:tcPr>
            <w:tcW w:w="1543"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500Kg</w:t>
            </w:r>
          </w:p>
        </w:tc>
        <w:tc>
          <w:tcPr>
            <w:tcW w:w="984"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套</w:t>
            </w:r>
          </w:p>
        </w:tc>
        <w:tc>
          <w:tcPr>
            <w:tcW w:w="1065"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2</w:t>
            </w:r>
          </w:p>
        </w:tc>
        <w:tc>
          <w:tcPr>
            <w:tcW w:w="1450"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hint="default" w:ascii="仿宋" w:hAnsi="仿宋" w:eastAsia="仿宋" w:cs="仿宋"/>
                <w:color w:val="auto"/>
                <w:kern w:val="2"/>
                <w:sz w:val="21"/>
                <w:szCs w:val="21"/>
                <w:highlight w:val="none"/>
                <w:lang w:val="en-US" w:eastAsia="zh-CN"/>
              </w:rPr>
            </w:pPr>
            <w:r>
              <w:rPr>
                <w:rFonts w:hint="eastAsia" w:ascii="仿宋" w:hAnsi="仿宋" w:eastAsia="仿宋" w:cs="仿宋"/>
                <w:color w:val="auto"/>
                <w:kern w:val="2"/>
                <w:sz w:val="21"/>
                <w:szCs w:val="21"/>
                <w:highlight w:val="none"/>
                <w:lang w:val="en-US" w:eastAsia="zh-CN"/>
              </w:rPr>
              <w:t>驱动桥部</w:t>
            </w:r>
          </w:p>
        </w:tc>
        <w:tc>
          <w:tcPr>
            <w:tcW w:w="1200" w:type="dxa"/>
            <w:shd w:val="clear" w:color="auto" w:fill="auto"/>
            <w:vAlign w:val="center"/>
          </w:tcPr>
          <w:p>
            <w:pPr>
              <w:pStyle w:val="17"/>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left"/>
              <w:textAlignment w:val="auto"/>
              <w:rPr>
                <w:rFonts w:hint="eastAsia" w:ascii="仿宋" w:hAnsi="仿宋" w:eastAsia="仿宋" w:cs="仿宋"/>
                <w:color w:val="auto"/>
                <w:kern w:val="2"/>
                <w:sz w:val="21"/>
                <w:szCs w:val="21"/>
                <w:highlight w:val="none"/>
              </w:rPr>
            </w:pPr>
            <w:r>
              <w:rPr>
                <w:rFonts w:hint="eastAsia" w:ascii="仿宋" w:hAnsi="仿宋" w:eastAsia="仿宋" w:cs="仿宋"/>
                <w:color w:val="auto"/>
                <w:kern w:val="2"/>
                <w:sz w:val="21"/>
                <w:szCs w:val="21"/>
                <w:highlight w:val="none"/>
              </w:rPr>
              <w:t>交钥匙</w:t>
            </w:r>
          </w:p>
        </w:tc>
      </w:tr>
    </w:tbl>
    <w:p>
      <w:pPr>
        <w:pStyle w:val="17"/>
        <w:snapToGrid w:val="0"/>
        <w:spacing w:line="360" w:lineRule="auto"/>
        <w:ind w:firstLine="420" w:firstLineChars="200"/>
        <w:rPr>
          <w:rFonts w:hint="eastAsia" w:ascii="仿宋" w:hAnsi="仿宋" w:eastAsia="仿宋" w:cs="仿宋"/>
          <w:color w:val="000000" w:themeColor="text1"/>
          <w:sz w:val="21"/>
          <w:szCs w:val="21"/>
          <w14:textFill>
            <w14:solidFill>
              <w14:schemeClr w14:val="tx1"/>
            </w14:solidFill>
          </w14:textFill>
        </w:rPr>
      </w:pPr>
      <w:r>
        <w:rPr>
          <w:rFonts w:hint="eastAsia" w:ascii="仿宋" w:hAnsi="仿宋" w:eastAsia="仿宋" w:cs="仿宋"/>
          <w:color w:val="000000" w:themeColor="text1"/>
          <w:sz w:val="21"/>
          <w:szCs w:val="21"/>
          <w14:textFill>
            <w14:solidFill>
              <w14:schemeClr w14:val="tx1"/>
            </w14:solidFill>
          </w14:textFill>
        </w:rPr>
        <w:t>备注：①本表所列采购货物仅为货物的主要构成部分，应配套供货以及招标方所列其它货物（或设备）和服务，请投标方认真阅读“供货范围”。若有异议，不管是多么微小，都应在投标文件“商务偏离”章节中予以详细说明。②本表“供货方式”指：交钥匙方式——包括制造、运输、定点卸货、安装、调试和验收以及培训等。</w:t>
      </w:r>
    </w:p>
    <w:p>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pPr>
        <w:jc w:val="center"/>
        <w:outlineLvl w:val="0"/>
        <w:rPr>
          <w:rFonts w:ascii="仿宋" w:hAnsi="仿宋" w:eastAsia="仿宋" w:cs="仿宋"/>
          <w:b/>
          <w:bCs/>
          <w:color w:val="000000" w:themeColor="text1"/>
          <w14:textFill>
            <w14:solidFill>
              <w14:schemeClr w14:val="tx1"/>
            </w14:solidFill>
          </w14:textFill>
        </w:rPr>
      </w:pPr>
      <w:bookmarkStart w:id="110" w:name="_Toc22658"/>
      <w:bookmarkStart w:id="111" w:name="_Toc11605"/>
      <w:bookmarkStart w:id="112" w:name="_Toc7805"/>
      <w:bookmarkStart w:id="113" w:name="_Toc4743"/>
      <w:bookmarkStart w:id="114" w:name="_Toc32616"/>
      <w:bookmarkStart w:id="115" w:name="_Toc498"/>
      <w:bookmarkStart w:id="116" w:name="_Toc31734"/>
      <w:bookmarkStart w:id="117" w:name="_Toc16387"/>
      <w:bookmarkStart w:id="118" w:name="_Toc761"/>
      <w:bookmarkStart w:id="119" w:name="_Toc6687"/>
      <w:bookmarkStart w:id="120" w:name="_Toc30487"/>
      <w:bookmarkStart w:id="121" w:name="_Toc10580"/>
      <w:bookmarkStart w:id="122" w:name="_Toc15180"/>
      <w:bookmarkStart w:id="123" w:name="_Toc28168"/>
      <w:bookmarkStart w:id="124" w:name="_Toc10441"/>
      <w:bookmarkStart w:id="125" w:name="_Toc19793"/>
      <w:bookmarkStart w:id="126" w:name="_Toc1621"/>
      <w:bookmarkStart w:id="127" w:name="_Toc133783969"/>
      <w:bookmarkStart w:id="128" w:name="_Toc2018"/>
      <w:bookmarkStart w:id="129" w:name="_Toc20034"/>
      <w:bookmarkStart w:id="130" w:name="_Toc7338"/>
      <w:bookmarkStart w:id="131" w:name="_Toc13878"/>
      <w:bookmarkStart w:id="132" w:name="_Toc26149"/>
      <w:bookmarkStart w:id="133" w:name="_Toc23603"/>
      <w:bookmarkStart w:id="134" w:name="_Toc32524"/>
      <w:bookmarkStart w:id="135" w:name="_Toc73112399"/>
      <w:bookmarkStart w:id="136" w:name="_Toc19015"/>
      <w:bookmarkStart w:id="137" w:name="_Toc7739"/>
      <w:bookmarkStart w:id="138" w:name="_Toc18970"/>
      <w:bookmarkStart w:id="139" w:name="_Toc442"/>
      <w:bookmarkStart w:id="140" w:name="_Toc12377"/>
      <w:bookmarkStart w:id="141" w:name="_Toc8780"/>
      <w:bookmarkStart w:id="142" w:name="_Toc8565"/>
      <w:bookmarkStart w:id="143" w:name="_Toc27638"/>
      <w:bookmarkStart w:id="144" w:name="_Toc2875"/>
      <w:bookmarkStart w:id="145" w:name="_Toc24992"/>
      <w:bookmarkStart w:id="146" w:name="_Toc29174"/>
      <w:bookmarkStart w:id="147" w:name="_Toc18120"/>
      <w:bookmarkStart w:id="148" w:name="_Toc30429"/>
      <w:bookmarkStart w:id="149" w:name="_Toc4488"/>
      <w:bookmarkStart w:id="150" w:name="_Toc7813"/>
      <w:bookmarkStart w:id="151" w:name="_Toc4881"/>
      <w:bookmarkStart w:id="152" w:name="_Toc24597"/>
      <w:bookmarkStart w:id="153" w:name="_Toc26470"/>
      <w:bookmarkStart w:id="154" w:name="_Toc22689"/>
      <w:bookmarkStart w:id="155" w:name="_Toc17465"/>
      <w:r>
        <w:rPr>
          <w:rFonts w:hint="eastAsia" w:ascii="仿宋" w:hAnsi="仿宋" w:eastAsia="仿宋" w:cs="仿宋"/>
          <w:b/>
          <w:bCs/>
          <w:color w:val="000000" w:themeColor="text1"/>
          <w14:textFill>
            <w14:solidFill>
              <w14:schemeClr w14:val="tx1"/>
            </w14:solidFill>
          </w14:textFill>
        </w:rPr>
        <w:t>第二章技术要求</w:t>
      </w:r>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156" w:name="_Toc5714"/>
      <w:bookmarkStart w:id="157" w:name="_Toc27930"/>
      <w:bookmarkStart w:id="158" w:name="_Toc5469"/>
      <w:bookmarkStart w:id="159" w:name="_Toc29489"/>
      <w:bookmarkStart w:id="160" w:name="_Toc6003"/>
      <w:bookmarkStart w:id="161" w:name="_Toc26827"/>
      <w:bookmarkStart w:id="162" w:name="_Toc21559"/>
      <w:bookmarkStart w:id="163" w:name="_Toc28751"/>
      <w:bookmarkStart w:id="164" w:name="_Toc11056"/>
      <w:bookmarkStart w:id="165" w:name="_Toc5110"/>
      <w:bookmarkStart w:id="166" w:name="_Toc23337"/>
      <w:bookmarkStart w:id="167" w:name="_Toc16822"/>
      <w:bookmarkStart w:id="168" w:name="_Toc11621"/>
      <w:bookmarkStart w:id="169" w:name="_Toc39"/>
      <w:bookmarkStart w:id="170" w:name="_Toc5804"/>
      <w:bookmarkStart w:id="171" w:name="_Toc18792"/>
      <w:bookmarkStart w:id="172" w:name="_Toc73112400"/>
      <w:bookmarkStart w:id="173" w:name="_Toc20402"/>
      <w:bookmarkStart w:id="174" w:name="_Toc7141"/>
      <w:bookmarkStart w:id="175" w:name="_Toc25950"/>
      <w:bookmarkStart w:id="176" w:name="_Toc31691"/>
      <w:bookmarkStart w:id="177" w:name="_Toc1968"/>
      <w:bookmarkStart w:id="178" w:name="_Toc380"/>
      <w:bookmarkStart w:id="179" w:name="_Toc13195"/>
      <w:bookmarkStart w:id="180" w:name="_Toc29354"/>
      <w:bookmarkStart w:id="181" w:name="_Toc22422"/>
      <w:bookmarkStart w:id="182" w:name="_Toc31434"/>
      <w:bookmarkStart w:id="183" w:name="_Toc15744"/>
      <w:bookmarkStart w:id="184" w:name="_Toc20792"/>
      <w:bookmarkStart w:id="185" w:name="_Toc31246"/>
      <w:bookmarkStart w:id="186" w:name="_Toc15995"/>
      <w:bookmarkStart w:id="187" w:name="_Toc477"/>
      <w:bookmarkStart w:id="188" w:name="_Toc9134"/>
      <w:bookmarkStart w:id="189" w:name="_Toc1111"/>
      <w:bookmarkStart w:id="190" w:name="_Toc5876"/>
      <w:bookmarkStart w:id="191" w:name="_Toc15747"/>
      <w:bookmarkStart w:id="192" w:name="_Toc23050"/>
      <w:bookmarkStart w:id="193" w:name="_Toc9894"/>
      <w:bookmarkStart w:id="194" w:name="_Toc5450"/>
      <w:bookmarkStart w:id="195" w:name="_Toc2473"/>
      <w:bookmarkStart w:id="196" w:name="_Toc27282"/>
      <w:bookmarkStart w:id="197" w:name="_Toc17019"/>
      <w:bookmarkStart w:id="198" w:name="_Toc4126"/>
      <w:bookmarkStart w:id="199" w:name="_Toc16063"/>
      <w:r>
        <w:rPr>
          <w:rFonts w:hint="eastAsia" w:ascii="仿宋" w:hAnsi="仿宋" w:eastAsia="仿宋" w:cs="仿宋"/>
          <w:b/>
          <w:bCs/>
          <w:color w:val="000000" w:themeColor="text1"/>
          <w14:textFill>
            <w14:solidFill>
              <w14:schemeClr w14:val="tx1"/>
            </w14:solidFill>
          </w14:textFill>
        </w:rPr>
        <w:t>1基本要求</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1.1投标方所供的货物，必须符合中国最新版的法律、法规和相关标准、规范的要求，符合项目所在地政府有关特殊要求。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1.2投标方所供货物涉及的、招标方有权使用的专利权技术以及知识产权保护的其它技术等，应保证招标方不因此受到任何侵权指控以及实际损失。</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1.3投标方应保证所供货物的先进性、可靠性、经济性和实用性，并为全新货物（或设备）。</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 投标方应满足招标方提出的各项技术要求，必要时应当免费提供技术承诺或担保。</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★1.5投标方应保证所供货物为中国公布的非淘汰货物，并为中国指定或规定的主管部门认可的环保型和节能型货物；招标的中标货物不接受试验品（提供证据），还应是原产地的货物。</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1.6投标方保证所供货物的完整性和成套性，能保证货物的正常运行、使用。</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1.7投标方对招标方招标货物所涉及的技术、能力等信息负有保密义务，特殊项目应当无条件签署保密协议。</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投标方应保证所供货物，必须符合《机械制造企业安全生产标准化》各项要求。确保货物在使用管理过程中满足《职业健康安全管理体系》、《环境管理体系》等方面的规范及国家标准要求；必须提供所供货物相应的安全操作规程。</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1.9设备用能设计基本要求：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1.9.1 任何用能设备均应遵循《能源管理体系要求》（GB/T23331-2012）的相关规定，并在《能源管理体系要求》下开展设备的采购、维护、保养、淘汰更换等工作。</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1.9.2 为方便用能设备的计量统计，新增采购设备应在《用能单位能源计量器具配备和管理通则》（GB17167-2006）指导下配备符合相应要求的能源计量器具。</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1.9.3 供方应确保各类机电设备（产品）无《高耗能机电设备（产品）淘汰目录（第一批）》、《高耗能机电设备（产品）淘汰目录（第二 批）》、《高耗能机电设备（产品）淘汰目录（第三批）》所罗列的各类淘汰机电设备（产品）。</w:t>
      </w:r>
    </w:p>
    <w:p>
      <w:pPr>
        <w:widowControl w:val="0"/>
        <w:snapToGrid w:val="0"/>
        <w:spacing w:line="360" w:lineRule="auto"/>
        <w:ind w:firstLine="420" w:firstLineChars="200"/>
        <w:jc w:val="both"/>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xml:space="preserve">1.9.4 </w:t>
      </w:r>
      <w:r>
        <w:rPr>
          <w:rFonts w:hint="eastAsia" w:ascii="仿宋" w:hAnsi="仿宋" w:eastAsia="仿宋" w:cs="仿宋"/>
          <w:kern w:val="0"/>
          <w:sz w:val="24"/>
          <w:szCs w:val="24"/>
          <w:highlight w:val="none"/>
          <w:lang w:val="en-US" w:eastAsia="zh-CN" w:bidi="ar-SA"/>
        </w:rPr>
        <w:t>在各类机电设备（产品）的采购过程中应优先选用符合《节能机电设备（产品）推荐目录（第七批）》的机电设备（产品）。原则上，电机功率≥7.5kW，必须选用一级能效。电机功率&lt;7.5kw，优先选用一级能效;其中对于能源供应类设备及年运行时间≥2000h 工艺设备的电机必须选用一级能效。杜绝选用三级及以下能效。空调必须选用一级能效，变压器最低选用二级能效，对于特殊场景、特殊用途其他设备结合性价比综合考虑、充分论证。</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1.9.5 供方应确保设备的附属各类机电设备、设施（如：电机、风机、电器控制系统、润滑、保温隔热、照明、湿度等等）符合国家现行的相关专项标准要求。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★1.10设备使用仪表和自控设备要求：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1.10.1设备使用仪表通用技术要求: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1.10.1.1投标人及供货商应保证所提供的仪表和自控设备，完全符合或高于本文通用技术要求及相应产品技术规范的要求，并应保证其供应产品在本工程指明的环境条件下能够长期安全、正常地运行。 </w:t>
      </w:r>
    </w:p>
    <w:p>
      <w:pPr>
        <w:widowControl w:val="0"/>
        <w:snapToGrid w:val="0"/>
        <w:spacing w:line="360" w:lineRule="auto"/>
        <w:ind w:firstLine="420" w:firstLineChars="200"/>
        <w:jc w:val="both"/>
        <w:rPr>
          <w:rFonts w:ascii="仿宋" w:hAnsi="仿宋" w:eastAsia="仿宋" w:cs="仿宋"/>
          <w:kern w:val="0"/>
          <w:sz w:val="24"/>
          <w:szCs w:val="24"/>
          <w:highlight w:val="none"/>
          <w:lang w:val="en-US" w:eastAsia="zh-CN" w:bidi="ar-SA"/>
        </w:rPr>
      </w:pPr>
      <w:r>
        <w:rPr>
          <w:rFonts w:hint="eastAsia" w:ascii="仿宋" w:hAnsi="仿宋" w:eastAsia="仿宋" w:cs="仿宋"/>
          <w:color w:val="000000" w:themeColor="text1"/>
          <w14:textFill>
            <w14:solidFill>
              <w14:schemeClr w14:val="tx1"/>
            </w14:solidFill>
          </w14:textFill>
        </w:rPr>
        <w:t>1.10.1.2</w:t>
      </w:r>
      <w:r>
        <w:rPr>
          <w:rFonts w:hint="eastAsia" w:ascii="仿宋" w:hAnsi="仿宋" w:eastAsia="仿宋" w:cs="仿宋"/>
          <w:kern w:val="0"/>
          <w:sz w:val="24"/>
          <w:szCs w:val="24"/>
          <w:highlight w:val="none"/>
          <w:lang w:val="en-US" w:eastAsia="zh-CN" w:bidi="ar-SA"/>
        </w:rPr>
        <w:t>投标人及供货商所提供的产品，应符合中华人民共和国国家质量监督检验检疫总局发布的《强制性产品认证管理规定》(AQSIQ)的要求，请投标人及供货商确认其投标产品是否包括在《中华人民共和国实施强制性产品认证的产品目录》内，包括在目录中的产品应取得被授权的认证机构颁发的“中国国家强制性产品认证证书”(CCC)。无论任何原因造成的不良后果均由投标人及供货商负责。</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1.10.1.3</w:t>
      </w:r>
      <w:r>
        <w:rPr>
          <w:rFonts w:hint="eastAsia" w:ascii="仿宋" w:hAnsi="仿宋" w:eastAsia="仿宋" w:cs="仿宋"/>
          <w:kern w:val="0"/>
          <w:sz w:val="24"/>
          <w:szCs w:val="24"/>
          <w:highlight w:val="none"/>
          <w:lang w:val="en-US" w:eastAsia="zh-CN" w:bidi="ar-SA"/>
        </w:rPr>
        <w:t>仪表、自控设备以及其附件所需电源，应符合产品技术规范提出的配电要求。在运输和储存期间，仪表和自控设备外壳上，凡用于连接的所有接口及孔、洞、附件应用堵头进行保护，并应清楚地标明其用途, 并注明“能源、计量”使用状态。 国家规定属于强制检定的仪表、自控设备应符合铅封等强制要求标准。</w:t>
      </w:r>
      <w:r>
        <w:rPr>
          <w:rFonts w:hint="eastAsia" w:ascii="仿宋" w:hAnsi="仿宋" w:eastAsia="仿宋" w:cs="仿宋"/>
          <w:color w:val="000000" w:themeColor="text1"/>
          <w14:textFill>
            <w14:solidFill>
              <w14:schemeClr w14:val="tx1"/>
            </w14:solidFill>
          </w14:textFill>
        </w:rPr>
        <w:t> </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1.10.2准确度要求: </w:t>
      </w:r>
    </w:p>
    <w:p>
      <w:pPr>
        <w:widowControl w:val="0"/>
        <w:snapToGrid w:val="0"/>
        <w:spacing w:line="360" w:lineRule="auto"/>
        <w:ind w:firstLine="420" w:firstLineChars="200"/>
        <w:jc w:val="both"/>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1.10.2.1</w:t>
      </w:r>
      <w:r>
        <w:rPr>
          <w:rFonts w:hint="eastAsia" w:ascii="仿宋" w:hAnsi="仿宋" w:eastAsia="仿宋" w:cs="仿宋"/>
          <w:kern w:val="0"/>
          <w:sz w:val="24"/>
          <w:szCs w:val="24"/>
          <w:highlight w:val="none"/>
          <w:lang w:val="en-US" w:eastAsia="zh-CN" w:bidi="ar-SA"/>
        </w:rPr>
        <w:t>投标人及供货商所提供的仪表和自控设备应在测量原理上符合相应产品的专用技术规格书中的要求，应保证出厂产品的实际准确度等于或优于提供的技术资料中的标称准确度。货物所使用计量用仪器、仪表和自控设备，该产品应附有具备CNAS、CAL、CMA（国际或国家）计量认证资质的市级以上国家法定计量检定机构出具的校准证书、检定证书。</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1.10.2.2仪表和自控设备的准确度应不受周围环境和安装位置的影响，任何生产过程中存在的正常振动，不应造成测量准确度的变化。仪表和自控设备的零点和重复性应非常稳定，并符合各专用技术规格书中的有关技术要求。 </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   1.10.3材质要求: </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投标人及供货商应保证所提供的仪表和自控设备在材料的使用方面无任何设计问题，能够满足或高于实际操作和使用过程中的要求，如压力、温度、粘度、组份等的要求。应保证所有零部件的材质必须符合环境条件如湿度、温度以及防爆的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★1.11投标方所供设备应按“交钥匙工程”要求。</w:t>
      </w:r>
    </w:p>
    <w:p>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00" w:name="_Toc18994"/>
      <w:bookmarkStart w:id="201" w:name="_Toc6699"/>
      <w:bookmarkStart w:id="202" w:name="_Toc718"/>
      <w:bookmarkStart w:id="203" w:name="_Hlk69924518"/>
      <w:r>
        <w:rPr>
          <w:rFonts w:hint="eastAsia" w:ascii="仿宋" w:hAnsi="仿宋" w:eastAsia="仿宋" w:cs="仿宋"/>
          <w:b/>
          <w:bCs/>
          <w:color w:val="000000" w:themeColor="text1"/>
          <w14:textFill>
            <w14:solidFill>
              <w14:schemeClr w14:val="tx1"/>
            </w14:solidFill>
          </w14:textFill>
        </w:rPr>
        <w:t>2 执行标准</w:t>
      </w:r>
      <w:bookmarkEnd w:id="200"/>
      <w:bookmarkEnd w:id="201"/>
      <w:bookmarkEnd w:id="202"/>
    </w:p>
    <w:bookmarkEnd w:id="203"/>
    <w:p>
      <w:pPr>
        <w:spacing w:line="480" w:lineRule="exact"/>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2.1 招标方此处所列标准仅为涉及的主要标准，而且不保证其为最新版执行标准；投标方应当在投标文件中予以补充和完善。</w:t>
      </w:r>
    </w:p>
    <w:p>
      <w:pPr>
        <w:spacing w:line="480" w:lineRule="exact"/>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2.2 投标方需要执行的标准，应当以所供设备通过招标方将来组织的最终验收之日后需要执行的标准。</w:t>
      </w:r>
    </w:p>
    <w:p>
      <w:pPr>
        <w:spacing w:line="480" w:lineRule="exact"/>
        <w:ind w:firstLine="420" w:firstLineChars="200"/>
        <w:rPr>
          <w:rFonts w:hint="eastAsia" w:ascii="仿宋" w:hAnsi="仿宋" w:eastAsia="仿宋" w:cs="仿宋"/>
          <w:color w:val="000000" w:themeColor="text1"/>
          <w:lang w:bidi="ar"/>
          <w14:textFill>
            <w14:solidFill>
              <w14:schemeClr w14:val="tx1"/>
            </w14:solidFill>
          </w14:textFill>
        </w:rPr>
      </w:pPr>
      <w:r>
        <w:rPr>
          <w:rFonts w:hint="eastAsia" w:ascii="仿宋" w:hAnsi="仿宋" w:eastAsia="仿宋" w:cs="仿宋"/>
          <w:color w:val="000000" w:themeColor="text1"/>
          <w:lang w:bidi="ar"/>
          <w14:textFill>
            <w14:solidFill>
              <w14:schemeClr w14:val="tx1"/>
            </w14:solidFill>
          </w14:textFill>
        </w:rPr>
        <w:t>2.3 涉及的主要标准表（包含但不限于）</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8"/>
        <w:gridCol w:w="4984"/>
        <w:gridCol w:w="2116"/>
        <w:gridCol w:w="6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序号</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标准名称</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标准编号</w:t>
            </w:r>
          </w:p>
        </w:tc>
        <w:tc>
          <w:tcPr>
            <w:tcW w:w="67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r>
              <w:rPr>
                <w:rFonts w:hint="eastAsia" w:ascii="仿宋" w:hAnsi="仿宋" w:eastAsia="仿宋" w:cs="仿宋"/>
                <w:sz w:val="21"/>
                <w:szCs w:val="21"/>
                <w:highlight w:val="none"/>
                <w:lang w:bidi="ar"/>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电工成套装置中的导线颜色</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GB/T2681-81</w:t>
            </w:r>
          </w:p>
        </w:tc>
        <w:tc>
          <w:tcPr>
            <w:tcW w:w="670" w:type="dxa"/>
            <w:vMerge w:val="restart"/>
            <w:tcBorders>
              <w:top w:val="single" w:color="auto" w:sz="4" w:space="0"/>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color w:val="FF0000"/>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电工成套装置中的指示灯和按钮的颜色</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GB/T2682-81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电能质量公用电网谐波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GB/T14549-93</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防止上下肢触及危险区的安全距离</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GB/T23821-2022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双手操纵装置 设计和选择原则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GB/T19671-2022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安全防护的实施准则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GB/T30574-2021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接近机械的固定设施 </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17888-2020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《工业企业设计卫生标准》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 1-2002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《工业企业噪声控制设计规范》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GB/T50087-2013</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《工业企业噪声测量规范》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GBJ122-88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GBZ/T189.1-2007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高耗能落后机电设备（产品）淘汰目录（第二批）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高耗能落后机电设备（产品）淘汰目录（第三批）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高耗能落后机电设备（产品）淘汰目录（第一批）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高耗能落后机电设备（产品）淘汰目录（第四批）</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节能机电设备（产品）推荐目录</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工业和信息化部</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用能单位能源计量器具配备和管理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GB17167-2006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《工作场所物理因素测量》第8部分噪声</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GBZ/T189.8-2007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19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钢结构防火涂料通用技术条件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GB/T14907-94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建筑机械与设备涂装通用技术条件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GB/T5011.12-92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机械安全 接近机械的固定设施</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17888-2020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环链电动葫芦技术条件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JB/T5317.2-1991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柔性组合式悬挂起重机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 10381-2002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起重机械超载保护装置安全技术规范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GB12602-90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起重机试验规范和程序</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5905-2011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GB/T3811-2008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起重机安全规程第1部分总则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GB/T6067.1-2010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起重机安全规程第5部分桥式和门式起重机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GB/T6067.5-2014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29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通用桥式起重机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GB/T14405-2011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机械电气安全机械电气设备第32部分；起重机械技术条件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GB/T5223.32-2017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起重机司机室第1部分总则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GB/T20303.1-2016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起重机司机室第5部分桥式和门式起重机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GB/T20303.5-2006</w:t>
            </w:r>
          </w:p>
        </w:tc>
        <w:tc>
          <w:tcPr>
            <w:tcW w:w="670" w:type="dxa"/>
            <w:vMerge w:val="restart"/>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起重机载荷与载荷组合的设计原则 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22437.1-2018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起重吊具分类</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35975-2018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起重机和动芦绳、和滑轮的选择</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GB/T34029-2017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起重机用钢丝绳</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GM/T3418-2017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起重机钢丝绳保养、维护、检验和报废</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5972-2016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起重机检查第1部分；总则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GB/T23723.1-2016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39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 第7部分；杆起重机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20303.1-2016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起重机械检查与维护规程第10部分；轻小型起重设备</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20303.1-2016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起重机械检查与维护规程第1部分；总则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GB/T31052.10-2016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工作和非工作状态下的锚定装置第1部分；总则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31052.1-2014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起重机械用电力驱动起升机构能效测试方法</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31051.1-2014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起重机械用电动机能效测试方法第3部分；锥形转子三相异步电动机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29562.3-2013</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通道及安全防护设施第1部分；总则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24818.1-2009</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通道及安全防护设施第5部分；桥式和门式起重机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24818.5-2009</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载荷与载荷组合的设计原则第5部分；桥式和门式起重机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GB/T22437.5-2008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分级第5部分；桥式和门式起重机</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20863.5-2007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49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桥式和门式起重机 制造及轨道安装公差</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10183-2005</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备件手册</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18875-2002</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 维护手册第1部分；总则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18453-2001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起重机和起重机械 技术性能和验收文件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17908-1999</w:t>
            </w:r>
          </w:p>
        </w:tc>
        <w:tc>
          <w:tcPr>
            <w:tcW w:w="670" w:type="dxa"/>
            <w:vMerge w:val="restart"/>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电动桥式起重机跨度和起升高度系列</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 790-1995</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电气设备安全设计导则</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GB/T25295-2010</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center"/>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val="en-US" w:eastAsia="zh-CN" w:bidi="ar"/>
                <w14:textFill>
                  <w14:solidFill>
                    <w14:schemeClr w14:val="tx1"/>
                  </w14:solidFill>
                </w14:textFill>
              </w:rPr>
              <w:t>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bidi="ar"/>
                <w14:textFill>
                  <w14:solidFill>
                    <w14:schemeClr w14:val="tx1"/>
                  </w14:solidFill>
                </w14:textFill>
              </w:rPr>
              <w:t>《起重机安全起重吊具》</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trike/>
                <w:dstrike w:val="0"/>
                <w:sz w:val="21"/>
                <w:szCs w:val="21"/>
                <w:highlight w:val="none"/>
                <w:lang w:bidi="ar"/>
              </w:rPr>
            </w:pPr>
            <w:r>
              <w:rPr>
                <w:rFonts w:hint="eastAsia" w:ascii="仿宋" w:hAnsi="仿宋" w:eastAsia="仿宋" w:cs="仿宋"/>
                <w:color w:val="000000" w:themeColor="text1"/>
                <w:sz w:val="21"/>
                <w:szCs w:val="21"/>
                <w:highlight w:val="none"/>
                <w:lang w:bidi="ar"/>
                <w14:textFill>
                  <w14:solidFill>
                    <w14:schemeClr w14:val="tx1"/>
                  </w14:solidFill>
                </w14:textFill>
              </w:rPr>
              <w:t>GB/T 41098-2021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起重机械安全监控管理系统</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GB/T28264-2017</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气焊、手工焊及气保焊焊缝坡口基本形式与尺寸</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GB986-1998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旋转电机整体结构的防护等级</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GB/T4942.1-2006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59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供配电系统设计规范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GB50052-2016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低压配电设计规范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GB50054-2011</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优质碳素结构钢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GB699-88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碳素结构钢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GB700-88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起重机车轮</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JB/T6392-2008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64</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重要用途钢丝绳</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GB8918-2006</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65</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低合金结构钢</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GB1348-88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66</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一般工程用铸造碳钢件</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GB11352-89</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67</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起重机用三合一减速器检验标准与规范(3)</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J8/T9003-2004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trike w:val="0"/>
                <w:dstrike w:val="0"/>
                <w:sz w:val="21"/>
                <w:szCs w:val="21"/>
                <w:highlight w:val="none"/>
                <w:lang w:bidi="ar"/>
              </w:rPr>
              <w:t>68</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钢熔化焊对接头射线照相和质量分级</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GB/T3323-2005</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69</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焊缝无损检测技术、检测等级和评定</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GB11345-2013</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70</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涂覆涂料前钢材表面处理</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GB/T8923.2-2008</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71</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起重设备安装工程施工及验收规范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GB50278-2010</w:t>
            </w:r>
          </w:p>
        </w:tc>
        <w:tc>
          <w:tcPr>
            <w:tcW w:w="670" w:type="dxa"/>
            <w:vMerge w:val="restart"/>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72</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电气装置安装工程起重机电气装置施工及验收规范</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GB50256-2014</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5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atLeast"/>
              <w:jc w:val="center"/>
              <w:textAlignment w:val="bottom"/>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73</w:t>
            </w:r>
          </w:p>
        </w:tc>
        <w:tc>
          <w:tcPr>
            <w:tcW w:w="498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吊车轨道联结及车挡</w:t>
            </w:r>
          </w:p>
        </w:tc>
        <w:tc>
          <w:tcPr>
            <w:tcW w:w="211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lang w:bidi="ar"/>
              </w:rPr>
            </w:pPr>
            <w:r>
              <w:rPr>
                <w:rFonts w:hint="eastAsia" w:ascii="仿宋" w:hAnsi="仿宋" w:eastAsia="仿宋" w:cs="仿宋"/>
                <w:sz w:val="21"/>
                <w:szCs w:val="21"/>
                <w:highlight w:val="none"/>
                <w:lang w:bidi="ar"/>
              </w:rPr>
              <w:t>05G525</w:t>
            </w:r>
          </w:p>
        </w:tc>
        <w:tc>
          <w:tcPr>
            <w:tcW w:w="670" w:type="dxa"/>
            <w:vMerge w:val="continue"/>
            <w:tcBorders>
              <w:left w:val="single" w:color="auto" w:sz="4" w:space="0"/>
              <w:right w:val="single" w:color="auto"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atLeast"/>
              <w:jc w:val="both"/>
              <w:rPr>
                <w:rFonts w:hint="eastAsia" w:ascii="仿宋" w:hAnsi="仿宋" w:eastAsia="仿宋" w:cs="仿宋"/>
                <w:sz w:val="21"/>
                <w:szCs w:val="21"/>
                <w:highlight w:val="none"/>
              </w:rPr>
            </w:pPr>
          </w:p>
        </w:tc>
      </w:tr>
    </w:tbl>
    <w:p>
      <w:pPr>
        <w:spacing w:line="360" w:lineRule="exact"/>
        <w:rPr>
          <w:rFonts w:ascii="仿宋" w:hAnsi="仿宋" w:eastAsia="仿宋" w:cs="仿宋"/>
          <w:color w:val="000000" w:themeColor="text1"/>
          <w:sz w:val="21"/>
          <w14:textFill>
            <w14:solidFill>
              <w14:schemeClr w14:val="tx1"/>
            </w14:solidFill>
          </w14:textFill>
        </w:rPr>
      </w:pPr>
      <w:r>
        <w:rPr>
          <w:rFonts w:hint="eastAsia" w:ascii="仿宋" w:hAnsi="仿宋" w:eastAsia="仿宋" w:cs="仿宋"/>
          <w:color w:val="000000" w:themeColor="text1"/>
          <w:sz w:val="21"/>
          <w:lang w:bidi="ar"/>
          <w14:textFill>
            <w14:solidFill>
              <w14:schemeClr w14:val="tx1"/>
            </w14:solidFill>
          </w14:textFill>
        </w:rPr>
        <w:t>备注：1、如果有采用国际标准的货物，其执行标准由投标方提供、招标方确认。</w:t>
      </w:r>
    </w:p>
    <w:p>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04" w:name="_Toc73112401"/>
      <w:bookmarkStart w:id="205" w:name="_Toc14059"/>
      <w:bookmarkStart w:id="206" w:name="_Toc5212"/>
      <w:bookmarkStart w:id="207" w:name="_Toc12179"/>
      <w:bookmarkStart w:id="208" w:name="_Toc26406"/>
      <w:bookmarkStart w:id="209" w:name="_Toc20016"/>
      <w:bookmarkStart w:id="210" w:name="_Toc22289"/>
      <w:bookmarkStart w:id="211" w:name="_Toc6412"/>
      <w:bookmarkStart w:id="212" w:name="_Toc17980"/>
      <w:bookmarkStart w:id="213" w:name="_Toc30383"/>
      <w:bookmarkStart w:id="214" w:name="_Toc6030"/>
      <w:bookmarkStart w:id="215" w:name="_Toc5402"/>
      <w:bookmarkStart w:id="216" w:name="_Toc20964"/>
      <w:bookmarkStart w:id="217" w:name="_Toc8461"/>
      <w:bookmarkStart w:id="218" w:name="_Toc7623"/>
      <w:bookmarkStart w:id="219" w:name="_Toc1883"/>
      <w:bookmarkStart w:id="220" w:name="_Toc3292"/>
      <w:bookmarkStart w:id="221" w:name="_Toc13423"/>
      <w:bookmarkStart w:id="222" w:name="_Toc16137"/>
      <w:bookmarkStart w:id="223" w:name="_Toc19476"/>
      <w:bookmarkStart w:id="224" w:name="_Toc32758"/>
      <w:bookmarkStart w:id="225" w:name="_Toc21638"/>
      <w:bookmarkStart w:id="226" w:name="_Toc4217"/>
      <w:bookmarkStart w:id="227" w:name="_Toc29779"/>
      <w:bookmarkStart w:id="228" w:name="_Toc13103"/>
      <w:bookmarkStart w:id="229" w:name="_Toc17231"/>
      <w:bookmarkStart w:id="230" w:name="_Toc26387"/>
      <w:bookmarkStart w:id="231" w:name="_Toc19250"/>
      <w:bookmarkStart w:id="232" w:name="_Toc4470"/>
      <w:bookmarkStart w:id="233" w:name="_Toc1411"/>
      <w:bookmarkStart w:id="234" w:name="_Toc29247"/>
      <w:bookmarkStart w:id="235" w:name="_Toc31630"/>
      <w:bookmarkStart w:id="236" w:name="_Toc12125"/>
      <w:bookmarkStart w:id="237" w:name="_Toc7648"/>
      <w:bookmarkStart w:id="238" w:name="_Toc11599"/>
      <w:bookmarkStart w:id="239" w:name="_Toc7895"/>
      <w:bookmarkStart w:id="240" w:name="_Toc5441"/>
      <w:bookmarkStart w:id="241" w:name="_Toc1676"/>
      <w:bookmarkStart w:id="242" w:name="_Toc27027"/>
      <w:bookmarkStart w:id="243" w:name="_Toc23967"/>
      <w:bookmarkStart w:id="244" w:name="_Toc27157"/>
      <w:bookmarkStart w:id="245" w:name="_Toc32006"/>
      <w:bookmarkStart w:id="246" w:name="_Toc7786"/>
      <w:bookmarkStart w:id="247" w:name="_Toc19638"/>
      <w:r>
        <w:rPr>
          <w:rFonts w:hint="eastAsia" w:ascii="仿宋" w:hAnsi="仿宋" w:eastAsia="仿宋" w:cs="仿宋"/>
          <w:b/>
          <w:bCs/>
          <w:color w:val="000000" w:themeColor="text1"/>
          <w14:textFill>
            <w14:solidFill>
              <w14:schemeClr w14:val="tx1"/>
            </w14:solidFill>
          </w14:textFill>
        </w:rPr>
        <w:t>3技术规范</w:t>
      </w:r>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在基本要求和执行标准基础上，本技术标书对所采购的货物的技术及使用等方面作出如下要求：</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3.1功能用途：</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3.1.1</w:t>
      </w:r>
      <w:r>
        <w:rPr>
          <w:rFonts w:hint="eastAsia" w:ascii="仿宋" w:hAnsi="仿宋" w:eastAsia="仿宋" w:cs="仿宋"/>
          <w:color w:val="000000" w:themeColor="text1"/>
          <w14:textFill>
            <w14:solidFill>
              <w14:schemeClr w14:val="tx1"/>
            </w14:solidFill>
          </w14:textFill>
        </w:rPr>
        <w:t>铸铁二线、铸铁三线及曼一线柔性吊</w:t>
      </w:r>
      <w:r>
        <w:rPr>
          <w:rFonts w:hint="eastAsia" w:ascii="仿宋" w:hAnsi="仿宋" w:eastAsia="仿宋" w:cs="仿宋"/>
          <w:color w:val="000000" w:themeColor="text1"/>
          <w:lang w:eastAsia="zh-CN"/>
          <w14:textFill>
            <w14:solidFill>
              <w14:schemeClr w14:val="tx1"/>
            </w14:solidFill>
          </w14:textFill>
        </w:rPr>
        <w:t>纵轨</w:t>
      </w:r>
      <w:r>
        <w:rPr>
          <w:rFonts w:hint="eastAsia" w:ascii="仿宋" w:hAnsi="仿宋" w:eastAsia="仿宋" w:cs="仿宋"/>
          <w:color w:val="000000" w:themeColor="text1"/>
          <w14:textFill>
            <w14:solidFill>
              <w14:schemeClr w14:val="tx1"/>
            </w14:solidFill>
          </w14:textFill>
        </w:rPr>
        <w:t>南北方向排列，横</w:t>
      </w:r>
      <w:r>
        <w:rPr>
          <w:rFonts w:hint="eastAsia" w:ascii="仿宋" w:hAnsi="仿宋" w:eastAsia="仿宋" w:cs="仿宋"/>
          <w:color w:val="000000" w:themeColor="text1"/>
          <w:lang w:val="en-US" w:eastAsia="zh-CN"/>
          <w14:textFill>
            <w14:solidFill>
              <w14:schemeClr w14:val="tx1"/>
            </w14:solidFill>
          </w14:textFill>
        </w:rPr>
        <w:t>轨</w:t>
      </w:r>
      <w:r>
        <w:rPr>
          <w:rFonts w:hint="eastAsia" w:ascii="仿宋" w:hAnsi="仿宋" w:eastAsia="仿宋" w:cs="仿宋"/>
          <w:color w:val="000000" w:themeColor="text1"/>
          <w14:textFill>
            <w14:solidFill>
              <w14:schemeClr w14:val="tx1"/>
            </w14:solidFill>
          </w14:textFill>
        </w:rPr>
        <w:t>东西方向排列。压装线及清洗线柔性吊</w:t>
      </w:r>
      <w:r>
        <w:rPr>
          <w:rFonts w:hint="eastAsia" w:ascii="仿宋" w:hAnsi="仿宋" w:eastAsia="仿宋" w:cs="仿宋"/>
          <w:color w:val="000000" w:themeColor="text1"/>
          <w:lang w:eastAsia="zh-CN"/>
          <w14:textFill>
            <w14:solidFill>
              <w14:schemeClr w14:val="tx1"/>
            </w14:solidFill>
          </w14:textFill>
        </w:rPr>
        <w:t>纵轨</w:t>
      </w:r>
      <w:r>
        <w:rPr>
          <w:rFonts w:hint="eastAsia" w:ascii="仿宋" w:hAnsi="仿宋" w:eastAsia="仿宋" w:cs="仿宋"/>
          <w:color w:val="000000" w:themeColor="text1"/>
          <w14:textFill>
            <w14:solidFill>
              <w14:schemeClr w14:val="tx1"/>
            </w14:solidFill>
          </w14:textFill>
        </w:rPr>
        <w:t>东西方向排列，横梁南北方向排列。用于各种桥壳的吊运；</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p>
    <w:p>
      <w:pPr>
        <w:pStyle w:val="17"/>
        <w:snapToGrid w:val="0"/>
        <w:spacing w:line="360" w:lineRule="auto"/>
        <w:ind w:firstLine="480" w:firstLineChars="200"/>
        <w:jc w:val="center"/>
      </w:pPr>
      <w:r>
        <w:drawing>
          <wp:inline distT="0" distB="0" distL="114300" distR="114300">
            <wp:extent cx="4202430" cy="5477510"/>
            <wp:effectExtent l="0" t="0" r="7620" b="8890"/>
            <wp:docPr id="3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
                    <pic:cNvPicPr>
                      <a:picLocks noChangeAspect="1"/>
                    </pic:cNvPicPr>
                  </pic:nvPicPr>
                  <pic:blipFill>
                    <a:blip r:embed="rId24"/>
                    <a:stretch>
                      <a:fillRect/>
                    </a:stretch>
                  </pic:blipFill>
                  <pic:spPr>
                    <a:xfrm>
                      <a:off x="0" y="0"/>
                      <a:ext cx="4202430" cy="5477510"/>
                    </a:xfrm>
                    <a:prstGeom prst="rect">
                      <a:avLst/>
                    </a:prstGeom>
                    <a:noFill/>
                    <a:ln>
                      <a:noFill/>
                    </a:ln>
                  </pic:spPr>
                </pic:pic>
              </a:graphicData>
            </a:graphic>
          </wp:inline>
        </w:drawing>
      </w:r>
    </w:p>
    <w:p>
      <w:pPr>
        <w:pStyle w:val="17"/>
        <w:snapToGrid w:val="0"/>
        <w:spacing w:line="360" w:lineRule="auto"/>
        <w:ind w:firstLine="480" w:firstLineChars="200"/>
        <w:rPr>
          <w:rFonts w:hint="eastAsia"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lang w:val="en-US" w:eastAsia="zh-CN"/>
          <w14:textFill>
            <w14:solidFill>
              <w14:schemeClr w14:val="tx1"/>
            </w14:solidFill>
          </w14:textFill>
        </w:rPr>
        <w:t>3.1.2在驱动桥装配三线：双级桥主减装配工位加装2套柔性吊。</w:t>
      </w:r>
    </w:p>
    <w:p>
      <w:pPr>
        <w:pStyle w:val="116"/>
        <w:spacing w:line="360" w:lineRule="auto"/>
        <w:ind w:left="0" w:leftChars="0" w:firstLine="0" w:firstLineChars="0"/>
      </w:pPr>
      <w:r>
        <w:drawing>
          <wp:inline distT="0" distB="0" distL="114300" distR="114300">
            <wp:extent cx="5262245" cy="1212215"/>
            <wp:effectExtent l="0" t="0" r="14605" b="698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25"/>
                    <a:stretch>
                      <a:fillRect/>
                    </a:stretch>
                  </pic:blipFill>
                  <pic:spPr>
                    <a:xfrm>
                      <a:off x="0" y="0"/>
                      <a:ext cx="5262245" cy="1212215"/>
                    </a:xfrm>
                    <a:prstGeom prst="rect">
                      <a:avLst/>
                    </a:prstGeom>
                    <a:noFill/>
                    <a:ln>
                      <a:noFill/>
                    </a:ln>
                  </pic:spPr>
                </pic:pic>
              </a:graphicData>
            </a:graphic>
          </wp:inline>
        </w:drawing>
      </w:r>
    </w:p>
    <w:p>
      <w:pPr>
        <w:pStyle w:val="17"/>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3.1.2建设方案要求</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1）</w:t>
      </w:r>
      <w:r>
        <w:rPr>
          <w:rFonts w:hint="eastAsia" w:ascii="仿宋" w:hAnsi="仿宋" w:eastAsia="仿宋" w:cs="仿宋"/>
          <w:color w:val="000000" w:themeColor="text1"/>
          <w14:textFill>
            <w14:solidFill>
              <w14:schemeClr w14:val="tx1"/>
            </w14:solidFill>
          </w14:textFill>
        </w:rPr>
        <w:t>曼一线：对整线柔性吊纵轨、滑线进行更换，横轨长度8米，起升高度不低于3.8米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两根，每根106米</w:t>
      </w:r>
      <w:r>
        <w:rPr>
          <w:rFonts w:hint="eastAsia" w:ascii="仿宋" w:hAnsi="仿宋" w:eastAsia="仿宋" w:cs="仿宋"/>
          <w:color w:val="000000" w:themeColor="text1"/>
          <w14:textFill>
            <w14:solidFill>
              <w14:schemeClr w14:val="tx1"/>
            </w14:solidFill>
          </w14:textFill>
        </w:rPr>
        <w:t>，安装在现有钢结构上，跨度7米；更换现场7挂250kg柔性吊（含横轨），对剩余12挂柔性吊改造相应集电器及支架。</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2）</w:t>
      </w:r>
      <w:r>
        <w:rPr>
          <w:rFonts w:hint="eastAsia" w:ascii="仿宋" w:hAnsi="仿宋" w:eastAsia="仿宋" w:cs="仿宋"/>
          <w:color w:val="000000" w:themeColor="text1"/>
          <w14:textFill>
            <w14:solidFill>
              <w14:schemeClr w14:val="tx1"/>
            </w14:solidFill>
          </w14:textFill>
        </w:rPr>
        <w:t>铸铁二线：对整线柔性吊纵轨、滑线进行更换，横轨长度8米，起升高度不低于3.8米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两根，每根90米</w:t>
      </w:r>
      <w:r>
        <w:rPr>
          <w:rFonts w:hint="eastAsia" w:ascii="仿宋" w:hAnsi="仿宋" w:eastAsia="仿宋" w:cs="仿宋"/>
          <w:color w:val="000000" w:themeColor="text1"/>
          <w14:textFill>
            <w14:solidFill>
              <w14:schemeClr w14:val="tx1"/>
            </w14:solidFill>
          </w14:textFill>
        </w:rPr>
        <w:t>，安装在现有钢结构上，跨度7米；更换现场11挂250kg柔性吊（含横轨），对剩余1挂柔性吊改造相应集电器及支架。</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w:t>
      </w:r>
      <w:r>
        <w:rPr>
          <w:rFonts w:hint="eastAsia" w:ascii="仿宋" w:hAnsi="仿宋" w:eastAsia="仿宋" w:cs="仿宋"/>
          <w:color w:val="000000" w:themeColor="text1"/>
          <w14:textFill>
            <w14:solidFill>
              <w14:schemeClr w14:val="tx1"/>
            </w14:solidFill>
          </w14:textFill>
        </w:rPr>
        <w:t>铸铁三线：对整线柔性吊纵轨、滑线进行更换，横轨长度8米，起升高度不低于3.8米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两根，每根80米</w:t>
      </w:r>
      <w:r>
        <w:rPr>
          <w:rFonts w:hint="eastAsia" w:ascii="仿宋" w:hAnsi="仿宋" w:eastAsia="仿宋" w:cs="仿宋"/>
          <w:color w:val="000000" w:themeColor="text1"/>
          <w14:textFill>
            <w14:solidFill>
              <w14:schemeClr w14:val="tx1"/>
            </w14:solidFill>
          </w14:textFill>
        </w:rPr>
        <w:t>，安装在现有钢结构上，跨度7米；更换现场10挂250kg柔性吊，对剩余2挂柔性吊改造相应集电器及支架。</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4）</w:t>
      </w:r>
      <w:r>
        <w:rPr>
          <w:rFonts w:hint="eastAsia" w:ascii="仿宋" w:hAnsi="仿宋" w:eastAsia="仿宋" w:cs="仿宋"/>
          <w:color w:val="000000" w:themeColor="text1"/>
          <w14:textFill>
            <w14:solidFill>
              <w14:schemeClr w14:val="tx1"/>
            </w14:solidFill>
          </w14:textFill>
        </w:rPr>
        <w:t>压装线：对整线柔性吊纵轨、滑线进行更换，横轨长度9米，起升高度不低于3.8米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两根，每根18米</w:t>
      </w:r>
      <w:r>
        <w:rPr>
          <w:rFonts w:hint="eastAsia" w:ascii="仿宋" w:hAnsi="仿宋" w:eastAsia="仿宋" w:cs="仿宋"/>
          <w:color w:val="000000" w:themeColor="text1"/>
          <w14:textFill>
            <w14:solidFill>
              <w14:schemeClr w14:val="tx1"/>
            </w14:solidFill>
          </w14:textFill>
        </w:rPr>
        <w:t>，安装在现有钢结构上，跨度8米；更换现场5挂250kg柔性吊（含横轨），对剩余5挂柔性吊改造相应集电器及支架。</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5）</w:t>
      </w:r>
      <w:r>
        <w:rPr>
          <w:rFonts w:hint="eastAsia" w:ascii="仿宋" w:hAnsi="仿宋" w:eastAsia="仿宋" w:cs="仿宋"/>
          <w:color w:val="000000" w:themeColor="text1"/>
          <w14:textFill>
            <w14:solidFill>
              <w14:schemeClr w14:val="tx1"/>
            </w14:solidFill>
          </w14:textFill>
        </w:rPr>
        <w:t>清洗线：对整线柔性吊纵轨、滑线进行更换，横轨长度8.5米，起升高度不低于3.8米</w:t>
      </w:r>
      <w:r>
        <w:rPr>
          <w:rFonts w:hint="eastAsia" w:ascii="仿宋" w:hAnsi="仿宋" w:eastAsia="仿宋" w:cs="仿宋"/>
          <w:color w:val="000000" w:themeColor="text1"/>
          <w:lang w:eastAsia="zh-CN"/>
          <w14:textFill>
            <w14:solidFill>
              <w14:schemeClr w14:val="tx1"/>
            </w14:solidFill>
          </w14:textFill>
        </w:rPr>
        <w:t>；</w:t>
      </w:r>
      <w:r>
        <w:rPr>
          <w:rFonts w:hint="eastAsia" w:ascii="仿宋" w:hAnsi="仿宋" w:eastAsia="仿宋" w:cs="仿宋"/>
          <w:color w:val="000000" w:themeColor="text1"/>
          <w14:textFill>
            <w14:solidFill>
              <w14:schemeClr w14:val="tx1"/>
            </w14:solidFill>
          </w14:textFill>
        </w:rPr>
        <w:t>纵轨</w:t>
      </w:r>
      <w:r>
        <w:rPr>
          <w:rFonts w:hint="eastAsia" w:ascii="仿宋" w:hAnsi="仿宋" w:eastAsia="仿宋" w:cs="仿宋"/>
          <w:color w:val="000000" w:themeColor="text1"/>
          <w:lang w:val="en-US" w:eastAsia="zh-CN"/>
          <w14:textFill>
            <w14:solidFill>
              <w14:schemeClr w14:val="tx1"/>
            </w14:solidFill>
          </w14:textFill>
        </w:rPr>
        <w:t>两根，每根24.5米</w:t>
      </w:r>
      <w:r>
        <w:rPr>
          <w:rFonts w:hint="eastAsia" w:ascii="仿宋" w:hAnsi="仿宋" w:eastAsia="仿宋" w:cs="仿宋"/>
          <w:color w:val="000000" w:themeColor="text1"/>
          <w14:textFill>
            <w14:solidFill>
              <w14:schemeClr w14:val="tx1"/>
            </w14:solidFill>
          </w14:textFill>
        </w:rPr>
        <w:t>，安装在现有钢结构上，跨度7米；更换现场3挂250kg柔性吊（含横轨），对剩余1挂柔性吊改造相应集电器及支架。</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6）</w:t>
      </w:r>
      <w:r>
        <w:rPr>
          <w:rFonts w:hint="eastAsia" w:ascii="仿宋" w:hAnsi="仿宋" w:eastAsia="仿宋" w:cs="仿宋"/>
          <w:color w:val="000000" w:themeColor="text1"/>
          <w14:textFill>
            <w14:solidFill>
              <w14:schemeClr w14:val="tx1"/>
            </w14:solidFill>
          </w14:textFill>
        </w:rPr>
        <w:t>抛丸线：更换250kg环链电动葫芦7个。</w:t>
      </w:r>
    </w:p>
    <w:p>
      <w:pPr>
        <w:pStyle w:val="17"/>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7）驱动桥装配三线：双级桥主减装配工位加装2个0.5T环链电动葫芦、1个8m横轨、新增3M纵轨以及集电器及支架等；其中1个电动葫芦安装在新增8m横轨上，横轨安装在现有纵轨上（跨度7.5米）；1个电动葫芦安装在新增纵轨上，纵轨固定在线体中线上方钢结构上。</w:t>
      </w:r>
    </w:p>
    <w:p>
      <w:pPr>
        <w:pStyle w:val="17"/>
        <w:snapToGrid w:val="0"/>
        <w:spacing w:line="360" w:lineRule="auto"/>
        <w:ind w:left="0" w:leftChars="0" w:firstLine="0" w:firstLineChars="0"/>
        <w:rPr>
          <w:rFonts w:hint="eastAsia" w:ascii="仿宋" w:hAnsi="仿宋" w:eastAsia="仿宋" w:cs="仿宋"/>
          <w:color w:val="000000" w:themeColor="text1"/>
          <w:lang w:val="en-US" w:eastAsia="zh-CN"/>
          <w14:textFill>
            <w14:solidFill>
              <w14:schemeClr w14:val="tx1"/>
            </w14:solidFill>
          </w14:textFill>
        </w:rPr>
      </w:pPr>
      <w:r>
        <w:drawing>
          <wp:inline distT="0" distB="0" distL="114300" distR="114300">
            <wp:extent cx="5203190" cy="1242060"/>
            <wp:effectExtent l="0" t="0" r="16510" b="15240"/>
            <wp:docPr id="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
                    <pic:cNvPicPr>
                      <a:picLocks noChangeAspect="1"/>
                    </pic:cNvPicPr>
                  </pic:nvPicPr>
                  <pic:blipFill>
                    <a:blip r:embed="rId26"/>
                    <a:stretch>
                      <a:fillRect/>
                    </a:stretch>
                  </pic:blipFill>
                  <pic:spPr>
                    <a:xfrm>
                      <a:off x="0" y="0"/>
                      <a:ext cx="5203190" cy="1242060"/>
                    </a:xfrm>
                    <a:prstGeom prst="rect">
                      <a:avLst/>
                    </a:prstGeom>
                    <a:noFill/>
                    <a:ln>
                      <a:noFill/>
                    </a:ln>
                  </pic:spPr>
                </pic:pic>
              </a:graphicData>
            </a:graphic>
          </wp:inline>
        </w:drawing>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柔性吊具体</w:t>
      </w:r>
      <w:r>
        <w:rPr>
          <w:rFonts w:hint="eastAsia" w:ascii="仿宋" w:hAnsi="仿宋" w:eastAsia="仿宋" w:cs="仿宋"/>
          <w:color w:val="000000" w:themeColor="text1"/>
          <w:lang w:val="en-US" w:eastAsia="zh-CN"/>
          <w14:textFill>
            <w14:solidFill>
              <w14:schemeClr w14:val="tx1"/>
            </w14:solidFill>
          </w14:textFill>
        </w:rPr>
        <w:t>数量归纳</w:t>
      </w:r>
      <w:r>
        <w:rPr>
          <w:rFonts w:hint="eastAsia" w:ascii="仿宋" w:hAnsi="仿宋" w:eastAsia="仿宋" w:cs="仿宋"/>
          <w:color w:val="000000" w:themeColor="text1"/>
          <w14:textFill>
            <w14:solidFill>
              <w14:schemeClr w14:val="tx1"/>
            </w14:solidFill>
          </w14:textFill>
        </w:rPr>
        <w:t>如下：</w:t>
      </w:r>
    </w:p>
    <w:tbl>
      <w:tblPr>
        <w:tblStyle w:val="31"/>
        <w:tblW w:w="813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196"/>
        <w:gridCol w:w="914"/>
        <w:gridCol w:w="876"/>
        <w:gridCol w:w="768"/>
        <w:gridCol w:w="892"/>
        <w:gridCol w:w="969"/>
        <w:gridCol w:w="1153"/>
        <w:gridCol w:w="13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196"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生产线</w:t>
            </w: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规格</w:t>
            </w:r>
          </w:p>
        </w:tc>
        <w:tc>
          <w:tcPr>
            <w:tcW w:w="1644"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纵轨</w:t>
            </w:r>
          </w:p>
        </w:tc>
        <w:tc>
          <w:tcPr>
            <w:tcW w:w="1861"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横轨</w:t>
            </w:r>
          </w:p>
        </w:tc>
        <w:tc>
          <w:tcPr>
            <w:tcW w:w="1153"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环链</w:t>
            </w:r>
          </w:p>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吊葫芦</w:t>
            </w:r>
          </w:p>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/挂</w:t>
            </w:r>
          </w:p>
        </w:tc>
        <w:tc>
          <w:tcPr>
            <w:tcW w:w="1368" w:type="dxa"/>
            <w:vMerge w:val="restart"/>
            <w:tcBorders>
              <w:top w:val="single" w:color="000000" w:sz="4" w:space="0"/>
              <w:left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集电器</w:t>
            </w:r>
            <w:r>
              <w:rPr>
                <w:rFonts w:hint="eastAsia" w:ascii="仿宋" w:hAnsi="仿宋" w:eastAsia="仿宋" w:cs="仿宋"/>
                <w:color w:val="000000"/>
                <w:sz w:val="21"/>
                <w:szCs w:val="21"/>
                <w:lang w:eastAsia="zh-CN"/>
              </w:rPr>
              <w:t>、</w:t>
            </w:r>
            <w:r>
              <w:rPr>
                <w:rFonts w:hint="eastAsia" w:ascii="仿宋" w:hAnsi="仿宋" w:eastAsia="仿宋" w:cs="仿宋"/>
                <w:color w:val="000000" w:themeColor="text1"/>
                <w14:textFill>
                  <w14:solidFill>
                    <w14:schemeClr w14:val="tx1"/>
                  </w14:solidFill>
                </w14:textFill>
              </w:rPr>
              <w:t>支架</w:t>
            </w:r>
            <w:r>
              <w:rPr>
                <w:rFonts w:hint="eastAsia" w:ascii="仿宋" w:hAnsi="仿宋" w:eastAsia="仿宋" w:cs="仿宋"/>
                <w:color w:val="000000"/>
                <w:sz w:val="21"/>
                <w:szCs w:val="21"/>
              </w:rPr>
              <w:t>等附件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1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长度/m</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跨距/m</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数量/根</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长</w:t>
            </w:r>
            <w:r>
              <w:rPr>
                <w:rFonts w:hint="eastAsia" w:ascii="仿宋" w:hAnsi="仿宋" w:eastAsia="仿宋" w:cs="仿宋"/>
                <w:color w:val="000000"/>
                <w:sz w:val="21"/>
                <w:szCs w:val="21"/>
                <w:lang w:val="en-US" w:eastAsia="zh-CN"/>
              </w:rPr>
              <w:t>：</w:t>
            </w:r>
            <w:r>
              <w:rPr>
                <w:rFonts w:hint="eastAsia" w:ascii="仿宋" w:hAnsi="仿宋" w:eastAsia="仿宋" w:cs="仿宋"/>
                <w:color w:val="000000"/>
                <w:sz w:val="21"/>
                <w:szCs w:val="21"/>
              </w:rPr>
              <w:t>m/根</w:t>
            </w:r>
          </w:p>
        </w:tc>
        <w:tc>
          <w:tcPr>
            <w:tcW w:w="1153"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c>
          <w:tcPr>
            <w:tcW w:w="1368" w:type="dxa"/>
            <w:vMerge w:val="continue"/>
            <w:tcBorders>
              <w:left w:val="single" w:color="000000" w:sz="4" w:space="0"/>
              <w:right w:val="single" w:color="000000" w:sz="4" w:space="0"/>
            </w:tcBorders>
            <w:shd w:val="clear" w:color="auto" w:fill="auto"/>
            <w:tcMar>
              <w:top w:w="12" w:type="dxa"/>
              <w:left w:w="12" w:type="dxa"/>
              <w:bottom w:w="72" w:type="dxa"/>
              <w:right w:w="12" w:type="dxa"/>
            </w:tcMar>
            <w:vAlign w:val="center"/>
          </w:tcPr>
          <w:p>
            <w:pPr>
              <w:keepNext w:val="0"/>
              <w:keepLines w:val="0"/>
              <w:pageBreakBefore w:val="0"/>
              <w:widowControl/>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曼一线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2×106</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铸铁二线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2×90</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11</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11</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铸铁三线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2×80</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10</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压装线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2×18</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5</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9</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5</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清洗线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2×24.5</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3</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8.5</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3</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抛丸线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250Kg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7</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119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0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驱动桥装配三线</w:t>
            </w: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500Kg</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default" w:ascii="仿宋" w:hAnsi="仿宋" w:eastAsia="仿宋" w:cs="仿宋"/>
                <w:sz w:val="21"/>
                <w:szCs w:val="21"/>
                <w:lang w:val="en-US" w:eastAsia="zh-CN"/>
              </w:rPr>
            </w:pPr>
            <w:r>
              <w:rPr>
                <w:rFonts w:hint="eastAsia" w:ascii="仿宋" w:hAnsi="仿宋" w:eastAsia="仿宋" w:cs="仿宋"/>
                <w:color w:val="000000"/>
                <w:sz w:val="21"/>
                <w:szCs w:val="21"/>
                <w:lang w:val="en-US" w:eastAsia="zh-CN"/>
              </w:rPr>
              <w:t>1×3</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w:t>
            </w: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1</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8</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lang w:eastAsia="zh-CN"/>
              </w:rPr>
            </w:pPr>
            <w:r>
              <w:rPr>
                <w:rFonts w:hint="eastAsia" w:ascii="仿宋" w:hAnsi="仿宋" w:eastAsia="仿宋" w:cs="仿宋"/>
                <w:color w:val="000000"/>
                <w:sz w:val="21"/>
                <w:szCs w:val="21"/>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97" w:hRule="atLeast"/>
          <w:jc w:val="center"/>
        </w:trPr>
        <w:tc>
          <w:tcPr>
            <w:tcW w:w="2110" w:type="dxa"/>
            <w:gridSpan w:val="2"/>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合计</w:t>
            </w:r>
          </w:p>
        </w:tc>
        <w:tc>
          <w:tcPr>
            <w:tcW w:w="876"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637米</w:t>
            </w:r>
          </w:p>
        </w:tc>
        <w:tc>
          <w:tcPr>
            <w:tcW w:w="7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p>
        </w:tc>
        <w:tc>
          <w:tcPr>
            <w:tcW w:w="892"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38</w:t>
            </w:r>
          </w:p>
        </w:tc>
        <w:tc>
          <w:tcPr>
            <w:tcW w:w="969"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303米</w:t>
            </w:r>
          </w:p>
        </w:tc>
        <w:tc>
          <w:tcPr>
            <w:tcW w:w="1153"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45</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center"/>
              <w:textAlignment w:val="auto"/>
              <w:rPr>
                <w:rFonts w:hint="eastAsia" w:ascii="仿宋" w:hAnsi="仿宋" w:eastAsia="仿宋" w:cs="仿宋"/>
                <w:sz w:val="21"/>
                <w:szCs w:val="21"/>
              </w:rPr>
            </w:pPr>
            <w:r>
              <w:rPr>
                <w:rFonts w:hint="eastAsia" w:ascii="仿宋" w:hAnsi="仿宋" w:eastAsia="仿宋" w:cs="仿宋"/>
                <w:color w:val="000000"/>
                <w:sz w:val="21"/>
                <w:szCs w:val="21"/>
              </w:rPr>
              <w:t>21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97" w:hRule="atLeast"/>
          <w:jc w:val="center"/>
        </w:trPr>
        <w:tc>
          <w:tcPr>
            <w:tcW w:w="8136" w:type="dxa"/>
            <w:gridSpan w:val="8"/>
            <w:tcBorders>
              <w:top w:val="single" w:color="000000" w:sz="4" w:space="0"/>
              <w:left w:val="single" w:color="000000" w:sz="4" w:space="0"/>
              <w:bottom w:val="single" w:color="000000" w:sz="4" w:space="0"/>
              <w:right w:val="single" w:color="000000" w:sz="4" w:space="0"/>
            </w:tcBorders>
            <w:shd w:val="clear" w:color="auto" w:fill="auto"/>
            <w:tcMar>
              <w:top w:w="12" w:type="dxa"/>
              <w:left w:w="12" w:type="dxa"/>
              <w:bottom w:w="72" w:type="dxa"/>
              <w:right w:w="12" w:type="dxa"/>
            </w:tcMar>
            <w:vAlign w:val="center"/>
          </w:tcPr>
          <w:p>
            <w:pPr>
              <w:pStyle w:val="27"/>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tLeast"/>
              <w:jc w:val="left"/>
              <w:textAlignment w:val="auto"/>
              <w:rPr>
                <w:rFonts w:hint="eastAsia" w:ascii="仿宋" w:hAnsi="仿宋" w:eastAsia="仿宋" w:cs="仿宋"/>
                <w:color w:val="000000"/>
                <w:sz w:val="21"/>
                <w:szCs w:val="21"/>
              </w:rPr>
            </w:pPr>
            <w:r>
              <w:rPr>
                <w:rFonts w:hint="eastAsia" w:ascii="仿宋" w:hAnsi="仿宋" w:eastAsia="仿宋" w:cs="仿宋"/>
                <w:color w:val="000000" w:themeColor="text1"/>
                <w:kern w:val="2"/>
                <w:sz w:val="21"/>
                <w:szCs w:val="21"/>
                <w:lang w:val="en-US" w:eastAsia="zh-CN"/>
                <w14:textFill>
                  <w14:solidFill>
                    <w14:schemeClr w14:val="tx1"/>
                  </w14:solidFill>
                </w14:textFill>
              </w:rPr>
              <w:t>采用</w:t>
            </w:r>
            <w:r>
              <w:rPr>
                <w:rFonts w:hint="eastAsia" w:ascii="仿宋" w:hAnsi="仿宋" w:eastAsia="仿宋" w:cs="仿宋"/>
                <w:color w:val="000000" w:themeColor="text1"/>
                <w:kern w:val="2"/>
                <w:sz w:val="21"/>
                <w:szCs w:val="21"/>
                <w14:textFill>
                  <w14:solidFill>
                    <w14:schemeClr w14:val="tx1"/>
                  </w14:solidFill>
                </w14:textFill>
              </w:rPr>
              <w:t>Ⅱ型</w:t>
            </w:r>
            <w:r>
              <w:rPr>
                <w:rFonts w:hint="eastAsia" w:ascii="仿宋" w:hAnsi="仿宋" w:eastAsia="仿宋" w:cs="仿宋"/>
                <w:color w:val="000000" w:themeColor="text1"/>
                <w:kern w:val="2"/>
                <w:sz w:val="21"/>
                <w:szCs w:val="21"/>
                <w:lang w:val="en-US" w:eastAsia="zh-CN"/>
                <w14:textFill>
                  <w14:solidFill>
                    <w14:schemeClr w14:val="tx1"/>
                  </w14:solidFill>
                </w14:textFill>
              </w:rPr>
              <w:t>导轨结构。</w:t>
            </w:r>
          </w:p>
        </w:tc>
      </w:tr>
    </w:tbl>
    <w:p>
      <w:pPr>
        <w:pStyle w:val="17"/>
        <w:keepNext w:val="0"/>
        <w:keepLines w:val="0"/>
        <w:pageBreakBefore w:val="0"/>
        <w:widowControl w:val="0"/>
        <w:numPr>
          <w:ilvl w:val="0"/>
          <w:numId w:val="0"/>
        </w:numPr>
        <w:kinsoku/>
        <w:wordWrap/>
        <w:overflowPunct/>
        <w:topLinePunct w:val="0"/>
        <w:autoSpaceDE/>
        <w:autoSpaceDN/>
        <w:bidi w:val="0"/>
        <w:adjustRightInd/>
        <w:snapToGrid w:val="0"/>
        <w:spacing w:before="164" w:beforeLines="50" w:line="360" w:lineRule="auto"/>
        <w:ind w:firstLine="480" w:firstLineChars="200"/>
        <w:jc w:val="both"/>
        <w:textAlignment w:val="auto"/>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3.2技术性能参数：</w:t>
      </w:r>
    </w:p>
    <w:p>
      <w:pPr>
        <w:pStyle w:val="17"/>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3.2.1起升高度和跨度：（见采购货物主要构成一览表，仅供参考，以实际</w:t>
      </w:r>
      <w:r>
        <w:rPr>
          <w:rFonts w:hint="eastAsia" w:ascii="仿宋" w:hAnsi="仿宋" w:eastAsia="仿宋" w:cs="仿宋"/>
          <w:color w:val="000000" w:themeColor="text1"/>
          <w:highlight w:val="none"/>
          <w14:textFill>
            <w14:solidFill>
              <w14:schemeClr w14:val="tx1"/>
            </w14:solidFill>
          </w14:textFill>
        </w:rPr>
        <w:t>提升高度和跨度为准）</w:t>
      </w:r>
    </w:p>
    <w:p>
      <w:pPr>
        <w:pStyle w:val="17"/>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★3.2.2 起升速度：环链葫芦＞8-2m/min。</w:t>
      </w:r>
    </w:p>
    <w:p>
      <w:pPr>
        <w:pStyle w:val="17"/>
        <w:snapToGrid w:val="0"/>
        <w:spacing w:line="360" w:lineRule="auto"/>
        <w:ind w:firstLine="48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★3.2.3 吊具配置双速电机；高低速控制手柄。</w:t>
      </w:r>
      <w:r>
        <w:rPr>
          <w:rFonts w:hint="eastAsia" w:ascii="仿宋" w:hAnsi="仿宋" w:eastAsia="仿宋" w:cs="仿宋"/>
          <w:color w:val="000000" w:themeColor="text1"/>
          <w:highlight w:val="none"/>
          <w:lang w:val="en-US" w:eastAsia="zh-CN"/>
          <w14:textFill>
            <w14:solidFill>
              <w14:schemeClr w14:val="tx1"/>
            </w14:solidFill>
          </w14:textFill>
        </w:rPr>
        <w:t>控制手柄上的按钮需注明中文名称。</w:t>
      </w:r>
    </w:p>
    <w:p>
      <w:pPr>
        <w:pStyle w:val="17"/>
        <w:snapToGrid w:val="0"/>
        <w:spacing w:line="360" w:lineRule="auto"/>
        <w:ind w:firstLine="48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3.2.4 安装：柔性吊安装在买方设计的钢结构上，导轨吊点间</w:t>
      </w:r>
      <w:r>
        <w:rPr>
          <w:rFonts w:hint="eastAsia" w:ascii="仿宋" w:hAnsi="仿宋" w:eastAsia="仿宋" w:cs="仿宋"/>
          <w:color w:val="auto"/>
          <w:highlight w:val="none"/>
        </w:rPr>
        <w:t>距小于1.2m，</w:t>
      </w:r>
      <w:r>
        <w:rPr>
          <w:rFonts w:hint="eastAsia" w:ascii="仿宋" w:hAnsi="仿宋" w:eastAsia="仿宋" w:cs="仿宋"/>
          <w:color w:val="000000" w:themeColor="text1"/>
          <w:highlight w:val="none"/>
          <w14:textFill>
            <w14:solidFill>
              <w14:schemeClr w14:val="tx1"/>
            </w14:solidFill>
          </w14:textFill>
        </w:rPr>
        <w:t>密度均布。</w:t>
      </w:r>
      <w:r>
        <w:rPr>
          <w:rFonts w:hint="eastAsia" w:ascii="仿宋" w:hAnsi="仿宋" w:eastAsia="仿宋" w:cs="仿宋"/>
          <w:color w:val="000000" w:themeColor="text1"/>
          <w:highlight w:val="none"/>
          <w:lang w:val="en-US" w:eastAsia="zh-CN"/>
          <w14:textFill>
            <w14:solidFill>
              <w14:schemeClr w14:val="tx1"/>
            </w14:solidFill>
          </w14:textFill>
        </w:rPr>
        <w:t>导轨与工字钢之间需安装防坠落装置。</w:t>
      </w:r>
    </w:p>
    <w:p>
      <w:pPr>
        <w:pStyle w:val="17"/>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3.2.5 送电方式：大车采用安全外置滑触线；小车采用拖缆。</w:t>
      </w:r>
    </w:p>
    <w:p>
      <w:pPr>
        <w:pStyle w:val="17"/>
        <w:snapToGrid w:val="0"/>
        <w:spacing w:line="360" w:lineRule="auto"/>
        <w:ind w:firstLine="480" w:firstLineChars="200"/>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3.2.6滑动小车：采用双轮结构，使用连接板、螺母及开口销进行固定</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lang w:val="en-US" w:eastAsia="zh-CN"/>
          <w14:textFill>
            <w14:solidFill>
              <w14:schemeClr w14:val="tx1"/>
            </w14:solidFill>
          </w14:textFill>
        </w:rPr>
        <w:t>开口销捆绑红色扎带；相邻柔性吊之间安装防撞措施，避免电源开关箱相互碰撞。</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3.2.7外置安全滑触线：使用螺栓连接到导轨吊点，不允许焊接固定，每条外置安全滑触线在末端配备一个电源三色灯。</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3.2.8 电动葫芦在满载运行过程中，不得有爬行、抖动、卡死等现象；</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3.2.9 电动葫芦在满载运行过程中的噪声不大于</w:t>
      </w:r>
      <w:r>
        <w:rPr>
          <w:rFonts w:hint="eastAsia" w:ascii="仿宋" w:hAnsi="仿宋" w:eastAsia="仿宋" w:cs="仿宋"/>
          <w:color w:val="000000" w:themeColor="text1"/>
          <w:lang w:val="en-US" w:eastAsia="zh-CN"/>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0dB；</w:t>
      </w:r>
    </w:p>
    <w:p>
      <w:pPr>
        <w:pStyle w:val="17"/>
        <w:snapToGrid w:val="0"/>
        <w:spacing w:line="360" w:lineRule="auto"/>
        <w:ind w:firstLine="480" w:firstLineChars="200"/>
        <w:rPr>
          <w:rFonts w:hint="eastAsia"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3.2.10电动葫芦应有防撞装置，以防两台葫芦相遇时产生危险；电动葫芦应有机械式防冲顶装置，</w:t>
      </w:r>
      <w:r>
        <w:rPr>
          <w:rFonts w:hint="eastAsia" w:ascii="仿宋" w:hAnsi="仿宋" w:eastAsia="仿宋" w:cs="仿宋"/>
          <w:color w:val="000000" w:themeColor="text1"/>
          <w:highlight w:val="none"/>
          <w14:textFill>
            <w14:solidFill>
              <w14:schemeClr w14:val="tx1"/>
            </w14:solidFill>
          </w14:textFill>
        </w:rPr>
        <w:t>且电动葫芦与横梁</w:t>
      </w:r>
      <w:r>
        <w:rPr>
          <w:rFonts w:hint="eastAsia" w:ascii="仿宋" w:hAnsi="仿宋" w:eastAsia="仿宋" w:cs="仿宋"/>
          <w:color w:val="000000" w:themeColor="text1"/>
          <w:highlight w:val="none"/>
          <w:lang w:val="en-US" w:eastAsia="zh-CN"/>
          <w14:textFill>
            <w14:solidFill>
              <w14:schemeClr w14:val="tx1"/>
            </w14:solidFill>
          </w14:textFill>
        </w:rPr>
        <w:t>之间</w:t>
      </w:r>
      <w:r>
        <w:rPr>
          <w:rFonts w:hint="eastAsia" w:ascii="仿宋" w:hAnsi="仿宋" w:eastAsia="仿宋" w:cs="仿宋"/>
          <w:color w:val="000000" w:themeColor="text1"/>
          <w:highlight w:val="none"/>
          <w14:textFill>
            <w14:solidFill>
              <w14:schemeClr w14:val="tx1"/>
            </w14:solidFill>
          </w14:textFill>
        </w:rPr>
        <w:t>需安装防坠落装置。</w:t>
      </w:r>
    </w:p>
    <w:p>
      <w:pPr>
        <w:pStyle w:val="17"/>
        <w:snapToGrid w:val="0"/>
        <w:spacing w:line="360" w:lineRule="auto"/>
        <w:ind w:firstLine="480" w:firstLineChars="200"/>
        <w:rPr>
          <w:rFonts w:hint="eastAsia" w:ascii="仿宋" w:hAnsi="仿宋" w:eastAsia="仿宋" w:cs="仿宋"/>
          <w:color w:val="000000" w:themeColor="text1"/>
          <w:lang w:eastAsia="zh-CN"/>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3.2.11电动葫芦链盒防坠落；链条防脱落；吊钩使用重力式防脱止推片，吊钩上方设置弹簧式缓冲结构；操作手柄使用36V安全电压控制</w:t>
      </w:r>
      <w:r>
        <w:rPr>
          <w:rFonts w:hint="eastAsia" w:ascii="仿宋" w:hAnsi="仿宋" w:eastAsia="仿宋" w:cs="仿宋"/>
          <w:color w:val="000000" w:themeColor="text1"/>
          <w:lang w:eastAsia="zh-CN"/>
          <w14:textFill>
            <w14:solidFill>
              <w14:schemeClr w14:val="tx1"/>
            </w14:solidFill>
          </w14:textFill>
        </w:rPr>
        <w:t>。</w:t>
      </w:r>
    </w:p>
    <w:p>
      <w:pPr>
        <w:pStyle w:val="17"/>
        <w:snapToGrid w:val="0"/>
        <w:spacing w:line="360" w:lineRule="auto"/>
        <w:rPr>
          <w:rFonts w:hint="default" w:ascii="仿宋" w:hAnsi="仿宋" w:eastAsia="仿宋" w:cs="仿宋"/>
          <w:color w:val="000000" w:themeColor="text1"/>
          <w:highlight w:val="none"/>
          <w:lang w:val="en-US" w:eastAsia="zh-CN"/>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3.2.12每台柔性吊单独配备一个电源开关箱</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lang w:val="en-US" w:eastAsia="zh-CN"/>
          <w14:textFill>
            <w14:solidFill>
              <w14:schemeClr w14:val="tx1"/>
            </w14:solidFill>
          </w14:textFill>
        </w:rPr>
        <w:t>横梁与导轨之间</w:t>
      </w:r>
      <w:r>
        <w:rPr>
          <w:rFonts w:hint="eastAsia" w:ascii="仿宋" w:hAnsi="仿宋" w:eastAsia="仿宋" w:cs="仿宋"/>
          <w:color w:val="000000" w:themeColor="text1"/>
          <w:highlight w:val="none"/>
          <w14:textFill>
            <w14:solidFill>
              <w14:schemeClr w14:val="tx1"/>
            </w14:solidFill>
          </w14:textFill>
        </w:rPr>
        <w:t>需安装防坠落装置。</w:t>
      </w:r>
    </w:p>
    <w:p>
      <w:pPr>
        <w:pStyle w:val="17"/>
        <w:snapToGrid w:val="0"/>
        <w:spacing w:line="360" w:lineRule="auto"/>
        <w:ind w:firstLine="480" w:firstLineChars="200"/>
        <w:rPr>
          <w:rFonts w:ascii="仿宋" w:hAnsi="仿宋" w:eastAsia="仿宋" w:cs="仿宋"/>
          <w:color w:val="000000" w:themeColor="text1"/>
          <w:highlight w:val="none"/>
          <w14:textFill>
            <w14:solidFill>
              <w14:schemeClr w14:val="tx1"/>
            </w14:solidFill>
          </w14:textFill>
        </w:rPr>
      </w:pPr>
      <w:r>
        <w:rPr>
          <w:rFonts w:hint="eastAsia" w:ascii="仿宋" w:hAnsi="仿宋" w:eastAsia="仿宋" w:cs="仿宋"/>
          <w:color w:val="000000" w:themeColor="text1"/>
          <w:highlight w:val="none"/>
          <w14:textFill>
            <w14:solidFill>
              <w14:schemeClr w14:val="tx1"/>
            </w14:solidFill>
          </w14:textFill>
        </w:rPr>
        <w:t>3.2.13导轨喷涂长度及限载标识</w:t>
      </w:r>
      <w:r>
        <w:rPr>
          <w:rFonts w:hint="eastAsia" w:ascii="仿宋" w:hAnsi="仿宋" w:eastAsia="仿宋" w:cs="仿宋"/>
          <w:color w:val="000000" w:themeColor="text1"/>
          <w:highlight w:val="none"/>
          <w:lang w:eastAsia="zh-CN"/>
          <w14:textFill>
            <w14:solidFill>
              <w14:schemeClr w14:val="tx1"/>
            </w14:solidFill>
          </w14:textFill>
        </w:rPr>
        <w:t>；</w:t>
      </w:r>
      <w:r>
        <w:rPr>
          <w:rFonts w:hint="eastAsia" w:ascii="仿宋" w:hAnsi="仿宋" w:eastAsia="仿宋" w:cs="仿宋"/>
          <w:color w:val="000000" w:themeColor="text1"/>
          <w:highlight w:val="none"/>
          <w14:textFill>
            <w14:solidFill>
              <w14:schemeClr w14:val="tx1"/>
            </w14:solidFill>
          </w14:textFill>
        </w:rPr>
        <w:t>吊钩</w:t>
      </w:r>
      <w:r>
        <w:rPr>
          <w:rFonts w:hint="eastAsia" w:ascii="仿宋" w:hAnsi="仿宋" w:eastAsia="仿宋" w:cs="仿宋"/>
          <w:color w:val="000000" w:themeColor="text1"/>
          <w:highlight w:val="none"/>
          <w:lang w:val="en-US" w:eastAsia="zh-CN"/>
          <w14:textFill>
            <w14:solidFill>
              <w14:schemeClr w14:val="tx1"/>
            </w14:solidFill>
          </w14:textFill>
        </w:rPr>
        <w:t>需标注</w:t>
      </w:r>
      <w:r>
        <w:rPr>
          <w:rFonts w:hint="eastAsia" w:ascii="仿宋" w:hAnsi="仿宋" w:eastAsia="仿宋" w:cs="仿宋"/>
          <w:color w:val="000000" w:themeColor="text1"/>
          <w:highlight w:val="none"/>
          <w14:textFill>
            <w14:solidFill>
              <w14:schemeClr w14:val="tx1"/>
            </w14:solidFill>
          </w14:textFill>
        </w:rPr>
        <w:t>限载标识</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3.2.14主要元器件、零部件的选用和配置要求：电动葫芦、供电拖缆、滑触线应选用国内外名牌产品；</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3.2.15要求检修、维修、使用方便；</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3.2.16使用寿命大于10年；</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3.2.17大车、小车运行轻快。</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3.2.18导轨与目前招标方现场使用的通用。</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3.2.19系统颜色与目前招标方现场使用的相同。</w:t>
      </w:r>
    </w:p>
    <w:p>
      <w:pPr>
        <w:pStyle w:val="17"/>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3.2.20所有传感器检测功能和精度需配备对应的传感器校验方式，并配备使用说明和检测工具，并提供工具检定证书。</w:t>
      </w:r>
    </w:p>
    <w:p>
      <w:pPr>
        <w:pStyle w:val="17"/>
        <w:snapToGrid w:val="0"/>
        <w:spacing w:line="360" w:lineRule="auto"/>
        <w:ind w:firstLine="480" w:firstLineChars="200"/>
        <w:rPr>
          <w:rFonts w:hint="eastAsia"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3.2.21电器柜前需铺设符合要求的绝缘地垫。</w:t>
      </w:r>
    </w:p>
    <w:p>
      <w:pPr>
        <w:pStyle w:val="17"/>
        <w:snapToGrid w:val="0"/>
        <w:spacing w:line="360" w:lineRule="auto"/>
        <w:ind w:firstLine="480" w:firstLineChars="200"/>
        <w:rPr>
          <w:rFonts w:hint="default" w:ascii="仿宋" w:hAnsi="仿宋" w:eastAsia="仿宋" w:cs="仿宋"/>
          <w:color w:val="000000" w:themeColor="text1"/>
          <w:lang w:val="en-US" w:eastAsia="zh-CN"/>
          <w14:textFill>
            <w14:solidFill>
              <w14:schemeClr w14:val="tx1"/>
            </w14:solidFill>
          </w14:textFill>
        </w:rPr>
      </w:pPr>
      <w:r>
        <w:rPr>
          <w:rFonts w:hint="eastAsia" w:ascii="仿宋" w:hAnsi="仿宋" w:eastAsia="仿宋" w:cs="仿宋"/>
          <w:color w:val="000000" w:themeColor="text1"/>
          <w:lang w:val="en-US" w:eastAsia="zh-CN"/>
          <w14:textFill>
            <w14:solidFill>
              <w14:schemeClr w14:val="tx1"/>
            </w14:solidFill>
          </w14:textFill>
        </w:rPr>
        <w:t>3.2.22柔性吊控制器需设置急停按钮，并需标注中文标识；上下运行键需有对应标识</w:t>
      </w:r>
    </w:p>
    <w:p>
      <w:pPr>
        <w:pStyle w:val="17"/>
        <w:snapToGrid w:val="0"/>
        <w:spacing w:line="360" w:lineRule="auto"/>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color w:val="000000" w:themeColor="text1"/>
          <w:lang w:val="en-US" w:eastAsia="zh-CN"/>
          <w14:textFill>
            <w14:solidFill>
              <w14:schemeClr w14:val="tx1"/>
            </w14:solidFill>
          </w14:textFill>
        </w:rPr>
        <w:t>3.3</w:t>
      </w:r>
      <w:r>
        <w:rPr>
          <w:rFonts w:hint="eastAsia" w:ascii="仿宋" w:hAnsi="仿宋" w:eastAsia="仿宋" w:cs="仿宋"/>
          <w:kern w:val="0"/>
          <w:sz w:val="24"/>
          <w:szCs w:val="24"/>
          <w:highlight w:val="none"/>
          <w:lang w:val="en-US" w:eastAsia="zh-CN" w:bidi="ar-SA"/>
        </w:rPr>
        <w:t>安全及环保要求</w:t>
      </w:r>
    </w:p>
    <w:p>
      <w:pPr>
        <w:pStyle w:val="17"/>
        <w:snapToGrid w:val="0"/>
        <w:spacing w:line="360" w:lineRule="auto"/>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3.3.1投标方所供的货物（或生产线），必须符合中国最新版的安全、环保、消防及职业健康的法律、法规要求，符合行业安全标准及项目所在地政府有关特殊要求。</w:t>
      </w:r>
    </w:p>
    <w:p>
      <w:pPr>
        <w:numPr>
          <w:ilvl w:val="0"/>
          <w:numId w:val="0"/>
        </w:numPr>
        <w:adjustRightInd w:val="0"/>
        <w:snapToGrid w:val="0"/>
        <w:spacing w:line="360" w:lineRule="auto"/>
        <w:ind w:leftChars="0" w:firstLine="480" w:firstLineChars="200"/>
        <w:rPr>
          <w:rFonts w:ascii="仿宋" w:hAnsi="仿宋" w:eastAsia="仿宋" w:cs="仿宋"/>
          <w:sz w:val="24"/>
          <w:szCs w:val="24"/>
          <w:highlight w:val="none"/>
        </w:rPr>
      </w:pPr>
      <w:r>
        <w:rPr>
          <w:rFonts w:hint="eastAsia" w:ascii="仿宋" w:hAnsi="仿宋" w:eastAsia="仿宋" w:cs="仿宋"/>
          <w:kern w:val="0"/>
          <w:sz w:val="24"/>
          <w:szCs w:val="24"/>
          <w:highlight w:val="none"/>
          <w:lang w:val="en-US" w:eastAsia="zh-CN" w:bidi="ar-SA"/>
        </w:rPr>
        <w:t>3.3.2</w:t>
      </w:r>
      <w:r>
        <w:rPr>
          <w:rFonts w:hint="eastAsia" w:ascii="仿宋" w:hAnsi="仿宋" w:eastAsia="仿宋" w:cs="仿宋"/>
          <w:sz w:val="24"/>
          <w:szCs w:val="24"/>
          <w:highlight w:val="none"/>
        </w:rPr>
        <w:t>货物（或生产线）应完整且所有的零部件应该安装安全、牢固，外观无损伤，所有的焊缝饱满、无残渣等缺陷且符合国家及行业相关标准。</w:t>
      </w:r>
    </w:p>
    <w:p>
      <w:pPr>
        <w:numPr>
          <w:ilvl w:val="0"/>
          <w:numId w:val="0"/>
        </w:numPr>
        <w:snapToGrid w:val="0"/>
        <w:spacing w:line="360" w:lineRule="auto"/>
        <w:ind w:firstLine="480" w:firstLineChars="200"/>
        <w:jc w:val="left"/>
        <w:rPr>
          <w:rFonts w:hint="eastAsia" w:ascii="仿宋" w:hAnsi="仿宋" w:eastAsia="仿宋" w:cs="仿宋"/>
          <w:sz w:val="24"/>
          <w:szCs w:val="24"/>
          <w:highlight w:val="none"/>
        </w:rPr>
      </w:pPr>
      <w:r>
        <w:rPr>
          <w:rFonts w:hint="eastAsia" w:ascii="仿宋" w:hAnsi="仿宋" w:eastAsia="仿宋" w:cs="仿宋"/>
          <w:kern w:val="0"/>
          <w:sz w:val="24"/>
          <w:szCs w:val="24"/>
          <w:highlight w:val="none"/>
          <w:lang w:val="en-US" w:eastAsia="zh-CN" w:bidi="ar-SA"/>
        </w:rPr>
        <w:t>3.3.3</w:t>
      </w:r>
      <w:r>
        <w:rPr>
          <w:rFonts w:hint="eastAsia" w:ascii="仿宋" w:hAnsi="仿宋" w:eastAsia="仿宋" w:cs="仿宋"/>
          <w:sz w:val="24"/>
          <w:szCs w:val="24"/>
          <w:highlight w:val="none"/>
        </w:rPr>
        <w:t>生产线存在安全风险的工位必须采取安全措施，如：线体防护板、高温防护、光栅等。</w:t>
      </w:r>
    </w:p>
    <w:p>
      <w:pPr>
        <w:numPr>
          <w:ilvl w:val="0"/>
          <w:numId w:val="0"/>
        </w:numPr>
        <w:snapToGrid w:val="0"/>
        <w:spacing w:line="360" w:lineRule="auto"/>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3.3.4</w:t>
      </w:r>
      <w:r>
        <w:rPr>
          <w:rFonts w:hint="eastAsia" w:ascii="仿宋" w:hAnsi="仿宋" w:eastAsia="仿宋" w:cs="仿宋"/>
          <w:sz w:val="24"/>
          <w:szCs w:val="24"/>
          <w:highlight w:val="none"/>
        </w:rPr>
        <w:t>从安全生产的角度考虑各单元及工位应设有急停按钮，并有明显标识。</w:t>
      </w:r>
    </w:p>
    <w:p>
      <w:pPr>
        <w:pStyle w:val="2"/>
        <w:ind w:left="420" w:leftChars="200" w:firstLine="0" w:firstLineChars="0"/>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3.3.5</w:t>
      </w:r>
      <w:r>
        <w:rPr>
          <w:rFonts w:hint="eastAsia" w:ascii="仿宋" w:hAnsi="仿宋" w:eastAsia="仿宋" w:cs="仿宋"/>
          <w:sz w:val="24"/>
          <w:szCs w:val="24"/>
          <w:highlight w:val="none"/>
        </w:rPr>
        <w:t>单元操作面板上有上电按钮和急停按钮，上电后可对系统进行操作。</w:t>
      </w:r>
    </w:p>
    <w:p>
      <w:pPr>
        <w:widowControl w:val="0"/>
        <w:numPr>
          <w:ilvl w:val="0"/>
          <w:numId w:val="0"/>
        </w:numPr>
        <w:snapToGrid w:val="0"/>
        <w:spacing w:line="360" w:lineRule="auto"/>
        <w:ind w:left="0" w:leftChars="0" w:firstLine="480" w:firstLineChars="200"/>
        <w:jc w:val="both"/>
        <w:rPr>
          <w:rFonts w:ascii="仿宋" w:hAnsi="仿宋" w:eastAsia="仿宋" w:cs="仿宋"/>
          <w:kern w:val="0"/>
          <w:sz w:val="24"/>
          <w:szCs w:val="24"/>
          <w:highlight w:val="none"/>
          <w:lang w:val="en-US" w:eastAsia="zh-CN" w:bidi="ar-SA"/>
        </w:rPr>
      </w:pPr>
      <w:r>
        <w:rPr>
          <w:rFonts w:hint="eastAsia" w:ascii="仿宋" w:hAnsi="仿宋" w:eastAsia="仿宋" w:cs="仿宋"/>
          <w:kern w:val="0"/>
          <w:sz w:val="24"/>
          <w:szCs w:val="24"/>
          <w:highlight w:val="none"/>
          <w:lang w:val="en-US" w:eastAsia="zh-CN" w:bidi="ar-SA"/>
        </w:rPr>
        <w:t>3.3.6所有电气安装和施工均应符合我国现行行业标准（规范），电器柜需张贴当心触电警示标识。</w:t>
      </w:r>
    </w:p>
    <w:p>
      <w:pPr>
        <w:numPr>
          <w:ilvl w:val="0"/>
          <w:numId w:val="0"/>
        </w:numPr>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3.3.7</w:t>
      </w:r>
      <w:r>
        <w:rPr>
          <w:rFonts w:hint="eastAsia" w:ascii="仿宋" w:hAnsi="仿宋" w:eastAsia="仿宋" w:cs="仿宋"/>
          <w:sz w:val="24"/>
          <w:szCs w:val="24"/>
          <w:highlight w:val="none"/>
        </w:rPr>
        <w:t>投标方必须提供所供设备相应的安全操作规程和安全事项的说明书，危险化学品“一书一签”；负责对招标方相关人员开展“四新”安全培训。</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3.3.8</w:t>
      </w:r>
      <w:r>
        <w:rPr>
          <w:rFonts w:hint="eastAsia" w:ascii="仿宋" w:hAnsi="仿宋" w:eastAsia="仿宋" w:cs="仿宋"/>
          <w:sz w:val="24"/>
          <w:szCs w:val="24"/>
          <w:highlight w:val="none"/>
        </w:rPr>
        <w:t>货物（或生产线）应运行稳定、可靠、安全，无非正常变形，非正常振动，无异常声音；无漏水、漏液、漏气（汽）、漏电等现象。</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3.3.9</w:t>
      </w:r>
      <w:r>
        <w:rPr>
          <w:rFonts w:hint="eastAsia" w:ascii="仿宋" w:hAnsi="仿宋" w:eastAsia="仿宋" w:cs="仿宋"/>
          <w:sz w:val="24"/>
          <w:szCs w:val="24"/>
          <w:highlight w:val="none"/>
        </w:rPr>
        <w:t>所有的管路和线缆等，接头应完全正确、可靠地联接；应排列有序（正确、牢固、整齐），有必要的防护，无皱褶、收缩和裂缝等不良现象。</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3.3.10</w:t>
      </w:r>
      <w:r>
        <w:rPr>
          <w:rFonts w:hint="eastAsia" w:ascii="仿宋" w:hAnsi="仿宋" w:eastAsia="仿宋" w:cs="仿宋"/>
          <w:sz w:val="24"/>
          <w:szCs w:val="24"/>
          <w:highlight w:val="none"/>
        </w:rPr>
        <w:t>地线联接和地极符合国际（ISO/IEC）标准规范，电器柜需张贴当心触电警示标识。</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3.3.11</w:t>
      </w:r>
      <w:r>
        <w:rPr>
          <w:rFonts w:hint="eastAsia" w:ascii="仿宋" w:hAnsi="仿宋" w:eastAsia="仿宋" w:cs="仿宋"/>
          <w:sz w:val="24"/>
          <w:szCs w:val="24"/>
          <w:highlight w:val="none"/>
        </w:rPr>
        <w:t>货物（或生产线）正常运行时，噪声等环境影响因素满足国家（《工作场所物理因素测量 噪声》GBZ/T 189.8-2007. 噪音≤80dB(A)（距设备一米处测量））和当地环保主管部门规定。项目验收时，投标方须提供</w:t>
      </w:r>
      <w:r>
        <w:rPr>
          <w:rFonts w:hint="eastAsia" w:ascii="仿宋_GB2312" w:hAnsi="宋体" w:eastAsia="仿宋_GB2312" w:cs="宋体"/>
          <w:sz w:val="24"/>
          <w:szCs w:val="24"/>
          <w:highlight w:val="none"/>
          <w:lang w:bidi="ar"/>
        </w:rPr>
        <w:t>由第三方监测机构出具的噪音合格监测报告。</w:t>
      </w:r>
    </w:p>
    <w:p>
      <w:pPr>
        <w:numPr>
          <w:ilvl w:val="0"/>
          <w:numId w:val="0"/>
        </w:numPr>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3.3.12</w:t>
      </w:r>
      <w:r>
        <w:rPr>
          <w:rFonts w:hint="eastAsia" w:ascii="仿宋" w:hAnsi="仿宋" w:eastAsia="仿宋" w:cs="仿宋"/>
          <w:sz w:val="24"/>
          <w:szCs w:val="24"/>
          <w:highlight w:val="none"/>
        </w:rPr>
        <w:t>可附有投标方认为能够证明其所供货物（或生产线）安全性水平、节能性水平、环保性水平等相关的其它证明文件或资料、报告等，如电气开关柜等电气设备的内部故障电弧效应试验报告、噪声较大设备的噪声检验报告等。</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3.3.13</w:t>
      </w:r>
      <w:r>
        <w:rPr>
          <w:rFonts w:hint="eastAsia" w:ascii="仿宋" w:hAnsi="仿宋" w:eastAsia="仿宋" w:cs="仿宋"/>
          <w:sz w:val="24"/>
          <w:szCs w:val="24"/>
          <w:highlight w:val="none"/>
        </w:rPr>
        <w:t>涉及需要进行环保、职业卫生强制检测的项目（设备、设施），应由中标方提供权威第三方检测机构出具的完工检测报告。</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3.3.14</w:t>
      </w:r>
      <w:r>
        <w:rPr>
          <w:rFonts w:hint="eastAsia" w:ascii="仿宋" w:hAnsi="仿宋" w:eastAsia="仿宋" w:cs="仿宋"/>
          <w:sz w:val="24"/>
          <w:szCs w:val="24"/>
          <w:highlight w:val="none"/>
        </w:rPr>
        <w:t>特种设备应提供济南市特种设备检验研究院出具的首次检验报告，招标方协助中标方办理相关注册登记手续。</w:t>
      </w:r>
    </w:p>
    <w:p>
      <w:pPr>
        <w:numPr>
          <w:ilvl w:val="0"/>
          <w:numId w:val="0"/>
        </w:numPr>
        <w:adjustRightInd w:val="0"/>
        <w:snapToGrid w:val="0"/>
        <w:spacing w:line="360" w:lineRule="auto"/>
        <w:ind w:left="0" w:leftChars="0"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lang w:val="en-US" w:eastAsia="zh-CN"/>
        </w:rPr>
        <w:t>3.3.15</w:t>
      </w:r>
      <w:r>
        <w:rPr>
          <w:rFonts w:hint="eastAsia" w:ascii="仿宋" w:hAnsi="仿宋" w:eastAsia="仿宋" w:cs="仿宋"/>
          <w:sz w:val="24"/>
          <w:szCs w:val="24"/>
          <w:highlight w:val="none"/>
        </w:rPr>
        <w:t>机器人作业区域安全防护。机器人作业区域需安装安全防护隔离，安全防护隔离形式：采用型钢材质整体式设计，由方管焊接框架结构和金属网格组成，防护栏立柱和防护栏采用螺栓连接；安全门采用门联锁进行安全防护。门联锁必须保证，只有当安全门处于完全关闭状态时，才容许机器人自动运行，当安全门打开时机器人须立即停止运行。</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3.3.16</w:t>
      </w:r>
      <w:r>
        <w:rPr>
          <w:rFonts w:hint="eastAsia" w:ascii="仿宋" w:hAnsi="仿宋" w:eastAsia="仿宋" w:cs="仿宋"/>
          <w:sz w:val="24"/>
          <w:szCs w:val="24"/>
          <w:highlight w:val="none"/>
        </w:rPr>
        <w:t>投标方所投货物外观颜色标准按招标方提供的标准《Q/ZZ 30070—</w:t>
      </w:r>
      <w:r>
        <w:rPr>
          <w:rFonts w:hint="eastAsia" w:ascii="仿宋" w:hAnsi="仿宋" w:eastAsia="仿宋" w:cs="仿宋"/>
          <w:sz w:val="24"/>
          <w:szCs w:val="24"/>
          <w:highlight w:val="none"/>
          <w:lang w:val="en-US" w:eastAsia="zh-CN"/>
        </w:rPr>
        <w:t>2020》或双方书面约定的标准执行。</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3.3.17</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施工前须提供安全施工技术方案（含危险源辨识与风险控制措施内容）及详细的安全施工措施并经</w:t>
      </w:r>
      <w:r>
        <w:rPr>
          <w:rFonts w:hint="eastAsia" w:ascii="仿宋" w:hAnsi="仿宋" w:eastAsia="仿宋" w:cs="仿宋"/>
          <w:sz w:val="24"/>
          <w:szCs w:val="24"/>
          <w:highlight w:val="none"/>
        </w:rPr>
        <w:t>招标方</w:t>
      </w:r>
      <w:r>
        <w:rPr>
          <w:rFonts w:hint="eastAsia" w:ascii="仿宋" w:hAnsi="仿宋" w:eastAsia="仿宋" w:cs="仿宋"/>
          <w:sz w:val="24"/>
          <w:szCs w:val="24"/>
          <w:highlight w:val="none"/>
          <w:lang w:val="en-US" w:eastAsia="zh-CN"/>
        </w:rPr>
        <w:t>认可，并签订《安全协议》。</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3.3.18</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在整个项目过程中必须严格执行</w:t>
      </w:r>
      <w:r>
        <w:rPr>
          <w:rFonts w:hint="eastAsia" w:ascii="仿宋" w:hAnsi="仿宋" w:eastAsia="仿宋" w:cs="仿宋"/>
          <w:sz w:val="24"/>
          <w:szCs w:val="24"/>
          <w:highlight w:val="none"/>
        </w:rPr>
        <w:t>招标方</w:t>
      </w:r>
      <w:r>
        <w:rPr>
          <w:rFonts w:hint="eastAsia" w:ascii="仿宋" w:hAnsi="仿宋" w:eastAsia="仿宋" w:cs="仿宋"/>
          <w:sz w:val="24"/>
          <w:szCs w:val="24"/>
          <w:highlight w:val="none"/>
          <w:lang w:val="en-US" w:eastAsia="zh-CN"/>
        </w:rPr>
        <w:t>要求及国家相关安全、消防、环保等法律、法规。</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3.3.21进入现场所有的特殊工种的操作人员必须持有相应的操作资格证（如电工、焊工、高空、叉车证等）；进入现场所有设备必须符合国家标准。</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3.3.22</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需采用隔栏或围栏的形式将施工区域与生产区域隔开，不能影响生产。</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3.3.23在没有正式的书面批准和现场的化学制品核准情况下，所有的化学制品不允许进入施工现场，现场不允许储藏化学制品、油漆、燃料等，严禁</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带过量、超期的气瓶（氧气/乙炔）到现场(保证安全附件完好)，替换钢瓶前，</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必须搬出空瓶。</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3.3.24设备的主机、附件及附属设施应具有安全防护措施，以避免操作者身体与设备的危险区域接触。</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3.3.25所有进入现场的人员必须穿戴合适的劳保用品，例如劳保鞋、安全帽、带侧面保护的眼镜等，并对现场施工做安全标识、警示标识。</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3.3.26所有的安全说明书及安全标志须符合国家标准，或用中文标识，在设备装运时，所有安全标志须由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贴好。</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3.3.27高处作业施工人员，严禁投掷物料，并做安全标识，做好防高处坠落、物体打击、防触电、防机械伤害的各项安全防护工作。</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3.3.28现场的各种安全防护设施，未经招标方批准，任何人不准随意拆改；</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3.3.29施工现场临时用电执行招标方要求及国家相关规定。</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3.3.30进入现场，需按要求办理出入证件，招标方协助相关证件的办理；</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3.3.31设备的安全与环保要求必须符合国家标准，在运转过程中应保证安全、可靠，无漏电、漏气现象。</w:t>
      </w:r>
    </w:p>
    <w:p>
      <w:pPr>
        <w:numPr>
          <w:ilvl w:val="0"/>
          <w:numId w:val="0"/>
        </w:numPr>
        <w:adjustRightInd w:val="0"/>
        <w:snapToGrid w:val="0"/>
        <w:spacing w:line="360" w:lineRule="auto"/>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3.3.32</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在安装现场施工时，必须严格遵守招标方制定的安全、防火规定和其它规章制度，遵守国家各项安全制度，并制订安全预案，文明施工，如因</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施工不遵守规章制度而造成的各种损失由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负全责。</w:t>
      </w:r>
    </w:p>
    <w:p>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应保证设备安装现场的环境卫生，在设备及材料运进工厂时应确保不损坏车间地表面和厂房内设施并按招标方规定位置存放，不得在施工现场进行打磨、除锈。现场材料和设备要堆放整齐，生产、生活垃圾必须及时清理干净，为保证整个安装及调试过程中现场和设备内部的清洁，</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应采取切实可行的措施，最终的深度清洁由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负责。</w:t>
      </w:r>
    </w:p>
    <w:p>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在整个项目施工期间，所有设备、零部件、制成品、工具、材料等均由</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看管、保护，损坏及丢失招标方一概不负责任，招标方只负责提供场所。</w:t>
      </w:r>
    </w:p>
    <w:p>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所有主要的有可能做的材料（支吊架、连杆等）的表面清洁、切割、打磨、焊接和总体制作、底漆涂刷等工作必须在安装场地以外进行；任何需在现场制作、管子切割、焊接、攻丝等工作必须在指定的区域进行；</w:t>
      </w:r>
    </w:p>
    <w:p>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在开工前须提供系统设计安全方案，设备安装调试阶段的高风险项目安全预案，预案中要体现安全措施费用及人员配置。</w:t>
      </w:r>
    </w:p>
    <w:p>
      <w:pPr>
        <w:keepNext w:val="0"/>
        <w:keepLines w:val="0"/>
        <w:pageBreakBefore w:val="0"/>
        <w:widowControl w:val="0"/>
        <w:numPr>
          <w:ilvl w:val="0"/>
          <w:numId w:val="29"/>
        </w:numPr>
        <w:kinsoku/>
        <w:wordWrap/>
        <w:overflowPunct/>
        <w:topLinePunct w:val="0"/>
        <w:autoSpaceDE/>
        <w:autoSpaceDN/>
        <w:bidi w:val="0"/>
        <w:adjustRightInd w:val="0"/>
        <w:snapToGrid w:val="0"/>
        <w:spacing w:line="360" w:lineRule="auto"/>
        <w:ind w:left="0" w:leftChars="0" w:firstLine="480" w:firstLineChars="200"/>
        <w:textAlignment w:val="auto"/>
        <w:rPr>
          <w:rFonts w:hint="default"/>
          <w:lang w:val="en-US" w:eastAsia="zh-CN"/>
        </w:rPr>
      </w:pPr>
      <w:r>
        <w:rPr>
          <w:rFonts w:hint="eastAsia" w:ascii="仿宋" w:hAnsi="仿宋" w:eastAsia="仿宋" w:cs="仿宋"/>
          <w:sz w:val="24"/>
          <w:szCs w:val="24"/>
          <w:highlight w:val="none"/>
          <w:lang w:val="en-US" w:eastAsia="zh-CN"/>
        </w:rPr>
        <w:t>设备安装调试过程中，</w:t>
      </w:r>
      <w:r>
        <w:rPr>
          <w:rFonts w:hint="eastAsia" w:ascii="仿宋" w:hAnsi="仿宋" w:eastAsia="仿宋" w:cs="仿宋"/>
          <w:sz w:val="24"/>
          <w:szCs w:val="24"/>
          <w:highlight w:val="none"/>
        </w:rPr>
        <w:t>投标方</w:t>
      </w:r>
      <w:r>
        <w:rPr>
          <w:rFonts w:hint="eastAsia" w:ascii="仿宋" w:hAnsi="仿宋" w:eastAsia="仿宋" w:cs="仿宋"/>
          <w:sz w:val="24"/>
          <w:szCs w:val="24"/>
          <w:highlight w:val="none"/>
          <w:lang w:val="en-US" w:eastAsia="zh-CN"/>
        </w:rPr>
        <w:t>须听从招标方指挥。</w:t>
      </w:r>
    </w:p>
    <w:p>
      <w:pPr>
        <w:snapToGrid w:val="0"/>
        <w:spacing w:line="360" w:lineRule="auto"/>
        <w:ind w:firstLine="422" w:firstLineChars="200"/>
        <w:outlineLvl w:val="1"/>
        <w:rPr>
          <w:rFonts w:ascii="仿宋" w:hAnsi="仿宋" w:eastAsia="仿宋" w:cs="仿宋"/>
          <w:b/>
          <w:bCs/>
          <w:color w:val="000000" w:themeColor="text1"/>
          <w14:textFill>
            <w14:solidFill>
              <w14:schemeClr w14:val="tx1"/>
            </w14:solidFill>
          </w14:textFill>
        </w:rPr>
      </w:pPr>
      <w:bookmarkStart w:id="248" w:name="_Toc12980"/>
      <w:bookmarkStart w:id="249" w:name="_Toc10838"/>
      <w:bookmarkStart w:id="250" w:name="_Toc6116"/>
      <w:bookmarkStart w:id="251" w:name="_Toc28302"/>
      <w:bookmarkStart w:id="252" w:name="_Toc30526"/>
      <w:bookmarkStart w:id="253" w:name="_Toc466"/>
      <w:bookmarkStart w:id="254" w:name="_Toc8333"/>
      <w:bookmarkStart w:id="255" w:name="_Toc12383"/>
      <w:bookmarkStart w:id="256" w:name="_Toc293"/>
      <w:bookmarkStart w:id="257" w:name="_Toc1717"/>
      <w:bookmarkStart w:id="258" w:name="_Toc28134"/>
      <w:bookmarkStart w:id="259" w:name="_Toc15063"/>
      <w:bookmarkStart w:id="260" w:name="_Toc73"/>
      <w:bookmarkStart w:id="261" w:name="_Toc11237"/>
      <w:bookmarkStart w:id="262" w:name="_Toc13730"/>
      <w:bookmarkStart w:id="263" w:name="_Toc4932"/>
      <w:bookmarkStart w:id="264" w:name="_Toc11655"/>
      <w:bookmarkStart w:id="265" w:name="_Toc14086"/>
      <w:bookmarkStart w:id="266" w:name="_Toc11582"/>
      <w:bookmarkStart w:id="267" w:name="_Toc31046"/>
      <w:bookmarkStart w:id="268" w:name="_Toc2761"/>
      <w:bookmarkStart w:id="269" w:name="_Toc31832"/>
      <w:bookmarkStart w:id="270" w:name="_Toc20271"/>
      <w:bookmarkStart w:id="271" w:name="_Toc14191"/>
      <w:bookmarkStart w:id="272" w:name="_Toc14715"/>
      <w:bookmarkStart w:id="273" w:name="_Toc2382"/>
      <w:bookmarkStart w:id="274" w:name="_Toc3096"/>
      <w:bookmarkStart w:id="275" w:name="_Toc14754"/>
      <w:bookmarkStart w:id="276" w:name="_Toc963"/>
      <w:bookmarkStart w:id="277" w:name="_Toc11448"/>
      <w:bookmarkStart w:id="278" w:name="_Toc8256"/>
      <w:bookmarkStart w:id="279" w:name="_Toc24970"/>
      <w:bookmarkStart w:id="280" w:name="_Toc25096"/>
      <w:bookmarkStart w:id="281" w:name="_Toc17206"/>
      <w:bookmarkStart w:id="282" w:name="_Toc31509"/>
      <w:bookmarkStart w:id="283" w:name="_Toc24311"/>
      <w:bookmarkStart w:id="284" w:name="_Toc16458"/>
      <w:bookmarkStart w:id="285" w:name="_Toc10224"/>
      <w:bookmarkStart w:id="286" w:name="_Toc24239"/>
      <w:bookmarkStart w:id="287" w:name="_Toc3721"/>
      <w:bookmarkStart w:id="288" w:name="_Toc28651"/>
      <w:bookmarkStart w:id="289" w:name="_Toc16595"/>
      <w:bookmarkStart w:id="290" w:name="_Toc73112402"/>
      <w:bookmarkStart w:id="291" w:name="_Toc16723"/>
      <w:bookmarkStart w:id="292" w:name="_Toc900"/>
      <w:r>
        <w:rPr>
          <w:rFonts w:hint="eastAsia" w:ascii="仿宋" w:hAnsi="仿宋" w:eastAsia="仿宋" w:cs="仿宋"/>
          <w:b/>
          <w:bCs/>
          <w:color w:val="000000" w:themeColor="text1"/>
          <w14:textFill>
            <w14:solidFill>
              <w14:schemeClr w14:val="tx1"/>
            </w14:solidFill>
          </w14:textFill>
        </w:rPr>
        <w:t>4特别提示</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本技术要求，仅对功能、设计、结构、性能、安装和试验等方面，提出了最低和一般性的技术要求；并未对一切技术细节作出规定，未充分引述有关标准和规范的条文。投标方应保证提供的货物是符合本技术标书和国家最新的有关标准、规范的优质产品。若有异议，不管是多么微小，都应在投标文件“技术偏离”中予以详细说明。</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4.2本技术要求所使用的标准、规范等，如与投标方所执行的标准、规范不一致时，应按高于本技术要求所列的标准、规范执行，并在投标文件“技术偏离”中予以说明。</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4.3投标方认为所供货物必需由招标方配备、解决或提供的其它要求，如设备基础隔振和减振设施、软化水、洁净气源等，均应在投标文件“技术偏离”中予以充分说明。</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4.4投标方须负责在终验收前，在招标方设备现场对投标设备实施电能质量和公用电网谐波检测并出具检测报告。检测工作由投标方负责安排第三方实施（第三方的资质须由招标方认可）。</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4.5投标文件中，针对“特别提示”条款所做的回应，将作为投标方能否中标的重要依据之一。</w:t>
      </w:r>
      <w:bookmarkStart w:id="293" w:name="_Toc133783970"/>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4.6投标方所投货物外观颜色标准按招标方提供的标准或双方书面约定的标准执行。</w:t>
      </w:r>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294" w:name="_Toc10828"/>
      <w:bookmarkStart w:id="295" w:name="_Toc1962"/>
      <w:bookmarkStart w:id="296" w:name="_Toc27327"/>
      <w:bookmarkStart w:id="297" w:name="_Toc19805"/>
      <w:bookmarkStart w:id="298" w:name="_Toc4641"/>
      <w:bookmarkStart w:id="299" w:name="_Toc17909"/>
      <w:bookmarkStart w:id="300" w:name="_Toc22710"/>
      <w:bookmarkStart w:id="301" w:name="_Toc28398"/>
      <w:bookmarkStart w:id="302" w:name="_Toc8892"/>
      <w:bookmarkStart w:id="303" w:name="_Toc11390"/>
      <w:bookmarkStart w:id="304" w:name="_Toc13526"/>
      <w:bookmarkStart w:id="305" w:name="_Toc73112403"/>
      <w:bookmarkStart w:id="306" w:name="_Toc20329"/>
      <w:bookmarkStart w:id="307" w:name="_Toc16352"/>
      <w:bookmarkStart w:id="308" w:name="_Toc26601"/>
      <w:bookmarkStart w:id="309" w:name="_Toc22347"/>
      <w:bookmarkStart w:id="310" w:name="_Toc19812"/>
      <w:bookmarkStart w:id="311" w:name="_Toc1171"/>
      <w:bookmarkStart w:id="312" w:name="_Toc26551"/>
      <w:bookmarkStart w:id="313" w:name="_Toc22156"/>
      <w:bookmarkStart w:id="314" w:name="_Toc16317"/>
      <w:bookmarkStart w:id="315" w:name="_Toc1909"/>
      <w:bookmarkStart w:id="316" w:name="_Toc22662"/>
      <w:bookmarkStart w:id="317" w:name="_Toc21086"/>
      <w:bookmarkStart w:id="318" w:name="_Toc20994"/>
      <w:bookmarkStart w:id="319" w:name="_Toc11725"/>
      <w:bookmarkStart w:id="320" w:name="_Toc19081"/>
      <w:bookmarkStart w:id="321" w:name="_Toc30892"/>
      <w:bookmarkStart w:id="322" w:name="_Toc28745"/>
      <w:bookmarkStart w:id="323" w:name="_Toc7258"/>
      <w:bookmarkStart w:id="324" w:name="_Toc3808"/>
      <w:bookmarkStart w:id="325" w:name="_Toc19022"/>
      <w:bookmarkStart w:id="326" w:name="_Toc20260"/>
      <w:bookmarkStart w:id="327" w:name="_Toc31816"/>
      <w:bookmarkStart w:id="328" w:name="_Toc22516"/>
      <w:bookmarkStart w:id="329" w:name="_Toc24173"/>
      <w:bookmarkStart w:id="330" w:name="_Toc20841"/>
      <w:bookmarkStart w:id="331" w:name="_Toc13783"/>
      <w:bookmarkStart w:id="332" w:name="_Toc14583"/>
      <w:bookmarkStart w:id="333" w:name="_Toc6352"/>
      <w:bookmarkStart w:id="334" w:name="_Toc29006"/>
      <w:bookmarkStart w:id="335" w:name="_Toc32382"/>
      <w:bookmarkStart w:id="336" w:name="_Toc31361"/>
      <w:bookmarkStart w:id="337" w:name="_Toc16316"/>
      <w:bookmarkStart w:id="338" w:name="_Toc29222"/>
      <w:r>
        <w:rPr>
          <w:rFonts w:hint="eastAsia" w:ascii="仿宋" w:hAnsi="仿宋" w:eastAsia="仿宋" w:cs="仿宋"/>
          <w:b/>
          <w:bCs/>
          <w:color w:val="000000" w:themeColor="text1"/>
          <w14:textFill>
            <w14:solidFill>
              <w14:schemeClr w14:val="tx1"/>
            </w14:solidFill>
          </w14:textFill>
        </w:rPr>
        <w:t>第三章供货范围及供货方式</w:t>
      </w:r>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pPr>
        <w:pStyle w:val="5"/>
        <w:snapToGrid w:val="0"/>
        <w:spacing w:before="0" w:after="0" w:line="360" w:lineRule="auto"/>
        <w:ind w:left="6" w:firstLine="474"/>
        <w:jc w:val="center"/>
        <w:rPr>
          <w:rFonts w:ascii="仿宋" w:hAnsi="仿宋" w:eastAsia="仿宋" w:cs="仿宋"/>
          <w:b/>
          <w:bCs/>
          <w:color w:val="000000" w:themeColor="text1"/>
          <w:sz w:val="24"/>
          <w:szCs w:val="24"/>
          <w14:textFill>
            <w14:solidFill>
              <w14:schemeClr w14:val="tx1"/>
            </w14:solidFill>
          </w14:textFill>
        </w:rPr>
      </w:pPr>
      <w:bookmarkStart w:id="339" w:name="_Toc19908"/>
      <w:bookmarkStart w:id="340" w:name="_Toc19860"/>
      <w:bookmarkStart w:id="341" w:name="_Toc27567"/>
      <w:bookmarkStart w:id="342" w:name="_Toc4032"/>
      <w:bookmarkStart w:id="343" w:name="_Toc12581"/>
      <w:bookmarkStart w:id="344" w:name="_Toc6864"/>
      <w:bookmarkStart w:id="345" w:name="_Toc73112404"/>
      <w:bookmarkStart w:id="346" w:name="_Toc13578"/>
      <w:bookmarkStart w:id="347" w:name="_Toc13960"/>
      <w:bookmarkStart w:id="348" w:name="_Toc32542"/>
      <w:bookmarkStart w:id="349" w:name="_Toc4896"/>
      <w:bookmarkStart w:id="350" w:name="_Toc9580"/>
      <w:bookmarkStart w:id="351" w:name="_Toc2288"/>
      <w:bookmarkStart w:id="352" w:name="_Toc19111"/>
      <w:bookmarkStart w:id="353" w:name="_Toc6629"/>
      <w:bookmarkStart w:id="354" w:name="_Toc20301"/>
      <w:bookmarkStart w:id="355" w:name="_Toc10323"/>
      <w:bookmarkStart w:id="356" w:name="_Toc28344"/>
      <w:bookmarkStart w:id="357" w:name="_Toc17404"/>
      <w:bookmarkStart w:id="358" w:name="_Toc969"/>
      <w:bookmarkStart w:id="359" w:name="_Toc29751"/>
      <w:bookmarkStart w:id="360" w:name="_Toc20721"/>
      <w:bookmarkStart w:id="361" w:name="_Toc5032"/>
      <w:bookmarkStart w:id="362" w:name="_Toc8963"/>
      <w:bookmarkStart w:id="363" w:name="_Toc32741"/>
      <w:bookmarkStart w:id="364" w:name="_Toc5131"/>
      <w:bookmarkStart w:id="365" w:name="_Toc16027"/>
      <w:bookmarkStart w:id="366" w:name="_Toc680"/>
      <w:bookmarkStart w:id="367" w:name="_Toc26946"/>
      <w:bookmarkStart w:id="368" w:name="_Toc11227"/>
      <w:bookmarkStart w:id="369" w:name="_Toc3639"/>
      <w:bookmarkStart w:id="370" w:name="_Toc27831"/>
      <w:bookmarkStart w:id="371" w:name="_Toc20066"/>
      <w:bookmarkStart w:id="372" w:name="_Toc133783971"/>
      <w:bookmarkStart w:id="373" w:name="_Toc2127"/>
      <w:bookmarkStart w:id="374" w:name="_Toc14383"/>
      <w:bookmarkStart w:id="375" w:name="_Toc32750"/>
      <w:bookmarkStart w:id="376" w:name="_Toc18238"/>
      <w:bookmarkStart w:id="377" w:name="_Toc6219"/>
      <w:bookmarkStart w:id="378" w:name="_Toc9994"/>
      <w:bookmarkStart w:id="379" w:name="_Toc3358"/>
      <w:bookmarkStart w:id="380" w:name="_Toc11979"/>
      <w:bookmarkStart w:id="381" w:name="_Toc19155"/>
      <w:bookmarkStart w:id="382" w:name="_Toc32286"/>
      <w:bookmarkStart w:id="383" w:name="_Toc31722"/>
      <w:bookmarkStart w:id="384" w:name="_Toc8238"/>
      <w:bookmarkStart w:id="385" w:name="_Toc32716"/>
      <w:bookmarkStart w:id="386" w:name="_Toc9571"/>
      <w:bookmarkStart w:id="387" w:name="_Toc25354"/>
      <w:bookmarkStart w:id="388" w:name="_Toc5052"/>
      <w:r>
        <w:rPr>
          <w:rFonts w:hint="eastAsia" w:ascii="仿宋" w:hAnsi="仿宋" w:eastAsia="仿宋" w:cs="仿宋"/>
          <w:b/>
          <w:bCs/>
          <w:color w:val="000000" w:themeColor="text1"/>
          <w:sz w:val="24"/>
          <w:szCs w:val="24"/>
          <w14:textFill>
            <w14:solidFill>
              <w14:schemeClr w14:val="tx1"/>
            </w14:solidFill>
          </w14:textFill>
        </w:rPr>
        <w:t>第一节供货范围</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389" w:name="_Toc28468"/>
      <w:bookmarkStart w:id="390" w:name="_Toc4850"/>
      <w:bookmarkStart w:id="391" w:name="_Toc73112405"/>
      <w:bookmarkStart w:id="392" w:name="_Toc15878"/>
      <w:bookmarkStart w:id="393" w:name="_Toc14280"/>
      <w:bookmarkStart w:id="394" w:name="_Toc17029"/>
      <w:bookmarkStart w:id="395" w:name="_Toc14137"/>
      <w:bookmarkStart w:id="396" w:name="_Toc18228"/>
      <w:bookmarkStart w:id="397" w:name="_Toc5149"/>
      <w:bookmarkStart w:id="398" w:name="_Toc9769"/>
      <w:bookmarkStart w:id="399" w:name="_Toc29417"/>
      <w:bookmarkStart w:id="400" w:name="_Toc17608"/>
      <w:bookmarkStart w:id="401" w:name="_Toc18305"/>
      <w:bookmarkStart w:id="402" w:name="_Toc6385"/>
      <w:bookmarkStart w:id="403" w:name="_Toc13760"/>
      <w:bookmarkStart w:id="404" w:name="_Toc272"/>
      <w:bookmarkStart w:id="405" w:name="_Toc25761"/>
      <w:bookmarkStart w:id="406" w:name="_Toc4815"/>
      <w:bookmarkStart w:id="407" w:name="_Toc17678"/>
      <w:bookmarkStart w:id="408" w:name="_Toc21071"/>
      <w:r>
        <w:rPr>
          <w:rFonts w:hint="eastAsia" w:ascii="仿宋" w:hAnsi="仿宋" w:eastAsia="仿宋" w:cs="仿宋"/>
          <w:b/>
          <w:bCs/>
          <w:color w:val="000000" w:themeColor="text1"/>
          <w14:textFill>
            <w14:solidFill>
              <w14:schemeClr w14:val="tx1"/>
            </w14:solidFill>
          </w14:textFill>
        </w:rPr>
        <w:t>1主要供货范围</w:t>
      </w:r>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1.1招标方只提供所需厂房、货物的基本砼基础，如不满足项目需求，由投标方负责进行建设。</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1.2招标方只负责提供符合本技术标书中“采购货物概况”和“使用环境”章节所列明品质的电力、自来水、压缩空气、蒸汽、天然气（或煤气）管线至车间接口,投标方负责从车间接口到项目系统的对接。</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1.3投标方应提供包括货物正常运行所必需的全套连线设备、材料等；如：联接法兰外端面（含联接螺栓）之内的、电气系统接口压线板（插座等）之内的设备、材料等；</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投标方应提供包括货物正常运行、使用所必需的过桥、护栏、防护网、盖板等辅助设施。标书中有要求的，按标书要求提供；标书中无具体要求而投标方认为必须具备的，在投标文件报价明细中，单独报价（但不计入税费等其它费用的计算基数）。</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投标方应提供包括为达到环保、消防和职业健康等国家法律、法规和标准、规范要求的除尘系统、通风系统以及近距离照明系统等配套的设备、材料等。如投标方难以提供或无优势提供，则应当在投标文件的技术偏离条款中，予以详细说明并注明投标报价未包含该部分的货值。</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1.6投标方应提供包括为保证货物自身正常运行所必需的、适应使用地点条件的通风、冷却、降温系统等。</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应提供包括为保证货物正常安装、调试和验收完成及以前所必需的整套配件、附件及材料、油料等。如果终验收完成后，投标方有需要收回的配件、附件、材料、油料等，应当在投标文件的技术偏离条款中，予以详细说明；否则视同包括在供货范围之内。</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1.8投标方应提供货物维修所必需的专用工具，并在投标报价部分说明数量。</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09" w:name="_Toc3726"/>
      <w:bookmarkStart w:id="410" w:name="_Toc18018"/>
      <w:bookmarkStart w:id="411" w:name="_Toc30004"/>
      <w:bookmarkStart w:id="412" w:name="_Toc8330"/>
      <w:bookmarkStart w:id="413" w:name="_Toc5521"/>
      <w:bookmarkStart w:id="414" w:name="_Toc20059"/>
      <w:bookmarkStart w:id="415" w:name="_Toc2744"/>
      <w:bookmarkStart w:id="416" w:name="_Toc10027"/>
      <w:bookmarkStart w:id="417" w:name="_Toc11531"/>
      <w:bookmarkStart w:id="418" w:name="_Toc31074"/>
      <w:bookmarkStart w:id="419" w:name="_Toc6916"/>
      <w:bookmarkStart w:id="420" w:name="_Toc19187"/>
      <w:bookmarkStart w:id="421" w:name="_Toc10211"/>
      <w:bookmarkStart w:id="422" w:name="_Toc31685"/>
      <w:bookmarkStart w:id="423" w:name="_Toc31723"/>
      <w:bookmarkStart w:id="424" w:name="_Toc29389"/>
      <w:bookmarkStart w:id="425" w:name="_Toc434"/>
      <w:bookmarkStart w:id="426" w:name="_Toc30087"/>
      <w:bookmarkStart w:id="427" w:name="_Toc73112406"/>
      <w:bookmarkStart w:id="428" w:name="_Toc25570"/>
      <w:r>
        <w:rPr>
          <w:rFonts w:hint="eastAsia" w:ascii="仿宋" w:hAnsi="仿宋" w:eastAsia="仿宋" w:cs="仿宋"/>
          <w:b/>
          <w:bCs/>
          <w:color w:val="000000" w:themeColor="text1"/>
          <w14:textFill>
            <w14:solidFill>
              <w14:schemeClr w14:val="tx1"/>
            </w14:solidFill>
          </w14:textFill>
        </w:rPr>
        <w:t>2备品备件、易损件和专用耗材供货范围</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2.1招标方招标文件所指备品备件、易损件和专用耗材，是招标方为保证货物质保期之后正常运行一年所自备自用的备品备件、易损件和专用耗材。</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2.2投标方按照招标文件要求提供、或投标方认为招标方应当储备的备品备件、易损件和专用耗材，投标方应当在投标报价部分分别说明所列备品备件、易损件和专用耗材的使用时间。</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2.3投标方应提供易损件和专用耗材的制造图纸及其技术要求等资料。</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投标文件中，应当有备品备件、易损件和专用耗材的详细清单（内容包括名称、型号、规格、单位、数量、生产厂家、单价、总价等）。机床和机器人的主要参数、配置表、关键件和进口外购明细表、随机附明细表、技术文件明细表等。</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2.5备品备件、易损件和专用耗材的费用应分类单列，并计入投标总报价之内。</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29" w:name="_Toc8994"/>
      <w:bookmarkStart w:id="430" w:name="_Toc11396"/>
      <w:bookmarkStart w:id="431" w:name="_Toc26974"/>
      <w:bookmarkStart w:id="432" w:name="_Toc6474"/>
      <w:bookmarkStart w:id="433" w:name="_Toc21438"/>
      <w:bookmarkStart w:id="434" w:name="_Toc20956"/>
      <w:bookmarkStart w:id="435" w:name="_Toc73112407"/>
      <w:bookmarkStart w:id="436" w:name="_Toc29028"/>
      <w:bookmarkStart w:id="437" w:name="_Toc30185"/>
      <w:bookmarkStart w:id="438" w:name="_Toc30460"/>
      <w:bookmarkStart w:id="439" w:name="_Toc8769"/>
      <w:bookmarkStart w:id="440" w:name="_Toc29526"/>
      <w:bookmarkStart w:id="441" w:name="_Toc13573"/>
      <w:bookmarkStart w:id="442" w:name="_Toc14387"/>
      <w:bookmarkStart w:id="443" w:name="_Toc30333"/>
      <w:bookmarkStart w:id="444" w:name="_Toc19082"/>
      <w:bookmarkStart w:id="445" w:name="_Toc29622"/>
      <w:bookmarkStart w:id="446" w:name="_Toc253"/>
      <w:bookmarkStart w:id="447" w:name="_Toc23668"/>
      <w:bookmarkStart w:id="448" w:name="_Toc27176"/>
      <w:r>
        <w:rPr>
          <w:rFonts w:hint="eastAsia" w:ascii="仿宋" w:hAnsi="仿宋" w:eastAsia="仿宋" w:cs="仿宋"/>
          <w:b/>
          <w:bCs/>
          <w:color w:val="000000" w:themeColor="text1"/>
          <w14:textFill>
            <w14:solidFill>
              <w14:schemeClr w14:val="tx1"/>
            </w14:solidFill>
          </w14:textFill>
        </w:rPr>
        <w:t>3技术资料供货范围</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bookmarkStart w:id="449" w:name="_Toc3548"/>
      <w:bookmarkStart w:id="450" w:name="_Toc27960"/>
      <w:bookmarkStart w:id="451" w:name="_Toc4183"/>
      <w:bookmarkStart w:id="452" w:name="_Toc17660"/>
      <w:bookmarkStart w:id="453" w:name="_Toc22358"/>
      <w:bookmarkStart w:id="454" w:name="_Toc27636"/>
      <w:bookmarkStart w:id="455" w:name="_Toc4381"/>
      <w:bookmarkStart w:id="456" w:name="_Toc4601"/>
      <w:bookmarkStart w:id="457" w:name="_Toc13201"/>
      <w:bookmarkStart w:id="458" w:name="_Toc15671"/>
      <w:bookmarkStart w:id="459" w:name="_Toc11837"/>
      <w:bookmarkStart w:id="460" w:name="_Toc16689"/>
      <w:bookmarkStart w:id="461" w:name="_Toc603"/>
      <w:bookmarkStart w:id="462" w:name="_Toc6313"/>
      <w:bookmarkStart w:id="463" w:name="_Toc21360"/>
      <w:bookmarkStart w:id="464" w:name="_Toc1998"/>
      <w:bookmarkStart w:id="465" w:name="_Toc16163"/>
      <w:bookmarkStart w:id="466" w:name="_Toc30635"/>
      <w:bookmarkStart w:id="467" w:name="_Toc133783972"/>
      <w:bookmarkStart w:id="468" w:name="_Toc3580"/>
      <w:bookmarkStart w:id="469" w:name="_Toc19194"/>
      <w:bookmarkStart w:id="470" w:name="_Toc29107"/>
      <w:bookmarkStart w:id="471" w:name="_Toc20754"/>
      <w:bookmarkStart w:id="472" w:name="_Toc17613"/>
      <w:bookmarkStart w:id="473" w:name="_Toc4676"/>
      <w:bookmarkStart w:id="474" w:name="_Toc23856"/>
      <w:bookmarkStart w:id="475" w:name="_Toc1897"/>
      <w:bookmarkStart w:id="476" w:name="_Toc73112408"/>
      <w:bookmarkStart w:id="477" w:name="_Toc17572"/>
      <w:bookmarkStart w:id="478" w:name="_Toc5634"/>
      <w:bookmarkStart w:id="479" w:name="_Toc10692"/>
      <w:bookmarkStart w:id="480" w:name="_Toc12288"/>
      <w:bookmarkStart w:id="481" w:name="_Toc23025"/>
      <w:bookmarkStart w:id="482" w:name="_Toc18839"/>
      <w:bookmarkStart w:id="483" w:name="_Toc25983"/>
      <w:bookmarkStart w:id="484" w:name="_Toc15620"/>
      <w:bookmarkStart w:id="485" w:name="_Toc8309"/>
      <w:bookmarkStart w:id="486" w:name="_Toc18118"/>
      <w:bookmarkStart w:id="487" w:name="_Toc18492"/>
      <w:bookmarkStart w:id="488" w:name="_Toc81"/>
      <w:bookmarkStart w:id="489" w:name="_Toc24898"/>
      <w:bookmarkStart w:id="490" w:name="_Toc11851"/>
      <w:bookmarkStart w:id="491" w:name="_Toc29792"/>
      <w:r>
        <w:rPr>
          <w:rFonts w:hint="eastAsia" w:ascii="仿宋" w:hAnsi="仿宋" w:eastAsia="仿宋" w:cs="仿宋"/>
          <w:color w:val="000000" w:themeColor="text1"/>
          <w14:textFill>
            <w14:solidFill>
              <w14:schemeClr w14:val="tx1"/>
            </w14:solidFill>
          </w14:textFill>
        </w:rPr>
        <w:t xml:space="preserve">3.1投标方须负责在被通知中标之日起 </w:t>
      </w:r>
      <w:r>
        <w:rPr>
          <w:rFonts w:hint="eastAsia" w:ascii="仿宋" w:hAnsi="仿宋" w:eastAsia="仿宋" w:cs="仿宋"/>
          <w:u w:val="single"/>
          <w:shd w:val="pct10" w:color="auto" w:fill="FFFFFF"/>
        </w:rPr>
        <w:t xml:space="preserve">  30   </w:t>
      </w:r>
      <w:r>
        <w:rPr>
          <w:rFonts w:hint="eastAsia" w:ascii="仿宋" w:hAnsi="仿宋" w:eastAsia="仿宋" w:cs="仿宋"/>
          <w:color w:val="000000" w:themeColor="text1"/>
          <w14:textFill>
            <w14:solidFill>
              <w14:schemeClr w14:val="tx1"/>
            </w14:solidFill>
          </w14:textFill>
        </w:rPr>
        <w:t>个日历日内，提供货物基础及相关的设计、制作所需的纸质及电子版资料；电子版文件应当能够使用常用</w:t>
      </w:r>
      <w:r>
        <w:rPr>
          <w:rFonts w:ascii="宋体" w:hAnsi="宋体"/>
          <w:u w:val="single"/>
          <w:shd w:val="pct10" w:color="auto" w:fill="FFFFFF"/>
        </w:rPr>
        <w:t xml:space="preserve">  </w:t>
      </w:r>
      <w:r>
        <w:rPr>
          <w:rFonts w:hint="eastAsia" w:ascii="仿宋" w:hAnsi="仿宋" w:eastAsia="仿宋" w:cs="仿宋"/>
          <w:color w:val="000000" w:themeColor="text1"/>
          <w14:textFill>
            <w14:solidFill>
              <w14:schemeClr w14:val="tx1"/>
            </w14:solidFill>
          </w14:textFill>
        </w:rPr>
        <w:t>版本软件可以阅读甚至使用，进口货物、设备应有中外文对照。</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3.2投标方应同时提出对厂房、基础、公用设施、消防、环保、职业危害等超出招标文件、投标文件、答疑文件、技术交流文件、技术协议书和合同等规定的、有特殊需要的解释、说明和要求。</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3.3投标方须负责在预验收前，提供货物各部分的功能描述文件、图片、影像等资料（进口、设备应有中外文对照）。</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3.4投标方须负责在终验收前，提供招标方为保证货物正常运行所需后续自制的工装、吊（挂）具明细及其图纸、具体技术要求等资料（如果供货范围包含该部分实物）。</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3.5投标方须负责在交货之前，提供确定的而且质保期之后招标方维修所需要的、可以自行采购的外购件、外协件、电气元件及主要原材料的供货厂家明细表。</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3.6投标方须负责在终验收前，提供包括货物的备品备件、易损件和专用耗材规定的图纸及技术参数、技术要求等资料。</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3.7投标方须负责在终验收前，提供关于采购货物的操作维护手册、保养维修手册、安全注意事项等的使用说明书、仪器仪表检定和使用维修说明书、合格证、产品样本等技术资料（含图片和影像等资料）；对于进口设备，应有中外文资料说明。</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3.8外购部件提供正规装配图及零件明细;标准件提供明细（包括型号、规格、部位、数量、制造厂家）并与装配图一一对应总装配图和主要部件的装配图，全部自制或非标设计零件正规图纸，提供机床所有零件的明细表，零件号与装配图应一一对应，且能方便地查找零件在装配图上的位置；提供关键件、易损件零件图。</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3.9提供关键件，易损件明细;提供所有电气元件，液压元件，气动元件，润滑元件明细表（包括型号、规格、部位、数量、制造厂家）；</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3.8 主要外购装置、外购件、系统的使用指导说明书。</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3.9主要零部件、元器件，由投标方负责检验，并提供检验报告。</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3.10 应提供设备出厂所必须的精度检验证书、性能测试记录和报告。</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 提供设备消耗水、电、气的详细资料。</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3.12 保证设备正常运行、维护和保养必需的其他参数和资料。</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3.13 投标方须负责在合同签订后</w:t>
      </w:r>
      <w:r>
        <w:rPr>
          <w:rFonts w:hint="eastAsia" w:ascii="仿宋" w:hAnsi="仿宋" w:eastAsia="仿宋" w:cs="仿宋"/>
          <w:u w:val="single"/>
          <w:shd w:val="pct10" w:color="auto" w:fill="FFFFFF"/>
        </w:rPr>
        <w:t xml:space="preserve">  30  </w:t>
      </w:r>
      <w:r>
        <w:rPr>
          <w:rFonts w:hint="eastAsia" w:ascii="仿宋" w:hAnsi="仿宋" w:eastAsia="仿宋" w:cs="仿宋"/>
          <w:color w:val="000000" w:themeColor="text1"/>
          <w14:textFill>
            <w14:solidFill>
              <w14:schemeClr w14:val="tx1"/>
            </w14:solidFill>
          </w14:textFill>
        </w:rPr>
        <w:t>日内，提供设备基础及相关的安装、设计资料，并提供电子版资料文件，文件格式为：.doc,.dwg或.dxf；（进口货物、设备应有中外文对照）；并同时提出对厂房、基础、公用设施、消防、环保、职业危害等不超出招标文件、投标文件、答疑文件、技术交流文件、技术协议书和合同等规定的、有特殊要求的解释、说明和要求。</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3.14投标方须负责在设备到达招标方工厂时，与设备一并提供包括设备的设计总图、装配图（包括零部件件号、名称、型号规格、数量等）、设备全线布置图、电气资料（包括接线图、原理图、布线图、梯形图等）、液压（气动）原理图和系统图、安装基础图、维修图等有关的资料、图片、影像等资料(对于进口设备，应有中外文资料说明)，设备外形三维图纸和二维图纸。</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3.15 本“技术资料范围”所列三维图纸能够用PROE或SOLIDWORKS等常用软件阅览和编辑，二维图纸能够用AUTOCAD、CAXA等常用软件阅览和编辑。</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3.16本“技术资料范围”所列的技术资料、图片、影像等，投标方应各提供5套，其中2套为电子版光盘；每份技术文件应装有目录清单。</w:t>
      </w:r>
    </w:p>
    <w:p>
      <w:pPr>
        <w:pStyle w:val="17"/>
        <w:snapToGrid w:val="0"/>
        <w:spacing w:line="360" w:lineRule="auto"/>
        <w:ind w:left="6" w:firstLine="474" w:firstLineChars="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3.17本“技术资料范围”所列要求，如招标方认为投标方提供的资料不能满足要求时，有权要求投标方补充或增加。</w:t>
      </w:r>
    </w:p>
    <w:p>
      <w:pPr>
        <w:pStyle w:val="17"/>
        <w:snapToGrid w:val="0"/>
        <w:spacing w:line="360" w:lineRule="auto"/>
        <w:ind w:left="6" w:firstLine="474" w:firstLineChars="0"/>
        <w:jc w:val="center"/>
        <w:rPr>
          <w:rFonts w:ascii="仿宋" w:hAnsi="仿宋" w:eastAsia="仿宋" w:cs="仿宋"/>
          <w:b/>
          <w:bCs/>
          <w:color w:val="000000" w:themeColor="text1"/>
          <w14:textFill>
            <w14:solidFill>
              <w14:schemeClr w14:val="tx1"/>
            </w14:solidFill>
          </w14:textFill>
        </w:rPr>
      </w:pPr>
      <w:r>
        <w:rPr>
          <w:rFonts w:hint="eastAsia" w:ascii="仿宋" w:hAnsi="仿宋" w:eastAsia="仿宋" w:cs="仿宋"/>
          <w:b/>
          <w:bCs/>
          <w:color w:val="000000" w:themeColor="text1"/>
          <w14:textFill>
            <w14:solidFill>
              <w14:schemeClr w14:val="tx1"/>
            </w14:solidFill>
          </w14:textFill>
        </w:rPr>
        <w:t>第二节供货方式</w:t>
      </w:r>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492" w:name="_Toc24179"/>
      <w:bookmarkStart w:id="493" w:name="_Toc28222"/>
      <w:bookmarkStart w:id="494" w:name="_Toc1474"/>
      <w:bookmarkStart w:id="495" w:name="_Toc14135"/>
      <w:bookmarkStart w:id="496" w:name="_Toc22679"/>
      <w:bookmarkStart w:id="497" w:name="_Toc19237"/>
      <w:bookmarkStart w:id="498" w:name="_Toc28534"/>
      <w:bookmarkStart w:id="499" w:name="_Toc11533"/>
      <w:bookmarkStart w:id="500" w:name="_Toc32491"/>
      <w:bookmarkStart w:id="501" w:name="_Toc28962"/>
      <w:bookmarkStart w:id="502" w:name="_Toc28360"/>
      <w:bookmarkStart w:id="503" w:name="_Toc20263"/>
      <w:bookmarkStart w:id="504" w:name="_Toc73112409"/>
      <w:bookmarkStart w:id="505" w:name="_Toc18282"/>
      <w:bookmarkStart w:id="506" w:name="_Toc10286"/>
      <w:bookmarkStart w:id="507" w:name="_Toc3032"/>
      <w:bookmarkStart w:id="508" w:name="_Toc1116"/>
      <w:bookmarkStart w:id="509" w:name="_Toc27005"/>
      <w:bookmarkStart w:id="510" w:name="_Toc28759"/>
      <w:bookmarkStart w:id="511" w:name="_Toc4344"/>
      <w:r>
        <w:rPr>
          <w:rFonts w:hint="eastAsia" w:ascii="仿宋" w:hAnsi="仿宋" w:eastAsia="仿宋" w:cs="仿宋"/>
          <w:b/>
          <w:bCs/>
          <w:color w:val="000000" w:themeColor="text1"/>
          <w14:textFill>
            <w14:solidFill>
              <w14:schemeClr w14:val="tx1"/>
            </w14:solidFill>
          </w14:textFill>
        </w:rPr>
        <w:t>1供货地点</w:t>
      </w:r>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本项目建设工地。</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12" w:name="_Toc8043"/>
      <w:bookmarkStart w:id="513" w:name="_Toc27724"/>
      <w:bookmarkStart w:id="514" w:name="_Toc5862"/>
      <w:bookmarkStart w:id="515" w:name="_Toc6707"/>
      <w:bookmarkStart w:id="516" w:name="_Toc11152"/>
      <w:bookmarkStart w:id="517" w:name="_Toc11086"/>
      <w:bookmarkStart w:id="518" w:name="_Toc21521"/>
      <w:bookmarkStart w:id="519" w:name="_Toc30858"/>
      <w:bookmarkStart w:id="520" w:name="_Toc6963"/>
      <w:bookmarkStart w:id="521" w:name="_Toc531"/>
      <w:bookmarkStart w:id="522" w:name="_Toc31657"/>
      <w:bookmarkStart w:id="523" w:name="_Toc73112410"/>
      <w:bookmarkStart w:id="524" w:name="_Toc2280"/>
      <w:bookmarkStart w:id="525" w:name="_Toc9856"/>
      <w:bookmarkStart w:id="526" w:name="_Toc27558"/>
      <w:bookmarkStart w:id="527" w:name="_Toc22044"/>
      <w:bookmarkStart w:id="528" w:name="_Toc20257"/>
      <w:bookmarkStart w:id="529" w:name="_Toc26611"/>
      <w:bookmarkStart w:id="530" w:name="_Toc26178"/>
      <w:bookmarkStart w:id="531" w:name="_Toc4215"/>
      <w:r>
        <w:rPr>
          <w:rFonts w:hint="eastAsia" w:ascii="仿宋" w:hAnsi="仿宋" w:eastAsia="仿宋" w:cs="仿宋"/>
          <w:b/>
          <w:bCs/>
          <w:color w:val="000000" w:themeColor="text1"/>
          <w14:textFill>
            <w14:solidFill>
              <w14:schemeClr w14:val="tx1"/>
            </w14:solidFill>
          </w14:textFill>
        </w:rPr>
        <w:t>2供货时间</w:t>
      </w:r>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p>
    <w:p>
      <w:pPr>
        <w:snapToGrid w:val="0"/>
        <w:spacing w:line="360" w:lineRule="auto"/>
        <w:ind w:firstLine="420" w:firstLineChars="200"/>
        <w:jc w:val="left"/>
        <w:rPr>
          <w:rFonts w:ascii="仿宋" w:hAnsi="仿宋" w:eastAsia="仿宋" w:cs="仿宋"/>
          <w:strike/>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2.1投标方应自</w:t>
      </w:r>
      <w:r>
        <w:rPr>
          <w:rFonts w:hint="eastAsia" w:ascii="仿宋" w:hAnsi="仿宋" w:eastAsia="仿宋" w:cs="仿宋"/>
          <w:color w:val="000000" w:themeColor="text1"/>
          <w:lang w:val="en-US" w:eastAsia="zh-CN"/>
          <w14:textFill>
            <w14:solidFill>
              <w14:schemeClr w14:val="tx1"/>
            </w14:solidFill>
          </w14:textFill>
        </w:rPr>
        <w:t>合同生效后</w:t>
      </w:r>
      <w:r>
        <w:rPr>
          <w:rFonts w:hint="eastAsia" w:ascii="仿宋" w:hAnsi="仿宋" w:eastAsia="仿宋" w:cs="仿宋"/>
          <w:color w:val="000000" w:themeColor="text1"/>
          <w14:textFill>
            <w14:solidFill>
              <w14:schemeClr w14:val="tx1"/>
            </w14:solidFill>
          </w14:textFill>
        </w:rPr>
        <w:t>后，</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30个</w:t>
      </w:r>
      <w:r>
        <w:rPr>
          <w:rFonts w:hint="eastAsia" w:ascii="仿宋" w:hAnsi="仿宋" w:eastAsia="仿宋" w:cs="仿宋"/>
          <w:color w:val="000000" w:themeColor="text1"/>
          <w14:textFill>
            <w14:solidFill>
              <w14:schemeClr w14:val="tx1"/>
            </w14:solidFill>
          </w14:textFill>
        </w:rPr>
        <w:t>日历日之内交货至供货地点。</w:t>
      </w:r>
    </w:p>
    <w:p>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2.2连续</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个日历日之内安装调试完毕；</w:t>
      </w:r>
    </w:p>
    <w:p>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2.3连续</w:t>
      </w:r>
      <w:r>
        <w:rPr>
          <w:rFonts w:hint="eastAsia" w:ascii="仿宋" w:hAnsi="仿宋" w:eastAsia="仿宋" w:cs="仿宋"/>
          <w:color w:val="000000" w:themeColor="text1"/>
          <w:u w:val="single"/>
          <w:shd w:val="pct10" w:color="auto" w:fill="FFFFFF"/>
          <w14:textFill>
            <w14:solidFill>
              <w14:schemeClr w14:val="tx1"/>
            </w14:solidFill>
          </w14:textFill>
        </w:rPr>
        <w:t xml:space="preserve"> </w:t>
      </w:r>
      <w:r>
        <w:rPr>
          <w:rFonts w:hint="eastAsia" w:ascii="仿宋" w:hAnsi="仿宋" w:eastAsia="仿宋" w:cs="仿宋"/>
          <w:color w:val="000000" w:themeColor="text1"/>
          <w:u w:val="single"/>
          <w:shd w:val="pct10" w:color="auto" w:fill="FFFFFF"/>
          <w:lang w:val="en-US" w:eastAsia="zh-CN"/>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个日历日之内完成终验收。</w:t>
      </w:r>
    </w:p>
    <w:p>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2.4必要时，投标方应当提供详细的工期计划。</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32" w:name="_Toc73112411"/>
      <w:bookmarkStart w:id="533" w:name="_Toc22617"/>
      <w:bookmarkStart w:id="534" w:name="_Toc17489"/>
      <w:bookmarkStart w:id="535" w:name="_Toc4431"/>
      <w:bookmarkStart w:id="536" w:name="_Toc18845"/>
      <w:bookmarkStart w:id="537" w:name="_Toc9507"/>
      <w:bookmarkStart w:id="538" w:name="_Toc22968"/>
      <w:bookmarkStart w:id="539" w:name="_Toc31485"/>
      <w:bookmarkStart w:id="540" w:name="_Toc16960"/>
      <w:bookmarkStart w:id="541" w:name="_Toc8193"/>
      <w:bookmarkStart w:id="542" w:name="_Toc23122"/>
      <w:bookmarkStart w:id="543" w:name="_Toc29786"/>
      <w:bookmarkStart w:id="544" w:name="_Toc5288"/>
      <w:bookmarkStart w:id="545" w:name="_Toc22394"/>
      <w:bookmarkStart w:id="546" w:name="_Toc18153"/>
      <w:bookmarkStart w:id="547" w:name="_Toc17351"/>
      <w:bookmarkStart w:id="548" w:name="_Toc11749"/>
      <w:bookmarkStart w:id="549" w:name="_Toc8419"/>
      <w:bookmarkStart w:id="550" w:name="_Toc24587"/>
      <w:bookmarkStart w:id="551" w:name="_Toc30983"/>
      <w:r>
        <w:rPr>
          <w:rFonts w:hint="eastAsia" w:ascii="仿宋" w:hAnsi="仿宋" w:eastAsia="仿宋" w:cs="仿宋"/>
          <w:b/>
          <w:bCs/>
          <w:color w:val="000000" w:themeColor="text1"/>
          <w14:textFill>
            <w14:solidFill>
              <w14:schemeClr w14:val="tx1"/>
            </w14:solidFill>
          </w14:textFill>
        </w:rPr>
        <w:t>3质保期</w:t>
      </w:r>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3.1投标方所提供货物涉及的全部供货范围内的设备、材料、零配件和工器具等，除合同特别约定外，其质保期均自终验收签字生效之日起</w:t>
      </w:r>
      <w:r>
        <w:rPr>
          <w:rFonts w:hint="eastAsia" w:ascii="仿宋" w:hAnsi="仿宋" w:eastAsia="仿宋" w:cs="仿宋"/>
          <w:color w:val="000000" w:themeColor="text1"/>
          <w:u w:val="single"/>
          <w:shd w:val="pct10" w:color="auto" w:fill="FFFFFF"/>
          <w14:textFill>
            <w14:solidFill>
              <w14:schemeClr w14:val="tx1"/>
            </w14:solidFill>
          </w14:textFill>
        </w:rPr>
        <w:t>12</w:t>
      </w:r>
      <w:r>
        <w:rPr>
          <w:rFonts w:hint="eastAsia" w:ascii="仿宋" w:hAnsi="仿宋" w:eastAsia="仿宋" w:cs="仿宋"/>
          <w:color w:val="000000" w:themeColor="text1"/>
          <w14:textFill>
            <w14:solidFill>
              <w14:schemeClr w14:val="tx1"/>
            </w14:solidFill>
          </w14:textFill>
        </w:rPr>
        <w:t>个月。</w:t>
      </w:r>
    </w:p>
    <w:p>
      <w:pPr>
        <w:snapToGrid w:val="0"/>
        <w:spacing w:line="360" w:lineRule="auto"/>
        <w:ind w:firstLine="420" w:firstLineChars="200"/>
        <w:jc w:val="left"/>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3.2质保期之内，如果货物出现关键设备、总成、零部件或者多处一般设备、总成、零部件的更换或维修行为，则质保期自更换或维修行为结束、货物能够正常运行使用之日起重新计算。</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52" w:name="_Toc21924"/>
      <w:bookmarkStart w:id="553" w:name="_Toc19011"/>
      <w:bookmarkStart w:id="554" w:name="_Toc17320"/>
      <w:bookmarkStart w:id="555" w:name="_Toc73112412"/>
      <w:bookmarkStart w:id="556" w:name="_Toc14622"/>
      <w:bookmarkStart w:id="557" w:name="_Toc28907"/>
      <w:bookmarkStart w:id="558" w:name="_Toc16664"/>
      <w:bookmarkStart w:id="559" w:name="_Toc20248"/>
      <w:bookmarkStart w:id="560" w:name="_Toc12791"/>
      <w:bookmarkStart w:id="561" w:name="_Toc5126"/>
      <w:bookmarkStart w:id="562" w:name="_Toc27080"/>
      <w:bookmarkStart w:id="563" w:name="_Toc21555"/>
      <w:bookmarkStart w:id="564" w:name="_Toc20400"/>
      <w:bookmarkStart w:id="565" w:name="_Toc27729"/>
      <w:bookmarkStart w:id="566" w:name="_Toc26040"/>
      <w:bookmarkStart w:id="567" w:name="_Toc16381"/>
      <w:bookmarkStart w:id="568" w:name="_Toc29090"/>
      <w:bookmarkStart w:id="569" w:name="_Toc27377"/>
      <w:bookmarkStart w:id="570" w:name="_Toc10272"/>
      <w:bookmarkStart w:id="571" w:name="_Toc426"/>
      <w:r>
        <w:rPr>
          <w:rFonts w:hint="eastAsia" w:ascii="仿宋" w:hAnsi="仿宋" w:eastAsia="仿宋" w:cs="仿宋"/>
          <w:b/>
          <w:bCs/>
          <w:color w:val="000000" w:themeColor="text1"/>
          <w14:textFill>
            <w14:solidFill>
              <w14:schemeClr w14:val="tx1"/>
            </w14:solidFill>
          </w14:textFill>
        </w:rPr>
        <w:t>4包装</w:t>
      </w:r>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4.1投标方所提供货物（或设备）的包装，应遵照国家标准和有关包装、包皮的技术条件，或按照最好的商业惯例进行包装。</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4.2包装应能满足所需要采取的运输方式（船运、汽运或铁路运输）、多次吊装卸装、卸货以及长期露天堆放要求，应能防止雨淋、受潮、生锈、腐蚀、受振、受磁以及机械和化学因素等引起的损坏。</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4.3投标方所提供货物（或设备）的包装，应能防止其一般性被窃或受外力破坏；一般不得采用有大缝隙的板条包装。</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4.4投标方应对包装件做必要的加固和固定等防护措施，以防止运输可能造成的损坏。</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4.5每个包装件应有装箱单，并至少标明名称、型号规格、数量、净重和毛重、投标方（或供货商）名称和制造日期等相关内容。</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4.6每个包装箱应有明显标志，并具有中文书写的合同号、装运标志、发货和到货地点名称、发货人和收货人名称、货物名称和项目号、箱号和外型尺寸等内容。</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4.7投标方还应按照不同的装运要求在包装箱上标明“小心轻放”、“箭头向上”、“防潮”、“防磁”、“不准平放”等标志，以及其它适用的国标通用标志。</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4.8包装箱应连续编号，不应出现重复编号。</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4.9在不受到外界破坏情况下，包装应保证自交货日起一年内货物（或设备）完好无损。</w:t>
      </w:r>
    </w:p>
    <w:p>
      <w:pPr>
        <w:snapToGrid w:val="0"/>
        <w:spacing w:line="360" w:lineRule="auto"/>
        <w:ind w:left="480"/>
        <w:outlineLvl w:val="2"/>
        <w:rPr>
          <w:rFonts w:ascii="仿宋" w:hAnsi="仿宋" w:eastAsia="仿宋" w:cs="仿宋"/>
          <w:b/>
          <w:bCs/>
          <w:color w:val="000000" w:themeColor="text1"/>
          <w14:textFill>
            <w14:solidFill>
              <w14:schemeClr w14:val="tx1"/>
            </w14:solidFill>
          </w14:textFill>
        </w:rPr>
      </w:pPr>
      <w:bookmarkStart w:id="572" w:name="_Toc5373"/>
      <w:bookmarkStart w:id="573" w:name="_Toc21308"/>
      <w:bookmarkStart w:id="574" w:name="_Toc32266"/>
      <w:bookmarkStart w:id="575" w:name="_Toc73112413"/>
      <w:bookmarkStart w:id="576" w:name="_Toc22792"/>
      <w:bookmarkStart w:id="577" w:name="_Toc22992"/>
      <w:bookmarkStart w:id="578" w:name="_Toc7046"/>
      <w:bookmarkStart w:id="579" w:name="_Toc17881"/>
      <w:bookmarkStart w:id="580" w:name="_Toc31538"/>
      <w:bookmarkStart w:id="581" w:name="_Toc7889"/>
      <w:bookmarkStart w:id="582" w:name="_Toc26302"/>
      <w:bookmarkStart w:id="583" w:name="_Toc21886"/>
      <w:bookmarkStart w:id="584" w:name="_Toc20536"/>
      <w:bookmarkStart w:id="585" w:name="_Toc1857"/>
      <w:bookmarkStart w:id="586" w:name="_Toc4346"/>
      <w:bookmarkStart w:id="587" w:name="_Toc25305"/>
      <w:bookmarkStart w:id="588" w:name="_Toc17990"/>
      <w:bookmarkStart w:id="589" w:name="_Toc22949"/>
      <w:bookmarkStart w:id="590" w:name="_Toc23221"/>
      <w:bookmarkStart w:id="591" w:name="_Toc8"/>
      <w:r>
        <w:rPr>
          <w:rFonts w:hint="eastAsia" w:ascii="仿宋" w:hAnsi="仿宋" w:eastAsia="仿宋" w:cs="仿宋"/>
          <w:b/>
          <w:bCs/>
          <w:color w:val="000000" w:themeColor="text1"/>
          <w14:textFill>
            <w14:solidFill>
              <w14:schemeClr w14:val="tx1"/>
            </w14:solidFill>
          </w14:textFill>
        </w:rPr>
        <w:t>5运输</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5.1投标方应负责将货物（或设备）运到目的地，并必须做到货物（或设备）在任何运输过程中不受损坏和遗失</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5.2同批货物（或设备）应统一包装、编号运输。</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5.3一般情况下，经由铁路、公路运输的包装件尺寸和重量不应超过国家所规定的尺寸限制。特殊情况应予以说明。</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5.4在每批货物（或设备）发出后，投标方应立即通知招标方；通知中应指明：合同号、货运单号、件数、重量和货物（或设备）发出日期等相关内容。</w:t>
      </w:r>
    </w:p>
    <w:p>
      <w:pPr>
        <w:pStyle w:val="17"/>
        <w:snapToGrid w:val="0"/>
        <w:spacing w:line="360" w:lineRule="auto"/>
        <w:ind w:firstLine="48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5.5货物（或设备）运抵招标方现场后，投标方应负责货物（或设备）的卸货、搬运、保管等事宜；或按照合同约定。</w:t>
      </w:r>
      <w:bookmarkStart w:id="592" w:name="_Toc133783973"/>
    </w:p>
    <w:p>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593" w:name="_Toc20251"/>
      <w:bookmarkStart w:id="594" w:name="_Toc14229"/>
      <w:bookmarkStart w:id="595" w:name="_Toc29063"/>
      <w:bookmarkStart w:id="596" w:name="_Toc27169"/>
      <w:bookmarkStart w:id="597" w:name="_Toc24397"/>
      <w:bookmarkStart w:id="598" w:name="_Toc1740"/>
      <w:bookmarkStart w:id="599" w:name="_Toc14023"/>
      <w:bookmarkStart w:id="600" w:name="_Toc14916"/>
      <w:bookmarkStart w:id="601" w:name="_Toc11027"/>
      <w:bookmarkStart w:id="602" w:name="_Toc10894"/>
      <w:bookmarkStart w:id="603" w:name="_Toc8515"/>
      <w:bookmarkStart w:id="604" w:name="_Toc12478"/>
      <w:bookmarkStart w:id="605" w:name="_Toc14171"/>
      <w:bookmarkStart w:id="606" w:name="_Toc14862"/>
      <w:bookmarkStart w:id="607" w:name="_Toc26671"/>
      <w:bookmarkStart w:id="608" w:name="_Toc24415"/>
      <w:bookmarkStart w:id="609" w:name="_Toc15153"/>
      <w:bookmarkStart w:id="610" w:name="_Toc3739"/>
      <w:bookmarkStart w:id="611" w:name="_Toc12994"/>
      <w:bookmarkStart w:id="612" w:name="_Toc73112414"/>
      <w:bookmarkStart w:id="613" w:name="_Toc24978"/>
      <w:bookmarkStart w:id="614" w:name="_Toc23255"/>
      <w:bookmarkStart w:id="615" w:name="_Toc32280"/>
      <w:bookmarkStart w:id="616" w:name="_Toc25044"/>
      <w:bookmarkStart w:id="617" w:name="_Toc13927"/>
      <w:bookmarkStart w:id="618" w:name="_Toc7501"/>
      <w:bookmarkStart w:id="619" w:name="_Toc7672"/>
      <w:bookmarkStart w:id="620" w:name="_Toc28164"/>
      <w:bookmarkStart w:id="621" w:name="_Toc12021"/>
      <w:bookmarkStart w:id="622" w:name="_Toc16036"/>
      <w:bookmarkStart w:id="623" w:name="_Toc9059"/>
      <w:bookmarkStart w:id="624" w:name="_Toc25292"/>
      <w:bookmarkStart w:id="625" w:name="_Toc26651"/>
      <w:bookmarkStart w:id="626" w:name="_Toc27085"/>
      <w:bookmarkStart w:id="627" w:name="_Toc19133"/>
      <w:bookmarkStart w:id="628" w:name="_Toc19986"/>
      <w:bookmarkStart w:id="629" w:name="_Toc2250"/>
      <w:bookmarkStart w:id="630" w:name="_Toc10676"/>
      <w:bookmarkStart w:id="631" w:name="_Toc31301"/>
      <w:bookmarkStart w:id="632" w:name="_Toc10275"/>
      <w:bookmarkStart w:id="633" w:name="_Toc28211"/>
      <w:bookmarkStart w:id="634" w:name="_Toc25780"/>
      <w:bookmarkStart w:id="635" w:name="_Toc22680"/>
      <w:bookmarkStart w:id="636" w:name="_Toc2668"/>
      <w:bookmarkStart w:id="637" w:name="_Toc18423"/>
      <w:bookmarkStart w:id="638" w:name="_Toc14414"/>
      <w:r>
        <w:rPr>
          <w:rFonts w:hint="eastAsia" w:ascii="仿宋" w:hAnsi="仿宋" w:eastAsia="仿宋" w:cs="仿宋"/>
          <w:b/>
          <w:bCs/>
          <w:color w:val="000000" w:themeColor="text1"/>
          <w14:textFill>
            <w14:solidFill>
              <w14:schemeClr w14:val="tx1"/>
            </w14:solidFill>
          </w14:textFill>
        </w:rPr>
        <w:t>第四章售中售后服务</w:t>
      </w:r>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639" w:name="_Toc4180"/>
      <w:bookmarkStart w:id="640" w:name="_Toc20772"/>
      <w:bookmarkStart w:id="641" w:name="_Toc14199"/>
      <w:bookmarkStart w:id="642" w:name="_Toc24344"/>
      <w:bookmarkStart w:id="643" w:name="_Toc4952"/>
      <w:bookmarkStart w:id="644" w:name="_Toc73112415"/>
      <w:bookmarkStart w:id="645" w:name="_Toc10542"/>
      <w:bookmarkStart w:id="646" w:name="_Toc9919"/>
      <w:bookmarkStart w:id="647" w:name="_Toc2564"/>
      <w:bookmarkStart w:id="648" w:name="_Toc23892"/>
      <w:bookmarkStart w:id="649" w:name="_Toc10791"/>
      <w:bookmarkStart w:id="650" w:name="_Toc7036"/>
      <w:bookmarkStart w:id="651" w:name="_Toc24654"/>
      <w:bookmarkStart w:id="652" w:name="_Toc344"/>
      <w:bookmarkStart w:id="653" w:name="_Toc17832"/>
      <w:bookmarkStart w:id="654" w:name="_Toc12793"/>
      <w:bookmarkStart w:id="655" w:name="_Toc19576"/>
      <w:bookmarkStart w:id="656" w:name="_Toc17645"/>
      <w:bookmarkStart w:id="657" w:name="_Toc217"/>
      <w:bookmarkStart w:id="658" w:name="_Toc30399"/>
      <w:bookmarkStart w:id="659" w:name="_Toc9079"/>
      <w:bookmarkStart w:id="660" w:name="_Toc25505"/>
      <w:bookmarkStart w:id="661" w:name="_Toc29321"/>
      <w:bookmarkStart w:id="662" w:name="_Toc16066"/>
      <w:bookmarkStart w:id="663" w:name="_Toc28487"/>
      <w:bookmarkStart w:id="664" w:name="_Toc7723"/>
      <w:bookmarkStart w:id="665" w:name="_Toc4682"/>
      <w:bookmarkStart w:id="666" w:name="_Toc13551"/>
      <w:bookmarkStart w:id="667" w:name="_Toc10787"/>
      <w:bookmarkStart w:id="668" w:name="_Toc23493"/>
      <w:bookmarkStart w:id="669" w:name="_Toc788"/>
      <w:bookmarkStart w:id="670" w:name="_Toc20514"/>
      <w:bookmarkStart w:id="671" w:name="_Toc8465"/>
      <w:bookmarkStart w:id="672" w:name="_Toc3722"/>
      <w:bookmarkStart w:id="673" w:name="_Toc414"/>
      <w:bookmarkStart w:id="674" w:name="_Toc18522"/>
      <w:bookmarkStart w:id="675" w:name="_Toc19735"/>
      <w:bookmarkStart w:id="676" w:name="_Toc23541"/>
      <w:bookmarkStart w:id="677" w:name="_Toc13786"/>
      <w:bookmarkStart w:id="678" w:name="_Toc8910"/>
      <w:bookmarkStart w:id="679" w:name="_Toc3697"/>
      <w:bookmarkStart w:id="680" w:name="_Toc27811"/>
      <w:bookmarkStart w:id="681" w:name="_Toc29262"/>
      <w:bookmarkStart w:id="682" w:name="_Toc14968"/>
      <w:bookmarkStart w:id="683" w:name="_Toc2661"/>
      <w:r>
        <w:rPr>
          <w:rFonts w:hint="eastAsia" w:ascii="仿宋" w:hAnsi="仿宋" w:eastAsia="仿宋" w:cs="仿宋"/>
          <w:b/>
          <w:bCs/>
          <w:color w:val="000000" w:themeColor="text1"/>
          <w14:textFill>
            <w14:solidFill>
              <w14:schemeClr w14:val="tx1"/>
            </w14:solidFill>
          </w14:textFill>
        </w:rPr>
        <w:t>1技术及培训服务</w:t>
      </w:r>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1.1投标方应负责对招标方</w:t>
      </w:r>
      <w:r>
        <w:rPr>
          <w:rFonts w:hint="eastAsia" w:ascii="仿宋" w:hAnsi="仿宋" w:eastAsia="仿宋" w:cs="仿宋"/>
          <w:color w:val="000000" w:themeColor="text1"/>
          <w:u w:val="single"/>
          <w:shd w:val="pct10" w:color="auto" w:fill="FFFFFF"/>
          <w14:textFill>
            <w14:solidFill>
              <w14:schemeClr w14:val="tx1"/>
            </w14:solidFill>
          </w14:textFill>
        </w:rPr>
        <w:t xml:space="preserve"> 3-5</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名工程技术人员、维修人员和操作人员提供不少于</w:t>
      </w:r>
      <w:r>
        <w:rPr>
          <w:rFonts w:hint="eastAsia" w:ascii="仿宋" w:hAnsi="仿宋" w:eastAsia="仿宋" w:cs="仿宋"/>
          <w:color w:val="000000" w:themeColor="text1"/>
          <w:u w:val="single"/>
          <w:shd w:val="pct10" w:color="auto" w:fill="FFFFFF"/>
          <w14:textFill>
            <w14:solidFill>
              <w14:schemeClr w14:val="tx1"/>
            </w14:solidFill>
          </w14:textFill>
        </w:rPr>
        <w:t xml:space="preserve"> 7</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个日历日的免费的、生产制造现场的理论、技术和操作、维修、安全等方面的指导和培训，并为招标方受培训人员提供免费的培训地交通、食宿条件。</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1.2投标方应负责在招标方货物使用现场，进行</w:t>
      </w:r>
      <w:r>
        <w:rPr>
          <w:rFonts w:hint="eastAsia" w:ascii="仿宋" w:hAnsi="仿宋" w:eastAsia="仿宋" w:cs="仿宋"/>
          <w:color w:val="000000" w:themeColor="text1"/>
          <w:shd w:val="pct10" w:color="auto" w:fill="FFFFFF"/>
          <w14:textFill>
            <w14:solidFill>
              <w14:schemeClr w14:val="tx1"/>
            </w14:solidFill>
          </w14:textFill>
        </w:rPr>
        <w:t>2～3</w:t>
      </w:r>
      <w:r>
        <w:rPr>
          <w:rFonts w:hint="eastAsia" w:ascii="仿宋" w:hAnsi="仿宋" w:eastAsia="仿宋" w:cs="仿宋"/>
          <w:color w:val="000000" w:themeColor="text1"/>
          <w14:textFill>
            <w14:solidFill>
              <w14:schemeClr w14:val="tx1"/>
            </w14:solidFill>
          </w14:textFill>
        </w:rPr>
        <w:t>次免费的技术指导和培训，并接受招标方有关人员的技术咨询。</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1.3投标方应免费提供全套培训资料。所有设备均需要配备产品说明书，包括设备的内部结构、组成及保养、维护、调试等相关内容，便于生产人员及维修人员查阅。</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1.4投标方应按要求，免费积极协助和提供招标方以及招标方所委托的工程设计单位有关人员所需要的、与货物有关的工程设计资料、技术咨询等。</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1.5若投标方提供的货物涉及到外购外协货物、而且该货物的技术质量等较为关键时，凡招标方提出需求的，投标方应能得到配套厂家的技术支持，并免费为招标方提供技术服务及培训。</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投标方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684" w:name="_Toc22719"/>
      <w:bookmarkStart w:id="685" w:name="_Toc16207"/>
      <w:bookmarkStart w:id="686" w:name="_Toc5703"/>
      <w:bookmarkStart w:id="687" w:name="_Toc13864"/>
      <w:bookmarkStart w:id="688" w:name="_Toc3042"/>
      <w:bookmarkStart w:id="689" w:name="_Toc1176"/>
      <w:bookmarkStart w:id="690" w:name="_Toc29981"/>
      <w:bookmarkStart w:id="691" w:name="_Toc30271"/>
      <w:bookmarkStart w:id="692" w:name="_Toc11060"/>
      <w:bookmarkStart w:id="693" w:name="_Toc9824"/>
      <w:bookmarkStart w:id="694" w:name="_Toc31039"/>
      <w:bookmarkStart w:id="695" w:name="_Toc19866"/>
      <w:bookmarkStart w:id="696" w:name="_Toc26430"/>
      <w:bookmarkStart w:id="697" w:name="_Toc73112416"/>
      <w:bookmarkStart w:id="698" w:name="_Toc3976"/>
      <w:bookmarkStart w:id="699" w:name="_Toc17516"/>
      <w:bookmarkStart w:id="700" w:name="_Toc15460"/>
      <w:bookmarkStart w:id="701" w:name="_Toc29413"/>
      <w:bookmarkStart w:id="702" w:name="_Toc17849"/>
      <w:bookmarkStart w:id="703" w:name="_Toc16259"/>
      <w:bookmarkStart w:id="704" w:name="_Toc16493"/>
      <w:bookmarkStart w:id="705" w:name="_Toc3892"/>
      <w:bookmarkStart w:id="706" w:name="_Toc25347"/>
      <w:bookmarkStart w:id="707" w:name="_Toc26880"/>
      <w:bookmarkStart w:id="708" w:name="_Toc6394"/>
      <w:bookmarkStart w:id="709" w:name="_Toc13970"/>
      <w:bookmarkStart w:id="710" w:name="_Toc21693"/>
      <w:bookmarkStart w:id="711" w:name="_Toc1525"/>
      <w:bookmarkStart w:id="712" w:name="_Toc1420"/>
      <w:bookmarkStart w:id="713" w:name="_Toc26197"/>
      <w:bookmarkStart w:id="714" w:name="_Toc25721"/>
      <w:bookmarkStart w:id="715" w:name="_Toc17865"/>
      <w:bookmarkStart w:id="716" w:name="_Toc14504"/>
      <w:bookmarkStart w:id="717" w:name="_Toc3907"/>
      <w:bookmarkStart w:id="718" w:name="_Toc15028"/>
      <w:bookmarkStart w:id="719" w:name="_Toc22693"/>
      <w:bookmarkStart w:id="720" w:name="_Toc11516"/>
      <w:bookmarkStart w:id="721" w:name="_Toc19800"/>
      <w:bookmarkStart w:id="722" w:name="_Toc22880"/>
      <w:bookmarkStart w:id="723" w:name="_Toc16867"/>
      <w:bookmarkStart w:id="724" w:name="_Toc10782"/>
      <w:bookmarkStart w:id="725" w:name="_Toc13235"/>
      <w:bookmarkStart w:id="726" w:name="_Toc32690"/>
      <w:bookmarkStart w:id="727" w:name="_Toc25595"/>
      <w:r>
        <w:rPr>
          <w:rFonts w:hint="eastAsia" w:ascii="仿宋" w:hAnsi="仿宋" w:eastAsia="仿宋" w:cs="仿宋"/>
          <w:b/>
          <w:bCs/>
          <w:color w:val="000000" w:themeColor="text1"/>
          <w14:textFill>
            <w14:solidFill>
              <w14:schemeClr w14:val="tx1"/>
            </w14:solidFill>
          </w14:textFill>
        </w:rPr>
        <w:t>2安装调试服务</w:t>
      </w:r>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2.1根据货物的要求，调试可分空载和负载两个阶段进行；招标方将予以积极配合，协助投标方达到货物的各项技术指标和性能要求。</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安装调试与验收期间，若投标方提供的货物涉及到外购外协货物、而且该货物的技术质量等较为关键时，凡招标方提出需求的，投标方应能得到配套厂家的技术支持，并免费为招标方提供安装使用现场的指导与协调。</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2.3投标方提供收费的或免费的、指导安装调试或负责安装调试，至少应在投标文件的报价章节中，予以明确说明。</w:t>
      </w:r>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728" w:name="_Toc8975"/>
      <w:bookmarkStart w:id="729" w:name="_Toc19810"/>
      <w:bookmarkStart w:id="730" w:name="_Toc13443"/>
      <w:bookmarkStart w:id="731" w:name="_Toc16706"/>
      <w:bookmarkStart w:id="732" w:name="_Toc32442"/>
      <w:bookmarkStart w:id="733" w:name="_Toc628"/>
      <w:bookmarkStart w:id="734" w:name="_Toc3170"/>
      <w:bookmarkStart w:id="735" w:name="_Toc17284"/>
      <w:bookmarkStart w:id="736" w:name="_Toc16373"/>
      <w:bookmarkStart w:id="737" w:name="_Toc4076"/>
      <w:bookmarkStart w:id="738" w:name="_Toc7783"/>
      <w:bookmarkStart w:id="739" w:name="_Toc2772"/>
      <w:bookmarkStart w:id="740" w:name="_Toc22871"/>
      <w:bookmarkStart w:id="741" w:name="_Toc19674"/>
      <w:bookmarkStart w:id="742" w:name="_Toc30398"/>
      <w:bookmarkStart w:id="743" w:name="_Toc24615"/>
      <w:bookmarkStart w:id="744" w:name="_Toc11229"/>
      <w:bookmarkStart w:id="745" w:name="_Toc17427"/>
      <w:bookmarkStart w:id="746" w:name="_Toc12739"/>
      <w:bookmarkStart w:id="747" w:name="_Toc2657"/>
      <w:bookmarkStart w:id="748" w:name="_Toc1585"/>
      <w:bookmarkStart w:id="749" w:name="_Toc9329"/>
      <w:bookmarkStart w:id="750" w:name="_Toc73112417"/>
      <w:bookmarkStart w:id="751" w:name="_Toc16916"/>
      <w:bookmarkStart w:id="752" w:name="_Toc9878"/>
      <w:bookmarkStart w:id="753" w:name="_Toc10635"/>
      <w:bookmarkStart w:id="754" w:name="_Toc32488"/>
      <w:bookmarkStart w:id="755" w:name="_Toc27515"/>
      <w:bookmarkStart w:id="756" w:name="_Toc29125"/>
      <w:bookmarkStart w:id="757" w:name="_Toc30193"/>
      <w:bookmarkStart w:id="758" w:name="_Toc1565"/>
      <w:bookmarkStart w:id="759" w:name="_Toc218"/>
      <w:bookmarkStart w:id="760" w:name="_Toc2097"/>
      <w:bookmarkStart w:id="761" w:name="_Toc29126"/>
      <w:bookmarkStart w:id="762" w:name="_Toc2510"/>
      <w:bookmarkStart w:id="763" w:name="_Toc7956"/>
      <w:bookmarkStart w:id="764" w:name="_Toc13921"/>
      <w:bookmarkStart w:id="765" w:name="_Toc4751"/>
      <w:bookmarkStart w:id="766" w:name="_Toc9269"/>
      <w:bookmarkStart w:id="767" w:name="_Toc29245"/>
      <w:bookmarkStart w:id="768" w:name="_Toc478"/>
      <w:bookmarkStart w:id="769" w:name="_Toc16435"/>
      <w:bookmarkStart w:id="770" w:name="_Toc16337"/>
      <w:bookmarkStart w:id="771" w:name="_Toc25079"/>
      <w:bookmarkStart w:id="772" w:name="_Toc18269"/>
      <w:r>
        <w:rPr>
          <w:rFonts w:hint="eastAsia" w:ascii="仿宋" w:hAnsi="仿宋" w:eastAsia="仿宋" w:cs="仿宋"/>
          <w:b/>
          <w:bCs/>
          <w:color w:val="000000" w:themeColor="text1"/>
          <w14:textFill>
            <w14:solidFill>
              <w14:schemeClr w14:val="tx1"/>
            </w14:solidFill>
          </w14:textFill>
        </w:rPr>
        <w:t>3验收服务</w:t>
      </w:r>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bookmarkStart w:id="773" w:name="_Toc22965"/>
      <w:bookmarkStart w:id="774" w:name="_Toc18968"/>
      <w:bookmarkStart w:id="775" w:name="_Toc32682"/>
      <w:bookmarkStart w:id="776" w:name="_Toc7478"/>
      <w:bookmarkStart w:id="777" w:name="_Toc21987"/>
      <w:bookmarkStart w:id="778" w:name="_Toc14739"/>
      <w:bookmarkStart w:id="779" w:name="_Toc73112418"/>
      <w:bookmarkStart w:id="780" w:name="_Toc20916"/>
      <w:bookmarkStart w:id="781" w:name="_Toc20717"/>
      <w:bookmarkStart w:id="782" w:name="_Toc19441"/>
      <w:bookmarkStart w:id="783" w:name="_Toc22392"/>
      <w:bookmarkStart w:id="784" w:name="_Toc4417"/>
      <w:bookmarkStart w:id="785" w:name="_Toc19397"/>
      <w:bookmarkStart w:id="786" w:name="_Toc29633"/>
      <w:bookmarkStart w:id="787" w:name="_Toc7782"/>
      <w:bookmarkStart w:id="788" w:name="_Toc26773"/>
      <w:bookmarkStart w:id="789" w:name="_Toc17056"/>
      <w:bookmarkStart w:id="790" w:name="_Toc26554"/>
      <w:bookmarkStart w:id="791" w:name="_Toc28635"/>
      <w:bookmarkStart w:id="792" w:name="_Toc11213"/>
      <w:bookmarkStart w:id="793" w:name="_Toc1454"/>
      <w:bookmarkStart w:id="794" w:name="_Toc8078"/>
      <w:bookmarkStart w:id="795" w:name="_Toc17895"/>
      <w:bookmarkStart w:id="796" w:name="_Toc2093"/>
      <w:bookmarkStart w:id="797" w:name="_Toc27224"/>
      <w:bookmarkStart w:id="798" w:name="_Toc30412"/>
      <w:bookmarkStart w:id="799" w:name="_Toc1199"/>
      <w:bookmarkStart w:id="800" w:name="_Toc542"/>
      <w:bookmarkStart w:id="801" w:name="_Toc20081"/>
      <w:bookmarkStart w:id="802" w:name="_Toc1311"/>
      <w:bookmarkStart w:id="803" w:name="_Toc10014"/>
      <w:bookmarkStart w:id="804" w:name="_Toc18836"/>
      <w:bookmarkStart w:id="805" w:name="_Toc6099"/>
      <w:bookmarkStart w:id="806" w:name="_Toc11699"/>
      <w:bookmarkStart w:id="807" w:name="_Toc20426"/>
      <w:bookmarkStart w:id="808" w:name="_Toc29778"/>
      <w:bookmarkStart w:id="809" w:name="_Toc9592"/>
      <w:bookmarkStart w:id="810" w:name="_Toc3798"/>
      <w:bookmarkStart w:id="811" w:name="_Toc32079"/>
      <w:bookmarkStart w:id="812" w:name="_Toc6232"/>
      <w:bookmarkStart w:id="813" w:name="_Toc29300"/>
      <w:bookmarkStart w:id="814" w:name="_Toc10808"/>
      <w:r>
        <w:rPr>
          <w:rFonts w:hint="eastAsia" w:ascii="仿宋" w:hAnsi="仿宋" w:eastAsia="仿宋" w:cs="仿宋"/>
          <w:color w:val="000000" w:themeColor="text1"/>
          <w14:textFill>
            <w14:solidFill>
              <w14:schemeClr w14:val="tx1"/>
            </w14:solidFill>
          </w14:textFill>
        </w:rPr>
        <w:t>3.1投标方在招标方现场进行的货物的预验收和终验收配合或指导，应当是免费的。</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 货物验收时，若投标方提供的货物涉及到外购外协货物、而且该货物的技术质量等较为关键时，投标方应能得到配套厂家的技术支持，并免费为招标方提供使用现场验收的配合或指导。</w:t>
      </w:r>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3.3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pPr>
        <w:snapToGrid w:val="0"/>
        <w:spacing w:line="360" w:lineRule="auto"/>
        <w:ind w:left="480"/>
        <w:outlineLvl w:val="1"/>
        <w:rPr>
          <w:rFonts w:hint="eastAsia" w:ascii="仿宋" w:hAnsi="仿宋" w:eastAsia="仿宋" w:cs="仿宋"/>
          <w:b/>
          <w:bCs/>
          <w:color w:val="000000" w:themeColor="text1"/>
          <w14:textFill>
            <w14:solidFill>
              <w14:schemeClr w14:val="tx1"/>
            </w14:solidFill>
          </w14:textFill>
        </w:rPr>
      </w:pPr>
      <w:bookmarkStart w:id="815" w:name="_Toc988"/>
      <w:bookmarkStart w:id="816" w:name="_Toc26183"/>
      <w:r>
        <w:rPr>
          <w:rFonts w:hint="eastAsia" w:ascii="仿宋" w:hAnsi="仿宋" w:eastAsia="仿宋" w:cs="仿宋"/>
          <w:b/>
          <w:bCs/>
          <w:color w:val="000000" w:themeColor="text1"/>
          <w14:textFill>
            <w14:solidFill>
              <w14:schemeClr w14:val="tx1"/>
            </w14:solidFill>
          </w14:textFill>
        </w:rPr>
        <w:t>4售后服务</w:t>
      </w:r>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4.1所有的售后服务均由投标方受理。如果发生问题并且收到报告，投标方应当在2小时内予以答复。</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4.2如发现所提供的货物存在问题，需要投标方解决或配合解决时：在质保期之内，应在接到通知后</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小时内派有关人员到达现场；在质保期之外，应在接到通知后</w:t>
      </w:r>
      <w:r>
        <w:rPr>
          <w:rFonts w:hint="eastAsia" w:ascii="仿宋" w:hAnsi="仿宋" w:eastAsia="仿宋" w:cs="仿宋"/>
          <w:color w:val="000000" w:themeColor="text1"/>
          <w:u w:val="single"/>
          <w:shd w:val="pct10" w:color="auto" w:fill="FFFFFF"/>
          <w14:textFill>
            <w14:solidFill>
              <w14:schemeClr w14:val="tx1"/>
            </w14:solidFill>
          </w14:textFill>
        </w:rPr>
        <w:t>24</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小时内派有关人员到达现场。</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4.3投标方派往招标方使用现场的人员，应具有较高的业务素质；现场解决问题时，不得无故拖延或推迟，应为招标方提供最佳的服务。</w:t>
      </w:r>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817" w:name="_Toc27285"/>
      <w:bookmarkStart w:id="818" w:name="_Toc4793"/>
      <w:bookmarkStart w:id="819" w:name="_Toc30999"/>
      <w:bookmarkStart w:id="820" w:name="_Toc28927"/>
      <w:bookmarkStart w:id="821" w:name="_Toc9982"/>
      <w:bookmarkStart w:id="822" w:name="_Toc22262"/>
      <w:bookmarkStart w:id="823" w:name="_Toc32366"/>
      <w:bookmarkStart w:id="824" w:name="_Toc20936"/>
      <w:bookmarkStart w:id="825" w:name="_Toc913"/>
      <w:bookmarkStart w:id="826" w:name="_Toc25693"/>
      <w:bookmarkStart w:id="827" w:name="_Toc6730"/>
      <w:bookmarkStart w:id="828" w:name="_Toc17891"/>
      <w:bookmarkStart w:id="829" w:name="_Toc12294"/>
      <w:bookmarkStart w:id="830" w:name="_Toc6107"/>
      <w:bookmarkStart w:id="831" w:name="_Toc6984"/>
      <w:bookmarkStart w:id="832" w:name="_Toc7130"/>
      <w:bookmarkStart w:id="833" w:name="_Toc1118"/>
      <w:bookmarkStart w:id="834" w:name="_Toc32502"/>
      <w:bookmarkStart w:id="835" w:name="_Toc26623"/>
      <w:bookmarkStart w:id="836" w:name="_Toc18148"/>
      <w:bookmarkStart w:id="837" w:name="_Toc26287"/>
      <w:bookmarkStart w:id="838" w:name="_Toc13974"/>
      <w:bookmarkStart w:id="839" w:name="_Toc1573"/>
      <w:bookmarkStart w:id="840" w:name="_Toc25994"/>
      <w:bookmarkStart w:id="841" w:name="_Toc25242"/>
      <w:bookmarkStart w:id="842" w:name="_Toc6354"/>
      <w:bookmarkStart w:id="843" w:name="_Toc3819"/>
      <w:bookmarkStart w:id="844" w:name="_Toc31498"/>
      <w:bookmarkStart w:id="845" w:name="_Toc115"/>
      <w:bookmarkStart w:id="846" w:name="_Toc16849"/>
      <w:bookmarkStart w:id="847" w:name="_Toc22732"/>
      <w:bookmarkStart w:id="848" w:name="_Toc27505"/>
      <w:bookmarkStart w:id="849" w:name="_Toc1438"/>
      <w:bookmarkStart w:id="850" w:name="_Toc19301"/>
      <w:bookmarkStart w:id="851" w:name="_Toc14349"/>
      <w:bookmarkStart w:id="852" w:name="_Toc26976"/>
      <w:bookmarkStart w:id="853" w:name="_Toc27733"/>
      <w:bookmarkStart w:id="854" w:name="_Toc22593"/>
      <w:bookmarkStart w:id="855" w:name="_Toc3912"/>
      <w:bookmarkStart w:id="856" w:name="_Toc73112419"/>
      <w:bookmarkStart w:id="857" w:name="_Toc9688"/>
      <w:bookmarkStart w:id="858" w:name="_Toc20327"/>
      <w:bookmarkStart w:id="859" w:name="_Toc30887"/>
      <w:bookmarkStart w:id="860" w:name="_Toc10752"/>
      <w:bookmarkStart w:id="861" w:name="_Toc21895"/>
      <w:r>
        <w:rPr>
          <w:rFonts w:hint="eastAsia" w:ascii="仿宋" w:hAnsi="仿宋" w:eastAsia="仿宋" w:cs="仿宋"/>
          <w:b/>
          <w:bCs/>
          <w:color w:val="000000" w:themeColor="text1"/>
          <w14:textFill>
            <w14:solidFill>
              <w14:schemeClr w14:val="tx1"/>
            </w14:solidFill>
          </w14:textFill>
        </w:rPr>
        <w:t>5其它服务</w:t>
      </w:r>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862" w:name="_Toc32483"/>
      <w:bookmarkStart w:id="863" w:name="_Toc133783974"/>
      <w:bookmarkStart w:id="864" w:name="_Toc19017"/>
      <w:bookmarkStart w:id="865" w:name="_Toc8547"/>
      <w:bookmarkStart w:id="866" w:name="_Toc9498"/>
      <w:bookmarkStart w:id="867" w:name="_Toc10492"/>
      <w:bookmarkStart w:id="868" w:name="_Toc2800"/>
      <w:bookmarkStart w:id="869" w:name="_Toc10873"/>
      <w:bookmarkStart w:id="870" w:name="_Toc21122"/>
      <w:bookmarkStart w:id="871" w:name="_Toc13250"/>
      <w:bookmarkStart w:id="872" w:name="_Toc16355"/>
      <w:bookmarkStart w:id="873" w:name="_Toc15356"/>
      <w:bookmarkStart w:id="874" w:name="_Toc32409"/>
      <w:bookmarkStart w:id="875" w:name="_Toc25057"/>
      <w:bookmarkStart w:id="876" w:name="_Toc29269"/>
      <w:bookmarkStart w:id="877" w:name="_Toc22725"/>
      <w:bookmarkStart w:id="878" w:name="_Toc13895"/>
      <w:bookmarkStart w:id="879" w:name="_Toc19942"/>
      <w:bookmarkStart w:id="880" w:name="_Toc14411"/>
      <w:bookmarkStart w:id="881" w:name="_Toc25825"/>
      <w:bookmarkStart w:id="882" w:name="_Toc9482"/>
      <w:bookmarkStart w:id="883" w:name="_Toc27484"/>
      <w:bookmarkStart w:id="884" w:name="_Toc5013"/>
      <w:bookmarkStart w:id="885" w:name="_Toc16312"/>
      <w:bookmarkStart w:id="886" w:name="_Toc4011"/>
      <w:bookmarkStart w:id="887" w:name="_Toc18621"/>
      <w:bookmarkStart w:id="888" w:name="_Toc19208"/>
      <w:bookmarkStart w:id="889" w:name="_Toc73112420"/>
      <w:bookmarkStart w:id="890" w:name="_Toc26489"/>
      <w:bookmarkStart w:id="891" w:name="_Toc12454"/>
      <w:bookmarkStart w:id="892" w:name="_Toc10438"/>
      <w:bookmarkStart w:id="893" w:name="_Toc7461"/>
      <w:bookmarkStart w:id="894" w:name="_Toc24752"/>
      <w:bookmarkStart w:id="895" w:name="_Toc2140"/>
      <w:bookmarkStart w:id="896" w:name="_Toc9121"/>
      <w:bookmarkStart w:id="897" w:name="_Toc12013"/>
      <w:bookmarkStart w:id="898" w:name="_Toc6228"/>
      <w:bookmarkStart w:id="899" w:name="_Toc29777"/>
      <w:bookmarkStart w:id="900" w:name="_Toc11150"/>
      <w:bookmarkStart w:id="901" w:name="_Toc8076"/>
      <w:bookmarkStart w:id="902" w:name="_Toc23730"/>
      <w:bookmarkStart w:id="903" w:name="_Toc18030"/>
      <w:bookmarkStart w:id="904" w:name="_Toc30293"/>
      <w:bookmarkStart w:id="905" w:name="_Toc5996"/>
      <w:r>
        <w:rPr>
          <w:rFonts w:hint="eastAsia" w:ascii="仿宋" w:hAnsi="仿宋" w:eastAsia="仿宋" w:cs="仿宋"/>
          <w:color w:val="000000" w:themeColor="text1"/>
          <w14:textFill>
            <w14:solidFill>
              <w14:schemeClr w14:val="tx1"/>
            </w14:solidFill>
          </w14:textFill>
        </w:rPr>
        <w:t>5.1若投标方所提供货物有需要进口的，投标方一般应自行、自费办理；必要时，招标方和投标方共同办理。</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5.2除招标文件、投标文件、答疑文件、技术协议、合同等约定之外，投标方应免费负责必要的或强制性的货物的检验、试验、化验等直接费用。</w:t>
      </w:r>
    </w:p>
    <w:p>
      <w:pPr>
        <w:adjustRightInd w:val="0"/>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5.3本章节条款所列“免费”，并非指定不可收费，而是指招标文件、投标文件、答疑文件、技术交流文件、技术协议书和合同等范围之外，投标方不可另行收取的费用。</w:t>
      </w:r>
    </w:p>
    <w:p>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906" w:name="_Toc30753"/>
      <w:bookmarkStart w:id="907" w:name="_Toc22807"/>
      <w:r>
        <w:rPr>
          <w:rFonts w:hint="eastAsia" w:ascii="仿宋" w:hAnsi="仿宋" w:eastAsia="仿宋" w:cs="仿宋"/>
          <w:b/>
          <w:bCs/>
          <w:color w:val="000000" w:themeColor="text1"/>
          <w14:textFill>
            <w14:solidFill>
              <w14:schemeClr w14:val="tx1"/>
            </w14:solidFill>
          </w14:textFill>
        </w:rPr>
        <w:t>第五章预验收和终验收</w:t>
      </w:r>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p>
    <w:p>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908" w:name="_Toc14541"/>
      <w:bookmarkStart w:id="909" w:name="_Toc22981"/>
      <w:bookmarkStart w:id="910" w:name="_Toc22140"/>
      <w:bookmarkStart w:id="911" w:name="_Toc7191"/>
      <w:bookmarkStart w:id="912" w:name="_Toc2326"/>
      <w:bookmarkStart w:id="913" w:name="_Toc14965"/>
      <w:bookmarkStart w:id="914" w:name="_Toc10033"/>
      <w:bookmarkStart w:id="915" w:name="_Toc7184"/>
      <w:bookmarkStart w:id="916" w:name="_Toc242"/>
      <w:bookmarkStart w:id="917" w:name="_Toc29608"/>
      <w:bookmarkStart w:id="918" w:name="_Toc28073"/>
      <w:bookmarkStart w:id="919" w:name="_Toc6378"/>
      <w:bookmarkStart w:id="920" w:name="_Toc27448"/>
      <w:bookmarkStart w:id="921" w:name="_Toc3676"/>
      <w:bookmarkStart w:id="922" w:name="_Toc11331"/>
      <w:bookmarkStart w:id="923" w:name="_Toc7463"/>
      <w:bookmarkStart w:id="924" w:name="_Toc23231"/>
      <w:bookmarkStart w:id="925" w:name="_Toc31478"/>
      <w:bookmarkStart w:id="926" w:name="_Toc21557"/>
      <w:bookmarkStart w:id="927" w:name="_Toc21402"/>
      <w:bookmarkStart w:id="928" w:name="_Toc24809"/>
      <w:bookmarkStart w:id="929" w:name="_Toc23191"/>
      <w:bookmarkStart w:id="930" w:name="_Toc6924"/>
      <w:bookmarkStart w:id="931" w:name="_Toc27951"/>
      <w:bookmarkStart w:id="932" w:name="_Toc29287"/>
      <w:bookmarkStart w:id="933" w:name="_Toc29611"/>
      <w:bookmarkStart w:id="934" w:name="_Toc12676"/>
      <w:bookmarkStart w:id="935" w:name="_Toc17620"/>
      <w:bookmarkStart w:id="936" w:name="_Toc5401"/>
      <w:bookmarkStart w:id="937" w:name="_Toc14249"/>
      <w:bookmarkStart w:id="938" w:name="_Toc27225"/>
      <w:bookmarkStart w:id="939" w:name="_Toc22207"/>
      <w:bookmarkStart w:id="940" w:name="_Toc13718"/>
      <w:bookmarkStart w:id="941" w:name="_Toc21206"/>
      <w:bookmarkStart w:id="942" w:name="_Toc4070"/>
      <w:bookmarkStart w:id="943" w:name="_Toc24517"/>
      <w:bookmarkStart w:id="944" w:name="_Toc73112421"/>
      <w:bookmarkStart w:id="945" w:name="_Toc17568"/>
      <w:bookmarkStart w:id="946" w:name="_Toc9902"/>
      <w:bookmarkStart w:id="947" w:name="_Toc1286"/>
      <w:bookmarkStart w:id="948" w:name="_Toc25574"/>
      <w:bookmarkStart w:id="949" w:name="_Toc28506"/>
      <w:bookmarkStart w:id="950" w:name="_Toc29964"/>
      <w:bookmarkStart w:id="951" w:name="_Toc15025"/>
      <w:bookmarkStart w:id="952" w:name="_Toc12239"/>
      <w:r>
        <w:rPr>
          <w:rFonts w:hint="eastAsia" w:ascii="仿宋" w:hAnsi="仿宋" w:eastAsia="仿宋" w:cs="仿宋"/>
          <w:b/>
          <w:bCs/>
          <w:color w:val="000000" w:themeColor="text1"/>
          <w14:textFill>
            <w14:solidFill>
              <w14:schemeClr w14:val="tx1"/>
            </w14:solidFill>
          </w14:textFill>
        </w:rPr>
        <w:t>1验收的一般约定</w:t>
      </w:r>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1.1验收标准一般以技术协议书和合同规定验收。</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1.2如果验收过程中，发现招标文件、投标文件、答疑文件、技术交流文件等与技术协议书、合同存在差异，原则上以涉及条款中对买方最有利条款为验收依据。</w:t>
      </w:r>
    </w:p>
    <w:p>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953" w:name="_Toc28925"/>
      <w:bookmarkStart w:id="954" w:name="_Toc10568"/>
      <w:bookmarkStart w:id="955" w:name="_Toc73112422"/>
      <w:bookmarkStart w:id="956" w:name="_Toc7863"/>
      <w:bookmarkStart w:id="957" w:name="_Toc29669"/>
      <w:bookmarkStart w:id="958" w:name="_Toc8742"/>
      <w:bookmarkStart w:id="959" w:name="_Toc6471"/>
      <w:bookmarkStart w:id="960" w:name="_Toc32581"/>
      <w:bookmarkStart w:id="961" w:name="_Toc27467"/>
      <w:bookmarkStart w:id="962" w:name="_Toc16943"/>
      <w:bookmarkStart w:id="963" w:name="_Toc8338"/>
      <w:bookmarkStart w:id="964" w:name="_Toc28873"/>
      <w:bookmarkStart w:id="965" w:name="_Toc23013"/>
      <w:bookmarkStart w:id="966" w:name="_Toc8093"/>
      <w:bookmarkStart w:id="967" w:name="_Toc31116"/>
      <w:bookmarkStart w:id="968" w:name="_Toc22158"/>
      <w:bookmarkStart w:id="969" w:name="_Toc13173"/>
      <w:bookmarkStart w:id="970" w:name="_Toc21568"/>
      <w:bookmarkStart w:id="971" w:name="_Toc28148"/>
      <w:bookmarkStart w:id="972" w:name="_Toc8916"/>
      <w:bookmarkStart w:id="973" w:name="_Toc20876"/>
      <w:bookmarkStart w:id="974" w:name="_Toc2310"/>
      <w:bookmarkStart w:id="975" w:name="_Toc21722"/>
      <w:bookmarkStart w:id="976" w:name="_Toc7457"/>
      <w:bookmarkStart w:id="977" w:name="_Toc23919"/>
      <w:bookmarkStart w:id="978" w:name="_Toc19505"/>
      <w:bookmarkStart w:id="979" w:name="_Toc17720"/>
      <w:bookmarkStart w:id="980" w:name="_Toc17335"/>
      <w:bookmarkStart w:id="981" w:name="_Toc11335"/>
      <w:bookmarkStart w:id="982" w:name="_Toc10200"/>
      <w:bookmarkStart w:id="983" w:name="_Toc21414"/>
      <w:bookmarkStart w:id="984" w:name="_Toc25951"/>
      <w:bookmarkStart w:id="985" w:name="_Toc16278"/>
      <w:bookmarkStart w:id="986" w:name="_Toc11248"/>
      <w:bookmarkStart w:id="987" w:name="_Toc30274"/>
      <w:bookmarkStart w:id="988" w:name="_Toc9729"/>
      <w:bookmarkStart w:id="989" w:name="_Toc18517"/>
      <w:bookmarkStart w:id="990" w:name="_Toc13736"/>
      <w:bookmarkStart w:id="991" w:name="_Toc22558"/>
      <w:bookmarkStart w:id="992" w:name="_Toc513"/>
      <w:bookmarkStart w:id="993" w:name="_Toc1155"/>
      <w:bookmarkStart w:id="994" w:name="_Toc15379"/>
      <w:bookmarkStart w:id="995" w:name="_Toc23133"/>
      <w:bookmarkStart w:id="996" w:name="_Toc27120"/>
      <w:bookmarkStart w:id="997" w:name="_Toc6206"/>
      <w:r>
        <w:rPr>
          <w:rFonts w:hint="eastAsia" w:ascii="仿宋" w:hAnsi="仿宋" w:eastAsia="仿宋" w:cs="仿宋"/>
          <w:b/>
          <w:bCs/>
          <w:color w:val="000000" w:themeColor="text1"/>
          <w14:textFill>
            <w14:solidFill>
              <w14:schemeClr w14:val="tx1"/>
            </w14:solidFill>
          </w14:textFill>
        </w:rPr>
        <w:t>2检验</w:t>
      </w:r>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998" w:name="_Toc8214"/>
      <w:bookmarkStart w:id="999" w:name="_Toc27310"/>
      <w:bookmarkStart w:id="1000" w:name="_Toc14993"/>
      <w:bookmarkStart w:id="1001" w:name="_Toc23252"/>
      <w:bookmarkStart w:id="1002" w:name="_Toc15488"/>
      <w:bookmarkStart w:id="1003" w:name="_Toc25654"/>
      <w:bookmarkStart w:id="1004" w:name="_Toc27594"/>
      <w:bookmarkStart w:id="1005" w:name="_Toc14844"/>
      <w:bookmarkStart w:id="1006" w:name="_Toc27145"/>
      <w:bookmarkStart w:id="1007" w:name="_Toc18595"/>
      <w:bookmarkStart w:id="1008" w:name="_Toc30797"/>
      <w:bookmarkStart w:id="1009" w:name="_Toc19311"/>
      <w:bookmarkStart w:id="1010" w:name="_Toc16665"/>
      <w:bookmarkStart w:id="1011" w:name="_Toc8128"/>
      <w:bookmarkStart w:id="1012" w:name="_Toc11846"/>
      <w:bookmarkStart w:id="1013" w:name="_Toc22379"/>
      <w:bookmarkStart w:id="1014" w:name="_Toc21757"/>
      <w:bookmarkStart w:id="1015" w:name="_Toc5653"/>
      <w:bookmarkStart w:id="1016" w:name="_Toc21487"/>
      <w:bookmarkStart w:id="1017" w:name="_Toc5604"/>
      <w:bookmarkStart w:id="1018" w:name="_Toc18036"/>
      <w:bookmarkStart w:id="1019" w:name="_Toc23250"/>
      <w:bookmarkStart w:id="1020" w:name="_Toc8477"/>
      <w:bookmarkStart w:id="1021" w:name="_Toc73112423"/>
      <w:bookmarkStart w:id="1022" w:name="_Toc28225"/>
      <w:bookmarkStart w:id="1023" w:name="_Toc14904"/>
      <w:bookmarkStart w:id="1024" w:name="_Toc1041"/>
      <w:bookmarkStart w:id="1025" w:name="_Toc11780"/>
      <w:bookmarkStart w:id="1026" w:name="_Toc16878"/>
      <w:bookmarkStart w:id="1027" w:name="_Toc17499"/>
      <w:bookmarkStart w:id="1028" w:name="_Toc228"/>
      <w:bookmarkStart w:id="1029" w:name="_Toc32111"/>
      <w:bookmarkStart w:id="1030" w:name="_Toc1969"/>
      <w:bookmarkStart w:id="1031" w:name="_Toc31780"/>
      <w:bookmarkStart w:id="1032" w:name="_Toc29497"/>
      <w:bookmarkStart w:id="1033" w:name="_Toc8664"/>
      <w:bookmarkStart w:id="1034" w:name="_Toc14587"/>
      <w:bookmarkStart w:id="1035" w:name="_Toc27538"/>
      <w:bookmarkStart w:id="1036" w:name="_Toc10879"/>
      <w:bookmarkStart w:id="1037" w:name="_Toc6506"/>
      <w:bookmarkStart w:id="1038" w:name="_Toc1461"/>
      <w:bookmarkStart w:id="1039" w:name="_Toc27629"/>
      <w:r>
        <w:rPr>
          <w:rFonts w:hint="eastAsia" w:ascii="仿宋" w:hAnsi="仿宋" w:eastAsia="仿宋" w:cs="仿宋"/>
          <w:color w:val="000000" w:themeColor="text1"/>
          <w14:textFill>
            <w14:solidFill>
              <w14:schemeClr w14:val="tx1"/>
            </w14:solidFill>
          </w14:textFill>
        </w:rPr>
        <w:t>2.1国产货物的检验由卖买双方按照合同要求或在制造现场进行。</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2.2卖方应依据合同规定的要求，提供买卖双方达成一致的货物的验收标准和装箱单，作为买方检验的依据。</w:t>
      </w:r>
    </w:p>
    <w:p>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1040" w:name="_Toc15552"/>
      <w:bookmarkStart w:id="1041" w:name="_Toc13033"/>
      <w:bookmarkStart w:id="1042" w:name="_Toc1970"/>
      <w:r>
        <w:rPr>
          <w:rFonts w:hint="eastAsia" w:ascii="仿宋" w:hAnsi="仿宋" w:eastAsia="仿宋" w:cs="仿宋"/>
          <w:b/>
          <w:bCs/>
          <w:color w:val="000000" w:themeColor="text1"/>
          <w14:textFill>
            <w14:solidFill>
              <w14:schemeClr w14:val="tx1"/>
            </w14:solidFill>
          </w14:textFill>
        </w:rPr>
        <w:t>3验收条件</w:t>
      </w:r>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验收一般分预验收和终验收两部分。预验收一般在卖方现场进行，终验收在安装调试完成及试运行后的买方现场进行。但是所有的项目，包括不能预验收的项目和预验收通过的项目都在终验收时重新检验，最终只以终验收为准。</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买卖双方按照合同约定执行了合同，同时货物完成了试运行并经检验合格，则具备验收条件。</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043" w:name="_Toc24377"/>
      <w:bookmarkStart w:id="1044" w:name="_Toc32498"/>
      <w:bookmarkStart w:id="1045" w:name="_Toc30563"/>
      <w:bookmarkStart w:id="1046" w:name="_Toc17709"/>
      <w:bookmarkStart w:id="1047" w:name="_Toc16974"/>
      <w:bookmarkStart w:id="1048" w:name="_Toc18487"/>
      <w:bookmarkStart w:id="1049" w:name="_Toc5473"/>
      <w:bookmarkStart w:id="1050" w:name="_Toc3034"/>
      <w:bookmarkStart w:id="1051" w:name="_Toc10052"/>
      <w:bookmarkStart w:id="1052" w:name="_Toc5952"/>
      <w:bookmarkStart w:id="1053" w:name="_Toc771"/>
      <w:bookmarkStart w:id="1054" w:name="_Toc11902"/>
      <w:bookmarkStart w:id="1055" w:name="_Toc24814"/>
      <w:bookmarkStart w:id="1056" w:name="_Toc7303"/>
      <w:bookmarkStart w:id="1057" w:name="_Toc4741"/>
      <w:bookmarkStart w:id="1058" w:name="_Toc16622"/>
      <w:bookmarkStart w:id="1059" w:name="_Toc4157"/>
      <w:bookmarkStart w:id="1060" w:name="_Toc20087"/>
      <w:bookmarkStart w:id="1061" w:name="_Toc27856"/>
      <w:bookmarkStart w:id="1062" w:name="_Toc362"/>
      <w:bookmarkStart w:id="1063" w:name="_Toc21811"/>
      <w:bookmarkStart w:id="1064" w:name="_Toc10389"/>
      <w:bookmarkStart w:id="1065" w:name="_Toc23170"/>
      <w:bookmarkStart w:id="1066" w:name="_Toc6977"/>
      <w:bookmarkStart w:id="1067" w:name="_Toc11234"/>
      <w:bookmarkStart w:id="1068" w:name="_Toc31328"/>
      <w:bookmarkStart w:id="1069" w:name="_Toc10586"/>
      <w:bookmarkStart w:id="1070" w:name="_Toc25547"/>
      <w:bookmarkStart w:id="1071" w:name="_Toc11412"/>
      <w:bookmarkStart w:id="1072" w:name="_Toc23548"/>
      <w:bookmarkStart w:id="1073" w:name="_Toc1849"/>
      <w:bookmarkStart w:id="1074" w:name="_Toc27848"/>
      <w:bookmarkStart w:id="1075" w:name="_Toc20504"/>
      <w:bookmarkStart w:id="1076" w:name="_Toc31639"/>
      <w:bookmarkStart w:id="1077" w:name="_Toc6731"/>
      <w:bookmarkStart w:id="1078" w:name="_Toc24921"/>
      <w:bookmarkStart w:id="1079" w:name="_Toc19344"/>
      <w:bookmarkStart w:id="1080" w:name="_Toc18903"/>
      <w:bookmarkStart w:id="1081" w:name="_Toc9015"/>
      <w:bookmarkStart w:id="1082" w:name="_Toc22247"/>
      <w:bookmarkStart w:id="1083" w:name="_Toc18963"/>
      <w:r>
        <w:rPr>
          <w:rFonts w:hint="eastAsia" w:ascii="仿宋" w:hAnsi="仿宋" w:eastAsia="仿宋" w:cs="仿宋"/>
          <w:color w:val="000000" w:themeColor="text1"/>
          <w14:textFill>
            <w14:solidFill>
              <w14:schemeClr w14:val="tx1"/>
            </w14:solidFill>
          </w14:textFill>
        </w:rPr>
        <w:t>3.1预验收一般条件</w:t>
      </w:r>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3.1.1投标方已经按照“供货范围”要求提供了预验收资料，并且资料齐全、完整和有效。</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3.1.2货物应运行稳定、可靠、安全，无非正常变形，非正常振动，无异常声音；无漏水、漏液、漏气（汽）、漏电等现象。运动的零部件（如链条、联轴器、离合器、主轴、工作台等）动作平稳、灵活运动准确。</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3.1.3货物应完整且所有的零部件应该安装安全、牢固，外观无损伤，所有的焊缝饱满、无残渣等缺陷。</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3.1.4一般情况下，所有的管路和线缆等，接头应完全正确、可靠地联接；应排列有序（正确、牢固、整齐），有必要的防护，无皱褶、收缩和裂缝等不良现象。</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3.1.5货物的润滑系统工作正常、可靠，润滑点易于到达。</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3.1.6使用的压力容器、电气等应具备合格证（如果有压力容器），</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3.1.7货物的油漆质量应饱满、有光泽，无掉漆、无色差、无“桔皮”等不良现象（特殊标志除外）。</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3.1.8货物标牌完整、清晰、明确。</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3.1.9地线联接和地极符合国际（ISO/IEC）标准规范。</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3.1.10货物的安全要求符合中国最新的相关法律、法规、标准和规范以及合同要求。</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084" w:name="_Toc17491"/>
      <w:bookmarkStart w:id="1085" w:name="_Toc11537"/>
      <w:bookmarkStart w:id="1086" w:name="_Toc18823"/>
      <w:bookmarkStart w:id="1087" w:name="_Toc7060"/>
      <w:bookmarkStart w:id="1088" w:name="_Toc1293"/>
      <w:bookmarkStart w:id="1089" w:name="_Toc17523"/>
      <w:bookmarkStart w:id="1090" w:name="_Toc15751"/>
      <w:bookmarkStart w:id="1091" w:name="_Toc8938"/>
      <w:bookmarkStart w:id="1092" w:name="_Toc5422"/>
      <w:bookmarkStart w:id="1093" w:name="_Toc8879"/>
      <w:bookmarkStart w:id="1094" w:name="_Toc4108"/>
      <w:bookmarkStart w:id="1095" w:name="_Toc16821"/>
      <w:bookmarkStart w:id="1096" w:name="_Toc12439"/>
      <w:bookmarkStart w:id="1097" w:name="_Toc8320"/>
      <w:bookmarkStart w:id="1098" w:name="_Toc21629"/>
      <w:bookmarkStart w:id="1099" w:name="_Toc29661"/>
      <w:bookmarkStart w:id="1100" w:name="_Toc2134"/>
      <w:bookmarkStart w:id="1101" w:name="_Toc20374"/>
      <w:bookmarkStart w:id="1102" w:name="_Toc6062"/>
      <w:bookmarkStart w:id="1103" w:name="_Toc931"/>
      <w:bookmarkStart w:id="1104" w:name="_Toc19887"/>
      <w:bookmarkStart w:id="1105" w:name="_Toc26496"/>
      <w:bookmarkStart w:id="1106" w:name="_Toc3329"/>
      <w:bookmarkStart w:id="1107" w:name="_Toc22891"/>
      <w:bookmarkStart w:id="1108" w:name="_Toc2362"/>
      <w:bookmarkStart w:id="1109" w:name="_Toc4066"/>
      <w:bookmarkStart w:id="1110" w:name="_Toc30498"/>
      <w:bookmarkStart w:id="1111" w:name="_Toc27491"/>
      <w:bookmarkStart w:id="1112" w:name="_Toc28390"/>
      <w:bookmarkStart w:id="1113" w:name="_Toc9105"/>
      <w:bookmarkStart w:id="1114" w:name="_Toc21671"/>
      <w:bookmarkStart w:id="1115" w:name="_Toc23596"/>
      <w:bookmarkStart w:id="1116" w:name="_Toc19728"/>
      <w:bookmarkStart w:id="1117" w:name="_Toc29327"/>
      <w:bookmarkStart w:id="1118" w:name="_Toc17924"/>
      <w:bookmarkStart w:id="1119" w:name="_Toc24874"/>
      <w:bookmarkStart w:id="1120" w:name="_Toc12987"/>
      <w:bookmarkStart w:id="1121" w:name="_Toc21953"/>
      <w:bookmarkStart w:id="1122" w:name="_Toc24950"/>
      <w:bookmarkStart w:id="1123" w:name="_Toc14552"/>
      <w:bookmarkStart w:id="1124" w:name="_Toc4643"/>
      <w:r>
        <w:rPr>
          <w:rFonts w:hint="eastAsia" w:ascii="仿宋" w:hAnsi="仿宋" w:eastAsia="仿宋" w:cs="仿宋"/>
          <w:color w:val="000000" w:themeColor="text1"/>
          <w14:textFill>
            <w14:solidFill>
              <w14:schemeClr w14:val="tx1"/>
            </w14:solidFill>
          </w14:textFill>
        </w:rPr>
        <w:t>3.2终验收一般条件</w:t>
      </w:r>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3.2.1经过预验收而且没有出现新的质量问题，或者满足预验收条款。</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3.2.2货物安装调试完毕，并至少经过了验收要求的负荷试运行。</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3.2.3货物正常运行时，噪声等环境影响因素满足国家（《工作场所物理因素测量 噪声》GBZ/T 189.8-2007. 噪音≤</w:t>
      </w:r>
      <w:r>
        <w:rPr>
          <w:rFonts w:hint="eastAsia" w:ascii="仿宋" w:hAnsi="仿宋" w:eastAsia="仿宋" w:cs="仿宋"/>
          <w:color w:val="000000" w:themeColor="text1"/>
          <w:lang w:val="en-US" w:eastAsia="zh-CN"/>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0dB(A)）和当地环保主管部门规定。投标方需提供由第三方检测机构出具的检测报告 ，检测事宜及费用由投标方负责，招标方负责相关配合协调工作。</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3.2.4计量仪器、仪表配套合理，采用中国的法定计量单位，计量准确、灵敏可靠。保证设计指标和仪器说明书的参数的实现。</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3.2.5试运行期间或之后无维修、调整等行为（特殊情况除外）。</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3.2.6货物质量、技术性能等，达到签定的技术协议书和合同规定的终验收标准。</w:t>
      </w:r>
    </w:p>
    <w:p>
      <w:pPr>
        <w:snapToGrid w:val="0"/>
        <w:spacing w:line="360" w:lineRule="auto"/>
        <w:ind w:left="482"/>
        <w:outlineLvl w:val="1"/>
        <w:rPr>
          <w:rFonts w:ascii="仿宋" w:hAnsi="仿宋" w:eastAsia="仿宋" w:cs="仿宋"/>
          <w:b/>
          <w:bCs/>
          <w:color w:val="000000" w:themeColor="text1"/>
          <w14:textFill>
            <w14:solidFill>
              <w14:schemeClr w14:val="tx1"/>
            </w14:solidFill>
          </w14:textFill>
        </w:rPr>
      </w:pPr>
      <w:bookmarkStart w:id="1125" w:name="_Toc22915"/>
      <w:bookmarkStart w:id="1126" w:name="_Toc17223"/>
      <w:bookmarkStart w:id="1127" w:name="_Toc7243"/>
      <w:bookmarkStart w:id="1128" w:name="_Toc10673"/>
      <w:bookmarkStart w:id="1129" w:name="_Toc193"/>
      <w:bookmarkStart w:id="1130" w:name="_Toc1961"/>
      <w:bookmarkStart w:id="1131" w:name="_Toc6573"/>
      <w:bookmarkStart w:id="1132" w:name="_Toc551"/>
      <w:bookmarkStart w:id="1133" w:name="_Toc9027"/>
      <w:bookmarkStart w:id="1134" w:name="_Toc26083"/>
      <w:bookmarkStart w:id="1135" w:name="_Toc73112424"/>
      <w:bookmarkStart w:id="1136" w:name="_Toc1469"/>
      <w:bookmarkStart w:id="1137" w:name="_Toc32661"/>
      <w:bookmarkStart w:id="1138" w:name="_Toc17549"/>
      <w:bookmarkStart w:id="1139" w:name="_Toc1885"/>
      <w:bookmarkStart w:id="1140" w:name="_Toc21504"/>
      <w:bookmarkStart w:id="1141" w:name="_Toc22500"/>
      <w:bookmarkStart w:id="1142" w:name="_Toc1761"/>
      <w:bookmarkStart w:id="1143" w:name="_Toc28499"/>
      <w:bookmarkStart w:id="1144" w:name="_Toc20983"/>
      <w:bookmarkStart w:id="1145" w:name="_Toc21291"/>
      <w:bookmarkStart w:id="1146" w:name="_Toc25411"/>
      <w:bookmarkStart w:id="1147" w:name="_Toc1804"/>
      <w:bookmarkStart w:id="1148" w:name="_Toc11114"/>
      <w:r>
        <w:rPr>
          <w:rFonts w:hint="eastAsia" w:ascii="仿宋" w:hAnsi="仿宋" w:eastAsia="仿宋" w:cs="仿宋"/>
          <w:b/>
          <w:bCs/>
          <w:color w:val="000000" w:themeColor="text1"/>
          <w14:textFill>
            <w14:solidFill>
              <w14:schemeClr w14:val="tx1"/>
            </w14:solidFill>
          </w14:textFill>
        </w:rPr>
        <w:t>4终验收基本要求</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4.1货物允许情况下，一般先连续空运转</w:t>
      </w:r>
      <w:r>
        <w:rPr>
          <w:rFonts w:hint="eastAsia" w:ascii="仿宋" w:hAnsi="仿宋" w:eastAsia="仿宋" w:cs="仿宋"/>
          <w:color w:val="000000" w:themeColor="text1"/>
          <w:u w:val="single"/>
          <w:shd w:val="pct10" w:color="auto" w:fill="FFFFFF"/>
          <w14:textFill>
            <w14:solidFill>
              <w14:schemeClr w14:val="tx1"/>
            </w14:solidFill>
          </w14:textFill>
        </w:rPr>
        <w:t>8</w:t>
      </w:r>
      <w:r>
        <w:rPr>
          <w:rFonts w:hint="eastAsia" w:ascii="仿宋" w:hAnsi="仿宋" w:eastAsia="仿宋" w:cs="仿宋"/>
          <w:color w:val="000000" w:themeColor="text1"/>
          <w14:textFill>
            <w14:solidFill>
              <w14:schemeClr w14:val="tx1"/>
            </w14:solidFill>
          </w14:textFill>
        </w:rPr>
        <w:t>小时，然后再进行负荷运行。</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4.2负荷运行时，货物应连续运行</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15</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14:textFill>
            <w14:solidFill>
              <w14:schemeClr w14:val="tx1"/>
            </w14:solidFill>
          </w14:textFill>
        </w:rPr>
        <w:t>天，每天连续</w:t>
      </w:r>
      <w:r>
        <w:rPr>
          <w:rFonts w:hint="eastAsia" w:ascii="仿宋" w:hAnsi="仿宋" w:eastAsia="仿宋" w:cs="仿宋"/>
          <w:color w:val="000000" w:themeColor="text1"/>
          <w:u w:val="single"/>
          <w14:textFill>
            <w14:solidFill>
              <w14:schemeClr w14:val="tx1"/>
            </w14:solidFill>
          </w14:textFill>
        </w:rPr>
        <w:t xml:space="preserve"> </w:t>
      </w:r>
      <w:r>
        <w:rPr>
          <w:rFonts w:hint="eastAsia" w:ascii="仿宋" w:hAnsi="仿宋" w:eastAsia="仿宋" w:cs="仿宋"/>
          <w:color w:val="000000" w:themeColor="text1"/>
          <w:u w:val="single"/>
          <w:shd w:val="pct10" w:color="auto" w:fill="FFFFFF"/>
          <w14:textFill>
            <w14:solidFill>
              <w14:schemeClr w14:val="tx1"/>
            </w14:solidFill>
          </w14:textFill>
        </w:rPr>
        <w:t xml:space="preserve">8 </w:t>
      </w:r>
      <w:r>
        <w:rPr>
          <w:rFonts w:hint="eastAsia" w:ascii="仿宋" w:hAnsi="仿宋" w:eastAsia="仿宋" w:cs="仿宋"/>
          <w:color w:val="000000" w:themeColor="text1"/>
          <w14:textFill>
            <w14:solidFill>
              <w14:schemeClr w14:val="tx1"/>
            </w14:solidFill>
          </w14:textFill>
        </w:rPr>
        <w:t>小时，除用户方面因素外，必须达到以下要求：</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4.2.1在整个验收过程中没有维修、更换零部件或元件行为；</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4.2.2所有出现的调整，每次调整时间均不超过</w:t>
      </w:r>
      <w:r>
        <w:rPr>
          <w:rFonts w:hint="eastAsia" w:ascii="仿宋" w:hAnsi="仿宋" w:eastAsia="仿宋" w:cs="仿宋"/>
          <w:color w:val="000000" w:themeColor="text1"/>
          <w:u w:val="single"/>
          <w:shd w:val="pct10" w:color="auto" w:fill="FFFFFF"/>
          <w14:textFill>
            <w14:solidFill>
              <w14:schemeClr w14:val="tx1"/>
            </w14:solidFill>
          </w14:textFill>
        </w:rPr>
        <w:t>120</w:t>
      </w:r>
      <w:r>
        <w:rPr>
          <w:rFonts w:hint="eastAsia" w:ascii="仿宋" w:hAnsi="仿宋" w:eastAsia="仿宋" w:cs="仿宋"/>
          <w:color w:val="000000" w:themeColor="text1"/>
          <w14:textFill>
            <w14:solidFill>
              <w14:schemeClr w14:val="tx1"/>
            </w14:solidFill>
          </w14:textFill>
        </w:rPr>
        <w:t>分钟；</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4.2.3所有调整时间的总和不超过总运行时间的</w:t>
      </w:r>
      <w:r>
        <w:rPr>
          <w:rFonts w:hint="eastAsia" w:ascii="仿宋" w:hAnsi="仿宋" w:eastAsia="仿宋" w:cs="仿宋"/>
          <w:color w:val="000000" w:themeColor="text1"/>
          <w:u w:val="single"/>
          <w:shd w:val="pct10" w:color="auto" w:fill="FFFFFF"/>
          <w14:textFill>
            <w14:solidFill>
              <w14:schemeClr w14:val="tx1"/>
            </w14:solidFill>
          </w14:textFill>
        </w:rPr>
        <w:t>20</w:t>
      </w:r>
      <w:r>
        <w:rPr>
          <w:rFonts w:hint="eastAsia" w:ascii="仿宋" w:hAnsi="仿宋" w:eastAsia="仿宋" w:cs="仿宋"/>
          <w:color w:val="000000" w:themeColor="text1"/>
          <w14:textFill>
            <w14:solidFill>
              <w14:schemeClr w14:val="tx1"/>
            </w14:solidFill>
          </w14:textFill>
        </w:rPr>
        <w:t>%；</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4.2.4累计负载运行实际性能（或生产率）达到合同规定；（节拍超出标书规定在20%以内，罚款额为货物总价的10%；超过20%以上，视为供货方违约，招标方有权解除合同，由此造成的损失由投标方承担）。</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bookmarkStart w:id="1149" w:name="_Toc133783975"/>
      <w:r>
        <w:rPr>
          <w:rFonts w:hint="eastAsia" w:ascii="仿宋" w:hAnsi="仿宋" w:eastAsia="仿宋" w:cs="仿宋"/>
          <w:color w:val="000000" w:themeColor="text1"/>
          <w14:textFill>
            <w14:solidFill>
              <w14:schemeClr w14:val="tx1"/>
            </w14:solidFill>
          </w14:textFill>
        </w:rPr>
        <w:t>4.2.5 设备满足现场使用要求，符合技术要求。</w:t>
      </w:r>
    </w:p>
    <w:p>
      <w:pPr>
        <w:adjustRightInd w:val="0"/>
        <w:snapToGrid w:val="0"/>
        <w:spacing w:line="360" w:lineRule="auto"/>
        <w:ind w:firstLine="420" w:firstLineChars="200"/>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4.2.6 终验收以招标方单位《新增设备安装竣工验收转资单》签署单为最终验收证明，同时移交、核对全部供货范围内物品。</w:t>
      </w:r>
    </w:p>
    <w:p>
      <w:pPr>
        <w:rPr>
          <w:rFonts w:hint="eastAsia"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br w:type="page"/>
      </w:r>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1150" w:name="_Toc2957"/>
      <w:bookmarkStart w:id="1151" w:name="_Toc14217"/>
      <w:bookmarkStart w:id="1152" w:name="_Toc32696"/>
      <w:bookmarkStart w:id="1153" w:name="_Toc28594"/>
      <w:bookmarkStart w:id="1154" w:name="_Toc8015"/>
      <w:bookmarkStart w:id="1155" w:name="_Toc12636"/>
      <w:bookmarkStart w:id="1156" w:name="_Toc24925"/>
      <w:bookmarkStart w:id="1157" w:name="_Toc31042"/>
      <w:bookmarkStart w:id="1158" w:name="_Toc20836"/>
      <w:bookmarkStart w:id="1159" w:name="_Toc30219"/>
      <w:bookmarkStart w:id="1160" w:name="_Toc28136"/>
      <w:bookmarkStart w:id="1161" w:name="_Toc1683"/>
      <w:bookmarkStart w:id="1162" w:name="_Toc27346"/>
      <w:bookmarkStart w:id="1163" w:name="_Toc18146"/>
      <w:bookmarkStart w:id="1164" w:name="_Toc23616"/>
      <w:bookmarkStart w:id="1165" w:name="_Toc8435"/>
      <w:bookmarkStart w:id="1166" w:name="_Toc18510"/>
      <w:bookmarkStart w:id="1167" w:name="_Toc1228"/>
      <w:bookmarkStart w:id="1168" w:name="_Toc2249"/>
      <w:bookmarkStart w:id="1169" w:name="_Toc19911"/>
      <w:bookmarkStart w:id="1170" w:name="_Toc14133"/>
      <w:bookmarkStart w:id="1171" w:name="_Toc25401"/>
      <w:bookmarkStart w:id="1172" w:name="_Toc7458"/>
      <w:bookmarkStart w:id="1173" w:name="_Toc17110"/>
      <w:bookmarkStart w:id="1174" w:name="_Toc26248"/>
      <w:bookmarkStart w:id="1175" w:name="_Toc1673"/>
      <w:bookmarkStart w:id="1176" w:name="_Toc23268"/>
      <w:bookmarkStart w:id="1177" w:name="_Toc2612"/>
      <w:bookmarkStart w:id="1178" w:name="_Toc30125"/>
      <w:bookmarkStart w:id="1179" w:name="_Toc27525"/>
      <w:bookmarkStart w:id="1180" w:name="_Toc4953"/>
      <w:bookmarkStart w:id="1181" w:name="_Toc15351"/>
      <w:bookmarkStart w:id="1182" w:name="_Toc10830"/>
      <w:bookmarkStart w:id="1183" w:name="_Toc663"/>
      <w:bookmarkStart w:id="1184" w:name="_Toc23397"/>
      <w:bookmarkStart w:id="1185" w:name="_Toc30656"/>
      <w:bookmarkStart w:id="1186" w:name="_Toc22179"/>
      <w:bookmarkStart w:id="1187" w:name="_Toc32074"/>
      <w:bookmarkStart w:id="1188" w:name="_Toc73112425"/>
      <w:bookmarkStart w:id="1189" w:name="_Toc29322"/>
      <w:bookmarkStart w:id="1190" w:name="_Toc25348"/>
      <w:bookmarkStart w:id="1191" w:name="_Toc1195"/>
      <w:bookmarkStart w:id="1192" w:name="_Toc22488"/>
      <w:bookmarkStart w:id="1193" w:name="_Toc15914"/>
      <w:bookmarkStart w:id="1194" w:name="_Toc30187"/>
      <w:bookmarkStart w:id="1195" w:name="_Toc1705"/>
      <w:r>
        <w:rPr>
          <w:rFonts w:hint="eastAsia" w:ascii="仿宋" w:hAnsi="仿宋" w:eastAsia="仿宋" w:cs="仿宋"/>
          <w:b/>
          <w:bCs/>
          <w:color w:val="000000" w:themeColor="text1"/>
          <w14:textFill>
            <w14:solidFill>
              <w14:schemeClr w14:val="tx1"/>
            </w14:solidFill>
          </w14:textFill>
        </w:rPr>
        <w:t>第六章投标技术文件一般要求</w:t>
      </w:r>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1投标方应认真阅读招标文件和本技术标书，并按要求编写投标技术文件。</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2投标技术文件至少应对投标货物的“技术偏离”、“商务偏离”作出有无说明；若有，应予以详细填写和说明。</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3投标技术文件至少应对投标货物的功能用途、技术性能、质量标准、技术参数等作出详细说明。</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4投标技术文件至少应根据投标货物的关键设备、总成、零部件或系统作出优越性说明。</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5投标技术文件至少应根据投标货物的配置，按照备品备件、易损件和专用耗材明细表要求以及投标货物主要配置一览表要求（见下表），认真全面填写。</w:t>
      </w:r>
    </w:p>
    <w:p>
      <w:pPr>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投标货物主要配置一览表单位：元</w:t>
      </w:r>
    </w:p>
    <w:tbl>
      <w:tblPr>
        <w:tblStyle w:val="31"/>
        <w:tblpPr w:leftFromText="180" w:rightFromText="180" w:vertAnchor="text" w:tblpXSpec="center" w:tblpY="1"/>
        <w:tblOverlap w:val="never"/>
        <w:tblW w:w="81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8"/>
        <w:gridCol w:w="1940"/>
        <w:gridCol w:w="697"/>
        <w:gridCol w:w="697"/>
        <w:gridCol w:w="697"/>
        <w:gridCol w:w="697"/>
        <w:gridCol w:w="1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名称</w:t>
            </w:r>
          </w:p>
        </w:tc>
        <w:tc>
          <w:tcPr>
            <w:tcW w:w="1940"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型号规格</w:t>
            </w:r>
          </w:p>
        </w:tc>
        <w:tc>
          <w:tcPr>
            <w:tcW w:w="697"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单位</w:t>
            </w:r>
          </w:p>
        </w:tc>
        <w:tc>
          <w:tcPr>
            <w:tcW w:w="697"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数量</w:t>
            </w:r>
          </w:p>
        </w:tc>
        <w:tc>
          <w:tcPr>
            <w:tcW w:w="697"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单价</w:t>
            </w:r>
          </w:p>
        </w:tc>
        <w:tc>
          <w:tcPr>
            <w:tcW w:w="697"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总价</w:t>
            </w:r>
          </w:p>
        </w:tc>
        <w:tc>
          <w:tcPr>
            <w:tcW w:w="1665" w:type="dxa"/>
          </w:tcPr>
          <w:p>
            <w:pPr>
              <w:adjustRightInd w:val="0"/>
              <w:snapToGrid w:val="0"/>
              <w:spacing w:line="360" w:lineRule="auto"/>
              <w:jc w:val="center"/>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8"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940"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697"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c>
          <w:tcPr>
            <w:tcW w:w="1665" w:type="dxa"/>
          </w:tcPr>
          <w:p>
            <w:pPr>
              <w:adjustRightInd w:val="0"/>
              <w:snapToGrid w:val="0"/>
              <w:spacing w:line="360" w:lineRule="auto"/>
              <w:rPr>
                <w:rFonts w:ascii="仿宋" w:hAnsi="仿宋" w:eastAsia="仿宋" w:cs="仿宋"/>
                <w:color w:val="000000" w:themeColor="text1"/>
                <w14:textFill>
                  <w14:solidFill>
                    <w14:schemeClr w14:val="tx1"/>
                  </w14:solidFill>
                </w14:textFill>
              </w:rPr>
            </w:pPr>
          </w:p>
        </w:tc>
      </w:tr>
    </w:tbl>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备注：本表作为投标方编制投标技术文件的一般格式。表中应当尽可能将配置列全、列细，这将有助于投标方胜出。</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6投标技术文件至少应对招标文件和本技术标书所提出的要求，将投标方认为难以满足的条款和要求，予以明确和详细的说明或澄清。</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7投标技术文件中，如未按照要求编写而存在漏项或缺项，将有可能造成对投标方不必要的误解；必要时，漏项或缺项涉及的费用，将有可能以其它投标方中，相同或相似项目的最高价，计入投标方的投标总报价之内，作为评标的依据之一。</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8供货范围内的物品或服务，应当尽可能详细且分类填入配置表，其费用应当计入投标总报价之内。如果出现不一致的报价，将有可能导致废标。</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9除招标文件明确的验收标准或内容之外，投标方应当在投标文件中提供预验收（必要时）和终验收的标准以及规程，在合同签定之前，经投标方和招标方双方洽谈确认并签署，以作为验收标准执行。</w:t>
      </w:r>
    </w:p>
    <w:p>
      <w:pPr>
        <w:adjustRightInd w:val="0"/>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10带 ★ 号条款为否定项条款。</w:t>
      </w:r>
      <w:bookmarkStart w:id="1196" w:name="_Toc133783976"/>
    </w:p>
    <w:p>
      <w:pPr>
        <w:adjustRightInd w:val="0"/>
        <w:snapToGrid w:val="0"/>
        <w:spacing w:before="163" w:beforeLines="50" w:after="163" w:afterLines="50" w:line="360" w:lineRule="auto"/>
        <w:jc w:val="center"/>
        <w:outlineLvl w:val="0"/>
        <w:rPr>
          <w:rFonts w:ascii="仿宋" w:hAnsi="仿宋" w:eastAsia="仿宋" w:cs="仿宋"/>
          <w:b/>
          <w:bCs/>
          <w:color w:val="000000" w:themeColor="text1"/>
          <w14:textFill>
            <w14:solidFill>
              <w14:schemeClr w14:val="tx1"/>
            </w14:solidFill>
          </w14:textFill>
        </w:rPr>
      </w:pPr>
      <w:bookmarkStart w:id="1197" w:name="_Toc1126"/>
      <w:bookmarkStart w:id="1198" w:name="_Toc5380"/>
      <w:bookmarkStart w:id="1199" w:name="_Toc26559"/>
      <w:bookmarkStart w:id="1200" w:name="_Toc24401"/>
      <w:bookmarkStart w:id="1201" w:name="_Toc17174"/>
      <w:bookmarkStart w:id="1202" w:name="_Toc29655"/>
      <w:bookmarkStart w:id="1203" w:name="_Toc10081"/>
      <w:bookmarkStart w:id="1204" w:name="_Toc31830"/>
      <w:bookmarkStart w:id="1205" w:name="_Toc919"/>
      <w:bookmarkStart w:id="1206" w:name="_Toc5153"/>
      <w:bookmarkStart w:id="1207" w:name="_Toc23538"/>
      <w:bookmarkStart w:id="1208" w:name="_Toc11155"/>
      <w:bookmarkStart w:id="1209" w:name="_Toc19043"/>
      <w:bookmarkStart w:id="1210" w:name="_Toc73112426"/>
      <w:bookmarkStart w:id="1211" w:name="_Toc15645"/>
      <w:bookmarkStart w:id="1212" w:name="_Toc25823"/>
      <w:bookmarkStart w:id="1213" w:name="_Toc4040"/>
      <w:bookmarkStart w:id="1214" w:name="_Toc22743"/>
      <w:bookmarkStart w:id="1215" w:name="_Toc19119"/>
      <w:bookmarkStart w:id="1216" w:name="_Toc10484"/>
      <w:bookmarkStart w:id="1217" w:name="_Toc19821"/>
      <w:bookmarkStart w:id="1218" w:name="_Toc671"/>
      <w:bookmarkStart w:id="1219" w:name="_Toc29369"/>
      <w:bookmarkStart w:id="1220" w:name="_Toc9954"/>
      <w:bookmarkStart w:id="1221" w:name="_Toc32403"/>
      <w:bookmarkStart w:id="1222" w:name="_Toc13350"/>
      <w:bookmarkStart w:id="1223" w:name="_Toc2177"/>
      <w:bookmarkStart w:id="1224" w:name="_Toc3256"/>
      <w:bookmarkStart w:id="1225" w:name="_Toc15684"/>
      <w:bookmarkStart w:id="1226" w:name="_Toc16301"/>
      <w:bookmarkStart w:id="1227" w:name="_Toc2341"/>
      <w:bookmarkStart w:id="1228" w:name="_Toc7541"/>
      <w:bookmarkStart w:id="1229" w:name="_Toc2151"/>
      <w:bookmarkStart w:id="1230" w:name="_Toc11416"/>
      <w:bookmarkStart w:id="1231" w:name="_Toc7423"/>
      <w:bookmarkStart w:id="1232" w:name="_Toc3744"/>
      <w:bookmarkStart w:id="1233" w:name="_Toc17045"/>
      <w:bookmarkStart w:id="1234" w:name="_Toc147"/>
      <w:bookmarkStart w:id="1235" w:name="_Toc19444"/>
      <w:bookmarkStart w:id="1236" w:name="_Toc26481"/>
      <w:bookmarkStart w:id="1237" w:name="_Toc17463"/>
      <w:bookmarkStart w:id="1238" w:name="_Toc25344"/>
      <w:bookmarkStart w:id="1239" w:name="_Toc4563"/>
      <w:bookmarkStart w:id="1240" w:name="_Toc623"/>
      <w:bookmarkStart w:id="1241" w:name="_Toc2783"/>
      <w:bookmarkStart w:id="1242" w:name="_Toc13666"/>
      <w:r>
        <w:rPr>
          <w:rFonts w:hint="eastAsia" w:ascii="仿宋" w:hAnsi="仿宋" w:eastAsia="仿宋" w:cs="仿宋"/>
          <w:b/>
          <w:bCs/>
          <w:color w:val="000000" w:themeColor="text1"/>
          <w14:textFill>
            <w14:solidFill>
              <w14:schemeClr w14:val="tx1"/>
            </w14:solidFill>
          </w14:textFill>
        </w:rPr>
        <w:t>第七章其它要求</w:t>
      </w:r>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1243" w:name="_Toc24669"/>
      <w:bookmarkStart w:id="1244" w:name="_Toc17357"/>
      <w:bookmarkStart w:id="1245" w:name="_Toc16829"/>
      <w:bookmarkStart w:id="1246" w:name="_Toc32544"/>
      <w:bookmarkStart w:id="1247" w:name="_Toc12542"/>
      <w:bookmarkStart w:id="1248" w:name="_Toc17727"/>
      <w:bookmarkStart w:id="1249" w:name="_Toc30535"/>
      <w:bookmarkStart w:id="1250" w:name="_Toc4997"/>
      <w:bookmarkStart w:id="1251" w:name="_Toc15541"/>
      <w:bookmarkStart w:id="1252" w:name="_Toc18469"/>
      <w:bookmarkStart w:id="1253" w:name="_Toc17623"/>
      <w:bookmarkStart w:id="1254" w:name="_Toc31105"/>
      <w:bookmarkStart w:id="1255" w:name="_Toc17435"/>
      <w:bookmarkStart w:id="1256" w:name="_Toc32012"/>
      <w:bookmarkStart w:id="1257" w:name="_Toc15256"/>
      <w:bookmarkStart w:id="1258" w:name="_Toc12406"/>
      <w:bookmarkStart w:id="1259" w:name="_Toc22430"/>
      <w:bookmarkStart w:id="1260" w:name="_Toc17702"/>
      <w:bookmarkStart w:id="1261" w:name="_Toc24782"/>
      <w:bookmarkStart w:id="1262" w:name="_Toc32470"/>
      <w:bookmarkStart w:id="1263" w:name="_Toc24680"/>
      <w:bookmarkStart w:id="1264" w:name="_Toc11058"/>
      <w:bookmarkStart w:id="1265" w:name="_Toc29679"/>
      <w:bookmarkStart w:id="1266" w:name="_Toc13820"/>
      <w:bookmarkStart w:id="1267" w:name="_Toc3164"/>
      <w:bookmarkStart w:id="1268" w:name="_Toc26831"/>
      <w:bookmarkStart w:id="1269" w:name="_Toc16614"/>
      <w:bookmarkStart w:id="1270" w:name="_Toc29015"/>
      <w:bookmarkStart w:id="1271" w:name="_Toc5514"/>
      <w:bookmarkStart w:id="1272" w:name="_Toc14684"/>
      <w:bookmarkStart w:id="1273" w:name="_Toc16802"/>
      <w:bookmarkStart w:id="1274" w:name="_Toc15205"/>
      <w:bookmarkStart w:id="1275" w:name="_Toc24181"/>
      <w:bookmarkStart w:id="1276" w:name="_Toc32525"/>
      <w:bookmarkStart w:id="1277" w:name="_Toc2497"/>
      <w:bookmarkStart w:id="1278" w:name="_Toc27273"/>
      <w:bookmarkStart w:id="1279" w:name="_Toc12029"/>
      <w:bookmarkStart w:id="1280" w:name="_Toc20262"/>
      <w:bookmarkStart w:id="1281" w:name="_Toc11901"/>
      <w:bookmarkStart w:id="1282" w:name="_Toc22010"/>
      <w:bookmarkStart w:id="1283" w:name="_Toc28364"/>
      <w:bookmarkStart w:id="1284" w:name="_Toc25903"/>
      <w:bookmarkStart w:id="1285" w:name="_Toc21465"/>
      <w:bookmarkStart w:id="1286" w:name="_Toc14484"/>
      <w:bookmarkStart w:id="1287" w:name="_Toc73112427"/>
      <w:r>
        <w:rPr>
          <w:rFonts w:hint="eastAsia" w:ascii="仿宋" w:hAnsi="仿宋" w:eastAsia="仿宋" w:cs="仿宋"/>
          <w:b/>
          <w:bCs/>
          <w:color w:val="000000" w:themeColor="text1"/>
          <w14:textFill>
            <w14:solidFill>
              <w14:schemeClr w14:val="tx1"/>
            </w14:solidFill>
          </w14:textFill>
        </w:rPr>
        <w:t>1特殊要求</w:t>
      </w:r>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p>
    <w:p>
      <w:pPr>
        <w:pStyle w:val="17"/>
        <w:snapToGrid w:val="0"/>
        <w:spacing w:line="360" w:lineRule="auto"/>
        <w:ind w:firstLine="48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为保证本技术标书所列采购货物的质量以及先进性、可靠性、经济性和实用性，要求投标方在投标文件中，至少应具备以下资格证明文件或资料：</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1.1投标方应是通过有关资格认证的单位，因此应附有有效期内的资格认证证书，如：ISO9001、VDA6.1、QS9000等。</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1.2国产设备应附有采购货物（或设备）涉及的由“中国质量认证中心”颁发的《中国国家强制性产品认证证书》（CCC证书）。</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1.3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方应当保证其业绩的真实性，否则将影响投标或中标资格。</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1.4应附有其它与投标单位、采购货物有关的荣誉证书或资料。</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1.5应附有中国相关国家部委颁发的有效期之内所必需的《生产许可证》。</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1.6应附有必要的采购货物（或设备）的相关检验、试验报告，如：《型式试验的检验报告》、《产品鉴定证书》、《新技术成果证书》等。</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1.7投标方必须附有采购货物（或设备）涉及国家规定必须进行的检验、试验报告等。</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1.8可附有投标方认为能够证明其所供设备的质量水平、技术水平、安全性水平、节能性水平、环保性水平等相关的其它证明文件或资料、报告等，如电气开关柜等电气设备的内部故障电弧效应试验报告、噪声较大设备的噪声检验报告等。</w:t>
      </w:r>
    </w:p>
    <w:p>
      <w:pPr>
        <w:snapToGrid w:val="0"/>
        <w:spacing w:line="360" w:lineRule="auto"/>
        <w:ind w:left="480"/>
        <w:outlineLvl w:val="1"/>
        <w:rPr>
          <w:rFonts w:ascii="仿宋" w:hAnsi="仿宋" w:eastAsia="仿宋" w:cs="仿宋"/>
          <w:b/>
          <w:bCs/>
          <w:color w:val="000000" w:themeColor="text1"/>
          <w14:textFill>
            <w14:solidFill>
              <w14:schemeClr w14:val="tx1"/>
            </w14:solidFill>
          </w14:textFill>
        </w:rPr>
      </w:pPr>
      <w:bookmarkStart w:id="1288" w:name="_Toc28559"/>
      <w:bookmarkStart w:id="1289" w:name="_Toc16457"/>
      <w:bookmarkStart w:id="1290" w:name="_Toc24482"/>
      <w:bookmarkStart w:id="1291" w:name="_Toc21942"/>
      <w:bookmarkStart w:id="1292" w:name="_Toc29954"/>
      <w:bookmarkStart w:id="1293" w:name="_Toc26626"/>
      <w:bookmarkStart w:id="1294" w:name="_Toc28700"/>
      <w:bookmarkStart w:id="1295" w:name="_Toc27164"/>
      <w:bookmarkStart w:id="1296" w:name="_Toc24176"/>
      <w:bookmarkStart w:id="1297" w:name="_Toc27894"/>
      <w:bookmarkStart w:id="1298" w:name="_Toc26307"/>
      <w:bookmarkStart w:id="1299" w:name="_Toc6242"/>
      <w:bookmarkStart w:id="1300" w:name="_Toc14052"/>
      <w:bookmarkStart w:id="1301" w:name="_Toc73112429"/>
      <w:bookmarkStart w:id="1302" w:name="_Toc14956"/>
      <w:bookmarkStart w:id="1303" w:name="_Toc4278"/>
      <w:bookmarkStart w:id="1304" w:name="_Toc335"/>
      <w:bookmarkStart w:id="1305" w:name="_Toc22763"/>
      <w:bookmarkStart w:id="1306" w:name="_Toc11255"/>
      <w:bookmarkStart w:id="1307" w:name="_Toc28380"/>
      <w:bookmarkStart w:id="1308" w:name="_Toc20370"/>
      <w:bookmarkStart w:id="1309" w:name="_Toc4243"/>
      <w:bookmarkStart w:id="1310" w:name="_Toc3821"/>
      <w:bookmarkStart w:id="1311" w:name="_Toc25028"/>
      <w:bookmarkStart w:id="1312" w:name="_Toc22893"/>
      <w:bookmarkStart w:id="1313" w:name="_Toc1823"/>
      <w:bookmarkStart w:id="1314" w:name="_Toc18674"/>
      <w:bookmarkStart w:id="1315" w:name="_Toc7398"/>
      <w:bookmarkStart w:id="1316" w:name="_Toc3658"/>
      <w:bookmarkStart w:id="1317" w:name="_Toc5504"/>
      <w:bookmarkStart w:id="1318" w:name="_Toc29233"/>
      <w:bookmarkStart w:id="1319" w:name="_Toc3323"/>
      <w:bookmarkStart w:id="1320" w:name="_Toc28267"/>
      <w:bookmarkStart w:id="1321" w:name="_Toc25498"/>
      <w:bookmarkStart w:id="1322" w:name="_Toc19315"/>
      <w:bookmarkStart w:id="1323" w:name="_Toc26724"/>
      <w:bookmarkStart w:id="1324" w:name="_Toc18370"/>
      <w:bookmarkStart w:id="1325" w:name="_Toc11707"/>
      <w:bookmarkStart w:id="1326" w:name="_Toc18745"/>
      <w:bookmarkStart w:id="1327" w:name="_Toc13497"/>
      <w:bookmarkStart w:id="1328" w:name="_Toc20830"/>
      <w:bookmarkStart w:id="1329" w:name="_Toc28718"/>
      <w:bookmarkStart w:id="1330" w:name="_Toc9442"/>
      <w:bookmarkStart w:id="1331" w:name="_Toc13528"/>
      <w:bookmarkStart w:id="1332" w:name="_Toc8864"/>
      <w:r>
        <w:rPr>
          <w:rFonts w:hint="eastAsia" w:ascii="仿宋" w:hAnsi="仿宋" w:eastAsia="仿宋" w:cs="仿宋"/>
          <w:b/>
          <w:bCs/>
          <w:color w:val="000000" w:themeColor="text1"/>
          <w14:textFill>
            <w14:solidFill>
              <w14:schemeClr w14:val="tx1"/>
            </w14:solidFill>
          </w14:textFill>
        </w:rPr>
        <w:t>2说明</w:t>
      </w:r>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2.1投标方可以根据自身的技术、经验等优势以及对招标文件和本技术标书的理解，写明对招标方所采购货物的优化方案或建议意见。投标方的这些努力，招标方表示感谢，并将有助于投标方优先胜出。</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2.2即使有建议意见或建议方案，仍应依据招标文件和本技术标书要求，编写符合要求的投标文件。建议方案或建议意见，应以单独篇章或文件，予以说明。</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2.3请投标方仔细阅读“采购货物概况”章节内说明，针对允许分投分中的货物，招标方有权利选择其中优秀设备或服务，作为投标方合同供货范围中的指定选用设备或服务（替代投标方分投而未中标部分）。</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2.4招标文件、投标文件、答疑文件、技术交流文件、技术协议书等，在招标过程全部为有效文件，如有差异，以对招标方或买方最有利的条款为准。</w:t>
      </w:r>
    </w:p>
    <w:p>
      <w:pPr>
        <w:snapToGrid w:val="0"/>
        <w:spacing w:line="360" w:lineRule="auto"/>
        <w:ind w:firstLine="420" w:firstLineChars="200"/>
        <w:rPr>
          <w:rFonts w:ascii="仿宋" w:hAnsi="仿宋" w:eastAsia="仿宋" w:cs="仿宋"/>
          <w:color w:val="000000" w:themeColor="text1"/>
          <w14:textFill>
            <w14:solidFill>
              <w14:schemeClr w14:val="tx1"/>
            </w14:solidFill>
          </w14:textFill>
        </w:rPr>
      </w:pPr>
      <w:r>
        <w:rPr>
          <w:rFonts w:hint="eastAsia" w:ascii="仿宋" w:hAnsi="仿宋" w:eastAsia="仿宋" w:cs="仿宋"/>
          <w:color w:val="000000" w:themeColor="text1"/>
          <w14:textFill>
            <w14:solidFill>
              <w14:schemeClr w14:val="tx1"/>
            </w14:solidFill>
          </w14:textFill>
        </w:rPr>
        <w:t>2.5本技术标书在“预验收和终验收”章节所列的招标方在合同签署后将成为买方，中标的投标方将成为卖方；为避免歧异，本技术标书在“预验收和终验收”之外的其它章节，均将潜在的卖方称为投标方、将买方称为招标方。</w:t>
      </w:r>
    </w:p>
    <w:p>
      <w:pPr>
        <w:snapToGrid w:val="0"/>
        <w:spacing w:line="360" w:lineRule="auto"/>
        <w:ind w:firstLine="420" w:firstLineChars="200"/>
        <w:rPr>
          <w:rFonts w:ascii="仿宋" w:hAnsi="仿宋" w:eastAsia="仿宋" w:cs="仿宋"/>
        </w:rPr>
      </w:pPr>
    </w:p>
    <w:p>
      <w:pPr>
        <w:snapToGrid w:val="0"/>
        <w:spacing w:line="360" w:lineRule="auto"/>
        <w:ind w:firstLine="420" w:firstLineChars="200"/>
        <w:rPr>
          <w:rFonts w:ascii="仿宋" w:hAnsi="仿宋" w:eastAsia="仿宋" w:cs="仿宋"/>
          <w:highlight w:val="none"/>
        </w:rPr>
      </w:pPr>
    </w:p>
    <w:p>
      <w:pPr>
        <w:snapToGrid w:val="0"/>
        <w:spacing w:line="360" w:lineRule="auto"/>
        <w:ind w:firstLine="420" w:firstLineChars="200"/>
        <w:rPr>
          <w:rFonts w:ascii="仿宋" w:hAnsi="仿宋" w:eastAsia="仿宋" w:cs="仿宋"/>
          <w:highlight w:val="none"/>
        </w:rPr>
      </w:pPr>
    </w:p>
    <w:p>
      <w:pPr>
        <w:adjustRightInd w:val="0"/>
        <w:snapToGrid w:val="0"/>
        <w:spacing w:line="360" w:lineRule="auto"/>
        <w:ind w:firstLine="420" w:firstLineChars="200"/>
        <w:rPr>
          <w:rFonts w:ascii="仿宋" w:hAnsi="仿宋" w:eastAsia="仿宋" w:cs="仿宋"/>
          <w:highlight w:val="none"/>
        </w:rPr>
      </w:pPr>
    </w:p>
    <w:p>
      <w:pPr>
        <w:snapToGrid w:val="0"/>
        <w:spacing w:line="360" w:lineRule="auto"/>
        <w:rPr>
          <w:rFonts w:ascii="仿宋" w:hAnsi="仿宋" w:eastAsia="仿宋" w:cs="仿宋"/>
          <w:highlight w:val="none"/>
        </w:rPr>
      </w:pPr>
    </w:p>
    <w:p>
      <w:pPr>
        <w:pStyle w:val="77"/>
        <w:rPr>
          <w:b/>
          <w:bCs/>
        </w:rPr>
      </w:pPr>
    </w:p>
    <w:p>
      <w:pPr>
        <w:rPr>
          <w:rFonts w:hint="eastAsia"/>
        </w:rPr>
      </w:pPr>
      <w:bookmarkStart w:id="1333" w:name="_Toc47976609"/>
      <w:r>
        <w:rPr>
          <w:rFonts w:hint="eastAsia"/>
        </w:rPr>
        <w:br w:type="page"/>
      </w:r>
    </w:p>
    <w:bookmarkEnd w:id="1333"/>
    <w:p>
      <w:pPr>
        <w:pStyle w:val="72"/>
        <w:numPr>
          <w:ilvl w:val="0"/>
          <w:numId w:val="30"/>
        </w:numPr>
        <w:rPr>
          <w:rFonts w:hint="eastAsia"/>
        </w:rPr>
      </w:pPr>
      <w:r>
        <w:rPr>
          <w:rFonts w:hint="eastAsia" w:ascii="宋体" w:hAnsi="宋体" w:eastAsia="宋体" w:cs="Times New Roman"/>
          <w:b/>
          <w:sz w:val="36"/>
          <w:szCs w:val="36"/>
        </w:rPr>
        <w:t>设备采购合同</w:t>
      </w:r>
      <w:r>
        <w:rPr>
          <w:rFonts w:hint="eastAsia" w:ascii="宋体" w:hAnsi="宋体" w:eastAsia="宋体" w:cs="Times New Roman"/>
          <w:b/>
          <w:sz w:val="36"/>
          <w:szCs w:val="36"/>
          <w:lang w:eastAsia="zh-CN"/>
        </w:rPr>
        <w:t>（</w:t>
      </w:r>
      <w:r>
        <w:rPr>
          <w:rFonts w:hint="eastAsia" w:ascii="宋体" w:hAnsi="宋体" w:eastAsia="宋体" w:cs="Times New Roman"/>
          <w:b/>
          <w:sz w:val="36"/>
          <w:szCs w:val="36"/>
          <w:lang w:val="en-US" w:eastAsia="zh-CN"/>
        </w:rPr>
        <w:t>模板</w:t>
      </w:r>
      <w:r>
        <w:rPr>
          <w:rFonts w:hint="eastAsia" w:ascii="宋体" w:hAnsi="宋体" w:eastAsia="宋体" w:cs="Times New Roman"/>
          <w:b/>
          <w:sz w:val="36"/>
          <w:szCs w:val="36"/>
          <w:lang w:eastAsia="zh-CN"/>
        </w:rPr>
        <w:t>）</w:t>
      </w:r>
    </w:p>
    <w:p>
      <w:pPr>
        <w:wordWrap w:val="0"/>
        <w:adjustRightInd w:val="0"/>
        <w:snapToGrid w:val="0"/>
        <w:spacing w:line="360" w:lineRule="auto"/>
        <w:jc w:val="right"/>
        <w:rPr>
          <w:rFonts w:ascii="宋体" w:hAnsi="宋体"/>
          <w:b/>
          <w:sz w:val="28"/>
          <w:szCs w:val="28"/>
        </w:rPr>
      </w:pPr>
    </w:p>
    <w:p>
      <w:pPr>
        <w:adjustRightInd w:val="0"/>
        <w:snapToGrid w:val="0"/>
        <w:spacing w:line="360" w:lineRule="auto"/>
        <w:jc w:val="center"/>
        <w:rPr>
          <w:rFonts w:ascii="方正小标宋简体" w:hAnsi="宋体" w:eastAsia="方正小标宋简体"/>
          <w:bCs/>
          <w:sz w:val="52"/>
          <w:szCs w:val="36"/>
        </w:rPr>
      </w:pPr>
      <w:bookmarkStart w:id="1334" w:name="_Toc47976615"/>
      <w:r>
        <w:rPr>
          <w:rFonts w:hint="eastAsia" w:ascii="方正小标宋简体" w:hAnsi="宋体" w:eastAsia="方正小标宋简体"/>
          <w:bCs/>
          <w:sz w:val="52"/>
          <w:szCs w:val="36"/>
        </w:rPr>
        <w:t>设备采购合同（模板）</w:t>
      </w:r>
    </w:p>
    <w:p>
      <w:pPr>
        <w:pStyle w:val="15"/>
        <w:jc w:val="center"/>
      </w:pPr>
      <w:r>
        <w:rPr>
          <w:rFonts w:hint="eastAsia" w:hAnsi="宋体" w:eastAsia="宋体" w:cs="宋体"/>
          <w:b/>
          <w:sz w:val="24"/>
          <w:szCs w:val="24"/>
        </w:rPr>
        <w:t>（合同以双方最终签署的版本为准）</w:t>
      </w: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jc w:val="left"/>
        <w:rPr>
          <w:rFonts w:ascii="宋体" w:hAnsi="宋体"/>
          <w:b/>
          <w:sz w:val="36"/>
          <w:szCs w:val="36"/>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ascii="宋体" w:hAnsi="宋体" w:cs="宋体"/>
          <w:bCs/>
          <w:sz w:val="24"/>
          <w:u w:val="single"/>
        </w:rPr>
      </w:pPr>
      <w:r>
        <w:rPr>
          <w:rFonts w:hint="eastAsia" w:ascii="宋体" w:hAnsi="宋体" w:cs="宋体"/>
          <w:bCs/>
          <w:sz w:val="24"/>
        </w:rPr>
        <w:t xml:space="preserve">                                       </w:t>
      </w:r>
    </w:p>
    <w:p>
      <w:pPr>
        <w:spacing w:line="360" w:lineRule="auto"/>
        <w:rPr>
          <w:rFonts w:ascii="宋体" w:hAnsi="宋体" w:cs="宋体"/>
          <w:bCs/>
          <w:sz w:val="22"/>
        </w:rPr>
        <w:sectPr>
          <w:headerReference r:id="rId7" w:type="default"/>
          <w:footerReference r:id="rId8"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pPr>
        <w:spacing w:line="360" w:lineRule="auto"/>
        <w:rPr>
          <w:rFonts w:ascii="仿宋_GB2312" w:hAnsi="宋体" w:eastAsia="仿宋_GB2312" w:cs="宋体"/>
          <w:bCs/>
          <w:sz w:val="24"/>
          <w:szCs w:val="24"/>
        </w:rPr>
      </w:pPr>
      <w:r>
        <w:rPr>
          <w:rFonts w:hint="eastAsia" w:ascii="宋体" w:hAnsi="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ascii="仿宋_GB2312" w:hAnsi="宋体" w:eastAsia="仿宋_GB2312" w:cs="宋体"/>
          <w:b/>
          <w:bCs/>
          <w:sz w:val="24"/>
          <w:szCs w:val="24"/>
          <w:u w:val="single"/>
        </w:rPr>
      </w:pPr>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35" w:name="_Toc17619"/>
      <w:bookmarkStart w:id="1336" w:name="_Toc11930"/>
      <w:bookmarkStart w:id="1337" w:name="_Toc11823"/>
      <w:bookmarkStart w:id="1338" w:name="_Toc16330018"/>
      <w:r>
        <w:rPr>
          <w:rFonts w:hint="eastAsia" w:ascii="黑体" w:hAnsi="黑体" w:eastAsia="黑体" w:cstheme="minorEastAsia"/>
          <w:b w:val="0"/>
          <w:sz w:val="28"/>
          <w:szCs w:val="28"/>
        </w:rPr>
        <w:t>1 合同设备</w:t>
      </w:r>
      <w:bookmarkEnd w:id="1335"/>
      <w:bookmarkEnd w:id="1336"/>
      <w:bookmarkEnd w:id="1337"/>
      <w:bookmarkEnd w:id="133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1339" w:name="_Toc32510"/>
      <w:bookmarkStart w:id="1340" w:name="_Toc29026"/>
      <w:bookmarkStart w:id="1341" w:name="_Toc22800"/>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42" w:name="_Toc16330019"/>
      <w:r>
        <w:rPr>
          <w:rFonts w:hint="eastAsia" w:ascii="黑体" w:hAnsi="黑体" w:eastAsia="黑体" w:cstheme="minorEastAsia"/>
          <w:b w:val="0"/>
          <w:sz w:val="28"/>
          <w:szCs w:val="28"/>
        </w:rPr>
        <w:t>2 包装</w:t>
      </w:r>
      <w:bookmarkEnd w:id="1339"/>
      <w:bookmarkEnd w:id="1340"/>
      <w:bookmarkEnd w:id="1341"/>
      <w:bookmarkEnd w:id="134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43" w:name="_Toc27144"/>
      <w:bookmarkStart w:id="1344" w:name="_Toc27453"/>
      <w:bookmarkStart w:id="1345" w:name="_Toc2833"/>
      <w:bookmarkStart w:id="1346" w:name="_Toc16330020"/>
      <w:r>
        <w:rPr>
          <w:rFonts w:hint="eastAsia" w:ascii="黑体" w:hAnsi="黑体" w:eastAsia="黑体" w:cstheme="minorEastAsia"/>
          <w:b w:val="0"/>
          <w:sz w:val="28"/>
          <w:szCs w:val="28"/>
        </w:rPr>
        <w:t>3 运输标记</w:t>
      </w:r>
      <w:bookmarkEnd w:id="1343"/>
      <w:bookmarkEnd w:id="1344"/>
      <w:bookmarkEnd w:id="1345"/>
      <w:bookmarkEnd w:id="134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47" w:name="_Toc16133"/>
      <w:bookmarkStart w:id="1348" w:name="_Toc16330021"/>
      <w:bookmarkStart w:id="1349" w:name="_Toc10630"/>
      <w:bookmarkStart w:id="1350" w:name="_Toc7431"/>
      <w:r>
        <w:rPr>
          <w:rFonts w:hint="eastAsia" w:ascii="黑体" w:hAnsi="黑体" w:eastAsia="黑体" w:cstheme="minorEastAsia"/>
          <w:b w:val="0"/>
          <w:sz w:val="28"/>
          <w:szCs w:val="28"/>
        </w:rPr>
        <w:t>4 检验</w:t>
      </w:r>
      <w:bookmarkEnd w:id="1347"/>
      <w:bookmarkEnd w:id="1348"/>
      <w:bookmarkEnd w:id="1349"/>
      <w:bookmarkEnd w:id="135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51" w:name="_Toc11217"/>
      <w:bookmarkStart w:id="1352" w:name="_Toc24467"/>
      <w:bookmarkStart w:id="1353" w:name="_Toc19850"/>
      <w:bookmarkStart w:id="1354" w:name="_Toc16330022"/>
      <w:r>
        <w:rPr>
          <w:rFonts w:hint="eastAsia" w:ascii="黑体" w:hAnsi="黑体" w:eastAsia="黑体" w:cstheme="minorEastAsia"/>
          <w:b w:val="0"/>
          <w:sz w:val="28"/>
          <w:szCs w:val="28"/>
        </w:rPr>
        <w:t>5 权利担保</w:t>
      </w:r>
      <w:bookmarkEnd w:id="1351"/>
      <w:bookmarkEnd w:id="1352"/>
      <w:bookmarkEnd w:id="1353"/>
      <w:bookmarkEnd w:id="135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55" w:name="_Toc14809"/>
      <w:bookmarkStart w:id="1356" w:name="_Toc11759"/>
      <w:bookmarkStart w:id="1357" w:name="_Toc27500"/>
      <w:bookmarkStart w:id="1358" w:name="_Toc16330023"/>
      <w:r>
        <w:rPr>
          <w:rFonts w:hint="eastAsia" w:ascii="黑体" w:hAnsi="黑体" w:eastAsia="黑体" w:cstheme="minorEastAsia"/>
          <w:b w:val="0"/>
          <w:sz w:val="28"/>
          <w:szCs w:val="28"/>
        </w:rPr>
        <w:t>6 交货</w:t>
      </w:r>
      <w:bookmarkEnd w:id="1355"/>
      <w:bookmarkEnd w:id="1356"/>
      <w:bookmarkEnd w:id="1357"/>
      <w:bookmarkEnd w:id="135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59" w:name="_Toc8024"/>
      <w:bookmarkStart w:id="1360" w:name="_Toc16330024"/>
      <w:bookmarkStart w:id="1361" w:name="_Toc25510"/>
      <w:bookmarkStart w:id="1362" w:name="_Toc2984"/>
      <w:r>
        <w:rPr>
          <w:rFonts w:hint="eastAsia" w:ascii="黑体" w:hAnsi="黑体" w:eastAsia="黑体" w:cstheme="minorEastAsia"/>
          <w:b w:val="0"/>
          <w:sz w:val="28"/>
          <w:szCs w:val="28"/>
        </w:rPr>
        <w:t>7 安装、调试</w:t>
      </w:r>
      <w:bookmarkEnd w:id="1359"/>
      <w:bookmarkEnd w:id="1360"/>
      <w:bookmarkEnd w:id="1361"/>
      <w:bookmarkEnd w:id="1362"/>
    </w:p>
    <w:p>
      <w:pPr>
        <w:pStyle w:val="13"/>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63" w:name="_Toc14098"/>
      <w:bookmarkStart w:id="1364" w:name="_Toc14260"/>
      <w:bookmarkStart w:id="1365" w:name="_Toc6350"/>
      <w:bookmarkStart w:id="1366" w:name="_Toc16330025"/>
      <w:r>
        <w:rPr>
          <w:rFonts w:hint="eastAsia" w:ascii="黑体" w:hAnsi="黑体" w:eastAsia="黑体" w:cstheme="minorEastAsia"/>
          <w:b w:val="0"/>
          <w:sz w:val="28"/>
          <w:szCs w:val="28"/>
        </w:rPr>
        <w:t>8 价款与支付</w:t>
      </w:r>
      <w:bookmarkEnd w:id="1363"/>
      <w:bookmarkEnd w:id="1364"/>
      <w:bookmarkEnd w:id="1365"/>
      <w:bookmarkEnd w:id="1366"/>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8.3.1合同生效设备全部到齐无质量问题通过买方初步验收并到货后,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pPr>
        <w:spacing w:line="360" w:lineRule="auto"/>
        <w:ind w:firstLine="453" w:firstLineChars="189"/>
        <w:rPr>
          <w:rFonts w:ascii="仿宋_GB2312" w:hAnsi="黑体" w:eastAsia="仿宋_GB2312" w:cstheme="minorEastAsia"/>
          <w:i/>
          <w:sz w:val="24"/>
          <w:szCs w:val="24"/>
        </w:rPr>
      </w:pPr>
      <w:bookmarkStart w:id="1367" w:name="_Toc14676804"/>
      <w:bookmarkStart w:id="1368" w:name="_Toc14531628"/>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1367"/>
      <w:bookmarkEnd w:id="1368"/>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69" w:name="_Toc6726"/>
      <w:bookmarkStart w:id="1370" w:name="_Toc16330026"/>
      <w:bookmarkStart w:id="1371" w:name="_Toc25708"/>
      <w:bookmarkStart w:id="1372" w:name="_Toc24085"/>
      <w:r>
        <w:rPr>
          <w:rFonts w:hint="eastAsia" w:ascii="黑体" w:hAnsi="黑体" w:eastAsia="黑体" w:cstheme="minorEastAsia"/>
          <w:b w:val="0"/>
          <w:sz w:val="28"/>
          <w:szCs w:val="28"/>
        </w:rPr>
        <w:t>9 质量保证及售后服务</w:t>
      </w:r>
      <w:bookmarkEnd w:id="1369"/>
      <w:bookmarkEnd w:id="1370"/>
      <w:bookmarkEnd w:id="1371"/>
      <w:bookmarkEnd w:id="1372"/>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73" w:name="_Toc12927"/>
      <w:bookmarkStart w:id="1374" w:name="_Toc15570"/>
      <w:bookmarkStart w:id="1375" w:name="_Toc10359"/>
      <w:bookmarkStart w:id="1376" w:name="_Toc16330027"/>
      <w:r>
        <w:rPr>
          <w:rFonts w:hint="eastAsia" w:ascii="黑体" w:hAnsi="黑体" w:eastAsia="黑体" w:cstheme="minorEastAsia"/>
          <w:b w:val="0"/>
          <w:sz w:val="28"/>
          <w:szCs w:val="28"/>
        </w:rPr>
        <w:t>10法定责任</w:t>
      </w:r>
      <w:bookmarkEnd w:id="1373"/>
      <w:bookmarkEnd w:id="1374"/>
      <w:bookmarkEnd w:id="1375"/>
      <w:bookmarkEnd w:id="1376"/>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77" w:name="_Toc16330028"/>
      <w:bookmarkStart w:id="1378" w:name="_Toc27314"/>
      <w:bookmarkStart w:id="1379" w:name="_Toc9708"/>
      <w:bookmarkStart w:id="1380" w:name="_Toc30381"/>
      <w:r>
        <w:rPr>
          <w:rFonts w:hint="eastAsia" w:ascii="黑体" w:hAnsi="黑体" w:eastAsia="黑体" w:cstheme="minorEastAsia"/>
          <w:b w:val="0"/>
          <w:sz w:val="28"/>
          <w:szCs w:val="28"/>
        </w:rPr>
        <w:t>11 违约责任</w:t>
      </w:r>
      <w:bookmarkEnd w:id="1377"/>
      <w:bookmarkEnd w:id="1378"/>
      <w:bookmarkEnd w:id="1379"/>
      <w:bookmarkEnd w:id="1380"/>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81" w:name="_Toc16330029"/>
      <w:bookmarkStart w:id="1382" w:name="_Toc1827"/>
      <w:bookmarkStart w:id="1383" w:name="_Toc31554"/>
      <w:bookmarkStart w:id="1384" w:name="_Toc9172"/>
      <w:r>
        <w:rPr>
          <w:rFonts w:hint="eastAsia" w:ascii="黑体" w:hAnsi="黑体" w:eastAsia="黑体" w:cstheme="minorEastAsia"/>
          <w:b w:val="0"/>
          <w:sz w:val="28"/>
          <w:szCs w:val="28"/>
        </w:rPr>
        <w:t>12 合同的终止与解除</w:t>
      </w:r>
      <w:bookmarkEnd w:id="1381"/>
      <w:bookmarkEnd w:id="1382"/>
      <w:bookmarkEnd w:id="1383"/>
      <w:bookmarkEnd w:id="1384"/>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pPr>
        <w:spacing w:line="360" w:lineRule="auto"/>
        <w:ind w:left="397" w:leftChars="189"/>
        <w:rPr>
          <w:rFonts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85" w:name="_Toc16330030"/>
      <w:bookmarkStart w:id="1386" w:name="_Toc31945"/>
      <w:bookmarkStart w:id="1387" w:name="_Toc13671"/>
      <w:bookmarkStart w:id="1388" w:name="_Toc8620"/>
      <w:r>
        <w:rPr>
          <w:rFonts w:hint="eastAsia" w:ascii="黑体" w:hAnsi="黑体" w:eastAsia="黑体" w:cstheme="minorEastAsia"/>
          <w:b w:val="0"/>
          <w:sz w:val="28"/>
          <w:szCs w:val="28"/>
        </w:rPr>
        <w:t>13 不可抗力</w:t>
      </w:r>
      <w:bookmarkEnd w:id="1385"/>
      <w:bookmarkEnd w:id="1386"/>
      <w:bookmarkEnd w:id="1387"/>
      <w:bookmarkEnd w:id="138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89" w:name="_Toc637"/>
      <w:bookmarkStart w:id="1390" w:name="_Toc31243"/>
      <w:bookmarkStart w:id="1391" w:name="_Toc16330031"/>
      <w:bookmarkStart w:id="1392" w:name="_Toc30389"/>
      <w:r>
        <w:rPr>
          <w:rFonts w:hint="eastAsia" w:ascii="黑体" w:hAnsi="黑体" w:eastAsia="黑体" w:cstheme="minorEastAsia"/>
          <w:b w:val="0"/>
          <w:sz w:val="28"/>
          <w:szCs w:val="28"/>
        </w:rPr>
        <w:t>14 通讯</w:t>
      </w:r>
      <w:bookmarkEnd w:id="1389"/>
      <w:bookmarkEnd w:id="1390"/>
      <w:bookmarkEnd w:id="1391"/>
      <w:bookmarkEnd w:id="1392"/>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5"/>
        <w:tabs>
          <w:tab w:val="right" w:leader="dot" w:pos="9061"/>
        </w:tabs>
        <w:spacing w:before="312" w:beforeLines="100"/>
        <w:rPr>
          <w:rFonts w:ascii="黑体" w:hAnsi="黑体" w:eastAsia="黑体" w:cstheme="minorEastAsia"/>
          <w:b w:val="0"/>
          <w:sz w:val="28"/>
          <w:szCs w:val="28"/>
        </w:rPr>
      </w:pPr>
      <w:bookmarkStart w:id="1393" w:name="_Toc12984"/>
      <w:bookmarkStart w:id="1394" w:name="_Toc16330032"/>
      <w:bookmarkStart w:id="1395" w:name="_Toc11290"/>
      <w:bookmarkStart w:id="1396" w:name="_Toc9915"/>
      <w:r>
        <w:rPr>
          <w:rFonts w:hint="eastAsia" w:ascii="黑体" w:hAnsi="黑体" w:eastAsia="黑体" w:cstheme="minorEastAsia"/>
          <w:b w:val="0"/>
          <w:sz w:val="28"/>
          <w:szCs w:val="28"/>
        </w:rPr>
        <w:t>15 适用法律及争议解决</w:t>
      </w:r>
      <w:bookmarkEnd w:id="1393"/>
      <w:bookmarkEnd w:id="1394"/>
      <w:bookmarkEnd w:id="1395"/>
      <w:bookmarkEnd w:id="139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397" w:name="_Toc23906"/>
      <w:bookmarkStart w:id="1398" w:name="_Toc18207"/>
      <w:bookmarkStart w:id="1399" w:name="_Toc16330033"/>
      <w:bookmarkStart w:id="1400" w:name="_Toc23765"/>
      <w:r>
        <w:rPr>
          <w:rFonts w:hint="eastAsia" w:ascii="黑体" w:hAnsi="黑体" w:eastAsia="黑体" w:cstheme="minorEastAsia"/>
          <w:b w:val="0"/>
          <w:sz w:val="28"/>
          <w:szCs w:val="28"/>
        </w:rPr>
        <w:t>16 附件</w:t>
      </w:r>
      <w:bookmarkEnd w:id="1397"/>
      <w:bookmarkEnd w:id="1398"/>
      <w:bookmarkEnd w:id="1399"/>
      <w:bookmarkEnd w:id="1400"/>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5"/>
        <w:tabs>
          <w:tab w:val="right" w:leader="dot" w:pos="9061"/>
        </w:tabs>
        <w:spacing w:before="312" w:beforeLines="100"/>
        <w:ind w:firstLine="529" w:firstLineChars="189"/>
        <w:rPr>
          <w:rFonts w:ascii="黑体" w:hAnsi="黑体" w:eastAsia="黑体" w:cstheme="minorEastAsia"/>
          <w:b w:val="0"/>
          <w:sz w:val="28"/>
          <w:szCs w:val="28"/>
        </w:rPr>
      </w:pPr>
      <w:bookmarkStart w:id="1401" w:name="_Toc31331"/>
      <w:bookmarkStart w:id="1402" w:name="_Toc17656"/>
      <w:bookmarkStart w:id="1403" w:name="_Toc27202"/>
      <w:bookmarkStart w:id="1404" w:name="_Toc16330034"/>
      <w:r>
        <w:rPr>
          <w:rFonts w:hint="eastAsia" w:ascii="黑体" w:hAnsi="黑体" w:eastAsia="黑体" w:cstheme="minorEastAsia"/>
          <w:b w:val="0"/>
          <w:sz w:val="28"/>
          <w:szCs w:val="28"/>
        </w:rPr>
        <w:t>17 其他规定</w:t>
      </w:r>
      <w:bookmarkEnd w:id="1401"/>
      <w:bookmarkEnd w:id="1402"/>
      <w:bookmarkEnd w:id="1403"/>
      <w:bookmarkEnd w:id="140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405" w:name="_Toc29136"/>
      <w:bookmarkStart w:id="1406" w:name="_Toc17952"/>
      <w:bookmarkStart w:id="1407" w:name="_Toc19077"/>
      <w:bookmarkStart w:id="1408" w:name="_Toc16330035"/>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5"/>
        <w:tabs>
          <w:tab w:val="right" w:leader="dot" w:pos="9061"/>
        </w:tabs>
        <w:spacing w:before="312" w:beforeLines="100"/>
        <w:ind w:firstLine="529" w:firstLineChars="189"/>
        <w:rPr>
          <w:rFonts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405"/>
      <w:bookmarkEnd w:id="1406"/>
      <w:bookmarkEnd w:id="1407"/>
      <w:bookmarkEnd w:id="1408"/>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5" w:firstLineChars="189"/>
        <w:rPr>
          <w:rFonts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spacing w:line="360" w:lineRule="auto"/>
        <w:ind w:firstLine="455" w:firstLineChars="189"/>
        <w:rPr>
          <w:rFonts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spacing w:line="360" w:lineRule="auto"/>
        <w:rPr>
          <w:rFonts w:ascii="仿宋_GB2312" w:eastAsia="仿宋_GB2312"/>
          <w:sz w:val="24"/>
          <w:szCs w:val="24"/>
        </w:rPr>
      </w:pPr>
    </w:p>
    <w:p>
      <w:pPr>
        <w:pStyle w:val="5"/>
        <w:tabs>
          <w:tab w:val="right" w:leader="dot" w:pos="9061"/>
        </w:tabs>
        <w:rPr>
          <w:rFonts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22"/>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2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2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2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asciiTheme="minorEastAsia" w:hAnsiTheme="minorEastAsia" w:cstheme="minorEastAsia"/>
          <w:sz w:val="20"/>
          <w:szCs w:val="20"/>
        </w:rPr>
      </w:pPr>
      <w:bookmarkStart w:id="1409" w:name="_Toc5379"/>
      <w:bookmarkStart w:id="1410" w:name="_Toc25120"/>
      <w:bookmarkStart w:id="1411" w:name="_Toc16330037"/>
      <w:bookmarkStart w:id="1412" w:name="_Toc3778"/>
      <w:bookmarkStart w:id="1413" w:name="_Toc24623"/>
      <w:r>
        <w:rPr>
          <w:rFonts w:hint="eastAsia" w:asciiTheme="minorEastAsia" w:hAnsiTheme="minorEastAsia" w:cstheme="minorEastAsia"/>
          <w:sz w:val="20"/>
          <w:szCs w:val="20"/>
        </w:rPr>
        <w:br w:type="page"/>
      </w:r>
    </w:p>
    <w:p>
      <w:pPr>
        <w:pStyle w:val="5"/>
        <w:tabs>
          <w:tab w:val="right" w:leader="dot" w:pos="9061"/>
        </w:tabs>
        <w:rPr>
          <w:rFonts w:ascii="黑体" w:hAnsi="黑体" w:eastAsia="黑体" w:cstheme="minorEastAsia"/>
          <w:b w:val="0"/>
          <w:i/>
          <w:sz w:val="28"/>
          <w:szCs w:val="28"/>
        </w:rPr>
      </w:pPr>
      <w:r>
        <w:rPr>
          <w:rFonts w:hint="eastAsia" w:ascii="黑体" w:hAnsi="黑体" w:eastAsia="黑体" w:cstheme="minorEastAsia"/>
          <w:b w:val="0"/>
          <w:sz w:val="28"/>
          <w:szCs w:val="28"/>
        </w:rPr>
        <w:t xml:space="preserve">附件二 </w:t>
      </w:r>
      <w:bookmarkEnd w:id="1409"/>
      <w:bookmarkEnd w:id="1410"/>
      <w:bookmarkEnd w:id="1411"/>
      <w:bookmarkEnd w:id="1412"/>
      <w:bookmarkEnd w:id="1413"/>
      <w:r>
        <w:rPr>
          <w:rFonts w:hint="eastAsia" w:ascii="黑体" w:hAnsi="黑体" w:eastAsia="黑体" w:cstheme="minorEastAsia"/>
          <w:b w:val="0"/>
          <w:sz w:val="28"/>
          <w:szCs w:val="28"/>
        </w:rPr>
        <w:t>技术协议书</w:t>
      </w:r>
    </w:p>
    <w:p>
      <w:pPr>
        <w:ind w:right="360"/>
        <w:rPr>
          <w:rFonts w:asciiTheme="minorEastAsia" w:hAnsiTheme="minorEastAsia" w:cstheme="minorEastAsia"/>
          <w:sz w:val="20"/>
          <w:szCs w:val="20"/>
        </w:rPr>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p>
    <w:p>
      <w:pPr>
        <w:jc w:val="right"/>
        <w:rPr>
          <w:rFonts w:asciiTheme="minorEastAsia" w:hAnsiTheme="minorEastAsia" w:cstheme="minorEastAsia"/>
          <w:sz w:val="20"/>
          <w:szCs w:val="20"/>
        </w:rPr>
      </w:pPr>
      <w:r>
        <w:rPr>
          <w:rFonts w:hint="eastAsia" w:asciiTheme="minorEastAsia" w:hAnsiTheme="minorEastAsia" w:cstheme="minorEastAsia"/>
          <w:sz w:val="20"/>
          <w:szCs w:val="20"/>
        </w:rPr>
        <w:t xml:space="preserve">                                      </w:t>
      </w:r>
    </w:p>
    <w:p>
      <w:pPr>
        <w:jc w:val="right"/>
        <w:rPr>
          <w:rFonts w:asciiTheme="minorEastAsia" w:hAnsiTheme="minorEastAsia" w:cstheme="minorEastAsia"/>
          <w:sz w:val="20"/>
          <w:szCs w:val="20"/>
        </w:rPr>
      </w:pPr>
    </w:p>
    <w:p>
      <w:pPr>
        <w:wordWrap w:val="0"/>
        <w:ind w:right="480"/>
        <w:rPr>
          <w:rFonts w:asciiTheme="minorEastAsia" w:hAnsiTheme="minorEastAsia" w:cstheme="minorEastAsia"/>
          <w:sz w:val="20"/>
          <w:szCs w:val="20"/>
        </w:rPr>
      </w:pPr>
    </w:p>
    <w:p>
      <w:pPr>
        <w:jc w:val="right"/>
        <w:rPr>
          <w:rFonts w:ascii="楷体_GB2312" w:hAnsi="宋体" w:eastAsia="楷体_GB2312"/>
          <w:sz w:val="24"/>
        </w:rPr>
      </w:pPr>
      <w:bookmarkStart w:id="1414" w:name="_Toc14341849"/>
    </w:p>
    <w:p>
      <w:pPr>
        <w:ind w:right="480"/>
        <w:jc w:val="center"/>
        <w:rPr>
          <w:sz w:val="24"/>
          <w:szCs w:val="24"/>
        </w:rPr>
      </w:pPr>
      <w:r>
        <w:rPr>
          <w:rFonts w:hint="eastAsia" w:ascii="楷体_GB2312" w:hAnsi="宋体" w:eastAsia="楷体_GB2312"/>
          <w:sz w:val="24"/>
        </w:rPr>
        <w:t xml:space="preserve">                                    </w:t>
      </w:r>
    </w:p>
    <w:bookmarkEnd w:id="1414"/>
    <w:p>
      <w:pPr>
        <w:rPr>
          <w:rFonts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pPr>
        <w:pStyle w:val="2"/>
        <w:spacing w:before="8" w:after="156"/>
        <w:rPr>
          <w:rFonts w:ascii="楷体" w:hAnsi="楷体" w:eastAsia="楷体" w:cs="楷体"/>
          <w:sz w:val="44"/>
          <w:szCs w:val="28"/>
        </w:rPr>
      </w:pP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pPr>
        <w:pStyle w:val="64"/>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64"/>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2"/>
        <w:spacing w:before="9" w:after="156"/>
        <w:rPr>
          <w:rFonts w:ascii="楷体" w:hAnsi="楷体" w:eastAsia="楷体" w:cs="楷体"/>
          <w:sz w:val="40"/>
          <w:szCs w:val="28"/>
        </w:rPr>
      </w:pPr>
    </w:p>
    <w:p>
      <w:pPr>
        <w:tabs>
          <w:tab w:val="left" w:pos="5457"/>
        </w:tabs>
        <w:spacing w:before="1"/>
        <w:ind w:left="117"/>
        <w:rPr>
          <w:rFonts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2"/>
        <w:spacing w:after="156"/>
        <w:rPr>
          <w:rFonts w:ascii="楷体" w:hAnsi="楷体" w:eastAsia="楷体" w:cs="楷体"/>
          <w:b/>
          <w:sz w:val="24"/>
          <w:szCs w:val="28"/>
        </w:rPr>
      </w:pPr>
    </w:p>
    <w:p>
      <w:pPr>
        <w:pStyle w:val="2"/>
        <w:spacing w:before="1" w:after="156"/>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pStyle w:val="2"/>
        <w:spacing w:after="156"/>
        <w:rPr>
          <w:rFonts w:ascii="楷体" w:hAnsi="楷体" w:eastAsia="楷体" w:cs="楷体"/>
          <w:b/>
          <w:sz w:val="24"/>
          <w:szCs w:val="28"/>
        </w:rPr>
      </w:pPr>
    </w:p>
    <w:p>
      <w:pPr>
        <w:pStyle w:val="2"/>
        <w:spacing w:before="4" w:after="156"/>
        <w:rPr>
          <w:rFonts w:ascii="楷体" w:hAnsi="楷体" w:eastAsia="楷体" w:cs="楷体"/>
          <w:b/>
          <w:sz w:val="24"/>
          <w:szCs w:val="28"/>
        </w:rPr>
      </w:pPr>
    </w:p>
    <w:p>
      <w:pPr>
        <w:tabs>
          <w:tab w:val="left" w:pos="5457"/>
        </w:tabs>
        <w:ind w:left="117"/>
        <w:rPr>
          <w:rFonts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tabs>
          <w:tab w:val="left" w:pos="5457"/>
        </w:tabs>
        <w:ind w:left="117"/>
        <w:rPr>
          <w:rFonts w:ascii="楷体" w:hAnsi="楷体" w:eastAsia="楷体" w:cs="楷体"/>
          <w:b/>
          <w:sz w:val="24"/>
          <w:szCs w:val="21"/>
        </w:rPr>
      </w:pPr>
    </w:p>
    <w:p>
      <w:pPr>
        <w:keepNext/>
        <w:keepLines/>
        <w:jc w:val="center"/>
        <w:outlineLvl w:val="0"/>
        <w:rPr>
          <w:rFonts w:ascii="Calibri" w:hAnsi="Calibri" w:eastAsia="宋体" w:cs="Times New Roman"/>
          <w:b/>
          <w:bCs/>
          <w:kern w:val="44"/>
          <w:sz w:val="36"/>
          <w:szCs w:val="44"/>
        </w:rPr>
        <w:sectPr>
          <w:footerReference r:id="rId11" w:type="first"/>
          <w:headerReference r:id="rId9" w:type="default"/>
          <w:footerReference r:id="rId10"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pPr>
        <w:rPr>
          <w:rFonts w:hint="eastAsia"/>
        </w:rPr>
      </w:pPr>
    </w:p>
    <w:p>
      <w:pPr>
        <w:pStyle w:val="72"/>
        <w:rPr>
          <w:rFonts w:ascii="黑体" w:hAnsi="Calibri" w:eastAsia="黑体" w:cs="Times New Roman"/>
          <w:color w:val="000000"/>
          <w:sz w:val="24"/>
          <w:szCs w:val="24"/>
        </w:rPr>
      </w:pPr>
      <w:bookmarkStart w:id="1415" w:name="_Toc16500"/>
      <w:r>
        <w:rPr>
          <w:rFonts w:hint="eastAsia"/>
        </w:rPr>
        <w:t>第四部分　</w:t>
      </w:r>
      <w:bookmarkEnd w:id="1334"/>
      <w:r>
        <w:rPr>
          <w:rFonts w:hint="eastAsia"/>
          <w:lang w:val="en-US" w:eastAsia="zh-CN"/>
        </w:rPr>
        <w:t>投标文件附件</w:t>
      </w:r>
      <w:bookmarkEnd w:id="1415"/>
    </w:p>
    <w:p>
      <w:pPr>
        <w:jc w:val="both"/>
        <w:rPr>
          <w:rFonts w:ascii="宋体"/>
          <w:b/>
          <w:color w:val="000000"/>
          <w:szCs w:val="24"/>
        </w:rPr>
      </w:pPr>
    </w:p>
    <w:p>
      <w:pPr>
        <w:pStyle w:val="15"/>
      </w:pPr>
    </w:p>
    <w:p>
      <w:pPr>
        <w:pStyle w:val="73"/>
        <w:numPr>
          <w:ilvl w:val="0"/>
          <w:numId w:val="0"/>
        </w:numPr>
        <w:ind w:leftChars="0"/>
        <w:outlineLvl w:val="1"/>
        <w:rPr>
          <w:rFonts w:hint="default" w:ascii="宋体" w:hAnsi="宋体" w:eastAsia="宋体" w:cs="宋体"/>
          <w:sz w:val="32"/>
          <w:szCs w:val="32"/>
          <w:highlight w:val="yellow"/>
          <w:lang w:val="en-US" w:eastAsia="zh-CN"/>
        </w:rPr>
      </w:pPr>
      <w:bookmarkStart w:id="1416" w:name="_Toc47976618"/>
      <w:bookmarkStart w:id="1417" w:name="_Toc29366865"/>
      <w:bookmarkStart w:id="1418" w:name="_Toc29366869"/>
      <w:r>
        <w:rPr>
          <w:rFonts w:hint="eastAsia" w:ascii="宋体" w:hAnsi="宋体" w:eastAsia="宋体" w:cs="宋体"/>
          <w:sz w:val="32"/>
          <w:szCs w:val="32"/>
          <w:highlight w:val="none"/>
          <w:lang w:val="en-US" w:eastAsia="zh-CN"/>
        </w:rPr>
        <w:t>附件1 法定代表人授权委托书</w:t>
      </w:r>
    </w:p>
    <w:bookmarkEnd w:id="1416"/>
    <w:p>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w:t>
      </w:r>
      <w:r>
        <w:rPr>
          <w:rFonts w:hint="eastAsia" w:ascii="宋体" w:hAnsi="宋体" w:eastAsia="宋体" w:cs="Times New Roman"/>
          <w:color w:val="000000"/>
          <w:sz w:val="24"/>
          <w:szCs w:val="24"/>
          <w:highlight w:val="none"/>
        </w:rPr>
        <w:t>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济南车桥公司桥壳加工线起重设备改造技改项目  </w:t>
      </w:r>
      <w:r>
        <w:rPr>
          <w:rFonts w:hint="eastAsia" w:ascii="宋体" w:hAnsi="宋体" w:eastAsia="宋体" w:cs="Times New Roman"/>
          <w:color w:val="000000"/>
          <w:sz w:val="24"/>
          <w:szCs w:val="24"/>
          <w:highlight w:val="none"/>
        </w:rPr>
        <w:t>现授权委托＿＿＿＿＿＿＿＿＿＿＿＿＿＿＿＿＿＿＿＿＿＿＿＿＿＿＿＿（单位名称）的＿＿＿＿＿＿</w:t>
      </w:r>
      <w:r>
        <w:rPr>
          <w:rFonts w:hint="eastAsia" w:ascii="宋体" w:hAnsi="宋体" w:eastAsia="宋体" w:cs="Times New Roman"/>
          <w:color w:val="000000"/>
          <w:sz w:val="24"/>
          <w:szCs w:val="24"/>
        </w:rPr>
        <w:t>＿＿（姓名、职务）为我公司全权代表，全权代表在投标文件、评标过程中的书面承诺、合同等所签署的一切文件和处理与之有关的一切事务，我均予以承认。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spacing w:line="460" w:lineRule="exact"/>
        <w:ind w:firstLine="5520" w:firstLineChars="2300"/>
        <w:rPr>
          <w:rFonts w:ascii="宋体" w:hAnsi="Calibri" w:eastAsia="宋体" w:cs="Times New Roman"/>
          <w:sz w:val="24"/>
          <w:szCs w:val="20"/>
          <w:u w:val="single"/>
        </w:rPr>
      </w:pPr>
    </w:p>
    <w:p>
      <w:pPr>
        <w:rPr>
          <w:rFonts w:ascii="Calibri" w:hAnsi="Calibri" w:eastAsia="黑体" w:cs="Times New Roman"/>
          <w:b/>
          <w:bCs/>
          <w:color w:val="000000"/>
          <w:sz w:val="28"/>
          <w:szCs w:val="20"/>
        </w:rPr>
      </w:pPr>
    </w:p>
    <w:p>
      <w:pPr>
        <w:pStyle w:val="15"/>
        <w:rPr>
          <w:rFonts w:ascii="Calibri" w:hAnsi="Calibri" w:eastAsia="黑体" w:cs="Times New Roman"/>
          <w:b/>
          <w:bCs/>
          <w:color w:val="000000"/>
          <w:sz w:val="28"/>
          <w:szCs w:val="20"/>
        </w:rPr>
        <w:sectPr>
          <w:footerReference r:id="rId14" w:type="first"/>
          <w:headerReference r:id="rId12" w:type="default"/>
          <w:footerReference r:id="rId13" w:type="default"/>
          <w:pgSz w:w="11906" w:h="16838"/>
          <w:pgMar w:top="1588" w:right="1418" w:bottom="1134" w:left="1418" w:header="851" w:footer="992" w:gutter="0"/>
          <w:cols w:space="720" w:num="1"/>
          <w:titlePg/>
          <w:docGrid w:type="lines" w:linePitch="312" w:charSpace="0"/>
        </w:sectPr>
      </w:pPr>
    </w:p>
    <w:p>
      <w:pPr>
        <w:pStyle w:val="73"/>
        <w:numPr>
          <w:ilvl w:val="0"/>
          <w:numId w:val="0"/>
        </w:numPr>
        <w:ind w:leftChars="0"/>
        <w:outlineLvl w:val="1"/>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保密承诺函</w:t>
      </w:r>
    </w:p>
    <w:p>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pPr>
        <w:spacing w:line="240" w:lineRule="exact"/>
        <w:jc w:val="center"/>
        <w:rPr>
          <w:rFonts w:ascii="宋体" w:hAnsi="Calibri" w:eastAsia="宋体" w:cs="Times New Roman"/>
          <w:b/>
          <w:bCs/>
          <w:sz w:val="36"/>
          <w:szCs w:val="20"/>
          <w:highlight w:val="none"/>
        </w:rPr>
      </w:pPr>
    </w:p>
    <w:p>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highlight w:val="none"/>
        </w:rPr>
        <w:t>项目名称：</w:t>
      </w:r>
      <w:r>
        <w:rPr>
          <w:rFonts w:hint="eastAsia" w:ascii="宋体" w:hAnsi="宋体" w:cs="宋体"/>
          <w:b/>
          <w:bCs/>
          <w:sz w:val="24"/>
          <w:szCs w:val="24"/>
          <w:highlight w:val="none"/>
          <w:u w:val="single"/>
          <w:lang w:val="en-US" w:eastAsia="zh-CN"/>
        </w:rPr>
        <w:t>济南车桥公司桥壳加工线起重设备改造技改项目</w:t>
      </w:r>
    </w:p>
    <w:p>
      <w:pPr>
        <w:spacing w:line="360" w:lineRule="auto"/>
        <w:rPr>
          <w:rFonts w:ascii="宋体" w:hAnsi="Calibri" w:eastAsia="宋体" w:cs="Times New Roman"/>
          <w:b/>
          <w:bCs/>
          <w:sz w:val="24"/>
          <w:szCs w:val="20"/>
        </w:rPr>
      </w:pPr>
      <w:r>
        <w:rPr>
          <w:rFonts w:hint="eastAsia" w:ascii="宋体" w:hAnsi="宋体" w:cs="Times New Roman"/>
          <w:b/>
          <w:bCs/>
          <w:sz w:val="24"/>
          <w:szCs w:val="20"/>
          <w:highlight w:val="none"/>
          <w:lang w:eastAsia="zh-CN"/>
        </w:rPr>
        <w:t>重汽（济南）车桥有限公司</w:t>
      </w:r>
      <w:r>
        <w:rPr>
          <w:rFonts w:hint="eastAsia" w:ascii="宋体" w:hAnsi="宋体" w:eastAsia="宋体" w:cs="Times New Roman"/>
          <w:b/>
          <w:bCs/>
          <w:sz w:val="24"/>
          <w:szCs w:val="20"/>
        </w:rPr>
        <w:t>：</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bookmarkEnd w:id="1417"/>
    <w:bookmarkEnd w:id="1418"/>
    <w:p>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default" w:ascii="宋体" w:hAnsi="宋体" w:eastAsia="宋体" w:cs="宋体"/>
          <w:sz w:val="32"/>
          <w:szCs w:val="32"/>
          <w:highlight w:val="none"/>
          <w:lang w:val="en-US" w:eastAsia="zh-CN"/>
        </w:rPr>
        <w:t>附件</w:t>
      </w:r>
      <w:r>
        <w:rPr>
          <w:rFonts w:hint="eastAsia" w:ascii="宋体" w:hAnsi="宋体" w:eastAsia="宋体" w:cs="宋体"/>
          <w:sz w:val="32"/>
          <w:szCs w:val="32"/>
          <w:highlight w:val="none"/>
          <w:lang w:val="en-US" w:eastAsia="zh-CN"/>
        </w:rPr>
        <w:t>3</w:t>
      </w:r>
      <w:r>
        <w:rPr>
          <w:rFonts w:hint="default" w:ascii="宋体" w:hAnsi="宋体" w:eastAsia="宋体" w:cs="宋体"/>
          <w:sz w:val="32"/>
          <w:szCs w:val="32"/>
          <w:highlight w:val="none"/>
          <w:lang w:val="en-US" w:eastAsia="zh-CN"/>
        </w:rPr>
        <w:t xml:space="preserve"> 技术规格偏离表</w:t>
      </w:r>
    </w:p>
    <w:p>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default" w:ascii="Times New Roman" w:hAnsi="Times New Roman" w:eastAsia="宋体" w:cs="Times New Roman"/>
          <w:color w:val="000000"/>
          <w:sz w:val="24"/>
          <w:szCs w:val="24"/>
          <w:highlight w:val="none"/>
        </w:rPr>
        <w:t>：</w:t>
      </w:r>
      <w:r>
        <w:rPr>
          <w:rFonts w:hint="eastAsia" w:cs="Times New Roman"/>
          <w:sz w:val="24"/>
          <w:szCs w:val="24"/>
          <w:highlight w:val="none"/>
          <w:u w:val="single"/>
          <w:lang w:val="en-US" w:eastAsia="zh-CN"/>
        </w:rPr>
        <w:t>济南车桥公司桥壳加工线起重设备改造技改项目</w:t>
      </w:r>
      <w:r>
        <w:rPr>
          <w:rFonts w:hint="default" w:ascii="Times New Roman" w:hAnsi="Times New Roman" w:eastAsia="宋体" w:cs="Times New Roman"/>
          <w:color w:val="000000"/>
          <w:sz w:val="24"/>
          <w:szCs w:val="24"/>
          <w:highlight w:val="none"/>
        </w:rPr>
        <w:t xml:space="preserve">  </w:t>
      </w:r>
      <w:r>
        <w:rPr>
          <w:rFonts w:hint="default" w:ascii="Times New Roman" w:hAnsi="Times New Roman" w:eastAsia="宋体" w:cs="Times New Roman"/>
          <w:color w:val="000000"/>
          <w:sz w:val="24"/>
          <w:szCs w:val="24"/>
        </w:rPr>
        <w:t xml:space="preserve">                                                         </w:t>
      </w:r>
    </w:p>
    <w:tbl>
      <w:tblPr>
        <w:tblStyle w:val="3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序号</w:t>
            </w:r>
          </w:p>
        </w:tc>
        <w:tc>
          <w:tcPr>
            <w:tcW w:w="3449" w:type="dxa"/>
            <w:vAlign w:val="center"/>
          </w:tcPr>
          <w:p>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招标要求</w:t>
            </w:r>
          </w:p>
        </w:tc>
        <w:tc>
          <w:tcPr>
            <w:tcW w:w="2414" w:type="dxa"/>
            <w:vAlign w:val="center"/>
          </w:tcPr>
          <w:p>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08" w:type="dxa"/>
            <w:vAlign w:val="center"/>
          </w:tcPr>
          <w:p>
            <w:pPr>
              <w:jc w:val="both"/>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both"/>
              <w:rPr>
                <w:rFonts w:hint="default" w:ascii="Times New Roman" w:hAnsi="Times New Roman" w:eastAsia="宋体" w:cs="Times New Roman"/>
                <w:b/>
                <w:sz w:val="24"/>
                <w:szCs w:val="20"/>
              </w:rPr>
            </w:pPr>
          </w:p>
        </w:tc>
        <w:tc>
          <w:tcPr>
            <w:tcW w:w="3449" w:type="dxa"/>
          </w:tcPr>
          <w:p>
            <w:pPr>
              <w:jc w:val="both"/>
              <w:rPr>
                <w:rFonts w:hint="default" w:ascii="Times New Roman" w:hAnsi="Times New Roman" w:eastAsia="宋体" w:cs="Times New Roman"/>
                <w:b/>
                <w:sz w:val="24"/>
                <w:szCs w:val="20"/>
              </w:rPr>
            </w:pPr>
          </w:p>
        </w:tc>
        <w:tc>
          <w:tcPr>
            <w:tcW w:w="2414" w:type="dxa"/>
          </w:tcPr>
          <w:p>
            <w:pPr>
              <w:jc w:val="both"/>
              <w:rPr>
                <w:rFonts w:hint="default" w:ascii="Times New Roman" w:hAnsi="Times New Roman" w:eastAsia="宋体" w:cs="Times New Roman"/>
                <w:b/>
                <w:sz w:val="24"/>
                <w:szCs w:val="20"/>
              </w:rPr>
            </w:pPr>
          </w:p>
        </w:tc>
        <w:tc>
          <w:tcPr>
            <w:tcW w:w="1608" w:type="dxa"/>
          </w:tcPr>
          <w:p>
            <w:pPr>
              <w:jc w:val="both"/>
              <w:rPr>
                <w:rFonts w:hint="default" w:ascii="Times New Roman" w:hAnsi="Times New Roman" w:eastAsia="宋体" w:cs="Times New Roman"/>
                <w:b/>
                <w:sz w:val="24"/>
                <w:szCs w:val="20"/>
              </w:rPr>
            </w:pPr>
          </w:p>
        </w:tc>
      </w:tr>
    </w:tbl>
    <w:p>
      <w:pPr>
        <w:spacing w:line="660" w:lineRule="exact"/>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pPr>
        <w:rPr>
          <w:rFonts w:hint="eastAsia" w:ascii="宋体" w:hAnsi="宋体" w:eastAsia="宋体" w:cs="宋体"/>
          <w:sz w:val="32"/>
          <w:szCs w:val="32"/>
          <w:highlight w:val="none"/>
          <w:lang w:val="en-US" w:eastAsia="zh-CN"/>
        </w:rPr>
      </w:pPr>
      <w:r>
        <w:rPr>
          <w:rFonts w:hint="default" w:ascii="Times New Roman" w:hAnsi="Times New Roman" w:eastAsia="宋体" w:cs="Times New Roman"/>
          <w:sz w:val="24"/>
          <w:szCs w:val="20"/>
        </w:rPr>
        <w:t>法定代表人（委托代理人）：（签字）</w:t>
      </w:r>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开标一览表</w:t>
      </w:r>
    </w:p>
    <w:p>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开标一览表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cs="Times New Roman"/>
          <w:color w:val="000000"/>
          <w:sz w:val="24"/>
          <w:szCs w:val="24"/>
          <w:u w:val="single"/>
          <w:lang w:val="en-US" w:eastAsia="zh-CN"/>
        </w:rPr>
        <w:t xml:space="preserve">                          </w:t>
      </w:r>
      <w:r>
        <w:rPr>
          <w:rFonts w:ascii="宋体" w:hAnsi="宋体" w:eastAsia="宋体" w:cs="Times New Roman"/>
          <w:color w:val="000000"/>
          <w:sz w:val="24"/>
          <w:szCs w:val="24"/>
        </w:rPr>
        <w:t xml:space="preserve">                                                        </w:t>
      </w:r>
    </w:p>
    <w:tbl>
      <w:tblPr>
        <w:tblStyle w:val="3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5"/>
        <w:gridCol w:w="2612"/>
        <w:gridCol w:w="536"/>
        <w:gridCol w:w="2245"/>
        <w:gridCol w:w="646"/>
        <w:gridCol w:w="1520"/>
        <w:gridCol w:w="11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0" w:type="auto"/>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0" w:type="auto"/>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0" w:type="auto"/>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0" w:type="auto"/>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0" w:type="auto"/>
            <w:vAlign w:val="center"/>
          </w:tcPr>
          <w:p>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质保期</w:t>
            </w:r>
          </w:p>
        </w:tc>
        <w:tc>
          <w:tcPr>
            <w:tcW w:w="0" w:type="auto"/>
            <w:vAlign w:val="center"/>
          </w:tcPr>
          <w:p>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付款方式及比例如何响应</w:t>
            </w:r>
          </w:p>
        </w:tc>
        <w:tc>
          <w:tcPr>
            <w:tcW w:w="0" w:type="auto"/>
            <w:vAlign w:val="center"/>
          </w:tcPr>
          <w:p>
            <w:pPr>
              <w:jc w:val="center"/>
              <w:rPr>
                <w:rFonts w:hint="default" w:ascii="等线" w:hAnsi="等线" w:eastAsia="等线" w:cs="Times New Roman"/>
                <w:b/>
                <w:szCs w:val="20"/>
                <w:lang w:val="en-US"/>
              </w:rPr>
            </w:pPr>
            <w:r>
              <w:rPr>
                <w:rFonts w:hint="eastAsia" w:cs="Times New Roman"/>
                <w:b/>
                <w:szCs w:val="20"/>
                <w:lang w:val="en-US" w:eastAsia="zh-CN"/>
              </w:rPr>
              <w:t>商务条款是否偏离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0" w:type="auto"/>
            <w:vAlign w:val="center"/>
          </w:tcPr>
          <w:p>
            <w:pPr>
              <w:jc w:val="center"/>
              <w:rPr>
                <w:rFonts w:hint="eastAsia" w:ascii="Times New Roman" w:hAnsi="Times New Roman" w:eastAsia="宋体" w:cs="Times New Roman"/>
                <w:b/>
                <w:szCs w:val="20"/>
                <w:lang w:val="en-US" w:eastAsia="zh-CN"/>
              </w:rPr>
            </w:pPr>
            <w:r>
              <w:rPr>
                <w:rFonts w:hint="eastAsia" w:cs="Times New Roman"/>
                <w:b/>
                <w:szCs w:val="20"/>
                <w:lang w:val="en-US" w:eastAsia="zh-CN"/>
              </w:rPr>
              <w:t>1</w:t>
            </w:r>
          </w:p>
        </w:tc>
        <w:tc>
          <w:tcPr>
            <w:tcW w:w="0" w:type="auto"/>
            <w:vAlign w:val="center"/>
          </w:tcPr>
          <w:p>
            <w:pPr>
              <w:jc w:val="center"/>
              <w:rPr>
                <w:rFonts w:hint="eastAsia" w:ascii="Times New Roman" w:hAnsi="Times New Roman" w:eastAsia="宋体" w:cs="Times New Roman"/>
                <w:b/>
                <w:szCs w:val="20"/>
                <w:lang w:eastAsia="zh-CN"/>
              </w:rPr>
            </w:pPr>
            <w:r>
              <w:rPr>
                <w:rFonts w:hint="eastAsia" w:cs="Times New Roman"/>
                <w:b/>
                <w:szCs w:val="20"/>
                <w:lang w:eastAsia="zh-CN"/>
              </w:rPr>
              <w:t>济南车桥公司桥壳加工线起重设备改造技改项目</w:t>
            </w:r>
          </w:p>
        </w:tc>
        <w:tc>
          <w:tcPr>
            <w:tcW w:w="0" w:type="auto"/>
            <w:vAlign w:val="center"/>
          </w:tcPr>
          <w:p>
            <w:pPr>
              <w:jc w:val="center"/>
              <w:rPr>
                <w:rFonts w:hint="default" w:ascii="Times New Roman" w:hAnsi="Times New Roman" w:eastAsia="宋体" w:cs="Times New Roman"/>
                <w:b/>
                <w:szCs w:val="20"/>
                <w:lang w:val="en-US" w:eastAsia="zh-CN"/>
              </w:rPr>
            </w:pPr>
            <w:r>
              <w:rPr>
                <w:rFonts w:hint="eastAsia" w:cs="Times New Roman"/>
                <w:b/>
                <w:szCs w:val="20"/>
                <w:lang w:val="en-US" w:eastAsia="zh-CN"/>
              </w:rPr>
              <w:t>1</w:t>
            </w:r>
          </w:p>
        </w:tc>
        <w:tc>
          <w:tcPr>
            <w:tcW w:w="0" w:type="auto"/>
            <w:vAlign w:val="center"/>
          </w:tcPr>
          <w:p>
            <w:pPr>
              <w:jc w:val="left"/>
              <w:rPr>
                <w:rFonts w:hint="eastAsia" w:ascii="等线" w:hAnsi="等线" w:eastAsia="等线" w:cs="Times New Roman"/>
                <w:b/>
                <w:szCs w:val="20"/>
                <w:lang w:val="en-US" w:eastAsia="zh-CN"/>
              </w:rPr>
            </w:pPr>
            <w:r>
              <w:rPr>
                <w:rFonts w:hint="eastAsia" w:ascii="等线" w:hAnsi="等线" w:eastAsia="等线" w:cs="Times New Roman"/>
                <w:b/>
                <w:szCs w:val="20"/>
              </w:rPr>
              <w:t>不含税价</w:t>
            </w:r>
            <w:r>
              <w:rPr>
                <w:rFonts w:hint="eastAsia" w:ascii="等线" w:hAnsi="等线" w:eastAsia="等线" w:cs="Times New Roman"/>
                <w:b/>
                <w:szCs w:val="20"/>
                <w:lang w:eastAsia="zh-CN"/>
              </w:rPr>
              <w:t>：</w:t>
            </w:r>
          </w:p>
          <w:p>
            <w:pPr>
              <w:jc w:val="left"/>
              <w:rPr>
                <w:rFonts w:hint="default" w:ascii="等线" w:hAnsi="等线" w:eastAsia="等线" w:cs="Times New Roman"/>
                <w:b/>
                <w:szCs w:val="20"/>
                <w:lang w:val="en-US" w:eastAsia="zh-CN"/>
              </w:rPr>
            </w:pPr>
            <w:r>
              <w:rPr>
                <w:rFonts w:hint="eastAsia" w:ascii="等线" w:hAnsi="等线" w:eastAsia="等线" w:cs="Times New Roman"/>
                <w:b/>
                <w:szCs w:val="20"/>
              </w:rPr>
              <w:t>含税价格：</w:t>
            </w:r>
            <w:r>
              <w:rPr>
                <w:rFonts w:hint="eastAsia" w:ascii="等线" w:hAnsi="等线" w:eastAsia="等线" w:cs="Times New Roman"/>
                <w:b/>
                <w:szCs w:val="20"/>
                <w:u w:val="single"/>
                <w:lang w:val="en-US" w:eastAsia="zh-CN"/>
              </w:rPr>
              <w:t xml:space="preserve">    （大写：    ）</w:t>
            </w:r>
          </w:p>
          <w:p>
            <w:pPr>
              <w:jc w:val="left"/>
              <w:rPr>
                <w:rFonts w:ascii="Times New Roman" w:hAnsi="Times New Roman" w:eastAsia="宋体" w:cs="Times New Roman"/>
                <w:b/>
                <w:szCs w:val="20"/>
              </w:rPr>
            </w:pPr>
            <w:r>
              <w:rPr>
                <w:rFonts w:hint="eastAsia" w:ascii="等线" w:hAnsi="等线" w:eastAsia="等线" w:cs="Times New Roman"/>
                <w:b/>
                <w:szCs w:val="20"/>
              </w:rPr>
              <w:t>税率：</w:t>
            </w:r>
          </w:p>
        </w:tc>
        <w:tc>
          <w:tcPr>
            <w:tcW w:w="0" w:type="auto"/>
            <w:vAlign w:val="center"/>
          </w:tcPr>
          <w:p>
            <w:pPr>
              <w:jc w:val="center"/>
              <w:rPr>
                <w:rFonts w:ascii="Times New Roman" w:hAnsi="Times New Roman" w:eastAsia="宋体" w:cs="Times New Roman"/>
                <w:b/>
                <w:szCs w:val="20"/>
              </w:rPr>
            </w:pPr>
          </w:p>
        </w:tc>
        <w:tc>
          <w:tcPr>
            <w:tcW w:w="0" w:type="auto"/>
            <w:vAlign w:val="center"/>
          </w:tcPr>
          <w:p>
            <w:pPr>
              <w:jc w:val="center"/>
              <w:rPr>
                <w:rFonts w:ascii="Times New Roman" w:hAnsi="Times New Roman" w:eastAsia="宋体" w:cs="Times New Roman"/>
                <w:b/>
                <w:szCs w:val="20"/>
              </w:rPr>
            </w:pPr>
          </w:p>
        </w:tc>
        <w:tc>
          <w:tcPr>
            <w:tcW w:w="0" w:type="auto"/>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hint="eastAsia" w:ascii="宋体" w:hAnsi="宋体" w:eastAsia="宋体" w:cs="宋体"/>
          <w:b/>
          <w:szCs w:val="20"/>
        </w:rPr>
      </w:pPr>
      <w:r>
        <w:rPr>
          <w:rFonts w:hint="eastAsia" w:ascii="宋体" w:hAnsi="宋体" w:cs="宋体"/>
          <w:b/>
          <w:szCs w:val="20"/>
          <w:lang w:val="en-US" w:eastAsia="zh-CN"/>
        </w:rPr>
        <w:t>2</w:t>
      </w:r>
      <w:r>
        <w:rPr>
          <w:rFonts w:hint="eastAsia" w:ascii="宋体" w:hAnsi="宋体" w:eastAsia="宋体" w:cs="宋体"/>
          <w:b/>
          <w:szCs w:val="20"/>
        </w:rPr>
        <w:t>.需写明含税价、不含税价格、税率。</w:t>
      </w:r>
    </w:p>
    <w:p>
      <w:pPr>
        <w:spacing w:line="300" w:lineRule="auto"/>
        <w:rPr>
          <w:rFonts w:hint="eastAsia" w:ascii="宋体" w:hAnsi="宋体" w:eastAsia="宋体" w:cs="宋体"/>
          <w:b/>
          <w:szCs w:val="20"/>
          <w:lang w:val="en-US" w:eastAsia="zh-CN"/>
        </w:rPr>
      </w:pPr>
      <w:r>
        <w:rPr>
          <w:rFonts w:hint="eastAsia" w:ascii="宋体" w:hAnsi="宋体" w:eastAsia="宋体" w:cs="宋体"/>
          <w:b/>
          <w:szCs w:val="20"/>
          <w:lang w:val="en-US" w:eastAsia="zh-CN"/>
        </w:rPr>
        <w:t>3</w:t>
      </w:r>
      <w:r>
        <w:rPr>
          <w:rFonts w:hint="eastAsia" w:ascii="宋体" w:hAnsi="宋体" w:eastAsia="宋体" w:cs="宋体"/>
          <w:b/>
          <w:szCs w:val="20"/>
        </w:rPr>
        <w:t>.投标总价包括设备费、调试费、备品备件、特殊工具、运杂费、装卸费、技术服务费、保险费及增值税和其它税费。</w:t>
      </w:r>
    </w:p>
    <w:p>
      <w:pPr>
        <w:pStyle w:val="15"/>
        <w:rPr>
          <w:rFonts w:hint="eastAsia" w:hAnsi="宋体" w:eastAsia="宋体" w:cs="Times New Roman"/>
          <w:b/>
          <w:bCs/>
          <w:szCs w:val="21"/>
          <w:highlight w:val="yellow"/>
        </w:rPr>
      </w:pPr>
    </w:p>
    <w:p>
      <w:pPr>
        <w:pStyle w:val="15"/>
        <w:rPr>
          <w:rFonts w:hint="eastAsia" w:hAnsi="宋体" w:eastAsia="宋体" w:cs="Times New Roman"/>
          <w:b/>
          <w:bCs/>
          <w:szCs w:val="21"/>
          <w:highlight w:val="yellow"/>
        </w:rPr>
      </w:pPr>
    </w:p>
    <w:p>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投标人：（盖章）</w:t>
      </w:r>
    </w:p>
    <w:p>
      <w:pPr>
        <w:spacing w:line="660" w:lineRule="exact"/>
        <w:jc w:val="righ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jc w:val="center"/>
        <w:rPr>
          <w:rFonts w:ascii="宋体" w:hAnsi="Calibri" w:eastAsia="宋体" w:cs="Times New Roman"/>
          <w:sz w:val="24"/>
          <w:szCs w:val="20"/>
        </w:rPr>
      </w:pPr>
      <w:r>
        <w:rPr>
          <w:rFonts w:hint="eastAsia" w:ascii="宋体" w:hAnsi="宋体" w:cs="Times New Roman"/>
          <w:sz w:val="24"/>
          <w:szCs w:val="20"/>
          <w:lang w:val="en-US" w:eastAsia="zh-CN"/>
        </w:rPr>
        <w:t xml:space="preserve">                                     </w:t>
      </w: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pStyle w:val="77"/>
        <w:bidi w:val="0"/>
      </w:pPr>
      <w:r>
        <w:t xml:space="preserve"> </w:t>
      </w:r>
    </w:p>
    <w:p>
      <w:pPr>
        <w:pStyle w:val="77"/>
        <w:bidi w:val="0"/>
      </w:pPr>
    </w:p>
    <w:p>
      <w:pPr>
        <w:pStyle w:val="77"/>
        <w:bidi w:val="0"/>
      </w:pPr>
    </w:p>
    <w:p>
      <w:pPr>
        <w:rPr>
          <w:rFonts w:hint="eastAsia" w:ascii="宋体" w:hAnsi="宋体" w:eastAsia="宋体" w:cs="宋体"/>
          <w:sz w:val="32"/>
          <w:szCs w:val="32"/>
          <w:highlight w:val="none"/>
          <w:lang w:val="en-US" w:eastAsia="zh-CN"/>
        </w:rPr>
      </w:pPr>
      <w:bookmarkStart w:id="1419" w:name="_Toc47976616"/>
      <w:bookmarkStart w:id="1420" w:name="_Toc4225"/>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w:t>
      </w:r>
      <w:bookmarkEnd w:id="1419"/>
      <w:bookmarkEnd w:id="1420"/>
      <w:r>
        <w:rPr>
          <w:rFonts w:hint="eastAsia" w:ascii="宋体" w:hAnsi="宋体" w:eastAsia="宋体" w:cs="宋体"/>
          <w:sz w:val="32"/>
          <w:szCs w:val="32"/>
          <w:highlight w:val="none"/>
          <w:lang w:val="en-US" w:eastAsia="zh-CN"/>
        </w:rPr>
        <w:t>5 投标函</w:t>
      </w:r>
    </w:p>
    <w:p>
      <w:pPr>
        <w:spacing w:line="360" w:lineRule="auto"/>
        <w:jc w:val="center"/>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w:t>
      </w:r>
      <w:r>
        <w:rPr>
          <w:rFonts w:hint="eastAsia" w:ascii="宋体" w:hAnsi="宋体" w:cs="Times New Roman"/>
          <w:color w:val="000000"/>
          <w:sz w:val="24"/>
          <w:szCs w:val="24"/>
          <w:highlight w:val="none"/>
          <w:lang w:eastAsia="zh-CN"/>
        </w:rPr>
        <w:t>重汽（济南）车桥有限公司</w:t>
      </w:r>
      <w:r>
        <w:rPr>
          <w:rFonts w:hint="eastAsia" w:ascii="宋体" w:hAnsi="宋体" w:eastAsia="宋体" w:cs="Times New Roman"/>
          <w:color w:val="000000"/>
          <w:sz w:val="24"/>
          <w:szCs w:val="24"/>
          <w:highlight w:val="none"/>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根据贵方</w:t>
      </w:r>
      <w:r>
        <w:rPr>
          <w:rFonts w:hint="eastAsia" w:ascii="宋体" w:hAnsi="宋体" w:cs="Times New Roman"/>
          <w:color w:val="000000"/>
          <w:sz w:val="24"/>
          <w:szCs w:val="24"/>
          <w:highlight w:val="none"/>
          <w:u w:val="single"/>
          <w:lang w:val="en-US" w:eastAsia="zh-CN"/>
        </w:rPr>
        <w:t>济南车桥公司桥壳加工线起重设备改造技改项目</w:t>
      </w:r>
      <w:r>
        <w:rPr>
          <w:rFonts w:hint="eastAsia" w:ascii="宋体" w:hAnsi="宋体" w:eastAsia="宋体" w:cs="Times New Roman"/>
          <w:bCs/>
          <w:snapToGrid w:val="0"/>
          <w:color w:val="000000"/>
          <w:kern w:val="0"/>
          <w:sz w:val="24"/>
          <w:szCs w:val="24"/>
          <w:highlight w:val="none"/>
        </w:rPr>
        <w:t>招标</w:t>
      </w:r>
      <w:r>
        <w:rPr>
          <w:rFonts w:hint="eastAsia" w:ascii="宋体" w:hAnsi="宋体" w:eastAsia="宋体" w:cs="Times New Roman"/>
          <w:bCs/>
          <w:snapToGrid w:val="0"/>
          <w:color w:val="000000"/>
          <w:kern w:val="0"/>
          <w:sz w:val="24"/>
          <w:szCs w:val="24"/>
        </w:rPr>
        <w:t>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w:t>
      </w:r>
      <w:r>
        <w:rPr>
          <w:rFonts w:hint="default" w:ascii="Times New Roman" w:hAnsi="Times New Roman" w:eastAsia="宋体" w:cs="Times New Roman"/>
          <w:color w:val="000000"/>
          <w:sz w:val="24"/>
          <w:szCs w:val="24"/>
        </w:rPr>
        <w:t>一份</w:t>
      </w:r>
      <w:r>
        <w:rPr>
          <w:rFonts w:hint="eastAsia" w:ascii="宋体" w:hAnsi="宋体" w:eastAsia="宋体" w:cs="Times New Roman"/>
          <w:color w:val="000000"/>
          <w:sz w:val="24"/>
          <w:szCs w:val="24"/>
        </w:rPr>
        <w:t>：资质证明文件、商务文件和技术文件。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lang w:eastAsia="zh-CN"/>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hint="eastAsia" w:ascii="宋体" w:hAnsi="宋体" w:cs="Times New Roman"/>
          <w:color w:val="000000"/>
          <w:sz w:val="24"/>
          <w:szCs w:val="24"/>
          <w:lang w:val="en-US" w:eastAsia="zh-CN"/>
        </w:rPr>
        <w:t>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77"/>
        <w:bidi w:val="0"/>
      </w:pPr>
    </w:p>
    <w:p>
      <w:pPr>
        <w:pStyle w:val="77"/>
        <w:bidi w:val="0"/>
      </w:pPr>
    </w:p>
    <w:p>
      <w:pPr>
        <w:rPr>
          <w:rFonts w:hint="default" w:ascii="宋体" w:hAnsi="宋体" w:eastAsia="宋体" w:cs="宋体"/>
          <w:sz w:val="32"/>
          <w:szCs w:val="32"/>
          <w:highlight w:val="none"/>
          <w:lang w:val="en-US" w:eastAsia="zh-CN"/>
        </w:rPr>
      </w:pPr>
      <w:r>
        <w:rPr>
          <w:rFonts w:hint="default"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default" w:ascii="宋体" w:hAnsi="宋体" w:eastAsia="宋体" w:cs="宋体"/>
          <w:sz w:val="32"/>
          <w:szCs w:val="32"/>
          <w:highlight w:val="none"/>
          <w:lang w:val="en-US" w:eastAsia="zh-CN"/>
        </w:rPr>
        <w:t>附件</w:t>
      </w:r>
      <w:r>
        <w:rPr>
          <w:rFonts w:hint="eastAsia" w:ascii="宋体" w:hAnsi="宋体" w:eastAsia="宋体" w:cs="宋体"/>
          <w:sz w:val="32"/>
          <w:szCs w:val="32"/>
          <w:highlight w:val="none"/>
          <w:lang w:val="en-US" w:eastAsia="zh-CN"/>
        </w:rPr>
        <w:t>6</w:t>
      </w:r>
      <w:r>
        <w:rPr>
          <w:rFonts w:hint="default" w:ascii="宋体" w:hAnsi="宋体" w:eastAsia="宋体" w:cs="宋体"/>
          <w:sz w:val="32"/>
          <w:szCs w:val="32"/>
          <w:highlight w:val="none"/>
          <w:lang w:val="en-US" w:eastAsia="zh-CN"/>
        </w:rPr>
        <w:t xml:space="preserve"> 服务承诺函</w:t>
      </w:r>
    </w:p>
    <w:p>
      <w:pPr>
        <w:spacing w:line="240" w:lineRule="exact"/>
        <w:jc w:val="both"/>
        <w:rPr>
          <w:rFonts w:hint="default" w:ascii="Times New Roman" w:hAnsi="Times New Roman" w:eastAsia="宋体" w:cs="Times New Roman"/>
          <w:b/>
          <w:bCs/>
          <w:sz w:val="36"/>
          <w:szCs w:val="20"/>
        </w:rPr>
      </w:pPr>
    </w:p>
    <w:p>
      <w:pPr>
        <w:spacing w:line="360" w:lineRule="auto"/>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项目名称：</w:t>
      </w:r>
      <w:r>
        <w:rPr>
          <w:rFonts w:hint="eastAsia" w:ascii="宋体" w:hAnsi="宋体" w:cs="宋体"/>
          <w:b/>
          <w:bCs/>
          <w:i w:val="0"/>
          <w:iCs w:val="0"/>
          <w:sz w:val="24"/>
          <w:szCs w:val="24"/>
          <w:highlight w:val="none"/>
          <w:u w:val="none"/>
          <w:lang w:val="en-US" w:eastAsia="zh-CN"/>
        </w:rPr>
        <w:t>济南车桥公司桥壳加工线起重设备改造技改项目</w:t>
      </w:r>
    </w:p>
    <w:p>
      <w:pPr>
        <w:spacing w:line="360" w:lineRule="auto"/>
        <w:jc w:val="both"/>
        <w:rPr>
          <w:rFonts w:hint="default" w:ascii="Times New Roman" w:hAnsi="Times New Roman" w:eastAsia="宋体" w:cs="Times New Roman"/>
          <w:b/>
          <w:bCs/>
          <w:sz w:val="24"/>
          <w:szCs w:val="20"/>
        </w:rPr>
      </w:pPr>
      <w:r>
        <w:rPr>
          <w:rFonts w:hint="eastAsia" w:cs="Times New Roman"/>
          <w:b/>
          <w:bCs/>
          <w:sz w:val="24"/>
          <w:szCs w:val="20"/>
          <w:lang w:eastAsia="zh-CN"/>
        </w:rPr>
        <w:t>重汽（济南）车桥有限公司</w:t>
      </w:r>
      <w:r>
        <w:rPr>
          <w:rFonts w:hint="default" w:ascii="Times New Roman" w:hAnsi="Times New Roman" w:eastAsia="宋体" w:cs="Times New Roman"/>
          <w:b/>
          <w:bCs/>
          <w:sz w:val="24"/>
          <w:szCs w:val="20"/>
        </w:rPr>
        <w:t>：</w:t>
      </w:r>
    </w:p>
    <w:p>
      <w:pPr>
        <w:spacing w:line="360" w:lineRule="auto"/>
        <w:ind w:firstLine="480"/>
        <w:jc w:val="both"/>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lang w:eastAsia="zh-CN"/>
        </w:rPr>
        <w:t>投标人</w:t>
      </w:r>
      <w:r>
        <w:rPr>
          <w:rFonts w:hint="default" w:ascii="Times New Roman" w:hAnsi="Times New Roman" w:eastAsia="宋体" w:cs="Times New Roman"/>
          <w:sz w:val="24"/>
          <w:szCs w:val="20"/>
        </w:rPr>
        <w:t>名称）对中标合同产品的服务作如下承诺：</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pPr>
        <w:spacing w:line="360" w:lineRule="auto"/>
        <w:ind w:firstLine="480" w:firstLineChars="200"/>
        <w:jc w:val="both"/>
        <w:rPr>
          <w:rFonts w:hint="default" w:ascii="Times New Roman" w:hAnsi="Times New Roman" w:eastAsia="宋体" w:cs="Times New Roman"/>
          <w:sz w:val="24"/>
          <w:szCs w:val="20"/>
          <w:u w:val="single"/>
        </w:rPr>
      </w:pPr>
    </w:p>
    <w:p>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pPr>
        <w:spacing w:line="360" w:lineRule="auto"/>
        <w:ind w:firstLine="480" w:firstLineChars="200"/>
        <w:jc w:val="both"/>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pPr>
        <w:rPr>
          <w:rFonts w:hint="eastAsia" w:ascii="宋体" w:hAnsi="宋体" w:eastAsia="宋体" w:cs="宋体"/>
          <w:sz w:val="32"/>
          <w:szCs w:val="32"/>
          <w:highlight w:val="none"/>
          <w:lang w:val="en-US" w:eastAsia="zh-CN"/>
        </w:rPr>
      </w:pPr>
      <w:r>
        <w:rPr>
          <w:rFonts w:hint="default" w:ascii="Times New Roman" w:hAnsi="Times New Roman" w:eastAsia="宋体" w:cs="Times New Roman"/>
          <w:color w:val="000000"/>
          <w:sz w:val="24"/>
          <w:szCs w:val="24"/>
        </w:rPr>
        <w:t>日  期：       年    月    日</w:t>
      </w:r>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附件7 商务条款偏离表</w:t>
      </w:r>
    </w:p>
    <w:p>
      <w:pPr>
        <w:spacing w:line="360" w:lineRule="auto"/>
        <w:jc w:val="center"/>
        <w:rPr>
          <w:rFonts w:hint="eastAsia" w:ascii="宋体" w:hAnsi="宋体" w:cs="宋体"/>
          <w:b/>
          <w:bCs/>
          <w:color w:val="000000"/>
          <w:sz w:val="32"/>
          <w:szCs w:val="32"/>
          <w:lang w:val="en-US" w:eastAsia="zh-CN"/>
        </w:rPr>
      </w:pPr>
      <w:r>
        <w:rPr>
          <w:rFonts w:hint="eastAsia" w:ascii="宋体" w:hAnsi="宋体" w:cs="宋体"/>
          <w:b/>
          <w:bCs/>
          <w:color w:val="000000"/>
          <w:sz w:val="32"/>
          <w:szCs w:val="32"/>
          <w:lang w:val="en-US" w:eastAsia="zh-CN"/>
        </w:rPr>
        <w:t>商务条款偏离表</w:t>
      </w:r>
    </w:p>
    <w:tbl>
      <w:tblPr>
        <w:tblStyle w:val="3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hint="default" w:ascii="Times New Roman" w:hAnsi="Times New Roman" w:eastAsia="宋体" w:cs="Times New Roman"/>
                <w:b/>
                <w:szCs w:val="20"/>
                <w:highlight w:val="none"/>
                <w:lang w:val="en-US"/>
              </w:rPr>
            </w:pPr>
            <w:r>
              <w:rPr>
                <w:rFonts w:hint="eastAsia" w:ascii="宋体" w:hAnsi="宋体" w:cs="宋体"/>
                <w:b/>
                <w:bCs/>
                <w:i w:val="0"/>
                <w:iCs w:val="0"/>
                <w:sz w:val="24"/>
                <w:szCs w:val="24"/>
                <w:highlight w:val="none"/>
                <w:u w:val="none"/>
                <w:lang w:val="en-US" w:eastAsia="zh-CN"/>
              </w:rPr>
              <w:t>济南车桥公司桥壳加工线起重设备改造技改项目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pStyle w:val="2"/>
        <w:rPr>
          <w:rFonts w:hint="default"/>
          <w:lang w:val="en-US" w:eastAsia="zh-CN"/>
        </w:rPr>
      </w:pPr>
    </w:p>
    <w:p>
      <w:pPr>
        <w:pStyle w:val="77"/>
        <w:rPr>
          <w:rFonts w:hint="default" w:hAnsi="宋体"/>
          <w:sz w:val="24"/>
          <w:lang w:val="en-US"/>
        </w:rPr>
      </w:pPr>
    </w:p>
    <w:p>
      <w:pPr>
        <w:pStyle w:val="77"/>
        <w:rPr>
          <w:rFonts w:hint="default" w:hAnsi="宋体"/>
          <w:sz w:val="24"/>
          <w:lang w:val="en-US"/>
        </w:rPr>
      </w:pPr>
    </w:p>
    <w:p>
      <w:pPr>
        <w:pStyle w:val="77"/>
        <w:rPr>
          <w:rFonts w:hint="default" w:hAnsi="宋体"/>
          <w:sz w:val="24"/>
          <w:lang w:val="en-US"/>
        </w:rPr>
      </w:pPr>
    </w:p>
    <w:p>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pPr>
        <w:pStyle w:val="73"/>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附件8 分项报价表</w:t>
      </w:r>
    </w:p>
    <w:tbl>
      <w:tblPr>
        <w:tblStyle w:val="31"/>
        <w:tblW w:w="101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55"/>
        <w:gridCol w:w="1209"/>
        <w:gridCol w:w="2953"/>
        <w:gridCol w:w="1198"/>
        <w:gridCol w:w="1129"/>
        <w:gridCol w:w="1025"/>
        <w:gridCol w:w="1025"/>
        <w:gridCol w:w="10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序号</w:t>
            </w:r>
          </w:p>
        </w:tc>
        <w:tc>
          <w:tcPr>
            <w:tcW w:w="120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产线</w:t>
            </w: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内容</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单位</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数量</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单价/元</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总价/元</w:t>
            </w: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w:t>
            </w:r>
          </w:p>
        </w:tc>
        <w:tc>
          <w:tcPr>
            <w:tcW w:w="120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曼一线</w:t>
            </w: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2*106</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106m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7*8</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4"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端盖螺栓M12×90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54</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纵轨接头螺栓M12×140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84</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端盖电缆夹</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纵轨吊挂装置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180</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根</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80</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外置安全滑触线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106</w:t>
            </w: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滑触线支架</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71</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集电器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19</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扁电缆滑车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上挡块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可移动挡块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横轨吊环</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横轨二次保护装置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手动小车连接板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电源开关箱</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环链电动葫芦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小计</w:t>
            </w:r>
          </w:p>
        </w:tc>
        <w:tc>
          <w:tcPr>
            <w:tcW w:w="335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20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铸铁二线</w:t>
            </w: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2*90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90m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11*8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端盖螺栓M12×90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纵轨接头螺栓M12×140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端盖电缆夹</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纵轨吊挂装置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根</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外置安全滑触线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滑触线支架</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集电器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扁电缆滑车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上挡块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可移动挡块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横轨吊环</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横轨二次保护装置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手动小车连接板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电源开关箱</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环链电动葫芦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11</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小计</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120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铸铁三线</w:t>
            </w: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2*80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80m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端盖螺栓M12×90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纵轨接头螺栓M12×140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端盖电缆夹</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纵轨吊挂装置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140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根</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外置安全滑触线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滑触线支架</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集电器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扁电缆滑车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上挡块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可移动挡块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横轨吊环</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横轨二次保护装置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手动小车连接板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电源开关箱</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环链电动葫芦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小计</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120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压装线</w:t>
            </w: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2*18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5*9</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端盖螺栓M12×90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纵轨接头螺栓M12×140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端盖电缆夹</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纵轨吊挂装置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根</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外置安全滑触线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滑触线支架</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集电器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扁电缆滑车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上挡块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可移动挡块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横轨吊环</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横轨二次保护装置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手动小车连接板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电源开关箱</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环链电动葫芦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小计</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120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清洗线</w:t>
            </w:r>
          </w:p>
        </w:tc>
        <w:tc>
          <w:tcPr>
            <w:tcW w:w="2953"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2*24.5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24.5m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3*8.5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8.5m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端盖螺栓M12×90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纵轨接头螺栓M12×140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端盖电缆夹</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纵轨吊挂装置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根</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外置安全滑触线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滑触线支架</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17</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集电器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扁电缆滑车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上挡块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可移动挡块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横轨吊环</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横轨二次保护装置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手动小车连接板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电源开关箱</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环链电动葫芦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3</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小计</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抛丸线</w:t>
            </w: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环链电动葫芦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7</w:t>
            </w:r>
          </w:p>
        </w:tc>
        <w:tc>
          <w:tcPr>
            <w:tcW w:w="1209"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驱动桥装配三线</w:t>
            </w: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横轨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4m/根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端盖螺栓M12×90</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端盖电缆夹</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外置安全滑触线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16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8m/根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滑触线支架</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5</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集电器</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扁电缆滑车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上挡块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可移动挡块</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主梁吊环</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主梁二次保护装置</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6</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手动小车连接板</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个</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电源开关箱</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环链电动葫芦</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套</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2</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4.5m</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20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295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小计</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center"/>
              <w:rPr>
                <w:rFonts w:hint="eastAsia" w:ascii="仿宋" w:hAnsi="仿宋" w:eastAsia="仿宋" w:cs="仿宋"/>
                <w:i w:val="0"/>
                <w:iCs w:val="0"/>
                <w:color w:val="000000"/>
                <w:sz w:val="21"/>
                <w:szCs w:val="21"/>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right"/>
              <w:rPr>
                <w:rFonts w:hint="eastAsia" w:ascii="宋体" w:hAnsi="宋体" w:eastAsia="宋体" w:cs="宋体"/>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8</w:t>
            </w:r>
          </w:p>
        </w:tc>
        <w:tc>
          <w:tcPr>
            <w:tcW w:w="416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安装调试</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9</w:t>
            </w:r>
          </w:p>
        </w:tc>
        <w:tc>
          <w:tcPr>
            <w:tcW w:w="416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1"/>
                <w:szCs w:val="21"/>
                <w:u w:val="none"/>
              </w:rPr>
            </w:pPr>
            <w:r>
              <w:rPr>
                <w:rFonts w:hint="eastAsia" w:ascii="仿宋" w:hAnsi="仿宋" w:eastAsia="仿宋" w:cs="仿宋"/>
                <w:i w:val="0"/>
                <w:iCs w:val="0"/>
                <w:color w:val="000000"/>
                <w:kern w:val="0"/>
                <w:sz w:val="21"/>
                <w:szCs w:val="21"/>
                <w:u w:val="none"/>
                <w:lang w:val="en-US" w:eastAsia="zh-CN" w:bidi="ar"/>
              </w:rPr>
              <w:t>运费和保险</w:t>
            </w:r>
          </w:p>
        </w:tc>
        <w:tc>
          <w:tcPr>
            <w:tcW w:w="119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仿宋" w:hAnsi="仿宋" w:eastAsia="仿宋" w:cs="仿宋"/>
                <w:i w:val="0"/>
                <w:iCs w:val="0"/>
                <w:color w:val="000000"/>
                <w:sz w:val="21"/>
                <w:szCs w:val="21"/>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 w:hAnsi="仿宋" w:eastAsia="仿宋" w:cs="仿宋"/>
                <w:i w:val="0"/>
                <w:iCs w:val="0"/>
                <w:color w:val="000000"/>
                <w:sz w:val="21"/>
                <w:szCs w:val="21"/>
                <w:u w:val="none"/>
              </w:rPr>
            </w:pPr>
          </w:p>
        </w:tc>
        <w:tc>
          <w:tcPr>
            <w:tcW w:w="10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bl>
    <w:p>
      <w:pPr>
        <w:rPr>
          <w:rFonts w:hint="default" w:hAnsi="宋体"/>
          <w:sz w:val="24"/>
          <w:lang w:val="en-US"/>
        </w:rPr>
      </w:pPr>
      <w:r>
        <w:rPr>
          <w:rFonts w:hint="default" w:hAnsi="宋体"/>
          <w:sz w:val="24"/>
          <w:lang w:val="en-US"/>
        </w:rPr>
        <w:br w:type="page"/>
      </w:r>
    </w:p>
    <w:p>
      <w:pPr>
        <w:outlineLvl w:val="2"/>
        <w:rPr>
          <w:rFonts w:ascii="Calibri" w:hAnsi="Calibri" w:eastAsia="宋体" w:cs="Times New Roman"/>
          <w:szCs w:val="20"/>
        </w:rPr>
      </w:pPr>
      <w:r>
        <w:rPr>
          <w:rFonts w:hint="eastAsia" w:ascii="Times New Roman" w:hAnsi="Times New Roman" w:eastAsia="宋体" w:cs="Times New Roman"/>
          <w:b/>
          <w:bCs/>
          <w:color w:val="000000"/>
          <w:sz w:val="24"/>
          <w:szCs w:val="24"/>
        </w:rPr>
        <w:t>附件</w:t>
      </w:r>
      <w:r>
        <w:rPr>
          <w:rFonts w:hint="eastAsia" w:ascii="Times New Roman" w:hAnsi="Times New Roman" w:cs="Times New Roman"/>
          <w:b/>
          <w:bCs/>
          <w:color w:val="000000"/>
          <w:sz w:val="24"/>
          <w:szCs w:val="24"/>
          <w:lang w:val="en-US" w:eastAsia="zh-CN"/>
        </w:rPr>
        <w:t>9</w:t>
      </w:r>
      <w:r>
        <w:rPr>
          <w:rFonts w:hint="eastAsia" w:ascii="Times New Roman" w:hAnsi="Times New Roman" w:eastAsia="宋体" w:cs="Times New Roman"/>
          <w:b/>
          <w:bCs/>
          <w:color w:val="000000"/>
          <w:sz w:val="24"/>
          <w:szCs w:val="24"/>
        </w:rPr>
        <w:t xml:space="preserve">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lang w:val="en-US" w:eastAsia="zh-CN"/>
              </w:rPr>
              <w:t>4</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5"/>
      </w:pPr>
    </w:p>
    <w:p>
      <w:pPr>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br w:type="page"/>
      </w:r>
    </w:p>
    <w:p>
      <w:pPr>
        <w:pStyle w:val="73"/>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附件10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pPr>
        <w:outlineLvl w:val="9"/>
        <w:rPr>
          <w:rFonts w:hint="default"/>
          <w:lang w:val="en-US" w:eastAsia="zh-CN"/>
        </w:rPr>
      </w:pPr>
      <w:r>
        <w:drawing>
          <wp:inline distT="0" distB="0" distL="114300" distR="114300">
            <wp:extent cx="5758815" cy="2764790"/>
            <wp:effectExtent l="0" t="0" r="13335" b="16510"/>
            <wp:docPr id="2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
                    <pic:cNvPicPr>
                      <a:picLocks noChangeAspect="1"/>
                    </pic:cNvPicPr>
                  </pic:nvPicPr>
                  <pic:blipFill>
                    <a:blip r:embed="rId27"/>
                    <a:stretch>
                      <a:fillRect/>
                    </a:stretch>
                  </pic:blipFill>
                  <pic:spPr>
                    <a:xfrm>
                      <a:off x="0" y="0"/>
                      <a:ext cx="5758815" cy="276479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1206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8" cstate="print"/>
                    <a:srcRect/>
                    <a:stretch>
                      <a:fillRect/>
                    </a:stretch>
                  </pic:blipFill>
                  <pic:spPr>
                    <a:xfrm>
                      <a:off x="0" y="0"/>
                      <a:ext cx="5760085" cy="2933065"/>
                    </a:xfrm>
                    <a:prstGeom prst="rect">
                      <a:avLst/>
                    </a:prstGeom>
                  </pic:spPr>
                </pic:pic>
              </a:graphicData>
            </a:graphic>
          </wp:inline>
        </w:drawing>
      </w:r>
    </w:p>
    <w:p>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pPr>
        <w:spacing w:line="360" w:lineRule="auto"/>
        <w:rPr>
          <w:rFonts w:ascii="宋体" w:hAnsi="宋体" w:eastAsia="宋体" w:cs="宋体"/>
          <w:sz w:val="24"/>
          <w:szCs w:val="28"/>
        </w:rPr>
      </w:pPr>
    </w:p>
    <w:p>
      <w:pPr>
        <w:snapToGrid w:val="0"/>
        <w:spacing w:line="312" w:lineRule="auto"/>
      </w:pPr>
      <w:r>
        <w:drawing>
          <wp:inline distT="0" distB="0" distL="0" distR="0">
            <wp:extent cx="5760085" cy="2766695"/>
            <wp:effectExtent l="0" t="0" r="12065" b="146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9" cstate="print"/>
                    <a:srcRect/>
                    <a:stretch>
                      <a:fillRect/>
                    </a:stretch>
                  </pic:blipFill>
                  <pic:spPr>
                    <a:xfrm>
                      <a:off x="0" y="0"/>
                      <a:ext cx="5760085" cy="276669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12065" b="698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30" cstate="print"/>
                    <a:srcRect/>
                    <a:stretch>
                      <a:fillRect/>
                    </a:stretch>
                  </pic:blipFill>
                  <pic:spPr>
                    <a:xfrm>
                      <a:off x="0" y="0"/>
                      <a:ext cx="5760085" cy="286956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1206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31" cstate="print"/>
                    <a:srcRect/>
                    <a:stretch>
                      <a:fillRect/>
                    </a:stretch>
                  </pic:blipFill>
                  <pic:spPr>
                    <a:xfrm>
                      <a:off x="0" y="0"/>
                      <a:ext cx="5760085" cy="2853055"/>
                    </a:xfrm>
                    <a:prstGeom prst="rect">
                      <a:avLst/>
                    </a:prstGeom>
                  </pic:spPr>
                </pic:pic>
              </a:graphicData>
            </a:graphic>
          </wp:inline>
        </w:drawing>
      </w:r>
    </w:p>
    <w:p>
      <w:pPr>
        <w:numPr>
          <w:ilvl w:val="0"/>
          <w:numId w:val="31"/>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13970" b="8255"/>
            <wp:docPr id="2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
                    <pic:cNvPicPr>
                      <a:picLocks noChangeAspect="1"/>
                    </pic:cNvPicPr>
                  </pic:nvPicPr>
                  <pic:blipFill>
                    <a:blip r:embed="rId32"/>
                    <a:stretch>
                      <a:fillRect/>
                    </a:stretch>
                  </pic:blipFill>
                  <pic:spPr>
                    <a:xfrm>
                      <a:off x="0" y="0"/>
                      <a:ext cx="5758180" cy="3058795"/>
                    </a:xfrm>
                    <a:prstGeom prst="rect">
                      <a:avLst/>
                    </a:prstGeom>
                    <a:noFill/>
                    <a:ln>
                      <a:noFill/>
                    </a:ln>
                  </pic:spPr>
                </pic:pic>
              </a:graphicData>
            </a:graphic>
          </wp:inline>
        </w:drawing>
      </w:r>
    </w:p>
    <w:p>
      <w:r>
        <w:drawing>
          <wp:inline distT="0" distB="0" distL="0" distR="0">
            <wp:extent cx="5760085" cy="2809875"/>
            <wp:effectExtent l="0" t="0" r="1206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33" cstate="print"/>
                    <a:srcRect/>
                    <a:stretch>
                      <a:fillRect/>
                    </a:stretch>
                  </pic:blipFill>
                  <pic:spPr>
                    <a:xfrm>
                      <a:off x="0" y="0"/>
                      <a:ext cx="5760085" cy="2809875"/>
                    </a:xfrm>
                    <a:prstGeom prst="rect">
                      <a:avLst/>
                    </a:prstGeom>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pPr>
        <w:keepNext w:val="0"/>
        <w:keepLines w:val="0"/>
        <w:pageBreakBefore w:val="0"/>
        <w:widowControl w:val="0"/>
        <w:numPr>
          <w:ilvl w:val="0"/>
          <w:numId w:val="3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pPr>
        <w:keepNext w:val="0"/>
        <w:keepLines w:val="0"/>
        <w:pageBreakBefore w:val="0"/>
        <w:widowControl w:val="0"/>
        <w:numPr>
          <w:ilvl w:val="0"/>
          <w:numId w:val="3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pPr>
        <w:keepNext w:val="0"/>
        <w:keepLines w:val="0"/>
        <w:pageBreakBefore w:val="0"/>
        <w:widowControl w:val="0"/>
        <w:numPr>
          <w:ilvl w:val="0"/>
          <w:numId w:val="32"/>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w:t>
      </w:r>
      <w:r>
        <w:rPr>
          <w:rFonts w:hint="eastAsia" w:ascii="宋体" w:hAnsi="宋体" w:cs="宋体"/>
          <w:b/>
          <w:bCs/>
          <w:color w:val="000000"/>
          <w:sz w:val="24"/>
          <w:szCs w:val="28"/>
          <w:highlight w:val="none"/>
          <w:lang w:val="en-US" w:eastAsia="zh-CN"/>
        </w:rPr>
        <w:t xml:space="preserve"> </w:t>
      </w:r>
      <w:r>
        <w:rPr>
          <w:rFonts w:hint="eastAsia" w:ascii="宋体" w:hAnsi="宋体" w:eastAsia="宋体" w:cs="宋体"/>
          <w:b/>
          <w:bCs/>
          <w:color w:val="000000"/>
          <w:sz w:val="24"/>
          <w:szCs w:val="28"/>
          <w:highlight w:val="none"/>
        </w:rPr>
        <w:t>/ 工艺设备 / 工艺设备”，业务主管部门</w:t>
      </w:r>
      <w:r>
        <w:rPr>
          <w:rFonts w:hint="eastAsia" w:ascii="宋体" w:hAnsi="宋体" w:cs="宋体"/>
          <w:b/>
          <w:bCs/>
          <w:color w:val="000000"/>
          <w:sz w:val="24"/>
          <w:szCs w:val="28"/>
          <w:highlight w:val="none"/>
          <w:lang w:val="en-US" w:eastAsia="zh-CN"/>
        </w:rPr>
        <w:t>为</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工艺研究院</w:t>
      </w:r>
      <w:r>
        <w:rPr>
          <w:rFonts w:hint="eastAsia" w:ascii="宋体" w:hAnsi="宋体" w:eastAsia="宋体" w:cs="宋体"/>
          <w:b/>
          <w:bCs/>
          <w:color w:val="000000"/>
          <w:sz w:val="24"/>
          <w:szCs w:val="28"/>
          <w:highlight w:val="none"/>
        </w:rPr>
        <w:t>”。</w:t>
      </w:r>
    </w:p>
    <w:p>
      <w:pPr>
        <w:numPr>
          <w:ilvl w:val="0"/>
          <w:numId w:val="31"/>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pPr>
        <w:keepNext w:val="0"/>
        <w:keepLines w:val="0"/>
        <w:pageBreakBefore w:val="0"/>
        <w:widowControl w:val="0"/>
        <w:numPr>
          <w:ilvl w:val="0"/>
          <w:numId w:val="33"/>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pPr>
        <w:outlineLvl w:val="9"/>
        <w:rPr>
          <w:rFonts w:hint="default"/>
          <w:lang w:val="en-US" w:eastAsia="zh-CN"/>
        </w:rPr>
        <w:sectPr>
          <w:headerReference r:id="rId16" w:type="first"/>
          <w:footerReference r:id="rId18" w:type="first"/>
          <w:headerReference r:id="rId15" w:type="default"/>
          <w:footerReference r:id="rId17"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2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
                    <pic:cNvPicPr>
                      <a:picLocks noChangeAspect="1"/>
                    </pic:cNvPicPr>
                  </pic:nvPicPr>
                  <pic:blipFill>
                    <a:blip r:embed="rId34"/>
                    <a:stretch>
                      <a:fillRect/>
                    </a:stretch>
                  </pic:blipFill>
                  <pic:spPr>
                    <a:xfrm>
                      <a:off x="0" y="0"/>
                      <a:ext cx="5486400" cy="2661285"/>
                    </a:xfrm>
                    <a:prstGeom prst="rect">
                      <a:avLst/>
                    </a:prstGeom>
                    <a:noFill/>
                    <a:ln>
                      <a:noFill/>
                    </a:ln>
                  </pic:spPr>
                </pic:pic>
              </a:graphicData>
            </a:graphic>
          </wp:inline>
        </w:drawing>
      </w:r>
    </w:p>
    <w:p>
      <w:pPr>
        <w:pStyle w:val="73"/>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附件11 SRM系统供应商用户手册</w:t>
      </w:r>
    </w:p>
    <w:p>
      <w:pPr>
        <w:snapToGrid/>
        <w:spacing w:before="0" w:after="0" w:line="360" w:lineRule="auto"/>
        <w:ind w:left="0" w:right="0" w:firstLine="0"/>
        <w:jc w:val="both"/>
        <w:rPr>
          <w:rStyle w:val="38"/>
          <w:rFonts w:hint="eastAsia" w:ascii="宋体" w:hAnsi="宋体" w:eastAsia="宋体" w:cs="宋体"/>
          <w:sz w:val="24"/>
          <w:szCs w:val="24"/>
        </w:rPr>
      </w:pPr>
      <w:r>
        <w:rPr>
          <w:rFonts w:hint="eastAsia" w:ascii="宋体" w:hAnsi="宋体" w:eastAsia="宋体" w:cs="宋体"/>
          <w:i w:val="0"/>
          <w:strike w:val="0"/>
          <w:color w:val="000000"/>
          <w:sz w:val="24"/>
          <w:szCs w:val="24"/>
          <w:u w:val="none"/>
        </w:rPr>
        <w:t>系统网址：</w:t>
      </w:r>
      <w:r>
        <w:rPr>
          <w:rStyle w:val="38"/>
          <w:rFonts w:hint="eastAsia" w:ascii="宋体" w:hAnsi="宋体" w:eastAsia="宋体" w:cs="宋体"/>
          <w:sz w:val="24"/>
          <w:szCs w:val="24"/>
        </w:rPr>
        <w:fldChar w:fldCharType="begin"/>
      </w:r>
      <w:r>
        <w:rPr>
          <w:rStyle w:val="38"/>
          <w:rFonts w:hint="eastAsia" w:ascii="宋体" w:hAnsi="宋体" w:eastAsia="宋体" w:cs="宋体"/>
          <w:sz w:val="24"/>
          <w:szCs w:val="24"/>
        </w:rPr>
        <w:instrText xml:space="preserve">HYPERLINK http://ecaitong.sinotruk.com:8012/ normalLink \tdkey u5b6qk \tdfu http://ecaitong.sinotruk.com:8012/ \tdfn http%3A//ecaitong.sinotruk.com%3A8012/ \tdfe -10 \tdlt text </w:instrText>
      </w:r>
      <w:r>
        <w:rPr>
          <w:rStyle w:val="38"/>
          <w:rFonts w:hint="eastAsia" w:ascii="宋体" w:hAnsi="宋体" w:eastAsia="宋体" w:cs="宋体"/>
          <w:sz w:val="24"/>
          <w:szCs w:val="24"/>
        </w:rP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pPr>
        <w:pStyle w:val="2"/>
        <w:rPr>
          <w:rFonts w:hint="eastAsia"/>
        </w:rPr>
      </w:pPr>
      <w:r>
        <w:rPr>
          <w:rFonts w:hint="eastAsia"/>
          <w:sz w:val="24"/>
          <w:highlight w:val="none"/>
        </w:rPr>
        <w:t>初始密码为scm@2022或@2023</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1.供应商应标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供应商应标</w:t>
      </w:r>
    </w:p>
    <w:p>
      <w:pPr>
        <w:snapToGrid/>
        <w:spacing w:before="0" w:after="0" w:line="360" w:lineRule="auto"/>
        <w:ind w:left="0" w:right="0"/>
        <w:jc w:val="both"/>
        <w:rPr>
          <w:rFonts w:ascii="宋体" w:hAnsi="宋体" w:eastAsia="宋体" w:cs="宋体"/>
          <w:i w:val="0"/>
          <w:strike w:val="0"/>
          <w:color w:val="000000"/>
          <w:sz w:val="24"/>
          <w:szCs w:val="24"/>
          <w:u w:val="none"/>
        </w:rPr>
      </w:pPr>
      <w:r>
        <w:rPr>
          <w:rFonts w:ascii="宋体" w:hAnsi="宋体" w:eastAsia="宋体" w:cs="宋体"/>
          <w:i w:val="0"/>
          <w:strike w:val="0"/>
          <w:color w:val="000000"/>
          <w:sz w:val="24"/>
          <w:szCs w:val="24"/>
          <w:u w:val="none"/>
        </w:rPr>
        <w:t>点击应标，上传文件之后点击提交。</w:t>
      </w:r>
    </w:p>
    <w:p>
      <w:pPr>
        <w:snapToGrid/>
        <w:spacing w:before="0" w:after="0" w:line="240" w:lineRule="auto"/>
        <w:ind w:left="0" w:right="0"/>
        <w:jc w:val="both"/>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35"/>
                    <a:stretch>
                      <a:fillRect/>
                    </a:stretch>
                  </pic:blipFill>
                  <pic:spPr>
                    <a:xfrm>
                      <a:off x="0" y="0"/>
                      <a:ext cx="5760085" cy="2269864"/>
                    </a:xfrm>
                    <a:prstGeom prst="rect">
                      <a:avLst/>
                    </a:prstGeom>
                  </pic:spPr>
                </pic:pic>
              </a:graphicData>
            </a:graphic>
          </wp:inline>
        </w:drawing>
      </w:r>
    </w:p>
    <w:p>
      <w:pPr>
        <w:snapToGrid/>
        <w:spacing w:before="0" w:after="0" w:line="240" w:lineRule="auto"/>
        <w:ind w:left="0" w:right="0"/>
        <w:jc w:val="both"/>
      </w:pP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2.供应商投标</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供应商投标</w:t>
      </w:r>
    </w:p>
    <w:p>
      <w:pPr>
        <w:snapToGrid/>
        <w:spacing w:before="0" w:after="0" w:line="240" w:lineRule="auto"/>
        <w:ind w:left="0" w:right="0"/>
        <w:jc w:val="both"/>
        <w:rPr>
          <w:rFonts w:ascii="宋体" w:hAnsi="宋体" w:eastAsia="宋体" w:cs="宋体"/>
          <w:i w:val="0"/>
          <w:strike w:val="0"/>
          <w:color w:val="000000"/>
          <w:sz w:val="21"/>
          <w:u w:val="none"/>
        </w:rPr>
      </w:pPr>
      <w:r>
        <w:rPr>
          <w:rFonts w:ascii="宋体" w:hAnsi="宋体" w:eastAsia="宋体" w:cs="宋体"/>
          <w:i w:val="0"/>
          <w:strike w:val="0"/>
          <w:color w:val="000000"/>
          <w:sz w:val="21"/>
          <w:u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6"/>
                    <a:stretch>
                      <a:fillRect/>
                    </a:stretch>
                  </pic:blipFill>
                  <pic:spPr>
                    <a:xfrm>
                      <a:off x="0" y="0"/>
                      <a:ext cx="5760085" cy="2125673"/>
                    </a:xfrm>
                    <a:prstGeom prst="rect">
                      <a:avLst/>
                    </a:prstGeom>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u w:val="none"/>
        </w:rPr>
      </w:pPr>
      <w:r>
        <w:rPr>
          <w:rFonts w:ascii="宋体" w:hAnsi="宋体" w:eastAsia="宋体" w:cs="宋体"/>
          <w:i w:val="0"/>
          <w:strike w:val="0"/>
          <w:color w:val="000000"/>
          <w:sz w:val="24"/>
          <w:szCs w:val="28"/>
          <w:u w:val="none"/>
        </w:rPr>
        <w:t>点击投标按钮，进入详情页，输入投标报价并上传相应的附件。</w:t>
      </w:r>
    </w:p>
    <w:p>
      <w:pPr>
        <w:pStyle w:val="15"/>
        <w:rPr>
          <w:b/>
          <w:bCs/>
          <w:highlight w:val="none"/>
        </w:rPr>
      </w:pPr>
      <w:r>
        <w:rPr>
          <w:rFonts w:hint="eastAsia" w:ascii="宋体" w:hAnsi="宋体" w:eastAsia="宋体" w:cs="宋体"/>
          <w:b/>
          <w:bCs/>
          <w:i w:val="0"/>
          <w:strike w:val="0"/>
          <w:color w:val="000000"/>
          <w:sz w:val="24"/>
          <w:szCs w:val="28"/>
          <w:highlight w:val="none"/>
          <w:u w:val="none"/>
          <w:lang w:val="en-US" w:eastAsia="zh-CN"/>
        </w:rPr>
        <w:t>注意：系统内的投标报价单位为“万元”，如开标现场发现填错报价，即直接淘汰</w:t>
      </w:r>
      <w:r>
        <w:rPr>
          <w:rFonts w:hint="eastAsia" w:hAnsi="宋体" w:eastAsia="宋体" w:cs="宋体"/>
          <w:b/>
          <w:bCs/>
          <w:i w:val="0"/>
          <w:strike w:val="0"/>
          <w:color w:val="000000"/>
          <w:sz w:val="24"/>
          <w:szCs w:val="28"/>
          <w:highlight w:val="none"/>
          <w:u w:val="none"/>
          <w:lang w:val="en-US" w:eastAsia="zh-CN"/>
        </w:rPr>
        <w:t>。</w:t>
      </w:r>
    </w:p>
    <w:p>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37"/>
                    <a:stretch>
                      <a:fillRect/>
                    </a:stretch>
                  </pic:blipFill>
                  <pic:spPr>
                    <a:xfrm>
                      <a:off x="0" y="0"/>
                      <a:ext cx="5490210" cy="2669498"/>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3.供应商技术标澄清函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供应商技术标澄清函</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点击编辑按钮进入系统，上传技术标澄清函。</w:t>
      </w:r>
    </w:p>
    <w:p>
      <w:pPr>
        <w:spacing w:before="0" w:after="0" w:line="360" w:lineRule="auto"/>
        <w:ind w:left="0"/>
        <w:rPr>
          <w:rFonts w:ascii="Arial" w:hAnsi="Arial" w:eastAsia="Arial" w:cs="Arial"/>
          <w:i w:val="0"/>
          <w:strike w:val="0"/>
          <w:color w:val="000000"/>
          <w:sz w:val="28"/>
          <w:u w:val="none"/>
        </w:rPr>
      </w:pPr>
      <w:r>
        <w:rPr>
          <w:rFonts w:ascii="宋体" w:hAnsi="宋体" w:eastAsia="宋体" w:cs="宋体"/>
          <w:i w:val="0"/>
          <w:strike w:val="0"/>
          <w:color w:val="000000"/>
          <w:sz w:val="24"/>
          <w:szCs w:val="24"/>
          <w:u w:val="none"/>
        </w:rPr>
        <w:t>开标之后所有投标的供应商都可编辑提交，技术标入围之后</w:t>
      </w:r>
      <w:r>
        <w:rPr>
          <w:rFonts w:hint="eastAsia" w:ascii="宋体" w:hAnsi="宋体" w:eastAsia="宋体" w:cs="宋体"/>
          <w:i w:val="0"/>
          <w:strike w:val="0"/>
          <w:color w:val="000000"/>
          <w:sz w:val="24"/>
          <w:szCs w:val="24"/>
          <w:u w:val="none"/>
        </w:rPr>
        <w:t xml:space="preserve"> </w:t>
      </w:r>
      <w:r>
        <w:rPr>
          <w:rFonts w:ascii="宋体" w:hAnsi="宋体" w:eastAsia="宋体" w:cs="宋体"/>
          <w:i w:val="0"/>
          <w:strike w:val="0"/>
          <w:color w:val="000000"/>
          <w:sz w:val="24"/>
          <w:szCs w:val="24"/>
          <w:u w:val="none"/>
        </w:rPr>
        <w:t>都不可编辑</w:t>
      </w:r>
      <w:r>
        <w:rPr>
          <w:rFonts w:ascii="Arial" w:hAnsi="Arial" w:eastAsia="Arial" w:cs="Arial"/>
          <w:i w:val="0"/>
          <w:strike w:val="0"/>
          <w:color w:val="000000"/>
          <w:sz w:val="28"/>
          <w:u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38"/>
                    <a:stretch>
                      <a:fillRect/>
                    </a:stretch>
                  </pic:blipFill>
                  <pic:spPr>
                    <a:xfrm>
                      <a:off x="0" y="0"/>
                      <a:ext cx="5490210" cy="1992743"/>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4.供应商报价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点击报价按钮进入报价详情界面，请在此轮报价起止时间内报价，否则无法报价。</w:t>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5.供应商澄清报价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供应商澄清报价</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招标发起人接收建议价的同时会给供应商发送澄清报价，供应商在此界面进行澄清报价，点击编辑按钮进入澄清报价详细界面，输入价格并上传澄清函，之后点击提交。</w:t>
      </w:r>
    </w:p>
    <w:p>
      <w:pPr>
        <w:snapToGrid/>
        <w:spacing w:before="280" w:after="290" w:line="372" w:lineRule="auto"/>
        <w:ind w:left="425" w:right="0" w:hanging="425"/>
        <w:jc w:val="both"/>
        <w:outlineLvl w:val="9"/>
        <w:rPr>
          <w:rFonts w:ascii="Arial" w:hAnsi="Arial" w:eastAsia="Arial" w:cs="Arial"/>
          <w:i w:val="0"/>
          <w:strike w:val="0"/>
          <w:color w:val="000000"/>
          <w:sz w:val="28"/>
          <w:u w:val="none"/>
        </w:rPr>
      </w:pPr>
      <w:r>
        <w:rPr>
          <w:rFonts w:ascii="Arial" w:hAnsi="Arial" w:eastAsia="Arial" w:cs="Arial"/>
          <w:i w:val="0"/>
          <w:strike w:val="0"/>
          <w:color w:val="000000"/>
          <w:sz w:val="28"/>
          <w:u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39"/>
                    <a:stretch>
                      <a:fillRect/>
                    </a:stretch>
                  </pic:blipFill>
                  <pic:spPr>
                    <a:xfrm>
                      <a:off x="0" y="0"/>
                      <a:ext cx="5490210" cy="2544669"/>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u w:val="none"/>
        </w:rPr>
      </w:pPr>
      <w:r>
        <w:rPr>
          <w:rFonts w:hint="eastAsia" w:ascii="宋体" w:hAnsi="宋体" w:eastAsia="宋体" w:cs="宋体"/>
          <w:b/>
          <w:bCs/>
          <w:i w:val="0"/>
          <w:strike w:val="0"/>
          <w:color w:val="000000"/>
          <w:sz w:val="24"/>
          <w:szCs w:val="24"/>
          <w:u w:val="none"/>
        </w:rPr>
        <w:t>6.供应商查看中标通知</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路径：招投标中心</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非生产类招投标</w:t>
      </w:r>
      <w:r>
        <w:rPr>
          <w:rFonts w:hint="eastAsia" w:ascii="宋体" w:hAnsi="宋体" w:eastAsia="宋体" w:cs="宋体"/>
          <w:i w:val="0"/>
          <w:strike w:val="0"/>
          <w:color w:val="000000"/>
          <w:sz w:val="24"/>
          <w:szCs w:val="24"/>
          <w:u w:val="none"/>
        </w:rPr>
        <w:t>-</w:t>
      </w:r>
      <w:r>
        <w:rPr>
          <w:rFonts w:ascii="宋体" w:hAnsi="宋体" w:eastAsia="宋体" w:cs="宋体"/>
          <w:i w:val="0"/>
          <w:strike w:val="0"/>
          <w:color w:val="000000"/>
          <w:sz w:val="24"/>
          <w:szCs w:val="24"/>
          <w:u w:val="none"/>
        </w:rPr>
        <w:t>中标项目</w:t>
      </w:r>
    </w:p>
    <w:p>
      <w:pPr>
        <w:snapToGrid/>
        <w:spacing w:before="0" w:after="0" w:line="360" w:lineRule="auto"/>
        <w:ind w:left="0" w:right="0"/>
        <w:jc w:val="both"/>
        <w:rPr>
          <w:rFonts w:hint="eastAsia" w:ascii="宋体" w:hAnsi="宋体" w:eastAsia="宋体" w:cs="宋体"/>
          <w:sz w:val="24"/>
          <w:szCs w:val="24"/>
        </w:rPr>
      </w:pPr>
      <w:r>
        <w:rPr>
          <w:rFonts w:ascii="宋体" w:hAnsi="宋体" w:eastAsia="宋体" w:cs="宋体"/>
          <w:i w:val="0"/>
          <w:strike w:val="0"/>
          <w:color w:val="000000"/>
          <w:sz w:val="24"/>
          <w:szCs w:val="24"/>
          <w:u w:val="none"/>
        </w:rPr>
        <w:t>点击查看进入查看中标项目详情</w:t>
      </w:r>
    </w:p>
    <w:p>
      <w:pPr>
        <w:rPr>
          <w:rFonts w:hint="default" w:hAnsi="宋体"/>
          <w:sz w:val="24"/>
          <w:lang w:val="en-US"/>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0"/>
                    <a:stretch>
                      <a:fillRect/>
                    </a:stretch>
                  </pic:blipFill>
                  <pic:spPr>
                    <a:xfrm>
                      <a:off x="0" y="0"/>
                      <a:ext cx="5760085" cy="1956600"/>
                    </a:xfrm>
                    <a:prstGeom prst="rect">
                      <a:avLst/>
                    </a:prstGeom>
                  </pic:spPr>
                </pic:pic>
              </a:graphicData>
            </a:graphic>
          </wp:inline>
        </w:drawing>
      </w:r>
    </w:p>
    <w:sectPr>
      <w:headerReference r:id="rId19" w:type="first"/>
      <w:footerReference r:id="rId21" w:type="first"/>
      <w:footerReference r:id="rId20"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
    <w:altName w:val="Times New Roman"/>
    <w:panose1 w:val="00000000000000000000"/>
    <w:charset w:val="00"/>
    <w:family w:val="roman"/>
    <w:pitch w:val="default"/>
    <w:sig w:usb0="00000000" w:usb1="00000000" w:usb2="00000000" w:usb3="00000000" w:csb0="00000001"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script"/>
    <w:pitch w:val="default"/>
    <w:sig w:usb0="A00002BF" w:usb1="184F6CFA" w:usb2="00000012" w:usb3="00000000" w:csb0="00040001"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center"/>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pPr>
      <w:pStyle w:val="19"/>
      <w:jc w:val="center"/>
    </w:pPr>
  </w:p>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framePr w:wrap="around" w:vAnchor="text" w:hAnchor="margin" w:xAlign="center" w:y="1"/>
      <w:rPr>
        <w:rStyle w:val="35"/>
      </w:rPr>
    </w:pPr>
    <w:r>
      <w:fldChar w:fldCharType="begin"/>
    </w:r>
    <w:r>
      <w:rPr>
        <w:rStyle w:val="35"/>
      </w:rPr>
      <w:instrText xml:space="preserve">PAGE  </w:instrText>
    </w:r>
    <w:r>
      <w:fldChar w:fldCharType="end"/>
    </w:r>
  </w:p>
  <w:p>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34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34</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51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51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9"/>
                          </w:pPr>
                          <w:r>
                            <w:fldChar w:fldCharType="begin"/>
                          </w:r>
                          <w:r>
                            <w:instrText xml:space="preserve"> PAGE  \* MERGEFORMAT </w:instrText>
                          </w:r>
                          <w:r>
                            <w:fldChar w:fldCharType="separate"/>
                          </w:r>
                          <w: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19"/>
                    </w:pPr>
                    <w:r>
                      <w:fldChar w:fldCharType="begin"/>
                    </w:r>
                    <w:r>
                      <w:instrText xml:space="preserve"> PAGE  \* MERGEFORMAT </w:instrText>
                    </w:r>
                    <w:r>
                      <w:fldChar w:fldCharType="separate"/>
                    </w:r>
                    <w:r>
                      <w:t>35</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pPr>
                      <w:pStyle w:val="19"/>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p>
  <w:p>
    <w:pPr>
      <w:pStyle w:val="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B20830A4"/>
    <w:multiLevelType w:val="multilevel"/>
    <w:tmpl w:val="B20830A4"/>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B862383A"/>
    <w:multiLevelType w:val="multilevel"/>
    <w:tmpl w:val="B862383A"/>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
    <w:nsid w:val="B9F08EBE"/>
    <w:multiLevelType w:val="multilevel"/>
    <w:tmpl w:val="B9F08EBE"/>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highlight w:val="none"/>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680BC7B"/>
    <w:multiLevelType w:val="singleLevel"/>
    <w:tmpl w:val="C680BC7B"/>
    <w:lvl w:ilvl="0" w:tentative="0">
      <w:start w:val="1"/>
      <w:numFmt w:val="decimal"/>
      <w:suff w:val="space"/>
      <w:lvlText w:val="%1."/>
      <w:lvlJc w:val="left"/>
      <w:pPr>
        <w:ind w:left="0" w:leftChars="0" w:firstLine="420" w:firstLineChars="0"/>
      </w:pPr>
      <w:rPr>
        <w:rFonts w:hint="default"/>
        <w:b w:val="0"/>
        <w:bCs w:val="0"/>
        <w:color w:val="auto"/>
        <w:highlight w:val="none"/>
      </w:rPr>
    </w:lvl>
  </w:abstractNum>
  <w:abstractNum w:abstractNumId="5">
    <w:nsid w:val="C6C94E46"/>
    <w:multiLevelType w:val="multilevel"/>
    <w:tmpl w:val="C6C94E46"/>
    <w:lvl w:ilvl="0" w:tentative="0">
      <w:start w:val="1"/>
      <w:numFmt w:val="decimal"/>
      <w:lvlText w:val="%1."/>
      <w:lvlJc w:val="left"/>
      <w:pPr>
        <w:ind w:left="425" w:hanging="425"/>
      </w:pPr>
      <w:rPr>
        <w:rFonts w:hint="default"/>
      </w:rPr>
    </w:lvl>
    <w:lvl w:ilvl="1" w:tentative="0">
      <w:start w:val="1"/>
      <w:numFmt w:val="decimal"/>
      <w:suff w:val="nothing"/>
      <w:lvlText w:val="(%2)"/>
      <w:lvlJc w:val="left"/>
      <w:pPr>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6">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7">
    <w:nsid w:val="D05F1A21"/>
    <w:multiLevelType w:val="multilevel"/>
    <w:tmpl w:val="D05F1A21"/>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b w:val="0"/>
        <w:bCs w:val="0"/>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8">
    <w:nsid w:val="D87ECBDD"/>
    <w:multiLevelType w:val="multilevel"/>
    <w:tmpl w:val="D87ECBDD"/>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suff w:val="nothing"/>
      <w:lvlText w:val="%1.%2.%3."/>
      <w:lvlJc w:val="left"/>
      <w:pPr>
        <w:ind w:left="0" w:leftChars="0" w:firstLine="0" w:firstLineChars="0"/>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F40E5138"/>
    <w:multiLevelType w:val="singleLevel"/>
    <w:tmpl w:val="F40E5138"/>
    <w:lvl w:ilvl="0" w:tentative="0">
      <w:start w:val="1"/>
      <w:numFmt w:val="bullet"/>
      <w:suff w:val="nothing"/>
      <w:lvlText w:val=""/>
      <w:lvlJc w:val="left"/>
      <w:pPr>
        <w:ind w:left="0" w:leftChars="0" w:firstLine="0" w:firstLineChars="0"/>
      </w:pPr>
      <w:rPr>
        <w:rFonts w:hint="default" w:ascii="Wingdings" w:hAnsi="Wingdings"/>
      </w:rPr>
    </w:lvl>
  </w:abstractNum>
  <w:abstractNum w:abstractNumId="10">
    <w:nsid w:val="F54BF83F"/>
    <w:multiLevelType w:val="singleLevel"/>
    <w:tmpl w:val="F54BF83F"/>
    <w:lvl w:ilvl="0" w:tentative="0">
      <w:start w:val="1"/>
      <w:numFmt w:val="decimal"/>
      <w:suff w:val="space"/>
      <w:lvlText w:val="%1."/>
      <w:lvlJc w:val="left"/>
      <w:pPr>
        <w:ind w:left="0" w:firstLine="0"/>
      </w:pPr>
    </w:lvl>
  </w:abstractNum>
  <w:abstractNum w:abstractNumId="11">
    <w:nsid w:val="00000003"/>
    <w:multiLevelType w:val="singleLevel"/>
    <w:tmpl w:val="00000003"/>
    <w:lvl w:ilvl="0" w:tentative="0">
      <w:start w:val="5"/>
      <w:numFmt w:val="decimal"/>
      <w:lvlText w:val="%1."/>
      <w:lvlJc w:val="left"/>
      <w:pPr>
        <w:tabs>
          <w:tab w:val="left" w:pos="312"/>
        </w:tabs>
      </w:pPr>
    </w:lvl>
  </w:abstractNum>
  <w:abstractNum w:abstractNumId="12">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14">
    <w:nsid w:val="11906048"/>
    <w:multiLevelType w:val="multilevel"/>
    <w:tmpl w:val="11906048"/>
    <w:lvl w:ilvl="0" w:tentative="0">
      <w:start w:val="1"/>
      <w:numFmt w:val="decimal"/>
      <w:suff w:val="nothing"/>
      <w:lvlText w:val="%1."/>
      <w:lvlJc w:val="left"/>
      <w:pPr>
        <w:ind w:left="0" w:leftChars="0" w:firstLine="0" w:firstLineChars="0"/>
      </w:pPr>
      <w:rPr>
        <w:rFonts w:hint="default"/>
      </w:rPr>
    </w:lvl>
    <w:lvl w:ilvl="1" w:tentative="0">
      <w:start w:val="1"/>
      <w:numFmt w:val="decimal"/>
      <w:suff w:val="space"/>
      <w:lvlText w:val="(%2)"/>
      <w:lvlJc w:val="left"/>
      <w:pPr>
        <w:ind w:left="0" w:leftChars="0" w:firstLine="420" w:firstLineChars="0"/>
      </w:pPr>
      <w:rPr>
        <w:rFonts w:hint="default"/>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5">
    <w:nsid w:val="12D9A626"/>
    <w:multiLevelType w:val="singleLevel"/>
    <w:tmpl w:val="12D9A626"/>
    <w:lvl w:ilvl="0" w:tentative="0">
      <w:start w:val="3"/>
      <w:numFmt w:val="chineseCounting"/>
      <w:suff w:val="nothing"/>
      <w:lvlText w:val="第%1部分　"/>
      <w:lvlJc w:val="left"/>
      <w:rPr>
        <w:rFonts w:hint="eastAsia"/>
      </w:rPr>
    </w:lvl>
  </w:abstractNum>
  <w:abstractNum w:abstractNumId="16">
    <w:nsid w:val="13C67257"/>
    <w:multiLevelType w:val="multilevel"/>
    <w:tmpl w:val="13C67257"/>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840" w:leftChars="0" w:hanging="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7">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8">
    <w:nsid w:val="199F58C0"/>
    <w:multiLevelType w:val="multilevel"/>
    <w:tmpl w:val="199F58C0"/>
    <w:lvl w:ilvl="0" w:tentative="0">
      <w:start w:val="1"/>
      <w:numFmt w:val="decimal"/>
      <w:suff w:val="nothing"/>
      <w:lvlText w:val="%1."/>
      <w:lvlJc w:val="left"/>
      <w:pPr>
        <w:ind w:left="0" w:leftChars="0" w:firstLine="0" w:firstLineChars="0"/>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19">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20">
    <w:nsid w:val="3DA58DF5"/>
    <w:multiLevelType w:val="multilevel"/>
    <w:tmpl w:val="3DA58DF5"/>
    <w:lvl w:ilvl="0" w:tentative="0">
      <w:start w:val="1"/>
      <w:numFmt w:val="decimal"/>
      <w:lvlText w:val="%1."/>
      <w:lvlJc w:val="left"/>
      <w:pPr>
        <w:ind w:left="425" w:hanging="425"/>
      </w:pPr>
      <w:rPr>
        <w:rFonts w:hint="default"/>
        <w:b w:val="0"/>
        <w:bCs w:val="0"/>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1">
    <w:nsid w:val="4AF0723E"/>
    <w:multiLevelType w:val="singleLevel"/>
    <w:tmpl w:val="4AF0723E"/>
    <w:lvl w:ilvl="0" w:tentative="0">
      <w:start w:val="2"/>
      <w:numFmt w:val="chineseCounting"/>
      <w:suff w:val="nothing"/>
      <w:lvlText w:val="%1、"/>
      <w:lvlJc w:val="left"/>
      <w:rPr>
        <w:rFonts w:hint="eastAsia"/>
      </w:rPr>
    </w:lvl>
  </w:abstractNum>
  <w:abstractNum w:abstractNumId="22">
    <w:nsid w:val="4C11FA9C"/>
    <w:multiLevelType w:val="singleLevel"/>
    <w:tmpl w:val="4C11FA9C"/>
    <w:lvl w:ilvl="0" w:tentative="0">
      <w:start w:val="1"/>
      <w:numFmt w:val="decimal"/>
      <w:suff w:val="space"/>
      <w:lvlText w:val="(%1)"/>
      <w:lvlJc w:val="left"/>
      <w:pPr>
        <w:ind w:left="425" w:hanging="425"/>
      </w:pPr>
      <w:rPr>
        <w:rFonts w:hint="default"/>
      </w:rPr>
    </w:lvl>
  </w:abstractNum>
  <w:abstractNum w:abstractNumId="23">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4">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6">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7">
    <w:nsid w:val="58A803A7"/>
    <w:multiLevelType w:val="singleLevel"/>
    <w:tmpl w:val="58A803A7"/>
    <w:lvl w:ilvl="0" w:tentative="0">
      <w:start w:val="1"/>
      <w:numFmt w:val="decimal"/>
      <w:suff w:val="nothing"/>
      <w:lvlText w:val="%1."/>
      <w:lvlJc w:val="left"/>
      <w:pPr>
        <w:ind w:left="454" w:leftChars="0" w:hanging="454" w:firstLineChars="0"/>
      </w:pPr>
      <w:rPr>
        <w:rFonts w:hint="default"/>
      </w:rPr>
    </w:lvl>
  </w:abstractNum>
  <w:abstractNum w:abstractNumId="28">
    <w:nsid w:val="5A6836EF"/>
    <w:multiLevelType w:val="singleLevel"/>
    <w:tmpl w:val="5A6836EF"/>
    <w:lvl w:ilvl="0" w:tentative="0">
      <w:start w:val="1"/>
      <w:numFmt w:val="decimal"/>
      <w:suff w:val="nothing"/>
      <w:lvlText w:val="%1."/>
      <w:lvlJc w:val="left"/>
      <w:pPr>
        <w:ind w:left="0" w:firstLine="0"/>
      </w:pPr>
    </w:lvl>
  </w:abstractNum>
  <w:abstractNum w:abstractNumId="29">
    <w:nsid w:val="5B6F7349"/>
    <w:multiLevelType w:val="multilevel"/>
    <w:tmpl w:val="5B6F7349"/>
    <w:lvl w:ilvl="0" w:tentative="0">
      <w:start w:val="1"/>
      <w:numFmt w:val="decimal"/>
      <w:lvlText w:val="%1."/>
      <w:lvlJc w:val="left"/>
      <w:pPr>
        <w:ind w:left="425" w:hanging="425"/>
      </w:pPr>
      <w:rPr>
        <w:rFonts w:hint="default"/>
      </w:rPr>
    </w:lvl>
    <w:lvl w:ilvl="1" w:tentative="0">
      <w:start w:val="1"/>
      <w:numFmt w:val="decimal"/>
      <w:suff w:val="nothing"/>
      <w:lvlText w:val="%1.%2."/>
      <w:lvlJc w:val="left"/>
      <w:pPr>
        <w:ind w:left="0" w:leftChars="0" w:firstLine="0" w:firstLineChars="0"/>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30">
    <w:nsid w:val="5EEE3A7E"/>
    <w:multiLevelType w:val="multilevel"/>
    <w:tmpl w:val="5EEE3A7E"/>
    <w:lvl w:ilvl="0" w:tentative="0">
      <w:start w:val="1"/>
      <w:numFmt w:val="bullet"/>
      <w:suff w:val="nothing"/>
      <w:lvlText w:val=""/>
      <w:lvlJc w:val="left"/>
      <w:pPr>
        <w:ind w:left="0" w:leftChars="0" w:firstLine="0" w:firstLineChars="0"/>
      </w:pPr>
      <w:rPr>
        <w:rFonts w:hint="default" w:ascii="Wingdings" w:hAnsi="Wingdings"/>
        <w:color w:val="auto"/>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31">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32">
    <w:nsid w:val="68D339DE"/>
    <w:multiLevelType w:val="multilevel"/>
    <w:tmpl w:val="68D339DE"/>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num w:numId="1">
    <w:abstractNumId w:val="23"/>
  </w:num>
  <w:num w:numId="2">
    <w:abstractNumId w:val="31"/>
  </w:num>
  <w:num w:numId="3">
    <w:abstractNumId w:val="26"/>
  </w:num>
  <w:num w:numId="4">
    <w:abstractNumId w:val="24"/>
  </w:num>
  <w:num w:numId="5">
    <w:abstractNumId w:val="12"/>
  </w:num>
  <w:num w:numId="6">
    <w:abstractNumId w:val="17"/>
  </w:num>
  <w:num w:numId="7">
    <w:abstractNumId w:val="19"/>
  </w:num>
  <w:num w:numId="8">
    <w:abstractNumId w:val="25"/>
  </w:num>
  <w:num w:numId="9">
    <w:abstractNumId w:val="27"/>
  </w:num>
  <w:num w:numId="10">
    <w:abstractNumId w:val="16"/>
  </w:num>
  <w:num w:numId="11">
    <w:abstractNumId w:val="4"/>
  </w:num>
  <w:num w:numId="12">
    <w:abstractNumId w:val="14"/>
  </w:num>
  <w:num w:numId="13">
    <w:abstractNumId w:val="32"/>
  </w:num>
  <w:num w:numId="14">
    <w:abstractNumId w:val="0"/>
  </w:num>
  <w:num w:numId="15">
    <w:abstractNumId w:val="6"/>
  </w:num>
  <w:num w:numId="16">
    <w:abstractNumId w:val="7"/>
  </w:num>
  <w:num w:numId="17">
    <w:abstractNumId w:val="3"/>
  </w:num>
  <w:num w:numId="18">
    <w:abstractNumId w:val="13"/>
  </w:num>
  <w:num w:numId="19">
    <w:abstractNumId w:val="18"/>
  </w:num>
  <w:num w:numId="20">
    <w:abstractNumId w:val="2"/>
  </w:num>
  <w:num w:numId="21">
    <w:abstractNumId w:val="30"/>
  </w:num>
  <w:num w:numId="22">
    <w:abstractNumId w:val="8"/>
  </w:num>
  <w:num w:numId="23">
    <w:abstractNumId w:val="29"/>
  </w:num>
  <w:num w:numId="24">
    <w:abstractNumId w:val="9"/>
  </w:num>
  <w:num w:numId="25">
    <w:abstractNumId w:val="1"/>
  </w:num>
  <w:num w:numId="26">
    <w:abstractNumId w:val="20"/>
  </w:num>
  <w:num w:numId="27">
    <w:abstractNumId w:val="28"/>
  </w:num>
  <w:num w:numId="28">
    <w:abstractNumId w:val="5"/>
  </w:num>
  <w:num w:numId="29">
    <w:abstractNumId w:val="22"/>
  </w:num>
  <w:num w:numId="30">
    <w:abstractNumId w:val="15"/>
  </w:num>
  <w:num w:numId="31">
    <w:abstractNumId w:val="11"/>
  </w:num>
  <w:num w:numId="32">
    <w:abstractNumId w:val="10"/>
  </w:num>
  <w:num w:numId="3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2CDB"/>
    <w:rsid w:val="007C32E0"/>
    <w:rsid w:val="007C54A3"/>
    <w:rsid w:val="007C60C1"/>
    <w:rsid w:val="007C76C4"/>
    <w:rsid w:val="007C7FA8"/>
    <w:rsid w:val="007D09D1"/>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96F15"/>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1B40D3"/>
    <w:rsid w:val="01563B79"/>
    <w:rsid w:val="02173A21"/>
    <w:rsid w:val="02CC3DCA"/>
    <w:rsid w:val="02FE76EF"/>
    <w:rsid w:val="034E1239"/>
    <w:rsid w:val="03F033B0"/>
    <w:rsid w:val="05612989"/>
    <w:rsid w:val="057C1D39"/>
    <w:rsid w:val="05891259"/>
    <w:rsid w:val="05D554DB"/>
    <w:rsid w:val="0654565B"/>
    <w:rsid w:val="07253DF6"/>
    <w:rsid w:val="07613623"/>
    <w:rsid w:val="07C1191B"/>
    <w:rsid w:val="08633479"/>
    <w:rsid w:val="09630A6C"/>
    <w:rsid w:val="0A63147A"/>
    <w:rsid w:val="0ADB2EF0"/>
    <w:rsid w:val="0ADD4CBE"/>
    <w:rsid w:val="0B415BB4"/>
    <w:rsid w:val="0C83309C"/>
    <w:rsid w:val="0CB51572"/>
    <w:rsid w:val="0D01045C"/>
    <w:rsid w:val="0DA915A6"/>
    <w:rsid w:val="0DE73E36"/>
    <w:rsid w:val="0E4D31E3"/>
    <w:rsid w:val="0E530E38"/>
    <w:rsid w:val="10DC2AA3"/>
    <w:rsid w:val="10FA7C8C"/>
    <w:rsid w:val="12174CE2"/>
    <w:rsid w:val="121D1E44"/>
    <w:rsid w:val="12F64B6E"/>
    <w:rsid w:val="130B198F"/>
    <w:rsid w:val="13FA68E0"/>
    <w:rsid w:val="15BB1367"/>
    <w:rsid w:val="168618F8"/>
    <w:rsid w:val="16A918E4"/>
    <w:rsid w:val="17D966D6"/>
    <w:rsid w:val="18146E94"/>
    <w:rsid w:val="18945E62"/>
    <w:rsid w:val="19517BDA"/>
    <w:rsid w:val="19581095"/>
    <w:rsid w:val="19AE68D1"/>
    <w:rsid w:val="19E33213"/>
    <w:rsid w:val="1A463A67"/>
    <w:rsid w:val="1B481CDF"/>
    <w:rsid w:val="1BA3160C"/>
    <w:rsid w:val="1BC71D3B"/>
    <w:rsid w:val="1C59115B"/>
    <w:rsid w:val="1D495EC4"/>
    <w:rsid w:val="1D596BD7"/>
    <w:rsid w:val="1DFE17D9"/>
    <w:rsid w:val="1E296445"/>
    <w:rsid w:val="1EFD1680"/>
    <w:rsid w:val="1F6C766B"/>
    <w:rsid w:val="1F6D42D7"/>
    <w:rsid w:val="1FB23E60"/>
    <w:rsid w:val="1FBA79B4"/>
    <w:rsid w:val="212F23EA"/>
    <w:rsid w:val="21F50ADF"/>
    <w:rsid w:val="2225345A"/>
    <w:rsid w:val="226A2E83"/>
    <w:rsid w:val="227640E7"/>
    <w:rsid w:val="227F2CA6"/>
    <w:rsid w:val="22C5630B"/>
    <w:rsid w:val="23EC0BA6"/>
    <w:rsid w:val="24701A48"/>
    <w:rsid w:val="247E07FE"/>
    <w:rsid w:val="24AB04CD"/>
    <w:rsid w:val="25113A8A"/>
    <w:rsid w:val="25EC6AF8"/>
    <w:rsid w:val="268B0052"/>
    <w:rsid w:val="26CF6817"/>
    <w:rsid w:val="272A6A1B"/>
    <w:rsid w:val="27743C90"/>
    <w:rsid w:val="27B358EA"/>
    <w:rsid w:val="283931F7"/>
    <w:rsid w:val="284A307C"/>
    <w:rsid w:val="28B55739"/>
    <w:rsid w:val="28CE6296"/>
    <w:rsid w:val="29CA2459"/>
    <w:rsid w:val="2B271A58"/>
    <w:rsid w:val="2B4D164C"/>
    <w:rsid w:val="2B6304A7"/>
    <w:rsid w:val="2C642D3E"/>
    <w:rsid w:val="2CF6734C"/>
    <w:rsid w:val="2D4D284A"/>
    <w:rsid w:val="2D663463"/>
    <w:rsid w:val="2E112A52"/>
    <w:rsid w:val="2EDD38C8"/>
    <w:rsid w:val="2EF96EE4"/>
    <w:rsid w:val="2EFB779B"/>
    <w:rsid w:val="2FF10008"/>
    <w:rsid w:val="30C9346B"/>
    <w:rsid w:val="317E4255"/>
    <w:rsid w:val="31E37A09"/>
    <w:rsid w:val="32C207BF"/>
    <w:rsid w:val="3380787D"/>
    <w:rsid w:val="33822A0F"/>
    <w:rsid w:val="34F565DC"/>
    <w:rsid w:val="357E71B4"/>
    <w:rsid w:val="35D271A0"/>
    <w:rsid w:val="36254FE4"/>
    <w:rsid w:val="36AA39B8"/>
    <w:rsid w:val="372F61E0"/>
    <w:rsid w:val="39322FCA"/>
    <w:rsid w:val="3A503E1E"/>
    <w:rsid w:val="3AB90991"/>
    <w:rsid w:val="3B706131"/>
    <w:rsid w:val="3BF833EC"/>
    <w:rsid w:val="3C8E02FC"/>
    <w:rsid w:val="3D3346FD"/>
    <w:rsid w:val="3DE11DF4"/>
    <w:rsid w:val="3E6F041E"/>
    <w:rsid w:val="3E846635"/>
    <w:rsid w:val="3EC02A3D"/>
    <w:rsid w:val="3F9D2397"/>
    <w:rsid w:val="40AC20A0"/>
    <w:rsid w:val="41A5482C"/>
    <w:rsid w:val="420F3C32"/>
    <w:rsid w:val="4275481E"/>
    <w:rsid w:val="428B617A"/>
    <w:rsid w:val="42CE288A"/>
    <w:rsid w:val="433D7BDC"/>
    <w:rsid w:val="437E1813"/>
    <w:rsid w:val="43A427AA"/>
    <w:rsid w:val="43E96A97"/>
    <w:rsid w:val="444E2202"/>
    <w:rsid w:val="45354CBC"/>
    <w:rsid w:val="45BD47FC"/>
    <w:rsid w:val="45CC5FB2"/>
    <w:rsid w:val="46B75BA8"/>
    <w:rsid w:val="46E91D19"/>
    <w:rsid w:val="476E5648"/>
    <w:rsid w:val="47DE0683"/>
    <w:rsid w:val="48C97955"/>
    <w:rsid w:val="48D805C0"/>
    <w:rsid w:val="492E2C7C"/>
    <w:rsid w:val="49880C8F"/>
    <w:rsid w:val="4A1A43A3"/>
    <w:rsid w:val="4A2007F8"/>
    <w:rsid w:val="4A8835F7"/>
    <w:rsid w:val="4AB619BA"/>
    <w:rsid w:val="4B592E71"/>
    <w:rsid w:val="4BFA7044"/>
    <w:rsid w:val="4D595294"/>
    <w:rsid w:val="4DF75369"/>
    <w:rsid w:val="4E9E572E"/>
    <w:rsid w:val="4EA23B01"/>
    <w:rsid w:val="4EB0217D"/>
    <w:rsid w:val="4F8B220C"/>
    <w:rsid w:val="504F4EAF"/>
    <w:rsid w:val="516C4BAA"/>
    <w:rsid w:val="51D51447"/>
    <w:rsid w:val="52B9239A"/>
    <w:rsid w:val="52D52A7F"/>
    <w:rsid w:val="54287EA1"/>
    <w:rsid w:val="54BD78FD"/>
    <w:rsid w:val="54C512BB"/>
    <w:rsid w:val="552A3C28"/>
    <w:rsid w:val="555A2DA3"/>
    <w:rsid w:val="555B06B0"/>
    <w:rsid w:val="55F244FB"/>
    <w:rsid w:val="56901A99"/>
    <w:rsid w:val="571B2939"/>
    <w:rsid w:val="581925FA"/>
    <w:rsid w:val="58A86DDE"/>
    <w:rsid w:val="59154AD7"/>
    <w:rsid w:val="5A542AB4"/>
    <w:rsid w:val="5ADF548D"/>
    <w:rsid w:val="5BF95104"/>
    <w:rsid w:val="5C4627AE"/>
    <w:rsid w:val="5C9249CA"/>
    <w:rsid w:val="5D5C60B4"/>
    <w:rsid w:val="5DA23E51"/>
    <w:rsid w:val="5E5B22B9"/>
    <w:rsid w:val="5EB41BD3"/>
    <w:rsid w:val="5F9B694B"/>
    <w:rsid w:val="60027C70"/>
    <w:rsid w:val="60367925"/>
    <w:rsid w:val="60651FB9"/>
    <w:rsid w:val="614E12EC"/>
    <w:rsid w:val="616D6769"/>
    <w:rsid w:val="62BD60DC"/>
    <w:rsid w:val="63F04A69"/>
    <w:rsid w:val="646A3D0C"/>
    <w:rsid w:val="64A82747"/>
    <w:rsid w:val="65336B29"/>
    <w:rsid w:val="66526AE4"/>
    <w:rsid w:val="66A50B1E"/>
    <w:rsid w:val="67095CF1"/>
    <w:rsid w:val="674E3DF4"/>
    <w:rsid w:val="67B2063C"/>
    <w:rsid w:val="67C97AC3"/>
    <w:rsid w:val="67D5595A"/>
    <w:rsid w:val="67DD0DA5"/>
    <w:rsid w:val="67E30EC1"/>
    <w:rsid w:val="690861D7"/>
    <w:rsid w:val="695D046C"/>
    <w:rsid w:val="6A4E3B2B"/>
    <w:rsid w:val="6AC838A9"/>
    <w:rsid w:val="6AED682D"/>
    <w:rsid w:val="6B481C3B"/>
    <w:rsid w:val="6B875383"/>
    <w:rsid w:val="6C1331A3"/>
    <w:rsid w:val="6C765676"/>
    <w:rsid w:val="6CA84BC1"/>
    <w:rsid w:val="6CE64E7E"/>
    <w:rsid w:val="6D170ADE"/>
    <w:rsid w:val="6D3E4756"/>
    <w:rsid w:val="6E335CDC"/>
    <w:rsid w:val="6F12155D"/>
    <w:rsid w:val="6FC523EB"/>
    <w:rsid w:val="6FE22646"/>
    <w:rsid w:val="70825D63"/>
    <w:rsid w:val="71FE41EB"/>
    <w:rsid w:val="72895F2E"/>
    <w:rsid w:val="72C02EBE"/>
    <w:rsid w:val="72C507AD"/>
    <w:rsid w:val="72D028D8"/>
    <w:rsid w:val="73234831"/>
    <w:rsid w:val="745D47C3"/>
    <w:rsid w:val="75341FA7"/>
    <w:rsid w:val="755404B8"/>
    <w:rsid w:val="764F7753"/>
    <w:rsid w:val="767F1DA7"/>
    <w:rsid w:val="76AC3757"/>
    <w:rsid w:val="7714326D"/>
    <w:rsid w:val="77D4005C"/>
    <w:rsid w:val="78292927"/>
    <w:rsid w:val="78D35C78"/>
    <w:rsid w:val="78D62583"/>
    <w:rsid w:val="78F33EC6"/>
    <w:rsid w:val="78F37D6B"/>
    <w:rsid w:val="7A6B48EE"/>
    <w:rsid w:val="7A8E4ACC"/>
    <w:rsid w:val="7B8A3D70"/>
    <w:rsid w:val="7C6021A7"/>
    <w:rsid w:val="7CAB4D9F"/>
    <w:rsid w:val="7CB93F8E"/>
    <w:rsid w:val="7CED7FF7"/>
    <w:rsid w:val="7CF66B46"/>
    <w:rsid w:val="7D185B2A"/>
    <w:rsid w:val="7D4A0A5C"/>
    <w:rsid w:val="7D97125D"/>
    <w:rsid w:val="7DB618B0"/>
    <w:rsid w:val="7DBD28BA"/>
    <w:rsid w:val="7E736B66"/>
    <w:rsid w:val="7EE64005"/>
    <w:rsid w:val="7EEE33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iPriority="99"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82"/>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112"/>
    <w:semiHidden/>
    <w:qFormat/>
    <w:uiPriority w:val="0"/>
    <w:pPr>
      <w:keepNext/>
      <w:keepLines/>
      <w:spacing w:line="416" w:lineRule="auto"/>
      <w:outlineLvl w:val="2"/>
    </w:pPr>
    <w:rPr>
      <w:b/>
      <w:bCs/>
      <w:sz w:val="32"/>
      <w:szCs w:val="32"/>
    </w:rPr>
  </w:style>
  <w:style w:type="paragraph" w:styleId="7">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3"/>
    <w:semiHidden/>
    <w:qFormat/>
    <w:uiPriority w:val="98"/>
    <w:rPr>
      <w:rFonts w:ascii="仿宋_GB2312" w:eastAsia="仿宋_GB2312"/>
      <w:sz w:val="32"/>
    </w:rPr>
  </w:style>
  <w:style w:type="paragraph" w:styleId="3">
    <w:name w:val="Body Text Indent"/>
    <w:basedOn w:val="1"/>
    <w:link w:val="50"/>
    <w:semiHidden/>
    <w:qFormat/>
    <w:uiPriority w:val="0"/>
    <w:pPr>
      <w:spacing w:after="120"/>
      <w:ind w:left="420" w:leftChars="200"/>
    </w:pPr>
    <w:rPr>
      <w:rFonts w:ascii="Calibri" w:hAnsi="Calibri"/>
      <w:szCs w:val="22"/>
    </w:rPr>
  </w:style>
  <w:style w:type="paragraph" w:styleId="9">
    <w:name w:val="E-mail Signature"/>
    <w:basedOn w:val="1"/>
    <w:link w:val="105"/>
    <w:semiHidden/>
    <w:qFormat/>
    <w:uiPriority w:val="99"/>
    <w:pPr>
      <w:spacing w:after="200" w:line="276" w:lineRule="auto"/>
      <w:jc w:val="left"/>
    </w:pPr>
    <w:rPr>
      <w:rFonts w:ascii="Calibri" w:hAnsi="Calibri"/>
      <w:kern w:val="0"/>
      <w:szCs w:val="21"/>
    </w:rPr>
  </w:style>
  <w:style w:type="paragraph" w:styleId="10">
    <w:name w:val="Normal Indent"/>
    <w:basedOn w:val="1"/>
    <w:next w:val="1"/>
    <w:unhideWhenUsed/>
    <w:qFormat/>
    <w:uiPriority w:val="99"/>
    <w:pPr>
      <w:tabs>
        <w:tab w:val="left" w:pos="1620"/>
      </w:tabs>
      <w:autoSpaceDE w:val="0"/>
      <w:autoSpaceDN w:val="0"/>
      <w:adjustRightInd w:val="0"/>
      <w:snapToGrid w:val="0"/>
      <w:spacing w:line="360" w:lineRule="auto"/>
      <w:ind w:firstLine="920" w:firstLineChars="200"/>
    </w:pPr>
    <w:rPr>
      <w:rFonts w:ascii="宋体" w:hAnsi="宋体" w:cs="宋体"/>
      <w:lang w:val="zh-CN"/>
    </w:rPr>
  </w:style>
  <w:style w:type="paragraph" w:styleId="11">
    <w:name w:val="caption"/>
    <w:basedOn w:val="1"/>
    <w:next w:val="1"/>
    <w:semiHidden/>
    <w:qFormat/>
    <w:uiPriority w:val="98"/>
    <w:pPr>
      <w:spacing w:before="152" w:after="160"/>
    </w:pPr>
    <w:rPr>
      <w:rFonts w:ascii="Arial" w:hAnsi="Arial" w:eastAsia="黑体" w:cs="Arial"/>
      <w:sz w:val="20"/>
    </w:rPr>
  </w:style>
  <w:style w:type="paragraph" w:styleId="12">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3">
    <w:name w:val="annotation text"/>
    <w:basedOn w:val="1"/>
    <w:link w:val="47"/>
    <w:qFormat/>
    <w:uiPriority w:val="99"/>
    <w:pPr>
      <w:jc w:val="left"/>
    </w:p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2"/>
    <w:qFormat/>
    <w:uiPriority w:val="0"/>
    <w:rPr>
      <w:rFonts w:ascii="宋体" w:hAnsi="Courier New"/>
    </w:rPr>
  </w:style>
  <w:style w:type="paragraph" w:styleId="16">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49"/>
    <w:semiHidden/>
    <w:qFormat/>
    <w:uiPriority w:val="0"/>
    <w:rPr>
      <w:sz w:val="18"/>
      <w:szCs w:val="18"/>
    </w:rPr>
  </w:style>
  <w:style w:type="paragraph" w:styleId="19">
    <w:name w:val="footer"/>
    <w:basedOn w:val="1"/>
    <w:link w:val="44"/>
    <w:semiHidden/>
    <w:qFormat/>
    <w:uiPriority w:val="0"/>
    <w:pPr>
      <w:tabs>
        <w:tab w:val="center" w:pos="4153"/>
        <w:tab w:val="right" w:pos="8306"/>
      </w:tabs>
      <w:snapToGrid w:val="0"/>
      <w:jc w:val="left"/>
    </w:pPr>
    <w:rPr>
      <w:sz w:val="18"/>
      <w:szCs w:val="18"/>
    </w:rPr>
  </w:style>
  <w:style w:type="paragraph" w:styleId="20">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3"/>
    <w:next w:val="13"/>
    <w:link w:val="55"/>
    <w:semiHidden/>
    <w:qFormat/>
    <w:uiPriority w:val="98"/>
    <w:rPr>
      <w:b/>
      <w:bCs/>
    </w:rPr>
  </w:style>
  <w:style w:type="paragraph" w:styleId="30">
    <w:name w:val="Body Text First Indent 2"/>
    <w:basedOn w:val="3"/>
    <w:qFormat/>
    <w:uiPriority w:val="0"/>
    <w:pPr>
      <w:spacing w:line="276" w:lineRule="auto"/>
      <w:ind w:left="200" w:firstLine="200" w:firstLineChars="200"/>
      <w:jc w:val="left"/>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paragraph" w:customStyle="1" w:styleId="40">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2"/>
    <w:semiHidden/>
    <w:qFormat/>
    <w:uiPriority w:val="98"/>
    <w:rPr>
      <w:rFonts w:ascii="仿宋_GB2312" w:eastAsia="仿宋_GB2312"/>
      <w:kern w:val="2"/>
      <w:sz w:val="32"/>
    </w:rPr>
  </w:style>
  <w:style w:type="character" w:customStyle="1" w:styleId="44">
    <w:name w:val="页脚 字符"/>
    <w:link w:val="19"/>
    <w:semiHidden/>
    <w:qFormat/>
    <w:uiPriority w:val="0"/>
    <w:rPr>
      <w:kern w:val="2"/>
      <w:sz w:val="18"/>
      <w:szCs w:val="18"/>
    </w:rPr>
  </w:style>
  <w:style w:type="character" w:customStyle="1" w:styleId="45">
    <w:name w:val="标题 3 字符"/>
    <w:link w:val="6"/>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3"/>
    <w:qFormat/>
    <w:uiPriority w:val="99"/>
    <w:rPr>
      <w:kern w:val="2"/>
      <w:sz w:val="21"/>
    </w:rPr>
  </w:style>
  <w:style w:type="character" w:customStyle="1" w:styleId="48">
    <w:name w:val="apple-converted-space"/>
    <w:basedOn w:val="33"/>
    <w:semiHidden/>
    <w:qFormat/>
    <w:uiPriority w:val="98"/>
  </w:style>
  <w:style w:type="character" w:customStyle="1" w:styleId="49">
    <w:name w:val="批注框文本 字符"/>
    <w:link w:val="18"/>
    <w:semiHidden/>
    <w:qFormat/>
    <w:uiPriority w:val="98"/>
    <w:rPr>
      <w:kern w:val="2"/>
      <w:sz w:val="18"/>
      <w:szCs w:val="18"/>
    </w:rPr>
  </w:style>
  <w:style w:type="character" w:customStyle="1" w:styleId="50">
    <w:name w:val="正文文本缩进 字符"/>
    <w:link w:val="3"/>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5"/>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0"/>
    <w:semiHidden/>
    <w:qFormat/>
    <w:uiPriority w:val="0"/>
    <w:rPr>
      <w:kern w:val="2"/>
      <w:sz w:val="18"/>
      <w:szCs w:val="18"/>
    </w:rPr>
  </w:style>
  <w:style w:type="character" w:customStyle="1" w:styleId="55">
    <w:name w:val="批注主题 字符"/>
    <w:link w:val="29"/>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3"/>
    <w:link w:val="4"/>
    <w:semiHidden/>
    <w:qFormat/>
    <w:uiPriority w:val="0"/>
    <w:rPr>
      <w:b/>
      <w:bCs/>
      <w:kern w:val="44"/>
      <w:sz w:val="44"/>
      <w:szCs w:val="44"/>
    </w:rPr>
  </w:style>
  <w:style w:type="paragraph" w:customStyle="1" w:styleId="69">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5"/>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8"/>
    <w:semiHidden/>
    <w:qFormat/>
    <w:uiPriority w:val="0"/>
    <w:rPr>
      <w:rFonts w:eastAsia="黑体" w:asciiTheme="majorHAnsi" w:hAnsiTheme="majorHAnsi" w:cstheme="majorBidi"/>
      <w:b/>
      <w:bCs/>
      <w:kern w:val="2"/>
      <w:sz w:val="36"/>
      <w:szCs w:val="32"/>
    </w:rPr>
  </w:style>
  <w:style w:type="paragraph" w:customStyle="1" w:styleId="72">
    <w:name w:val="章节"/>
    <w:basedOn w:val="15"/>
    <w:qFormat/>
    <w:uiPriority w:val="0"/>
    <w:pPr>
      <w:spacing w:line="360" w:lineRule="auto"/>
      <w:jc w:val="center"/>
      <w:outlineLvl w:val="0"/>
    </w:pPr>
    <w:rPr>
      <w:rFonts w:ascii="黑体" w:eastAsia="黑体"/>
      <w:b/>
      <w:bCs/>
      <w:sz w:val="36"/>
      <w:szCs w:val="36"/>
    </w:rPr>
  </w:style>
  <w:style w:type="paragraph" w:customStyle="1" w:styleId="73">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5"/>
    <w:qFormat/>
    <w:uiPriority w:val="2"/>
    <w:pPr>
      <w:numPr>
        <w:ilvl w:val="0"/>
        <w:numId w:val="3"/>
      </w:numPr>
      <w:spacing w:line="360" w:lineRule="auto"/>
      <w:outlineLvl w:val="2"/>
    </w:pPr>
    <w:rPr>
      <w:b/>
    </w:rPr>
  </w:style>
  <w:style w:type="paragraph" w:customStyle="1" w:styleId="75">
    <w:name w:val="3级标题"/>
    <w:basedOn w:val="15"/>
    <w:link w:val="103"/>
    <w:qFormat/>
    <w:uiPriority w:val="3"/>
    <w:pPr>
      <w:numPr>
        <w:ilvl w:val="0"/>
        <w:numId w:val="4"/>
      </w:numPr>
      <w:spacing w:line="360" w:lineRule="auto"/>
      <w:outlineLvl w:val="3"/>
    </w:pPr>
    <w:rPr>
      <w:b/>
    </w:rPr>
  </w:style>
  <w:style w:type="paragraph" w:customStyle="1" w:styleId="76">
    <w:name w:val="（4）级标题"/>
    <w:basedOn w:val="15"/>
    <w:qFormat/>
    <w:uiPriority w:val="8"/>
    <w:pPr>
      <w:numPr>
        <w:ilvl w:val="0"/>
        <w:numId w:val="5"/>
      </w:numPr>
      <w:spacing w:line="360" w:lineRule="auto"/>
      <w:outlineLvl w:val="4"/>
    </w:pPr>
  </w:style>
  <w:style w:type="paragraph" w:customStyle="1" w:styleId="77">
    <w:name w:val="标书正文"/>
    <w:basedOn w:val="15"/>
    <w:link w:val="98"/>
    <w:qFormat/>
    <w:uiPriority w:val="9"/>
    <w:pPr>
      <w:spacing w:line="360" w:lineRule="auto"/>
      <w:jc w:val="left"/>
    </w:pPr>
  </w:style>
  <w:style w:type="character" w:customStyle="1" w:styleId="78">
    <w:name w:val="标题 4 字符"/>
    <w:basedOn w:val="33"/>
    <w:link w:val="7"/>
    <w:semiHidden/>
    <w:qFormat/>
    <w:uiPriority w:val="0"/>
    <w:rPr>
      <w:rFonts w:ascii="Arial" w:hAnsi="Arial"/>
      <w:b/>
      <w:bCs/>
      <w:kern w:val="2"/>
      <w:sz w:val="21"/>
      <w:szCs w:val="28"/>
    </w:rPr>
  </w:style>
  <w:style w:type="character" w:customStyle="1" w:styleId="79">
    <w:name w:val="标题 5 字符"/>
    <w:basedOn w:val="33"/>
    <w:link w:val="8"/>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link w:val="5"/>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3"/>
    <w:semiHidden/>
    <w:qFormat/>
    <w:uiPriority w:val="0"/>
    <w:rPr>
      <w:rFonts w:ascii="宋体" w:hAnsi="宋体"/>
      <w:color w:val="FF0000"/>
      <w:kern w:val="2"/>
      <w:sz w:val="24"/>
      <w:szCs w:val="24"/>
    </w:rPr>
  </w:style>
  <w:style w:type="paragraph" w:customStyle="1" w:styleId="85">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7"/>
    <w:semiHidden/>
    <w:qFormat/>
    <w:uiPriority w:val="0"/>
    <w:rPr>
      <w:sz w:val="24"/>
    </w:rPr>
  </w:style>
  <w:style w:type="character" w:customStyle="1" w:styleId="88">
    <w:name w:val="日期 字符"/>
    <w:basedOn w:val="33"/>
    <w:link w:val="16"/>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2"/>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9"/>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6"/>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character" w:customStyle="1" w:styleId="112">
    <w:name w:val="标题 3 Char"/>
    <w:link w:val="6"/>
    <w:qFormat/>
    <w:uiPriority w:val="0"/>
    <w:rPr>
      <w:b/>
      <w:sz w:val="32"/>
    </w:rPr>
  </w:style>
  <w:style w:type="paragraph" w:customStyle="1" w:styleId="113">
    <w:name w:val="Table Paragraph"/>
    <w:basedOn w:val="1"/>
    <w:qFormat/>
    <w:uiPriority w:val="1"/>
    <w:rPr>
      <w:rFonts w:ascii="宋体" w:hAnsi="宋体" w:eastAsia="宋体" w:cs="宋体"/>
    </w:rPr>
  </w:style>
  <w:style w:type="table" w:customStyle="1" w:styleId="114">
    <w:name w:val="Table Normal"/>
    <w:qFormat/>
    <w:uiPriority w:val="0"/>
    <w:tblPr>
      <w:tblCellMar>
        <w:top w:w="0" w:type="dxa"/>
        <w:left w:w="0" w:type="dxa"/>
        <w:bottom w:w="0" w:type="dxa"/>
        <w:right w:w="0" w:type="dxa"/>
      </w:tblCellMar>
    </w:tblPr>
  </w:style>
  <w:style w:type="paragraph" w:customStyle="1" w:styleId="115">
    <w:name w:val="Fließtext"/>
    <w:basedOn w:val="1"/>
    <w:qFormat/>
    <w:uiPriority w:val="99"/>
    <w:pPr>
      <w:widowControl/>
      <w:ind w:left="1134"/>
      <w:jc w:val="left"/>
    </w:pPr>
    <w:rPr>
      <w:rFonts w:ascii="Arial" w:hAnsi="Arial"/>
      <w:kern w:val="0"/>
      <w:szCs w:val="20"/>
      <w:lang w:val="de-DE" w:eastAsia="de-DE"/>
    </w:rPr>
  </w:style>
  <w:style w:type="paragraph" w:customStyle="1" w:styleId="116">
    <w:name w:val="正文内容"/>
    <w:qFormat/>
    <w:uiPriority w:val="0"/>
    <w:pPr>
      <w:widowControl w:val="0"/>
      <w:ind w:firstLine="200" w:firstLineChars="200"/>
      <w:jc w:val="both"/>
    </w:pPr>
    <w:rPr>
      <w:rFonts w:ascii="Times New Roman" w:hAnsi="Times New Roman" w:eastAsia="仿宋_GB2312" w:cs="Times New Roman"/>
      <w:bCs/>
      <w:kern w:val="2"/>
      <w:sz w:val="28"/>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3" Type="http://schemas.openxmlformats.org/officeDocument/2006/relationships/fontTable" Target="fontTable.xml"/><Relationship Id="rId42" Type="http://schemas.openxmlformats.org/officeDocument/2006/relationships/numbering" Target="numbering.xml"/><Relationship Id="rId41" Type="http://schemas.openxmlformats.org/officeDocument/2006/relationships/customXml" Target="../customXml/item1.xml"/><Relationship Id="rId40" Type="http://schemas.openxmlformats.org/officeDocument/2006/relationships/image" Target="media/image18.png"/><Relationship Id="rId4" Type="http://schemas.openxmlformats.org/officeDocument/2006/relationships/footer" Target="footer1.xml"/><Relationship Id="rId39" Type="http://schemas.openxmlformats.org/officeDocument/2006/relationships/image" Target="media/image17.png"/><Relationship Id="rId38" Type="http://schemas.openxmlformats.org/officeDocument/2006/relationships/image" Target="media/image16.png"/><Relationship Id="rId37" Type="http://schemas.openxmlformats.org/officeDocument/2006/relationships/image" Target="media/image15.png"/><Relationship Id="rId36" Type="http://schemas.openxmlformats.org/officeDocument/2006/relationships/image" Target="media/image14.png"/><Relationship Id="rId35" Type="http://schemas.openxmlformats.org/officeDocument/2006/relationships/image" Target="media/image13.png"/><Relationship Id="rId34" Type="http://schemas.openxmlformats.org/officeDocument/2006/relationships/image" Target="media/image12.png"/><Relationship Id="rId33" Type="http://schemas.openxmlformats.org/officeDocument/2006/relationships/image" Target="media/image11.png"/><Relationship Id="rId32" Type="http://schemas.openxmlformats.org/officeDocument/2006/relationships/image" Target="media/image10.png"/><Relationship Id="rId31" Type="http://schemas.openxmlformats.org/officeDocument/2006/relationships/image" Target="media/image9.png"/><Relationship Id="rId30" Type="http://schemas.openxmlformats.org/officeDocument/2006/relationships/image" Target="media/image8.png"/><Relationship Id="rId3" Type="http://schemas.openxmlformats.org/officeDocument/2006/relationships/header" Target="header1.xml"/><Relationship Id="rId29" Type="http://schemas.openxmlformats.org/officeDocument/2006/relationships/image" Target="media/image7.png"/><Relationship Id="rId28" Type="http://schemas.openxmlformats.org/officeDocument/2006/relationships/image" Target="media/image6.png"/><Relationship Id="rId27" Type="http://schemas.openxmlformats.org/officeDocument/2006/relationships/image" Target="media/image5.png"/><Relationship Id="rId26" Type="http://schemas.openxmlformats.org/officeDocument/2006/relationships/image" Target="media/image4.png"/><Relationship Id="rId25" Type="http://schemas.openxmlformats.org/officeDocument/2006/relationships/image" Target="media/image3.png"/><Relationship Id="rId24" Type="http://schemas.openxmlformats.org/officeDocument/2006/relationships/image" Target="media/image2.png"/><Relationship Id="rId23" Type="http://schemas.openxmlformats.org/officeDocument/2006/relationships/image" Target="media/image1.jpeg"/><Relationship Id="rId22" Type="http://schemas.openxmlformats.org/officeDocument/2006/relationships/theme" Target="theme/theme1.xml"/><Relationship Id="rId21" Type="http://schemas.openxmlformats.org/officeDocument/2006/relationships/footer" Target="footer12.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header" Target="header7.xml"/><Relationship Id="rId18" Type="http://schemas.openxmlformats.org/officeDocument/2006/relationships/footer" Target="footer10.xml"/><Relationship Id="rId17" Type="http://schemas.openxmlformats.org/officeDocument/2006/relationships/footer" Target="footer9.xml"/><Relationship Id="rId16" Type="http://schemas.openxmlformats.org/officeDocument/2006/relationships/header" Target="header6.xml"/><Relationship Id="rId15" Type="http://schemas.openxmlformats.org/officeDocument/2006/relationships/header" Target="header5.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75</Pages>
  <Words>5842</Words>
  <Characters>6100</Characters>
  <Lines>127</Lines>
  <Paragraphs>35</Paragraphs>
  <TotalTime>26</TotalTime>
  <ScaleCrop>false</ScaleCrop>
  <LinksUpToDate>false</LinksUpToDate>
  <CharactersWithSpaces>6143</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LYB</cp:lastModifiedBy>
  <cp:lastPrinted>2020-06-28T02:28:00Z</cp:lastPrinted>
  <dcterms:modified xsi:type="dcterms:W3CDTF">2026-03-03T02:10:50Z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5770AFE259C24926BC2DCE64DD7C2079</vt:lpwstr>
  </property>
  <property fmtid="{D5CDD505-2E9C-101B-9397-08002B2CF9AE}" pid="4" name="KSOTemplateDocerSaveRecord">
    <vt:lpwstr>eyJoZGlkIjoiOWNjM2RhOWFiYzZkZTE3YjU5Zjc5MWMwNTQ1NDBiMWQiLCJ1c2VySWQiOiI0MzkzNDMzOTAifQ==</vt:lpwstr>
  </property>
</Properties>
</file>