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济南车桥公司桥壳加工线起重设备改造技改项目</w:t>
      </w:r>
    </w:p>
    <w:p>
      <w:pPr>
        <w:ind w:right="280"/>
        <w:jc w:val="center"/>
        <w:rPr>
          <w:sz w:val="28"/>
          <w:szCs w:val="28"/>
          <w:highlight w:val="none"/>
        </w:rPr>
      </w:pPr>
    </w:p>
    <w:p>
      <w:pPr>
        <w:ind w:right="280"/>
        <w:jc w:val="center"/>
        <w:rPr>
          <w:sz w:val="28"/>
          <w:szCs w:val="28"/>
          <w:highlight w:val="none"/>
        </w:rPr>
      </w:pPr>
    </w:p>
    <w:p>
      <w:pPr>
        <w:jc w:val="center"/>
        <w:rPr>
          <w:rFonts w:ascii="宋体" w:hAnsi="宋体" w:cs="宋体"/>
          <w:sz w:val="72"/>
          <w:szCs w:val="72"/>
          <w:highlight w:val="none"/>
        </w:rPr>
      </w:pPr>
      <w:r>
        <w:rPr>
          <w:rFonts w:hint="eastAsia" w:ascii="宋体" w:hAnsi="宋体" w:cs="宋体"/>
          <w:sz w:val="72"/>
          <w:szCs w:val="72"/>
          <w:highlight w:val="none"/>
        </w:rPr>
        <w:t>招标文件</w:t>
      </w:r>
    </w:p>
    <w:p>
      <w:pPr>
        <w:jc w:val="center"/>
        <w:rPr>
          <w:rFonts w:ascii="宋体" w:hAnsi="宋体"/>
          <w:sz w:val="48"/>
          <w:szCs w:val="48"/>
          <w:highlight w:val="none"/>
        </w:rPr>
      </w:pPr>
    </w:p>
    <w:p>
      <w:pPr>
        <w:jc w:val="center"/>
        <w:rPr>
          <w:rFonts w:ascii="宋体" w:hAnsi="宋体"/>
          <w:sz w:val="48"/>
          <w:szCs w:val="48"/>
          <w:highlight w:val="none"/>
        </w:rPr>
      </w:pPr>
    </w:p>
    <w:p>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ZBGL2026020027</w:t>
      </w:r>
    </w:p>
    <w:p>
      <w:pPr>
        <w:jc w:val="center"/>
        <w:rPr>
          <w:rFonts w:ascii="宋体" w:hAnsi="宋体"/>
          <w:sz w:val="48"/>
          <w:szCs w:val="48"/>
          <w:highlight w:val="none"/>
        </w:rPr>
      </w:pPr>
    </w:p>
    <w:p>
      <w:pPr>
        <w:jc w:val="center"/>
        <w:rPr>
          <w:rFonts w:ascii="宋体" w:hAnsi="宋体"/>
          <w:sz w:val="48"/>
          <w:szCs w:val="4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hint="eastAsia" w:ascii="宋体" w:hAnsi="宋体" w:eastAsia="宋体"/>
          <w:sz w:val="28"/>
          <w:szCs w:val="28"/>
          <w:highlight w:val="cyan"/>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重汽（济南）车桥有限公司</w:t>
      </w:r>
    </w:p>
    <w:p>
      <w:pPr>
        <w:jc w:val="center"/>
        <w:rPr>
          <w:rFonts w:ascii="宋体" w:hAnsi="宋体"/>
          <w:sz w:val="28"/>
          <w:szCs w:val="28"/>
          <w:highlight w:val="none"/>
        </w:rPr>
      </w:pPr>
    </w:p>
    <w:p>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2月</w:t>
      </w:r>
    </w:p>
    <w:p>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6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1"/>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13</w:t>
          </w:r>
          <w:r>
            <w:fldChar w:fldCharType="end"/>
          </w:r>
          <w:r>
            <w:rPr>
              <w:rFonts w:hint="eastAsia" w:ascii="Calibri" w:hAnsi="Calibri" w:eastAsia="宋体" w:cs="Times New Roman"/>
              <w:bCs/>
              <w:kern w:val="44"/>
              <w:szCs w:val="44"/>
            </w:rPr>
            <w:fldChar w:fldCharType="end"/>
          </w:r>
        </w:p>
        <w:p>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_Toc8030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_Toc8030 \h </w:instrText>
          </w:r>
          <w:r>
            <w:fldChar w:fldCharType="separate"/>
          </w:r>
          <w:r>
            <w:t>14</w:t>
          </w:r>
          <w:r>
            <w:fldChar w:fldCharType="end"/>
          </w:r>
          <w:r>
            <w:rPr>
              <w:rFonts w:hint="eastAsia" w:ascii="Calibri" w:hAnsi="Calibri" w:eastAsia="宋体" w:cs="Times New Roman"/>
              <w:bCs/>
              <w:kern w:val="44"/>
              <w:szCs w:val="44"/>
            </w:rPr>
            <w:fldChar w:fldCharType="end"/>
          </w:r>
        </w:p>
        <w:p>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_Toc16500 \h </w:instrText>
          </w:r>
          <w:r>
            <w:fldChar w:fldCharType="separate"/>
          </w:r>
          <w:r>
            <w:t>15</w:t>
          </w:r>
          <w:r>
            <w:fldChar w:fldCharType="end"/>
          </w:r>
          <w:r>
            <w:rPr>
              <w:rFonts w:hint="eastAsia" w:ascii="Calibri" w:hAnsi="Calibri" w:eastAsia="宋体" w:cs="Times New Roman"/>
              <w:bCs/>
              <w:kern w:val="44"/>
              <w:szCs w:val="44"/>
            </w:rPr>
            <w:fldChar w:fldCharType="end"/>
          </w:r>
        </w:p>
        <w:p>
          <w:pPr>
            <w:pStyle w:val="21"/>
          </w:pPr>
          <w:r>
            <w:rPr>
              <w:rFonts w:hint="eastAsia" w:ascii="Calibri" w:hAnsi="Calibri" w:eastAsia="宋体" w:cs="Times New Roman"/>
              <w:bCs/>
              <w:kern w:val="44"/>
              <w:szCs w:val="44"/>
            </w:rPr>
            <w:fldChar w:fldCharType="end"/>
          </w:r>
        </w:p>
      </w:sdtContent>
    </w:sdt>
    <w:p>
      <w:pPr>
        <w:pStyle w:val="15"/>
        <w:tabs>
          <w:tab w:val="left" w:pos="2940"/>
        </w:tabs>
        <w:spacing w:line="360" w:lineRule="auto"/>
      </w:pPr>
      <w:r>
        <w:tab/>
      </w:r>
    </w:p>
    <w:p>
      <w:pPr>
        <w:pStyle w:val="15"/>
        <w:spacing w:line="360" w:lineRule="auto"/>
        <w:jc w:val="center"/>
      </w:pPr>
    </w:p>
    <w:p>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pPr>
        <w:pStyle w:val="72"/>
      </w:pPr>
      <w:bookmarkStart w:id="0" w:name="_Toc23927"/>
      <w:bookmarkStart w:id="1" w:name="_Toc47976595"/>
      <w:r>
        <w:rPr>
          <w:rFonts w:hint="eastAsia"/>
        </w:rPr>
        <w:t>第一部分  投标人须知</w:t>
      </w:r>
      <w:bookmarkEnd w:id="0"/>
      <w:bookmarkEnd w:id="1"/>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rPr>
        <w:t>项目名称：</w:t>
      </w:r>
      <w:r>
        <w:rPr>
          <w:rFonts w:hint="eastAsia"/>
          <w:highlight w:val="none"/>
          <w:lang w:val="en-US" w:eastAsia="zh-CN"/>
        </w:rPr>
        <w:t>济南车桥公司桥壳加工线起重设备改造技改项目</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项目编号：</w:t>
      </w:r>
      <w:r>
        <w:rPr>
          <w:rFonts w:hint="eastAsia"/>
          <w:highlight w:val="none"/>
          <w:lang w:val="en-US" w:eastAsia="zh-CN"/>
        </w:rPr>
        <w:t>ZBGL2026020027</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lang w:val="en-US" w:eastAsia="zh-CN"/>
        </w:rPr>
        <w:t>项目概况：桥壳加工分部及驱动桥部采购45挂环链电动葫芦。</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u w:val="none"/>
          <w:lang w:val="en-US" w:eastAsia="zh-CN"/>
        </w:rPr>
      </w:pPr>
      <w:r>
        <w:rPr>
          <w:rFonts w:hint="eastAsia"/>
          <w:lang w:val="en-US" w:eastAsia="zh-CN"/>
        </w:rPr>
        <w:t>报价：</w:t>
      </w:r>
    </w:p>
    <w:p>
      <w:pPr>
        <w:pStyle w:val="77"/>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pPr>
        <w:pStyle w:val="77"/>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shd w:val="clear" w:fill="FFFFFF"/>
        </w:rPr>
        <w:t>投标限价</w:t>
      </w:r>
      <w:r>
        <w:rPr>
          <w:rFonts w:hint="eastAsia" w:hAnsi="宋体" w:cs="宋体"/>
          <w:i w:val="0"/>
          <w:iCs w:val="0"/>
          <w:caps w:val="0"/>
          <w:color w:val="0F1115"/>
          <w:spacing w:val="0"/>
          <w:sz w:val="21"/>
          <w:szCs w:val="21"/>
          <w:shd w:val="clear" w:fill="FFFFFF"/>
          <w:lang w:eastAsia="zh-CN"/>
        </w:rPr>
        <w:t>：</w:t>
      </w:r>
      <w:r>
        <w:rPr>
          <w:rFonts w:hint="eastAsia" w:hAnsi="宋体" w:cs="宋体"/>
          <w:i w:val="0"/>
          <w:iCs w:val="0"/>
          <w:caps w:val="0"/>
          <w:color w:val="0F1115"/>
          <w:spacing w:val="0"/>
          <w:sz w:val="21"/>
          <w:szCs w:val="21"/>
          <w:shd w:val="clear" w:fill="FFFFFF"/>
          <w:lang w:val="en-US" w:eastAsia="zh-CN"/>
        </w:rPr>
        <w:t>无限价</w:t>
      </w:r>
      <w:r>
        <w:rPr>
          <w:rFonts w:hint="eastAsia" w:ascii="宋体" w:hAnsi="宋体" w:eastAsia="宋体" w:cs="宋体"/>
          <w:i w:val="0"/>
          <w:iCs w:val="0"/>
          <w:caps w:val="0"/>
          <w:color w:val="0F1115"/>
          <w:spacing w:val="0"/>
          <w:sz w:val="21"/>
          <w:szCs w:val="21"/>
          <w:highlight w:val="none"/>
          <w:shd w:val="clear" w:fill="FFFFFF"/>
        </w:rPr>
        <w:t>。</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投标人自行勘察现场，进行合理报价。投标总报价应包括设备费、原厂服务费及相关配件、随机资料、保险、税费、运杂、安装调试、与其他专业配合及可预见的风险以及其它不可预见等全部费用。</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lang w:val="en-US" w:eastAsia="zh-CN"/>
        </w:rPr>
      </w:pPr>
      <w:r>
        <w:rPr>
          <w:rFonts w:hint="default" w:cs="Times New Roman"/>
          <w:lang w:val="en-US" w:eastAsia="zh-CN"/>
        </w:rPr>
        <w:t>资金来源：企业自筹，已落实。</w:t>
      </w:r>
    </w:p>
    <w:p>
      <w:pPr>
        <w:pStyle w:val="77"/>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招标人名称：重汽（济南）车桥有限公司 </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招标人地址：济南市高新区世纪大道757号车桥公司 </w:t>
      </w:r>
    </w:p>
    <w:p>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商务联系人：</w:t>
      </w:r>
      <w:r>
        <w:rPr>
          <w:rFonts w:hint="eastAsia" w:ascii="宋体" w:hAnsi="Courier New" w:cs="Times New Roman"/>
          <w:kern w:val="2"/>
          <w:sz w:val="21"/>
          <w:lang w:val="en-US" w:eastAsia="zh-CN" w:bidi="ar-SA"/>
        </w:rPr>
        <w:t>李月兵</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2093</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highlight w:val="none"/>
          <w:lang w:val="en-US" w:eastAsia="zh-CN" w:bidi="ar-SA"/>
        </w:rPr>
        <w:fldChar w:fldCharType="begin"/>
      </w:r>
      <w:r>
        <w:rPr>
          <w:rFonts w:hint="eastAsia" w:ascii="宋体" w:hAnsi="Courier New" w:eastAsia="宋体" w:cs="Times New Roman"/>
          <w:color w:val="auto"/>
          <w:kern w:val="2"/>
          <w:sz w:val="21"/>
          <w:highlight w:val="none"/>
          <w:lang w:val="en-US" w:eastAsia="zh-CN" w:bidi="ar-SA"/>
        </w:rPr>
        <w:instrText xml:space="preserve"> HYPERLINK "mailto:lvyidi@sinotruk.com" </w:instrText>
      </w:r>
      <w:r>
        <w:rPr>
          <w:rFonts w:hint="eastAsia" w:ascii="宋体" w:hAnsi="Courier New" w:eastAsia="宋体" w:cs="Times New Roman"/>
          <w:color w:val="auto"/>
          <w:kern w:val="2"/>
          <w:sz w:val="21"/>
          <w:highlight w:val="none"/>
          <w:lang w:val="en-US" w:eastAsia="zh-CN" w:bidi="ar-SA"/>
        </w:rPr>
        <w:fldChar w:fldCharType="separate"/>
      </w:r>
      <w:r>
        <w:rPr>
          <w:rStyle w:val="38"/>
          <w:rFonts w:hint="eastAsia" w:ascii="宋体" w:hAnsi="Courier New" w:cs="Times New Roman"/>
          <w:color w:val="auto"/>
          <w:kern w:val="2"/>
          <w:sz w:val="21"/>
          <w:highlight w:val="none"/>
          <w:lang w:val="en-US" w:eastAsia="zh-CN" w:bidi="ar-SA"/>
        </w:rPr>
        <w:t>liyuebing</w:t>
      </w:r>
      <w:r>
        <w:rPr>
          <w:rStyle w:val="38"/>
          <w:rFonts w:hint="eastAsia" w:ascii="宋体" w:hAnsi="Courier New" w:eastAsia="宋体" w:cs="Times New Roman"/>
          <w:color w:val="auto"/>
          <w:kern w:val="2"/>
          <w:sz w:val="21"/>
          <w:highlight w:val="none"/>
          <w:lang w:val="en-US" w:eastAsia="zh-CN" w:bidi="ar-SA"/>
        </w:rPr>
        <w:t>@sinotruk.com</w:t>
      </w:r>
      <w:r>
        <w:rPr>
          <w:rFonts w:hint="eastAsia" w:ascii="宋体" w:hAnsi="Courier New" w:eastAsia="宋体" w:cs="Times New Roman"/>
          <w:color w:val="auto"/>
          <w:kern w:val="2"/>
          <w:sz w:val="21"/>
          <w:highlight w:val="none"/>
          <w:lang w:val="en-US" w:eastAsia="zh-CN" w:bidi="ar-SA"/>
        </w:rPr>
        <w:fldChar w:fldCharType="end"/>
      </w:r>
    </w:p>
    <w:bookmarkEnd w:id="3"/>
    <w:p>
      <w:pPr>
        <w:keepNext w:val="0"/>
        <w:keepLines w:val="0"/>
        <w:pageBreakBefore w:val="0"/>
        <w:widowControl w:val="0"/>
        <w:kinsoku/>
        <w:wordWrap/>
        <w:overflowPunct/>
        <w:topLinePunct w:val="0"/>
        <w:autoSpaceDE/>
        <w:autoSpaceDN/>
        <w:bidi w:val="0"/>
        <w:adjustRightInd/>
        <w:snapToGrid/>
        <w:spacing w:line="440" w:lineRule="exact"/>
        <w:ind w:left="0" w:firstLine="422" w:firstLineChars="200"/>
        <w:textAlignment w:val="auto"/>
        <w:rPr>
          <w:rFonts w:hint="default"/>
          <w:b/>
          <w:bCs/>
          <w:highlight w:val="none"/>
          <w:lang w:val="en-US" w:eastAsia="zh-CN"/>
        </w:rPr>
      </w:pPr>
      <w:r>
        <w:rPr>
          <w:rFonts w:hint="default"/>
          <w:b/>
          <w:bCs/>
          <w:highlight w:val="none"/>
          <w:lang w:val="en-US" w:eastAsia="zh-CN"/>
        </w:rPr>
        <w:t>技术联系人：李杜卓</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default"/>
          <w:highlight w:val="none"/>
          <w:lang w:val="en-US" w:eastAsia="zh-CN"/>
        </w:rPr>
        <w:t>电话：18265410835</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default"/>
          <w:highlight w:val="none"/>
          <w:lang w:val="en-US" w:eastAsia="zh-CN"/>
        </w:rPr>
        <w:t>邮箱：17865139657@163.com</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拟投标人必须是在中华人民共和国境内注册的独立法人机构，具有独立承担民事责任能力；注册资金不少于</w:t>
      </w:r>
      <w:r>
        <w:rPr>
          <w:rFonts w:hint="eastAsia" w:ascii="Times New Roman" w:hAnsi="Times New Roman" w:cs="Times New Roman"/>
          <w:b w:val="0"/>
          <w:bCs/>
          <w:strike w:val="0"/>
          <w:dstrike w:val="0"/>
          <w:highlight w:val="none"/>
          <w:lang w:val="en-US" w:eastAsia="zh-CN"/>
        </w:rPr>
        <w:t>100</w:t>
      </w:r>
      <w:r>
        <w:rPr>
          <w:rFonts w:hint="eastAsia" w:ascii="Times New Roman" w:hAnsi="Times New Roman" w:cs="Times New Roman"/>
          <w:b w:val="0"/>
          <w:bCs/>
          <w:strike w:val="0"/>
          <w:dstrike w:val="0"/>
          <w:highlight w:val="none"/>
        </w:rPr>
        <w:t>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拟投标人应提供营业执照副本原件和扫描件（需盖章）；</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拟投标人应提供法定代表人资格证明文件；</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在“国家企业信用信息公示系统”“中国执行信息公开网”“信用中国”“天眼查”“裁判文书网”等信息平台中，无行</w:t>
      </w:r>
      <w:r>
        <w:rPr>
          <w:rFonts w:hint="eastAsia" w:cs="Times New Roman"/>
          <w:b w:val="0"/>
          <w:bCs/>
          <w:strike w:val="0"/>
          <w:dstrike w:val="0"/>
          <w:highlight w:val="none"/>
          <w:lang w:val="en-US" w:eastAsia="zh-CN"/>
        </w:rPr>
        <w:t>相关</w:t>
      </w:r>
      <w:r>
        <w:rPr>
          <w:rFonts w:hint="eastAsia" w:ascii="Times New Roman" w:hAnsi="Times New Roman" w:cs="Times New Roman"/>
          <w:b w:val="0"/>
          <w:bCs/>
          <w:strike w:val="0"/>
          <w:dstrike w:val="0"/>
          <w:highlight w:val="none"/>
        </w:rPr>
        <w:t>政处罚及失信记录等信息；</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拟投标人不存在严重违规或被列入招标人“黑名单”的声明；</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拟投标人有与本次招标内容相同或类似项目业绩，且近3年内无因服务不当而造成重大事故；</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拟投标人近三年内在经营活动中无与本项目有关的违法及重大违规情况；</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拟投标人须认可招标人的工作指令，包括节、假日能正常开展工作的要求；</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拟投标人财务状况良好，最近半年纳税正常；</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拟投标人信用证明材料（征信中心出具的信用报告）未显示异常；</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拟投标人的直接或间接股东、法定代表人、董事、监事、高管非重汽员工及其亲属；</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lang w:val="en-US" w:eastAsia="zh-CN"/>
        </w:rPr>
        <w:t>投标单位需为设备制造单位</w:t>
      </w:r>
      <w:r>
        <w:rPr>
          <w:rFonts w:hint="eastAsia" w:ascii="Times New Roman" w:hAnsi="Times New Roman" w:cs="Times New Roman"/>
          <w:b w:val="0"/>
          <w:bCs/>
          <w:strike w:val="0"/>
          <w:dstrike w:val="0"/>
          <w:highlight w:val="none"/>
        </w:rPr>
        <w:t>；</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本项目不接受联合体投标，拟投标人必须是最终投标单位和签订合同单位，不得以任何理由将已中标项目以任何形式分包或转包给其他单位；</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b w:val="0"/>
          <w:bCs/>
          <w:strike w:val="0"/>
          <w:dstrike w:val="0"/>
          <w:highlight w:val="none"/>
        </w:rPr>
      </w:pPr>
      <w:r>
        <w:rPr>
          <w:rFonts w:hint="eastAsia" w:ascii="Times New Roman" w:hAnsi="Times New Roman" w:cs="Times New Roman"/>
          <w:b w:val="0"/>
          <w:bCs/>
          <w:strike w:val="0"/>
          <w:dstrike w:val="0"/>
          <w:highlight w:val="none"/>
        </w:rPr>
        <w:t>无招标违规、谎报年度报告信息、提供虚假资质资料等行为或其他行政处罚记录。</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b w:val="0"/>
          <w:bCs/>
          <w:strike w:val="0"/>
          <w:dstrike w:val="0"/>
          <w:highlight w:val="none"/>
        </w:rPr>
      </w:pPr>
      <w:r>
        <w:rPr>
          <w:rFonts w:hint="eastAsia" w:cs="Times New Roman"/>
          <w:b w:val="0"/>
          <w:bCs/>
          <w:strike w:val="0"/>
          <w:dstrike w:val="0"/>
          <w:highlight w:val="none"/>
        </w:rPr>
        <w:t>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r>
        <w:rPr>
          <w:rFonts w:hint="eastAsia"/>
          <w:b w:val="0"/>
          <w:bCs/>
          <w:strike w:val="0"/>
          <w:dstrike w:val="0"/>
          <w:highlight w:val="none"/>
          <w:lang w:eastAsia="zh-CN"/>
        </w:rPr>
        <w:t>；</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u w:val="single"/>
          <w:lang w:val="en-US" w:eastAsia="zh-CN"/>
        </w:rPr>
        <w:t>20</w:t>
      </w:r>
      <w:r>
        <w:rPr>
          <w:rFonts w:hint="eastAsia" w:cs="Times New Roman"/>
          <w:highlight w:val="yellow"/>
          <w:u w:val="single"/>
          <w:lang w:val="en-US" w:eastAsia="zh-CN"/>
        </w:rPr>
        <w:t>26</w:t>
      </w:r>
      <w:r>
        <w:rPr>
          <w:rFonts w:hint="eastAsia" w:ascii="宋体" w:hAnsi="Courier New" w:eastAsia="宋体" w:cs="Times New Roman"/>
          <w:highlight w:val="yellow"/>
          <w:u w:val="single"/>
          <w:lang w:val="en-US" w:eastAsia="zh-CN"/>
        </w:rPr>
        <w:t>年</w:t>
      </w:r>
      <w:r>
        <w:rPr>
          <w:rFonts w:hint="eastAsia" w:cs="Times New Roman"/>
          <w:highlight w:val="yellow"/>
          <w:u w:val="single"/>
          <w:lang w:val="en-US" w:eastAsia="zh-CN"/>
        </w:rPr>
        <w:t>2</w:t>
      </w:r>
      <w:r>
        <w:rPr>
          <w:rFonts w:hint="eastAsia" w:ascii="宋体" w:hAnsi="Courier New" w:eastAsia="宋体" w:cs="Times New Roman"/>
          <w:highlight w:val="yellow"/>
          <w:u w:val="single"/>
          <w:lang w:val="en-US" w:eastAsia="zh-CN"/>
        </w:rPr>
        <w:t>月</w:t>
      </w:r>
      <w:r>
        <w:rPr>
          <w:rFonts w:hint="eastAsia" w:cs="Times New Roman"/>
          <w:highlight w:val="yellow"/>
          <w:u w:val="single"/>
          <w:lang w:val="en-US" w:eastAsia="zh-CN"/>
        </w:rPr>
        <w:t>24</w:t>
      </w:r>
      <w:r>
        <w:rPr>
          <w:rFonts w:hint="eastAsia" w:ascii="宋体" w:hAnsi="Courier New" w:eastAsia="宋体" w:cs="Times New Roman"/>
          <w:highlight w:val="yellow"/>
          <w:u w:val="single"/>
          <w:lang w:val="en-US" w:eastAsia="zh-CN"/>
        </w:rPr>
        <w:t>日</w:t>
      </w:r>
      <w:r>
        <w:rPr>
          <w:rFonts w:hint="eastAsia" w:cs="Times New Roman"/>
          <w:highlight w:val="yellow"/>
          <w:u w:val="single"/>
          <w:lang w:val="en-US" w:eastAsia="zh-CN"/>
        </w:rPr>
        <w:t>；</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pPr>
        <w:pStyle w:val="77"/>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3</w:t>
      </w:r>
      <w:r>
        <w:rPr>
          <w:rFonts w:hint="eastAsia" w:eastAsia="宋体" w:cs="宋体"/>
          <w:highlight w:val="yellow"/>
          <w:u w:val="single"/>
        </w:rPr>
        <w:t>月</w:t>
      </w:r>
      <w:r>
        <w:rPr>
          <w:rFonts w:hint="eastAsia" w:cs="宋体"/>
          <w:highlight w:val="yellow"/>
          <w:u w:val="single"/>
          <w:lang w:val="en-US" w:eastAsia="zh-CN"/>
        </w:rPr>
        <w:t>9</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default" w:ascii="宋体" w:hAnsi="Courier New" w:eastAsia="宋体" w:cs="Times New Roman"/>
          <w:highlight w:val="yellow"/>
          <w:u w:val="single"/>
          <w:lang w:val="en-US" w:eastAsia="zh-CN"/>
        </w:rPr>
        <w:t>（北京时间）</w:t>
      </w:r>
      <w:r>
        <w:rPr>
          <w:rFonts w:hint="eastAsia" w:cs="Times New Roman"/>
          <w:highlight w:val="none"/>
          <w:u w:val="single"/>
          <w:lang w:val="en-US" w:eastAsia="zh-CN"/>
        </w:rPr>
        <w:t>；</w:t>
      </w:r>
    </w:p>
    <w:p>
      <w:pPr>
        <w:pStyle w:val="77"/>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3</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8</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pPr>
        <w:pStyle w:val="77"/>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pPr>
        <w:pStyle w:val="77"/>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yellow"/>
          <w:u w:val="single"/>
          <w:lang w:val="en-US" w:eastAsia="zh-CN"/>
        </w:rPr>
        <w:t>20</w:t>
      </w:r>
      <w:r>
        <w:rPr>
          <w:rFonts w:hint="eastAsia" w:cs="Times New Roman"/>
          <w:highlight w:val="yellow"/>
          <w:u w:val="single"/>
          <w:lang w:val="en-US" w:eastAsia="zh-CN"/>
        </w:rPr>
        <w:t>26</w:t>
      </w:r>
      <w:r>
        <w:rPr>
          <w:rFonts w:hint="eastAsia" w:ascii="宋体" w:hAnsi="Courier New" w:eastAsia="宋体" w:cs="Times New Roman"/>
          <w:highlight w:val="yellow"/>
          <w:u w:val="single"/>
          <w:lang w:val="en-US" w:eastAsia="zh-CN"/>
        </w:rPr>
        <w:t>年</w:t>
      </w:r>
      <w:r>
        <w:rPr>
          <w:rFonts w:hint="eastAsia" w:cs="Times New Roman"/>
          <w:highlight w:val="yellow"/>
          <w:u w:val="single"/>
          <w:lang w:val="en-US" w:eastAsia="zh-CN"/>
        </w:rPr>
        <w:t>3月8日</w:t>
      </w:r>
      <w:r>
        <w:rPr>
          <w:rFonts w:hint="default" w:ascii="宋体" w:hAnsi="Courier New" w:eastAsia="宋体" w:cs="Times New Roman"/>
          <w:highlight w:val="yellow"/>
          <w:u w:val="single"/>
          <w:lang w:val="en-US" w:eastAsia="zh-CN"/>
        </w:rPr>
        <w:t>17:00</w:t>
      </w:r>
      <w:r>
        <w:rPr>
          <w:rFonts w:hint="eastAsia" w:ascii="宋体" w:hAnsi="Courier New" w:eastAsia="宋体" w:cs="Times New Roman"/>
          <w:highlight w:val="yellow"/>
          <w:u w:val="single"/>
          <w:lang w:val="en-US" w:eastAsia="zh-CN"/>
        </w:rPr>
        <w:t>前</w:t>
      </w:r>
      <w:r>
        <w:rPr>
          <w:rFonts w:hint="eastAsia" w:cs="Times New Roman"/>
          <w:highlight w:val="yellow"/>
          <w:u w:val="single"/>
          <w:lang w:val="en-US" w:eastAsia="zh-CN"/>
        </w:rPr>
        <w:t>；</w:t>
      </w:r>
    </w:p>
    <w:p>
      <w:pPr>
        <w:pStyle w:val="77"/>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pPr>
        <w:pStyle w:val="73"/>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pPr>
        <w:pStyle w:val="7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w:t>
      </w:r>
      <w:r>
        <w:rPr>
          <w:rFonts w:hint="eastAsia"/>
          <w:highlight w:val="none"/>
          <w:lang w:val="en-US" w:eastAsia="zh-CN"/>
        </w:rPr>
        <w:t>《投标文件（技术标）》和《投标文件（商务标）》文件组成，共计3个文件。所</w:t>
      </w:r>
      <w:r>
        <w:rPr>
          <w:rFonts w:hint="eastAsia"/>
          <w:lang w:val="en-US" w:eastAsia="zh-CN"/>
        </w:rPr>
        <w:t>有文件应按“公司简称+文件名称”格式命名，并编制目录。</w:t>
      </w:r>
    </w:p>
    <w:p>
      <w:pPr>
        <w:pStyle w:val="77"/>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r>
        <w:rPr>
          <w:rFonts w:hint="eastAsia" w:ascii="黑体" w:hAnsi="黑体" w:eastAsia="黑体" w:cs="黑体"/>
          <w:b w:val="0"/>
          <w:bCs/>
          <w:sz w:val="21"/>
          <w:szCs w:val="21"/>
          <w:highlight w:val="none"/>
          <w:lang w:val="en-US" w:eastAsia="zh-CN"/>
        </w:rPr>
        <w:t xml:space="preserve"> </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w:t>
      </w:r>
      <w:r>
        <w:rPr>
          <w:rFonts w:hint="default" w:ascii="Times New Roman" w:hAnsi="Times New Roman" w:cs="Times New Roman"/>
          <w:color w:val="auto"/>
          <w:highlight w:val="none"/>
        </w:rPr>
        <w:t>定代表人授权书（附件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default" w:ascii="Times New Roman" w:hAnsi="Times New Roman" w:cs="Times New Roman"/>
          <w:color w:val="auto"/>
          <w:highlight w:val="none"/>
          <w:lang w:val="en-US" w:eastAsia="zh-CN"/>
        </w:rPr>
        <w:t>和</w:t>
      </w:r>
      <w:r>
        <w:rPr>
          <w:rFonts w:hint="default" w:ascii="Times New Roman" w:hAnsi="Times New Roman" w:cs="Times New Roman"/>
          <w:color w:val="auto"/>
          <w:highlight w:val="none"/>
        </w:rPr>
        <w:t>被授权人近</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个月</w:t>
      </w:r>
      <w:r>
        <w:rPr>
          <w:rFonts w:hint="default" w:ascii="Times New Roman" w:hAnsi="Times New Roman" w:cs="Times New Roman"/>
          <w:color w:val="auto"/>
          <w:highlight w:val="none"/>
          <w:lang w:val="en-US" w:eastAsia="zh-CN"/>
        </w:rPr>
        <w:t>及以上在授权单位的社保</w:t>
      </w:r>
      <w:r>
        <w:rPr>
          <w:rFonts w:hint="default" w:ascii="Times New Roman" w:hAnsi="Times New Roman" w:cs="Times New Roman"/>
          <w:color w:val="auto"/>
          <w:highlight w:val="none"/>
        </w:rPr>
        <w:t>缴纳证明</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需加盖公章</w:t>
      </w:r>
      <w:r>
        <w:rPr>
          <w:rFonts w:hint="eastAsia" w:ascii="Times New Roman" w:hAnsi="Times New Roman" w:cs="Times New Roman"/>
          <w:color w:val="auto"/>
          <w:highlight w:val="none"/>
          <w:lang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cs="Times New Roman"/>
          <w:b w:val="0"/>
          <w:bCs/>
          <w:strike w:val="0"/>
          <w:dstrike w:val="0"/>
          <w:highlight w:val="none"/>
        </w:rPr>
        <w:t>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ascii="宋体" w:hAnsi="宋体" w:eastAsia="宋体" w:cs="Times New Roman"/>
          <w:b w:val="0"/>
          <w:bCs/>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企业最近半年完税证明、信用证明材料（征信报告）；</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，需盖章）</w:t>
      </w:r>
      <w:r>
        <w:rPr>
          <w:rFonts w:hint="eastAsia" w:ascii="Times New Roman" w:hAnsi="Times New Roman" w:cs="Times New Roman"/>
          <w:color w:val="auto"/>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cs="Times New Roman"/>
          <w:b w:val="0"/>
          <w:bCs/>
          <w:strike w:val="0"/>
          <w:dstrike w:val="0"/>
          <w:highlight w:val="none"/>
        </w:rPr>
        <w:t>与本次招标内容相同或类似项目业绩，近3年内无因服务不当而造成重大事故</w:t>
      </w:r>
      <w:r>
        <w:rPr>
          <w:rFonts w:hint="eastAsia" w:cs="Times New Roman"/>
          <w:b w:val="0"/>
          <w:bCs/>
          <w:strike w:val="0"/>
          <w:dstrike w:val="0"/>
          <w:highlight w:val="none"/>
          <w:lang w:val="en-US" w:eastAsia="zh-CN"/>
        </w:rPr>
        <w:t>的声明；</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投标保证金缴纳凭证，同时正文描述付款账号、户名、开户行名称、开户行行号、保证金金额。</w:t>
      </w:r>
    </w:p>
    <w:p>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pPr>
        <w:pStyle w:val="77"/>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lang w:val="en-US" w:eastAsia="zh-CN"/>
        </w:rPr>
        <w:t>技术标</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技术配置对比表。</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投标设备配置明细表，列明项目设备分项配置规格型号、品牌等信息（要求与附件8 分项报价表完全对应），但注意：</w:t>
      </w:r>
      <w:r>
        <w:rPr>
          <w:rFonts w:hint="eastAsia" w:cs="Times New Roman"/>
          <w:b/>
          <w:bCs/>
          <w:highlight w:val="none"/>
          <w:lang w:val="en-US" w:eastAsia="zh-CN"/>
        </w:rPr>
        <w:t>此表在技术标书中，禁止出现任何分项价格及项目总价</w:t>
      </w:r>
      <w:r>
        <w:rPr>
          <w:rFonts w:hint="eastAsia" w:cs="Times New Roman"/>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技术规格偏离表（附件3）；</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 xml:space="preserve">技术性能、参数的描述； </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 xml:space="preserve">备品备件工具材料明细表； </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rPr>
        <w:t>技术标书</w:t>
      </w:r>
      <w:r>
        <w:rPr>
          <w:rFonts w:hint="eastAsia" w:cs="Times New Roman"/>
          <w:highlight w:val="none"/>
          <w:lang w:val="en-US" w:eastAsia="zh-CN"/>
        </w:rPr>
        <w:t>要求的其他内容。</w:t>
      </w:r>
    </w:p>
    <w:p>
      <w:pPr>
        <w:pStyle w:val="77"/>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服务承诺函（附件6），</w:t>
      </w:r>
      <w:r>
        <w:rPr>
          <w:rFonts w:hint="eastAsia" w:cs="Times New Roman"/>
          <w:b w:val="0"/>
          <w:bCs/>
          <w:strike w:val="0"/>
          <w:dstrike w:val="0"/>
          <w:highlight w:val="none"/>
        </w:rPr>
        <w:t>认可招标人的工作指令，包括节、假日能正常开展工作的要求</w:t>
      </w:r>
      <w:r>
        <w:rPr>
          <w:rFonts w:hint="eastAsia" w:cs="Times New Roman"/>
          <w:highlight w:val="none"/>
          <w:lang w:val="en-US" w:eastAsia="zh-CN"/>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7</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分项报价表（附件</w:t>
      </w:r>
      <w:r>
        <w:rPr>
          <w:rFonts w:hint="eastAsia" w:cs="Times New Roman"/>
          <w:highlight w:val="none"/>
          <w:lang w:val="en-US" w:eastAsia="zh-CN"/>
        </w:rPr>
        <w:t>8</w:t>
      </w:r>
      <w:r>
        <w:rPr>
          <w:rFonts w:hint="eastAsia" w:cs="Times New Roman"/>
          <w:highlight w:val="none"/>
        </w:rPr>
        <w:t>）；</w:t>
      </w:r>
    </w:p>
    <w:p>
      <w:pPr>
        <w:pStyle w:val="77"/>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备配件目录价格及折扣报价表</w:t>
      </w:r>
      <w:r>
        <w:rPr>
          <w:rFonts w:hint="eastAsia" w:cs="Times New Roman"/>
          <w:highlight w:val="none"/>
          <w:lang w:eastAsia="zh-CN"/>
        </w:rPr>
        <w:t>；</w:t>
      </w:r>
    </w:p>
    <w:p>
      <w:pPr>
        <w:pStyle w:val="77"/>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商务报价注意内容：报价单位为万元（含税）</w:t>
      </w:r>
      <w:r>
        <w:rPr>
          <w:rFonts w:hint="eastAsia" w:cs="Times New Roman"/>
          <w:b w:val="0"/>
          <w:bCs w:val="0"/>
          <w:highlight w:val="none"/>
        </w:rPr>
        <w:t>。</w:t>
      </w:r>
    </w:p>
    <w:p>
      <w:pPr>
        <w:pStyle w:val="73"/>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pPr>
        <w:pStyle w:val="77"/>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30" w:firstLineChars="300"/>
        <w:textAlignment w:val="auto"/>
        <w:outlineLvl w:val="3"/>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本项目投标文件分为纸质版投标文件和电子版投标文件，均由《投标文件（资质标）》、《投标文件（技术标）》、《投标文件（商务标）》（需要包含开标一览表）文件组成，共计3个文件。</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3"/>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《投标文件（资质标）》一个文件（里面是全部资质投标书），投标文件（技术标）》一个文件（里面是全部技术投标书），《投标文件（商务标）》（开标一览表）一个文件（里面是全部商务投标书），</w:t>
      </w:r>
      <w:r>
        <w:rPr>
          <w:rFonts w:hint="default" w:ascii="Times New Roman" w:hAnsi="Times New Roman" w:cs="Times New Roman"/>
          <w:color w:val="auto"/>
          <w:highlight w:val="yellow"/>
          <w:lang w:val="en-US" w:eastAsia="zh-CN"/>
        </w:rPr>
        <w:t>具体组成等详细要求见招标文件第三部分投标文件编制第三条。</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      </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b/>
          <w:bCs/>
          <w:color w:val="auto"/>
          <w:lang w:val="en-US" w:eastAsia="zh-CN"/>
        </w:rPr>
      </w:pPr>
      <w:r>
        <w:rPr>
          <w:rFonts w:hint="eastAsia" w:ascii="Times New Roman" w:hAnsi="Times New Roman" w:cs="Times New Roman"/>
          <w:color w:val="auto"/>
          <w:lang w:val="en-US" w:eastAsia="zh-CN"/>
        </w:rPr>
        <w:t>投递盖章扫描版电子标书（包含资质标书、</w:t>
      </w:r>
      <w:r>
        <w:rPr>
          <w:rFonts w:hint="eastAsia" w:ascii="Times New Roman" w:hAnsi="Times New Roman" w:cs="Times New Roman"/>
          <w:color w:val="auto"/>
          <w:highlight w:val="none"/>
          <w:lang w:val="en-US" w:eastAsia="zh-CN"/>
        </w:rPr>
        <w:t>技术标书、</w:t>
      </w:r>
      <w:r>
        <w:rPr>
          <w:rFonts w:hint="eastAsia" w:ascii="Times New Roman" w:hAnsi="Times New Roman" w:cs="Times New Roman"/>
          <w:color w:val="auto"/>
          <w:lang w:val="en-US" w:eastAsia="zh-CN"/>
        </w:rPr>
        <w:t>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若逾期未在中国重汽e采通平台上传电子标书，即便递交了纸质版投标文件，一律视为无效投标。</w:t>
      </w:r>
    </w:p>
    <w:p>
      <w:pPr>
        <w:ind w:firstLine="422" w:firstLineChars="200"/>
        <w:rPr>
          <w:rFonts w:hint="eastAsia" w:ascii="Times New Roman" w:hAnsi="Times New Roman" w:eastAsia="宋体" w:cs="Times New Roman"/>
          <w:b/>
          <w:bCs/>
          <w:color w:val="auto"/>
          <w:kern w:val="2"/>
          <w:sz w:val="21"/>
          <w:lang w:val="en-US" w:eastAsia="zh-CN" w:bidi="ar-SA"/>
        </w:rPr>
      </w:pPr>
      <w:r>
        <w:rPr>
          <w:rFonts w:hint="eastAsia" w:ascii="Times New Roman" w:hAnsi="Times New Roman" w:eastAsia="宋体" w:cs="Times New Roman"/>
          <w:b/>
          <w:bCs/>
          <w:color w:val="auto"/>
          <w:kern w:val="2"/>
          <w:sz w:val="21"/>
          <w:lang w:val="en-US" w:eastAsia="zh-CN" w:bidi="ar-SA"/>
        </w:rPr>
        <w:t>纸质标书的份数要求为一式五份，正本一份，副本四份，同类文件封装在一个包封里，包封表面按照附件9标注文件信息；共计三个包封。</w:t>
      </w:r>
    </w:p>
    <w:p>
      <w:pPr>
        <w:pStyle w:val="15"/>
        <w:ind w:firstLine="422" w:firstLineChars="200"/>
        <w:rPr>
          <w:rFonts w:hint="eastAsia" w:ascii="Times New Roman" w:hAnsi="Times New Roman" w:eastAsia="宋体" w:cs="Times New Roman"/>
          <w:b/>
          <w:bCs/>
          <w:color w:val="auto"/>
          <w:kern w:val="2"/>
          <w:sz w:val="21"/>
          <w:lang w:val="en-US" w:eastAsia="zh-CN" w:bidi="ar-SA"/>
        </w:rPr>
      </w:pPr>
      <w:r>
        <w:rPr>
          <w:rFonts w:hint="eastAsia" w:ascii="Times New Roman" w:hAnsi="Times New Roman" w:eastAsia="宋体" w:cs="Times New Roman"/>
          <w:b/>
          <w:bCs/>
          <w:color w:val="auto"/>
          <w:kern w:val="2"/>
          <w:sz w:val="21"/>
          <w:lang w:val="en-US" w:eastAsia="zh-CN" w:bidi="ar-SA"/>
        </w:rPr>
        <w:t>投标需自行携带纸质投标文件至开标地点。</w:t>
      </w:r>
    </w:p>
    <w:p>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textAlignment w:val="auto"/>
        <w:rPr>
          <w:rFonts w:hint="eastAsia" w:ascii="Times New Roman" w:hAnsi="Times New Roman" w:cs="Times New Roman"/>
          <w:b/>
          <w:bCs/>
          <w:color w:val="auto"/>
          <w:lang w:val="en-US" w:eastAsia="zh-CN"/>
        </w:rPr>
      </w:pPr>
    </w:p>
    <w:p>
      <w:pPr>
        <w:pStyle w:val="77"/>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highlight w:val="yellow"/>
          <w:u w:val="single"/>
          <w:lang w:val="en-US" w:eastAsia="zh-CN"/>
        </w:rPr>
        <w:t>2026年3月16日9:00:00</w:t>
      </w:r>
      <w:r>
        <w:rPr>
          <w:rFonts w:hint="default"/>
          <w:highlight w:val="yellow"/>
          <w:u w:val="single"/>
          <w:lang w:val="en-US" w:eastAsia="zh-CN"/>
        </w:rPr>
        <w:t>（</w:t>
      </w:r>
      <w:r>
        <w:rPr>
          <w:rFonts w:hint="default" w:ascii="宋体" w:hAnsi="Courier New" w:eastAsia="宋体" w:cs="Times New Roman"/>
          <w:highlight w:val="yellow"/>
          <w:u w:val="single"/>
          <w:lang w:val="en-US" w:eastAsia="zh-CN"/>
        </w:rPr>
        <w:t>北京时间）</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73"/>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pPr>
        <w:pStyle w:val="77"/>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pPr>
        <w:pStyle w:val="77"/>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10000</w:t>
      </w:r>
      <w:r>
        <w:rPr>
          <w:rFonts w:hint="eastAsia"/>
          <w:highlight w:val="none"/>
        </w:rPr>
        <w:t>元</w:t>
      </w:r>
    </w:p>
    <w:p>
      <w:pPr>
        <w:pStyle w:val="77"/>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pPr>
        <w:pStyle w:val="77"/>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hAnsi="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3</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9</w:t>
      </w:r>
      <w:r>
        <w:rPr>
          <w:rFonts w:hint="eastAsia" w:ascii="宋体" w:hAnsi="宋体" w:eastAsia="宋体" w:cs="宋体"/>
          <w:b w:val="0"/>
          <w:bCs w:val="0"/>
          <w:sz w:val="21"/>
          <w:szCs w:val="21"/>
          <w:highlight w:val="none"/>
        </w:rPr>
        <w:t>日</w:t>
      </w:r>
      <w:r>
        <w:rPr>
          <w:rFonts w:hint="eastAsia" w:hAnsi="宋体" w:cs="宋体"/>
          <w:b w:val="0"/>
          <w:bCs w:val="0"/>
          <w:sz w:val="21"/>
          <w:szCs w:val="21"/>
          <w:highlight w:val="none"/>
          <w:lang w:val="en-US" w:eastAsia="zh-CN"/>
        </w:rPr>
        <w:t>17</w:t>
      </w:r>
      <w:r>
        <w:rPr>
          <w:rFonts w:hint="eastAsia"/>
          <w:u w:val="none"/>
          <w:lang w:val="en-US" w:eastAsia="zh-CN"/>
        </w:rPr>
        <w:t>:00:00</w:t>
      </w:r>
      <w:r>
        <w:rPr>
          <w:rFonts w:hint="default" w:ascii="宋体" w:hAnsi="Courier New" w:eastAsia="宋体" w:cs="Times New Roman"/>
          <w:highlight w:val="none"/>
          <w:u w:val="none"/>
          <w:lang w:val="en-US" w:eastAsia="zh-CN"/>
        </w:rPr>
        <w:t>（北京时间）</w:t>
      </w:r>
    </w:p>
    <w:p>
      <w:pPr>
        <w:pStyle w:val="73"/>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p>
    <w:p>
      <w:pPr>
        <w:pStyle w:val="73"/>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pPr>
        <w:pStyle w:val="77"/>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pPr>
        <w:pStyle w:val="73"/>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pPr>
        <w:pStyle w:val="77"/>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yellow"/>
          <w:lang w:val="en-US" w:eastAsia="zh-CN"/>
        </w:rPr>
        <w:t>2026年3</w:t>
      </w:r>
      <w:r>
        <w:rPr>
          <w:rFonts w:hint="eastAsia" w:ascii="宋体" w:hAnsi="宋体" w:eastAsia="宋体" w:cs="宋体"/>
          <w:b w:val="0"/>
          <w:bCs w:val="0"/>
          <w:sz w:val="21"/>
          <w:szCs w:val="21"/>
          <w:highlight w:val="yellow"/>
          <w:lang w:val="en-US" w:eastAsia="zh-CN"/>
        </w:rPr>
        <w:t>月</w:t>
      </w:r>
      <w:r>
        <w:rPr>
          <w:rFonts w:hint="eastAsia" w:hAnsi="宋体" w:cs="宋体"/>
          <w:b w:val="0"/>
          <w:bCs w:val="0"/>
          <w:sz w:val="21"/>
          <w:szCs w:val="21"/>
          <w:highlight w:val="yellow"/>
          <w:lang w:val="en-US" w:eastAsia="zh-CN"/>
        </w:rPr>
        <w:t>1</w:t>
      </w:r>
      <w:bookmarkStart w:id="1421" w:name="_GoBack"/>
      <w:bookmarkEnd w:id="1421"/>
      <w:r>
        <w:rPr>
          <w:rFonts w:hint="eastAsia" w:hAnsi="宋体" w:cs="宋体"/>
          <w:b w:val="0"/>
          <w:bCs w:val="0"/>
          <w:sz w:val="21"/>
          <w:szCs w:val="21"/>
          <w:highlight w:val="yellow"/>
          <w:lang w:val="en-US" w:eastAsia="zh-CN"/>
        </w:rPr>
        <w:t>6</w:t>
      </w:r>
      <w:r>
        <w:rPr>
          <w:rFonts w:hint="eastAsia" w:ascii="宋体" w:hAnsi="宋体" w:eastAsia="宋体" w:cs="宋体"/>
          <w:b w:val="0"/>
          <w:bCs w:val="0"/>
          <w:sz w:val="21"/>
          <w:szCs w:val="21"/>
          <w:highlight w:val="yellow"/>
          <w:lang w:val="en-US" w:eastAsia="zh-CN"/>
        </w:rPr>
        <w:t>日</w:t>
      </w:r>
      <w:r>
        <w:rPr>
          <w:rFonts w:hint="default" w:ascii="宋体" w:hAnsi="宋体" w:eastAsia="宋体" w:cs="宋体"/>
          <w:b w:val="0"/>
          <w:bCs w:val="0"/>
          <w:sz w:val="21"/>
          <w:szCs w:val="21"/>
          <w:highlight w:val="yellow"/>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pPr>
        <w:pStyle w:val="77"/>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lang w:val="en-US" w:eastAsia="zh-CN" w:bidi="ar-SA"/>
        </w:rPr>
        <w:t>济南市高新区</w:t>
      </w:r>
      <w:r>
        <w:rPr>
          <w:rFonts w:hint="eastAsia" w:cs="Times New Roman"/>
          <w:kern w:val="2"/>
          <w:sz w:val="21"/>
          <w:lang w:val="en-US" w:eastAsia="zh-CN" w:bidi="ar-SA"/>
        </w:rPr>
        <w:t>世纪大道757号车桥公司第二会议室</w:t>
      </w:r>
      <w:r>
        <w:rPr>
          <w:rFonts w:hint="eastAsia" w:ascii="宋体" w:hAnsi="宋体" w:eastAsia="宋体" w:cs="宋体"/>
          <w:b w:val="0"/>
          <w:bCs w:val="0"/>
          <w:sz w:val="21"/>
          <w:szCs w:val="21"/>
          <w:highlight w:val="none"/>
          <w:lang w:val="en-US" w:eastAsia="zh-CN"/>
        </w:rPr>
        <w:t xml:space="preserve"> </w:t>
      </w:r>
    </w:p>
    <w:p>
      <w:pPr>
        <w:pStyle w:val="77"/>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none"/>
          <w:lang w:val="en-US" w:eastAsia="zh-CN"/>
        </w:rPr>
        <w:t>开标方式：</w:t>
      </w:r>
      <w:r>
        <w:rPr>
          <w:rFonts w:hint="eastAsia" w:cs="Times New Roman"/>
          <w:b/>
          <w:bCs w:val="0"/>
          <w:color w:val="auto"/>
          <w:kern w:val="2"/>
          <w:sz w:val="21"/>
          <w:highlight w:val="none"/>
          <w:u w:val="none"/>
          <w:lang w:val="en-US" w:eastAsia="zh-CN" w:bidi="ar-SA"/>
        </w:rPr>
        <w:t>现场</w:t>
      </w:r>
      <w:r>
        <w:rPr>
          <w:rFonts w:hint="eastAsia" w:cs="Times New Roman"/>
          <w:b/>
          <w:bCs w:val="0"/>
          <w:color w:val="auto"/>
          <w:highlight w:val="none"/>
          <w:u w:val="none"/>
          <w:lang w:val="en-US" w:eastAsia="zh-CN"/>
        </w:rPr>
        <w:t>招标。</w:t>
      </w:r>
    </w:p>
    <w:p>
      <w:pPr>
        <w:pStyle w:val="73"/>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pPr>
        <w:pStyle w:val="73"/>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本次招标采用综合评分法评标，即在最大限度地满足招标文件实质性要求的前提下，按照评分标准中规定的评分因素和评分细则进行综合评价、评分。</w:t>
      </w:r>
    </w:p>
    <w:p>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ascii="宋体" w:hAnsi="宋体" w:eastAsia="宋体" w:cs="宋体"/>
          <w:b w:val="0"/>
          <w:bCs w:val="0"/>
          <w:sz w:val="21"/>
          <w:szCs w:val="21"/>
          <w:highlight w:val="none"/>
          <w:u w:val="none"/>
          <w:lang w:val="en-US" w:eastAsia="zh-CN"/>
        </w:rPr>
      </w:pPr>
      <w:r>
        <w:rPr>
          <w:rFonts w:hint="eastAsia" w:ascii="宋体" w:hAnsi="宋体" w:eastAsia="宋体" w:cs="宋体"/>
          <w:b w:val="0"/>
          <w:bCs w:val="0"/>
          <w:sz w:val="21"/>
          <w:szCs w:val="21"/>
          <w:highlight w:val="none"/>
          <w:u w:val="none"/>
          <w:lang w:val="en-US" w:eastAsia="zh-CN"/>
        </w:rPr>
        <w:t>评标委员会各成员独立对每一份有效投标文件进行评价并对除报价以外的评分项目进行评分，报价得分由工作人员通过计算得出。</w:t>
      </w:r>
    </w:p>
    <w:p>
      <w:pPr>
        <w:pStyle w:val="73"/>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textAlignment w:val="auto"/>
        <w:outlineLvl w:val="9"/>
        <w:rPr>
          <w:rFonts w:hint="eastAsia"/>
          <w:highlight w:val="yellow"/>
          <w:u w:val="none"/>
          <w:lang w:val="en-US" w:eastAsia="zh-CN"/>
        </w:rPr>
      </w:pPr>
      <w:r>
        <w:rPr>
          <w:rFonts w:hint="eastAsia" w:ascii="宋体" w:hAnsi="宋体" w:eastAsia="宋体" w:cs="宋体"/>
          <w:b w:val="0"/>
          <w:bCs w:val="0"/>
          <w:sz w:val="21"/>
          <w:szCs w:val="21"/>
          <w:highlight w:val="yellow"/>
          <w:u w:val="none"/>
          <w:lang w:val="en-US" w:eastAsia="zh-CN"/>
        </w:rPr>
        <w:t>综合得分=技术分×40%＋商务标得分×60%</w:t>
      </w:r>
    </w:p>
    <w:p>
      <w:pPr>
        <w:pStyle w:val="73"/>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cs="宋体"/>
          <w:b w:val="0"/>
          <w:bCs/>
          <w:color w:val="000000"/>
          <w:sz w:val="21"/>
          <w:szCs w:val="21"/>
          <w:highlight w:val="none"/>
          <w:lang w:val="en-US" w:eastAsia="zh-CN"/>
        </w:rPr>
        <w:t>招标公告</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资料，上传完毕后，等待审核；</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附件9</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w:t>
      </w:r>
      <w:r>
        <w:rPr>
          <w:rFonts w:hint="eastAsia" w:ascii="宋体" w:hAnsi="宋体" w:eastAsia="宋体" w:cs="宋体"/>
          <w:b w:val="0"/>
          <w:bCs/>
          <w:color w:val="000000"/>
          <w:sz w:val="21"/>
          <w:szCs w:val="21"/>
          <w:highlight w:val="none"/>
          <w:lang w:val="en-US" w:eastAsia="zh-CN"/>
        </w:rPr>
        <w:t>；采用多轮商务谈判评审，</w:t>
      </w:r>
      <w:r>
        <w:rPr>
          <w:rFonts w:hint="eastAsia" w:ascii="宋体" w:hAnsi="宋体" w:eastAsia="宋体" w:cs="宋体"/>
          <w:b w:val="0"/>
          <w:bCs/>
          <w:color w:val="000000"/>
          <w:sz w:val="21"/>
          <w:szCs w:val="21"/>
          <w:highlight w:val="none"/>
        </w:rPr>
        <w:t>期间产生的商务价格澄清均由投标人在重汽e采通平台限时内完成提交；</w:t>
      </w:r>
    </w:p>
    <w:p>
      <w:pPr>
        <w:pStyle w:val="77"/>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pPr>
        <w:pStyle w:val="73"/>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tbl>
      <w:tblPr>
        <w:tblStyle w:val="31"/>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880"/>
        <w:gridCol w:w="1765"/>
        <w:gridCol w:w="1350"/>
        <w:gridCol w:w="429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评标因素</w:t>
            </w:r>
          </w:p>
        </w:tc>
        <w:tc>
          <w:tcPr>
            <w:tcW w:w="88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总分</w:t>
            </w:r>
          </w:p>
        </w:tc>
        <w:tc>
          <w:tcPr>
            <w:tcW w:w="176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eastAsia="宋体"/>
                <w:b/>
                <w:szCs w:val="21"/>
                <w:lang w:eastAsia="zh-CN"/>
              </w:rPr>
            </w:pPr>
            <w:r>
              <w:rPr>
                <w:rFonts w:hint="eastAsia"/>
                <w:b/>
              </w:rPr>
              <w:t>评审内容</w:t>
            </w:r>
          </w:p>
        </w:tc>
        <w:tc>
          <w:tcPr>
            <w:tcW w:w="135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最高</w:t>
            </w:r>
          </w:p>
          <w:p>
            <w:pPr>
              <w:spacing w:line="320" w:lineRule="exact"/>
              <w:ind w:right="34" w:rightChars="16"/>
              <w:jc w:val="center"/>
              <w:rPr>
                <w:b/>
                <w:szCs w:val="21"/>
              </w:rPr>
            </w:pPr>
            <w:r>
              <w:rPr>
                <w:rFonts w:hint="eastAsia"/>
                <w:b/>
              </w:rPr>
              <w:t>得分</w:t>
            </w:r>
          </w:p>
        </w:tc>
        <w:tc>
          <w:tcPr>
            <w:tcW w:w="4298"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lang w:eastAsia="zh-CN"/>
              </w:rPr>
            </w:pPr>
            <w:r>
              <w:rPr>
                <w:rFonts w:hint="eastAsia" w:ascii="宋体"/>
              </w:rPr>
              <w:t>技术标</w:t>
            </w:r>
          </w:p>
        </w:tc>
        <w:tc>
          <w:tcPr>
            <w:tcW w:w="880" w:type="dxa"/>
            <w:vMerge w:val="restart"/>
            <w:tcBorders>
              <w:top w:val="single" w:color="auto" w:sz="4" w:space="0"/>
              <w:left w:val="single" w:color="auto" w:sz="4" w:space="0"/>
              <w:right w:val="single" w:color="auto" w:sz="4" w:space="0"/>
            </w:tcBorders>
            <w:vAlign w:val="center"/>
          </w:tcPr>
          <w:p>
            <w:pPr>
              <w:spacing w:line="440" w:lineRule="exact"/>
              <w:jc w:val="center"/>
              <w:rPr>
                <w:rFonts w:hint="default" w:ascii="宋体" w:eastAsia="宋体"/>
                <w:lang w:val="en-US" w:eastAsia="zh-CN"/>
              </w:rPr>
            </w:pPr>
            <w:r>
              <w:rPr>
                <w:rFonts w:hint="eastAsia" w:ascii="宋体"/>
                <w:lang w:val="en-US" w:eastAsia="zh-CN"/>
              </w:rPr>
              <w:t>100</w:t>
            </w:r>
          </w:p>
        </w:tc>
        <w:tc>
          <w:tcPr>
            <w:tcW w:w="1765" w:type="dxa"/>
            <w:tcBorders>
              <w:top w:val="single" w:color="auto" w:sz="4" w:space="0"/>
              <w:left w:val="single" w:color="auto" w:sz="4" w:space="0"/>
              <w:right w:val="single" w:color="auto" w:sz="4" w:space="0"/>
            </w:tcBorders>
            <w:vAlign w:val="center"/>
          </w:tcPr>
          <w:p>
            <w:pPr>
              <w:spacing w:line="420" w:lineRule="exact"/>
              <w:rPr>
                <w:rFonts w:ascii="宋体"/>
              </w:rPr>
            </w:pPr>
            <w:r>
              <w:rPr>
                <w:rFonts w:hint="eastAsia" w:ascii="宋体" w:hAnsi="宋体"/>
                <w:bCs/>
              </w:rPr>
              <w:t>投标人资质</w:t>
            </w:r>
            <w:r>
              <w:rPr>
                <w:rFonts w:hint="eastAsia" w:ascii="宋体" w:hAnsi="宋体"/>
                <w:bCs/>
                <w:lang w:eastAsia="zh-CN"/>
              </w:rPr>
              <w:t>，</w:t>
            </w:r>
            <w:r>
              <w:rPr>
                <w:rFonts w:hint="eastAsia" w:ascii="宋体" w:hAnsi="宋体"/>
                <w:bCs/>
              </w:rPr>
              <w:t>具备有效营业执照且经营范围涵盖相关设备销售</w:t>
            </w:r>
            <w:r>
              <w:rPr>
                <w:rFonts w:hint="eastAsia" w:ascii="宋体" w:hAnsi="宋体"/>
                <w:bCs/>
                <w:lang w:eastAsia="zh-CN"/>
              </w:rPr>
              <w:t>，拥有设备生产或代理授权证明。</w:t>
            </w:r>
          </w:p>
        </w:tc>
        <w:tc>
          <w:tcPr>
            <w:tcW w:w="1350"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hint="default" w:ascii="宋体" w:eastAsia="宋体"/>
                <w:szCs w:val="21"/>
                <w:lang w:val="en-US" w:eastAsia="zh-CN"/>
              </w:rPr>
            </w:pPr>
            <w:r>
              <w:rPr>
                <w:rFonts w:hint="eastAsia" w:ascii="宋体" w:hAnsi="宋体" w:eastAsia="宋体"/>
                <w:lang w:val="en-US" w:eastAsia="zh-CN"/>
              </w:rPr>
              <w:t>10</w:t>
            </w:r>
          </w:p>
        </w:tc>
        <w:tc>
          <w:tcPr>
            <w:tcW w:w="4298" w:type="dxa"/>
            <w:tcBorders>
              <w:top w:val="single" w:color="auto" w:sz="4" w:space="0"/>
              <w:left w:val="single" w:color="auto" w:sz="4" w:space="0"/>
              <w:bottom w:val="single" w:color="auto" w:sz="4" w:space="0"/>
              <w:right w:val="single" w:color="auto" w:sz="4" w:space="0"/>
            </w:tcBorders>
            <w:vAlign w:val="center"/>
          </w:tcPr>
          <w:p>
            <w:pPr>
              <w:spacing w:line="420" w:lineRule="exact"/>
            </w:pPr>
            <w:r>
              <w:rPr>
                <w:rFonts w:hint="eastAsia" w:ascii="宋体" w:hAnsi="宋体"/>
                <w:bCs/>
              </w:rPr>
              <w:t>投标人资质</w:t>
            </w:r>
            <w:r>
              <w:rPr>
                <w:rFonts w:hint="eastAsia" w:ascii="宋体" w:hAnsi="宋体"/>
                <w:bCs/>
                <w:lang w:eastAsia="zh-CN"/>
              </w:rPr>
              <w:t>，</w:t>
            </w:r>
            <w:r>
              <w:rPr>
                <w:rFonts w:hint="eastAsia" w:ascii="宋体" w:hAnsi="宋体"/>
                <w:bCs/>
              </w:rPr>
              <w:t>具备有效营业执照且经营范围涵盖相关设备销售</w:t>
            </w:r>
            <w:r>
              <w:rPr>
                <w:rFonts w:hint="eastAsia" w:ascii="宋体" w:hAnsi="宋体"/>
                <w:bCs/>
                <w:lang w:eastAsia="zh-CN"/>
              </w:rPr>
              <w:t>，拥有设备生产或代理授权证明。</w:t>
            </w:r>
            <w:r>
              <w:rPr>
                <w:rFonts w:hint="eastAsia" w:ascii="宋体" w:hAnsi="宋体"/>
                <w:bCs/>
              </w:rPr>
              <w:t>视情况得0-</w:t>
            </w:r>
            <w:r>
              <w:rPr>
                <w:rFonts w:hint="eastAsia" w:ascii="宋体" w:hAnsi="宋体"/>
                <w:bCs/>
                <w:lang w:val="en-US" w:eastAsia="zh-CN"/>
              </w:rPr>
              <w:t>10分。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szCs w:val="21"/>
              </w:rPr>
            </w:pPr>
            <w:r>
              <w:rPr>
                <w:rFonts w:hint="eastAsia" w:ascii="宋体" w:hAnsi="宋体"/>
                <w:bCs/>
              </w:rPr>
              <w:t>产品方案技术先进、各系统完善、性能可靠，设备主要核心部件，具备自身技术优势</w:t>
            </w:r>
            <w:r>
              <w:rPr>
                <w:rFonts w:hint="eastAsia" w:ascii="宋体" w:hAnsi="宋体"/>
                <w:bCs/>
                <w:lang w:eastAsia="zh-CN"/>
              </w:rPr>
              <w:t>。</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ascii="宋体"/>
                <w:szCs w:val="21"/>
              </w:rPr>
            </w:pPr>
            <w:r>
              <w:rPr>
                <w:rFonts w:hint="eastAsia" w:ascii="宋体" w:hAnsi="宋体" w:eastAsia="宋体"/>
                <w:lang w:val="en-US" w:eastAsia="zh-CN"/>
              </w:rPr>
              <w:t>50</w:t>
            </w:r>
          </w:p>
        </w:tc>
        <w:tc>
          <w:tcPr>
            <w:tcW w:w="4298" w:type="dxa"/>
            <w:tcBorders>
              <w:top w:val="single" w:color="auto" w:sz="4" w:space="0"/>
              <w:left w:val="single" w:color="auto" w:sz="4" w:space="0"/>
              <w:bottom w:val="nil"/>
              <w:right w:val="single" w:color="auto" w:sz="4" w:space="0"/>
            </w:tcBorders>
            <w:vAlign w:val="center"/>
          </w:tcPr>
          <w:p>
            <w:pPr>
              <w:spacing w:line="420" w:lineRule="exact"/>
            </w:pPr>
            <w:r>
              <w:rPr>
                <w:rFonts w:hint="eastAsia" w:ascii="宋体" w:hAnsi="宋体"/>
                <w:bCs/>
              </w:rPr>
              <w:t>产品方案技术先进、各系统完善、性能可靠，设备主要核心部件，具备自身技术优势，节能环</w:t>
            </w:r>
            <w:r>
              <w:rPr>
                <w:rFonts w:hint="eastAsia" w:ascii="宋体" w:hAnsi="宋体"/>
                <w:bCs/>
                <w:highlight w:val="none"/>
              </w:rPr>
              <w:t>保</w:t>
            </w:r>
            <w:r>
              <w:rPr>
                <w:rFonts w:hint="eastAsia" w:ascii="宋体" w:hAnsi="宋体"/>
                <w:bCs/>
                <w:highlight w:val="none"/>
                <w:lang w:eastAsia="zh-CN"/>
              </w:rPr>
              <w:t>；</w:t>
            </w:r>
            <w:r>
              <w:rPr>
                <w:rFonts w:hint="eastAsia" w:ascii="宋体" w:hAnsi="宋体"/>
                <w:bCs/>
                <w:highlight w:val="none"/>
                <w:lang w:val="en-US" w:eastAsia="zh-CN"/>
              </w:rPr>
              <w:t>轴承外环压装、车轮螺栓压装符合要求，工装简便切换方便、实用，翻转机和合鼓装置有效结合应用，</w:t>
            </w:r>
            <w:r>
              <w:rPr>
                <w:rFonts w:hint="eastAsia" w:ascii="宋体" w:hAnsi="宋体"/>
                <w:bCs/>
                <w:highlight w:val="none"/>
              </w:rPr>
              <w:t>视情</w:t>
            </w:r>
            <w:r>
              <w:rPr>
                <w:rFonts w:hint="eastAsia" w:ascii="宋体" w:hAnsi="宋体"/>
                <w:bCs/>
              </w:rPr>
              <w:t>况得0-</w:t>
            </w:r>
            <w:r>
              <w:rPr>
                <w:rFonts w:hint="eastAsia" w:ascii="宋体" w:hAnsi="宋体"/>
                <w:bCs/>
                <w:lang w:val="en-US" w:eastAsia="zh-CN"/>
              </w:rPr>
              <w:t>50分。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ascii="宋体"/>
                <w:szCs w:val="21"/>
              </w:rPr>
            </w:pPr>
            <w:r>
              <w:rPr>
                <w:rFonts w:hint="eastAsia" w:ascii="宋体" w:hAnsi="宋体"/>
                <w:bCs/>
              </w:rPr>
              <w:t>产品维保</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ascii="宋体"/>
                <w:szCs w:val="21"/>
              </w:rPr>
            </w:pPr>
            <w:r>
              <w:rPr>
                <w:rFonts w:hint="eastAsia" w:ascii="宋体" w:hAnsi="宋体" w:eastAsia="宋体"/>
                <w:szCs w:val="21"/>
                <w:lang w:val="en-US" w:eastAsia="zh-CN"/>
              </w:rPr>
              <w:t>5</w:t>
            </w:r>
          </w:p>
        </w:tc>
        <w:tc>
          <w:tcPr>
            <w:tcW w:w="4298" w:type="dxa"/>
            <w:tcBorders>
              <w:top w:val="single" w:color="auto" w:sz="4" w:space="0"/>
              <w:left w:val="single" w:color="auto" w:sz="4" w:space="0"/>
              <w:bottom w:val="nil"/>
              <w:right w:val="single" w:color="auto" w:sz="4" w:space="0"/>
            </w:tcBorders>
            <w:vAlign w:val="center"/>
          </w:tcPr>
          <w:p>
            <w:pPr>
              <w:spacing w:line="420" w:lineRule="exact"/>
            </w:pPr>
            <w:r>
              <w:rPr>
                <w:rFonts w:hint="eastAsia" w:ascii="宋体" w:hAnsi="宋体"/>
                <w:bCs/>
              </w:rPr>
              <w:t>易于维修、操作方便，产品附件配置齐全，质量可靠，设备在使用期内的维护费用，视情况得0-</w:t>
            </w:r>
            <w:r>
              <w:rPr>
                <w:rFonts w:hint="eastAsia" w:ascii="宋体" w:hAnsi="宋体"/>
                <w:bCs/>
                <w:lang w:val="en-US" w:eastAsia="zh-CN"/>
              </w:rPr>
              <w:t>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pPr>
            <w:r>
              <w:rPr>
                <w:rFonts w:hint="eastAsia" w:ascii="宋体" w:hAnsi="宋体"/>
              </w:rPr>
              <w:t>计划控制</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pPr>
            <w:r>
              <w:rPr>
                <w:rFonts w:hint="eastAsia" w:ascii="宋体" w:hAnsi="宋体" w:eastAsia="宋体"/>
                <w:szCs w:val="21"/>
                <w:lang w:val="en-US" w:eastAsia="zh-CN"/>
              </w:rPr>
              <w:t>5</w:t>
            </w:r>
          </w:p>
        </w:tc>
        <w:tc>
          <w:tcPr>
            <w:tcW w:w="4298" w:type="dxa"/>
            <w:tcBorders>
              <w:top w:val="single" w:color="auto" w:sz="4" w:space="0"/>
              <w:left w:val="single" w:color="auto" w:sz="4" w:space="0"/>
              <w:bottom w:val="nil"/>
              <w:right w:val="single" w:color="auto" w:sz="4" w:space="0"/>
            </w:tcBorders>
            <w:vAlign w:val="center"/>
          </w:tcPr>
          <w:p>
            <w:pPr>
              <w:spacing w:line="420" w:lineRule="exact"/>
            </w:pPr>
            <w:r>
              <w:rPr>
                <w:rFonts w:hint="eastAsia" w:ascii="宋体" w:hAnsi="宋体"/>
                <w:bCs/>
              </w:rPr>
              <w:t>有详细可行的行动计划能保证项目进度，有风险管理。综合评审，自主赋分。视情况得0-</w:t>
            </w:r>
            <w:r>
              <w:rPr>
                <w:rFonts w:hint="eastAsia" w:ascii="宋体" w:hAnsi="宋体"/>
                <w:bCs/>
                <w:lang w:val="en-US" w:eastAsia="zh-CN"/>
              </w:rPr>
              <w:t>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default" w:eastAsia="宋体"/>
                <w:lang w:val="en-US" w:eastAsia="zh-CN"/>
              </w:rPr>
            </w:pPr>
            <w:r>
              <w:rPr>
                <w:rFonts w:hint="eastAsia" w:ascii="宋体" w:hAnsi="宋体"/>
              </w:rPr>
              <w:t>业绩</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lang w:val="en-US" w:eastAsia="zh-CN"/>
              </w:rPr>
            </w:pPr>
            <w:r>
              <w:rPr>
                <w:rFonts w:hint="eastAsia" w:ascii="宋体" w:hAnsi="宋体"/>
              </w:rPr>
              <w:t>5</w:t>
            </w:r>
          </w:p>
        </w:tc>
        <w:tc>
          <w:tcPr>
            <w:tcW w:w="4298" w:type="dxa"/>
            <w:tcBorders>
              <w:top w:val="single" w:color="auto" w:sz="4" w:space="0"/>
              <w:left w:val="single" w:color="auto" w:sz="4" w:space="0"/>
              <w:bottom w:val="nil"/>
              <w:right w:val="single" w:color="auto" w:sz="4" w:space="0"/>
            </w:tcBorders>
            <w:vAlign w:val="center"/>
          </w:tcPr>
          <w:p>
            <w:pPr>
              <w:spacing w:line="420" w:lineRule="exact"/>
            </w:pPr>
            <w:r>
              <w:rPr>
                <w:rFonts w:hint="eastAsia" w:ascii="宋体" w:hAnsi="宋体"/>
                <w:bCs/>
              </w:rPr>
              <w:t>最近连续三年有国内外知名</w:t>
            </w:r>
            <w:r>
              <w:rPr>
                <w:rFonts w:hint="eastAsia" w:ascii="宋体" w:hAnsi="宋体"/>
                <w:bCs/>
                <w:lang w:val="en-US" w:eastAsia="zh-CN"/>
              </w:rPr>
              <w:t>厂家同类设备的</w:t>
            </w:r>
            <w:r>
              <w:rPr>
                <w:rFonts w:hint="eastAsia" w:ascii="宋体" w:hAnsi="宋体"/>
                <w:bCs/>
              </w:rPr>
              <w:t>供货经历或其他大型供货经历</w:t>
            </w:r>
            <w:r>
              <w:rPr>
                <w:rFonts w:hint="eastAsia" w:ascii="宋体" w:hAnsi="宋体"/>
                <w:bCs/>
                <w:lang w:eastAsia="zh-CN"/>
              </w:rPr>
              <w:t>、</w:t>
            </w:r>
            <w:r>
              <w:rPr>
                <w:rFonts w:hint="eastAsia" w:ascii="宋体" w:hAnsi="宋体"/>
                <w:bCs/>
                <w:lang w:val="en-US" w:eastAsia="zh-CN"/>
              </w:rPr>
              <w:t>安装施工经验，并提供从调试完毕后截至目前实际正常运行时间证明，</w:t>
            </w:r>
            <w:r>
              <w:rPr>
                <w:rFonts w:hint="eastAsia" w:ascii="宋体" w:hAnsi="宋体"/>
                <w:bCs/>
              </w:rPr>
              <w:t>提供3份以上投标同类产品开发合同证明材料，得5分；提供3份得4分；提供2份得3分；提供1份证明材料的，得2分；无证明材料的，不得分。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b/>
                <w:bCs/>
                <w:lang w:val="en-US" w:eastAsia="zh-CN"/>
              </w:rPr>
            </w:pPr>
            <w:r>
              <w:rPr>
                <w:rFonts w:hint="eastAsia" w:ascii="宋体" w:hAnsi="宋体"/>
              </w:rPr>
              <w:t>质量保证</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lang w:val="en-US" w:eastAsia="zh-CN"/>
              </w:rPr>
            </w:pPr>
            <w:r>
              <w:rPr>
                <w:rFonts w:hint="eastAsia" w:ascii="宋体" w:hAnsi="宋体"/>
              </w:rPr>
              <w:t>5</w:t>
            </w:r>
          </w:p>
        </w:tc>
        <w:tc>
          <w:tcPr>
            <w:tcW w:w="4298" w:type="dxa"/>
            <w:tcBorders>
              <w:top w:val="single" w:color="auto" w:sz="4" w:space="0"/>
              <w:left w:val="single" w:color="auto" w:sz="4" w:space="0"/>
              <w:bottom w:val="nil"/>
              <w:right w:val="single" w:color="auto" w:sz="4" w:space="0"/>
            </w:tcBorders>
            <w:vAlign w:val="center"/>
          </w:tcPr>
          <w:p>
            <w:pPr>
              <w:spacing w:line="420" w:lineRule="exact"/>
            </w:pPr>
            <w:r>
              <w:rPr>
                <w:rFonts w:hint="eastAsia" w:ascii="宋体" w:hAnsi="宋体"/>
                <w:bCs/>
              </w:rP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b/>
                <w:bCs/>
                <w:lang w:val="en-US" w:eastAsia="zh-CN"/>
              </w:rPr>
            </w:pPr>
            <w:r>
              <w:rPr>
                <w:rFonts w:hint="eastAsia"/>
                <w:szCs w:val="21"/>
                <w:highlight w:val="none"/>
                <w:lang w:val="en-US" w:eastAsia="zh-CN"/>
              </w:rPr>
              <w:t>技术偏离</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lang w:val="en-US" w:eastAsia="zh-CN"/>
              </w:rPr>
            </w:pPr>
            <w:r>
              <w:rPr>
                <w:rFonts w:hint="eastAsia" w:ascii="宋体" w:hAnsi="宋体"/>
                <w:lang w:val="en-US" w:eastAsia="zh-CN"/>
              </w:rPr>
              <w:t>5</w:t>
            </w:r>
          </w:p>
        </w:tc>
        <w:tc>
          <w:tcPr>
            <w:tcW w:w="4298" w:type="dxa"/>
            <w:tcBorders>
              <w:top w:val="single" w:color="auto" w:sz="4" w:space="0"/>
              <w:left w:val="single" w:color="auto" w:sz="4" w:space="0"/>
              <w:bottom w:val="nil"/>
              <w:right w:val="single" w:color="auto" w:sz="4" w:space="0"/>
            </w:tcBorders>
            <w:vAlign w:val="center"/>
          </w:tcPr>
          <w:p>
            <w:pPr>
              <w:spacing w:line="420" w:lineRule="exact"/>
              <w:rPr>
                <w:rFonts w:hint="eastAsia"/>
                <w:szCs w:val="21"/>
                <w:lang w:val="en-US" w:eastAsia="zh-CN"/>
              </w:rPr>
            </w:pPr>
            <w:r>
              <w:rPr>
                <w:rFonts w:hint="eastAsia"/>
                <w:szCs w:val="21"/>
                <w:lang w:val="en-US" w:eastAsia="zh-CN"/>
              </w:rPr>
              <w:t>技术方案优于招标要求的视情况加1-5分；</w:t>
            </w:r>
          </w:p>
          <w:p>
            <w:pPr>
              <w:spacing w:line="420" w:lineRule="exact"/>
            </w:pPr>
            <w:r>
              <w:rPr>
                <w:rFonts w:hint="eastAsia"/>
                <w:szCs w:val="21"/>
                <w:lang w:val="en-US" w:eastAsia="zh-CN"/>
              </w:rPr>
              <w:t>不满足招标要求的视情况减1-5分。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880"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1765" w:type="dxa"/>
            <w:tcBorders>
              <w:top w:val="single" w:color="auto" w:sz="4" w:space="0"/>
              <w:left w:val="single" w:color="auto" w:sz="4" w:space="0"/>
              <w:bottom w:val="single" w:color="auto" w:sz="4" w:space="0"/>
              <w:right w:val="single" w:color="auto" w:sz="4" w:space="0"/>
            </w:tcBorders>
            <w:vAlign w:val="center"/>
          </w:tcPr>
          <w:p>
            <w:pPr>
              <w:spacing w:line="420" w:lineRule="exact"/>
              <w:rPr>
                <w:rFonts w:hint="eastAsia"/>
                <w:b/>
                <w:bCs/>
                <w:lang w:val="en-US" w:eastAsia="zh-CN"/>
              </w:rPr>
            </w:pPr>
            <w:r>
              <w:rPr>
                <w:rFonts w:hint="eastAsia" w:ascii="宋体" w:hAnsi="宋体" w:eastAsia="宋体"/>
                <w:lang w:val="en-US" w:eastAsia="zh-CN"/>
              </w:rPr>
              <w:t>项目交期</w:t>
            </w:r>
          </w:p>
        </w:tc>
        <w:tc>
          <w:tcPr>
            <w:tcW w:w="1350" w:type="dxa"/>
            <w:tcBorders>
              <w:top w:val="single" w:color="auto" w:sz="4" w:space="0"/>
              <w:left w:val="single" w:color="auto" w:sz="4" w:space="0"/>
              <w:bottom w:val="nil"/>
              <w:right w:val="single" w:color="auto" w:sz="4" w:space="0"/>
            </w:tcBorders>
            <w:vAlign w:val="center"/>
          </w:tcPr>
          <w:p>
            <w:pPr>
              <w:spacing w:line="420" w:lineRule="exact"/>
              <w:jc w:val="center"/>
              <w:rPr>
                <w:rFonts w:hint="eastAsia" w:ascii="宋体"/>
                <w:lang w:val="en-US" w:eastAsia="zh-CN"/>
              </w:rPr>
            </w:pPr>
            <w:r>
              <w:rPr>
                <w:rFonts w:hint="eastAsia" w:ascii="宋体" w:hAnsi="宋体" w:eastAsia="宋体"/>
                <w:szCs w:val="21"/>
                <w:lang w:val="en-US" w:eastAsia="zh-CN"/>
              </w:rPr>
              <w:t>15</w:t>
            </w:r>
          </w:p>
        </w:tc>
        <w:tc>
          <w:tcPr>
            <w:tcW w:w="4298" w:type="dxa"/>
            <w:tcBorders>
              <w:top w:val="single" w:color="auto" w:sz="4" w:space="0"/>
              <w:left w:val="single" w:color="auto" w:sz="4" w:space="0"/>
              <w:bottom w:val="nil"/>
              <w:right w:val="single" w:color="auto" w:sz="4" w:space="0"/>
            </w:tcBorders>
            <w:vAlign w:val="center"/>
          </w:tcPr>
          <w:p>
            <w:pPr>
              <w:tabs>
                <w:tab w:val="left" w:pos="7854"/>
              </w:tabs>
            </w:pPr>
            <w:r>
              <w:rPr>
                <w:rFonts w:hint="eastAsia"/>
                <w:szCs w:val="21"/>
              </w:rPr>
              <w:t>可以提前完成项目交货，视情况得</w:t>
            </w:r>
            <w:r>
              <w:rPr>
                <w:szCs w:val="21"/>
              </w:rPr>
              <w:t>0-</w:t>
            </w:r>
            <w:r>
              <w:rPr>
                <w:rFonts w:hint="eastAsia"/>
                <w:szCs w:val="21"/>
                <w:lang w:val="en-US" w:eastAsia="zh-CN"/>
              </w:rPr>
              <w:t>15分。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highlight w:val="none"/>
              </w:rPr>
            </w:pPr>
            <w:r>
              <w:rPr>
                <w:rFonts w:hint="eastAsia" w:ascii="宋体"/>
                <w:lang w:val="en-US" w:eastAsia="zh-CN"/>
              </w:rPr>
              <w:t>100</w:t>
            </w:r>
          </w:p>
        </w:tc>
        <w:tc>
          <w:tcPr>
            <w:tcW w:w="1765" w:type="dxa"/>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highlight w:val="none"/>
              </w:rPr>
            </w:pPr>
            <w:r>
              <w:rPr>
                <w:rFonts w:hint="eastAsia" w:ascii="宋体" w:hAnsi="宋体"/>
                <w:highlight w:val="none"/>
              </w:rPr>
              <w:t>投标报价</w:t>
            </w:r>
          </w:p>
        </w:tc>
        <w:tc>
          <w:tcPr>
            <w:tcW w:w="1350" w:type="dxa"/>
            <w:tcBorders>
              <w:top w:val="single" w:color="auto" w:sz="4" w:space="0"/>
              <w:left w:val="single" w:color="auto" w:sz="4" w:space="0"/>
              <w:bottom w:val="nil"/>
              <w:right w:val="single" w:color="auto" w:sz="4" w:space="0"/>
            </w:tcBorders>
            <w:vAlign w:val="center"/>
          </w:tcPr>
          <w:p>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4298" w:type="dxa"/>
            <w:tcBorders>
              <w:top w:val="single" w:color="auto" w:sz="4" w:space="0"/>
              <w:left w:val="single" w:color="auto" w:sz="4" w:space="0"/>
              <w:bottom w:val="nil"/>
              <w:right w:val="single" w:color="auto" w:sz="4" w:space="0"/>
            </w:tcBorders>
            <w:vAlign w:val="center"/>
          </w:tcPr>
          <w:p>
            <w:pPr>
              <w:spacing w:line="420" w:lineRule="exact"/>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 xml:space="preserve">评标基准价： </w:t>
            </w:r>
          </w:p>
          <w:p>
            <w:pPr>
              <w:spacing w:line="420" w:lineRule="exact"/>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1、评标基准价为所有合理有效的最终投标报价的最低价。</w:t>
            </w:r>
          </w:p>
          <w:p>
            <w:pPr>
              <w:spacing w:line="420" w:lineRule="exact"/>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2、有效的评标基准价得100分；其他投标人的价格得分按下列公式计算：投标价格得分=100×（评标基准价/投标报价）。</w:t>
            </w:r>
          </w:p>
          <w:p>
            <w:pPr>
              <w:spacing w:line="420" w:lineRule="exact"/>
              <w:rPr>
                <w:highlight w:val="yellow"/>
              </w:rPr>
            </w:pPr>
            <w:r>
              <w:rPr>
                <w:rFonts w:hint="eastAsia" w:ascii="Times New Roman" w:hAnsi="Times New Roman" w:cs="Times New Roman"/>
                <w:szCs w:val="21"/>
                <w:lang w:val="en-US" w:eastAsia="zh-CN"/>
              </w:rPr>
              <w:t>注：得分值取小数点后两位，不足一个百分点的，按照四舍五入法计算。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pPr>
              <w:rPr>
                <w:rFonts w:ascii="宋体"/>
                <w:szCs w:val="21"/>
              </w:rPr>
            </w:pPr>
            <w:r>
              <w:rPr>
                <w:rFonts w:hint="eastAsia" w:ascii="宋体" w:hAnsi="宋体"/>
              </w:rPr>
              <w:t>备注：</w:t>
            </w:r>
          </w:p>
          <w:p>
            <w:pPr>
              <w:rPr>
                <w:rFonts w:ascii="宋体"/>
              </w:rPr>
            </w:pPr>
            <w:r>
              <w:rPr>
                <w:rFonts w:hint="eastAsia" w:ascii="宋体" w:hAnsi="宋体"/>
              </w:rPr>
              <w:t>1、通过初审者为有效投标。</w:t>
            </w:r>
          </w:p>
          <w:p>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pPr>
              <w:rPr>
                <w:rFonts w:hint="eastAsia" w:ascii="宋体" w:hAnsi="宋体"/>
              </w:rPr>
            </w:pPr>
            <w:r>
              <w:rPr>
                <w:rFonts w:hint="eastAsia" w:ascii="宋体" w:hAnsi="宋体"/>
              </w:rPr>
              <w:t>3、评委打分超过得分界限或未按本方法赋分时，该评委的打分按废票处理。</w:t>
            </w:r>
          </w:p>
          <w:p>
            <w:pPr>
              <w:rPr>
                <w:rFonts w:hint="eastAsia" w:ascii="宋体" w:hAnsi="宋体"/>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r>
              <w:rPr>
                <w:rFonts w:hint="eastAsia" w:ascii="宋体" w:hAnsi="宋体" w:cs="Times New Roman"/>
                <w:lang w:val="en-US" w:eastAsia="zh-CN"/>
              </w:rPr>
              <w:t>5、综合得分=技术分×40%＋商务标得分×60%</w:t>
            </w:r>
          </w:p>
        </w:tc>
      </w:tr>
    </w:tbl>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pPr>
        <w:pStyle w:val="7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本项目只产生</w:t>
      </w:r>
      <w:r>
        <w:rPr>
          <w:rFonts w:hint="eastAsia"/>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pPr>
        <w:pStyle w:val="73"/>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pPr>
        <w:pStyle w:val="77"/>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pPr>
        <w:pStyle w:val="73"/>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7"/>
      <w:bookmarkStart w:id="7" w:name="OLE_LINK25"/>
      <w:bookmarkStart w:id="8" w:name="OLE_LINK26"/>
      <w:bookmarkStart w:id="9" w:name="OLE_LINK29"/>
      <w:bookmarkStart w:id="10" w:name="OLE_LINK28"/>
      <w:r>
        <w:rPr>
          <w:rFonts w:hint="eastAsia" w:ascii="宋体" w:hAnsi="宋体" w:eastAsia="宋体" w:cs="宋体"/>
          <w:sz w:val="21"/>
          <w:szCs w:val="21"/>
          <w:highlight w:val="none"/>
        </w:rPr>
        <w:t>；</w:t>
      </w:r>
      <w:bookmarkEnd w:id="6"/>
      <w:bookmarkEnd w:id="7"/>
      <w:bookmarkEnd w:id="8"/>
      <w:bookmarkEnd w:id="9"/>
      <w:bookmarkEnd w:id="10"/>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pPr>
        <w:pStyle w:val="73"/>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cs="宋体"/>
          <w:b w:val="0"/>
          <w:bCs w:val="0"/>
          <w:color w:val="000000"/>
          <w:sz w:val="21"/>
          <w:szCs w:val="21"/>
        </w:rPr>
        <w:t>招标人有权指定招标人的关联单位作为合同签订人，与中标人签署相关合同，且具体权利义务以中标人与招标人的关联公司最终签署的合同为准</w:t>
      </w:r>
      <w:r>
        <w:rPr>
          <w:rFonts w:hint="eastAsia" w:ascii="宋体" w:hAnsi="宋体" w:cs="宋体"/>
          <w:b w:val="0"/>
          <w:bCs w:val="0"/>
          <w:color w:val="000000"/>
          <w:sz w:val="21"/>
          <w:szCs w:val="21"/>
          <w:lang w:eastAsia="zh-CN"/>
        </w:rPr>
        <w:t>。</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lang w:val="en-US" w:eastAsia="zh-CN"/>
        </w:rPr>
      </w:pPr>
      <w:r>
        <w:rPr>
          <w:rFonts w:hint="eastAsia" w:cs="Times New Roman"/>
          <w:lang w:val="en-US" w:eastAsia="zh-CN"/>
        </w:rPr>
        <w:t>交货时间：</w:t>
      </w:r>
    </w:p>
    <w:p>
      <w:pPr>
        <w:pStyle w:val="77"/>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840" w:leftChars="0" w:hanging="420" w:firstLineChars="0"/>
        <w:textAlignment w:val="auto"/>
        <w:rPr>
          <w:rFonts w:hint="eastAsia" w:cs="Times New Roman"/>
          <w:lang w:val="en-US" w:eastAsia="zh-CN"/>
        </w:rPr>
      </w:pPr>
      <w:r>
        <w:rPr>
          <w:rFonts w:hint="eastAsia" w:cs="Times New Roman"/>
          <w:lang w:val="en-US" w:eastAsia="zh-CN"/>
        </w:rPr>
        <w:t>投标方应自合同签定之日起，30个日历日之内交货至供货地点；</w:t>
      </w:r>
    </w:p>
    <w:p>
      <w:pPr>
        <w:pStyle w:val="77"/>
        <w:keepNext w:val="0"/>
        <w:keepLines w:val="0"/>
        <w:pageBreakBefore w:val="0"/>
        <w:widowControl w:val="0"/>
        <w:numPr>
          <w:ilvl w:val="1"/>
          <w:numId w:val="28"/>
        </w:numPr>
        <w:kinsoku/>
        <w:wordWrap/>
        <w:overflowPunct/>
        <w:topLinePunct w:val="0"/>
        <w:autoSpaceDE/>
        <w:autoSpaceDN/>
        <w:bidi w:val="0"/>
        <w:adjustRightInd/>
        <w:snapToGrid/>
        <w:spacing w:line="440" w:lineRule="exact"/>
        <w:ind w:left="840" w:leftChars="0" w:hanging="420" w:firstLineChars="0"/>
        <w:textAlignment w:val="auto"/>
        <w:rPr>
          <w:rFonts w:hint="eastAsia" w:cs="Times New Roman"/>
          <w:lang w:val="en-US" w:eastAsia="zh-CN"/>
        </w:rPr>
      </w:pPr>
      <w:r>
        <w:rPr>
          <w:rFonts w:hint="eastAsia" w:cs="Times New Roman"/>
          <w:lang w:val="en-US" w:eastAsia="zh-CN"/>
        </w:rPr>
        <w:t>接续 20 个日历日之内安装调试完毕；</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lang w:val="en-US" w:eastAsia="zh-CN"/>
        </w:rPr>
      </w:pPr>
      <w:r>
        <w:rPr>
          <w:rFonts w:hint="eastAsia" w:cs="Times New Roman"/>
          <w:highlight w:val="none"/>
          <w:lang w:val="en-US" w:eastAsia="zh-CN"/>
        </w:rPr>
        <w:t>质保期：</w:t>
      </w:r>
      <w:r>
        <w:rPr>
          <w:rFonts w:hint="eastAsia" w:cs="Times New Roman"/>
          <w:lang w:val="en-US" w:eastAsia="zh-CN"/>
        </w:rPr>
        <w:t>自终验收签字生效之日起  12 个月。</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lang w:val="en-US" w:eastAsia="zh-CN"/>
        </w:rPr>
      </w:pPr>
      <w:r>
        <w:rPr>
          <w:rFonts w:hint="eastAsia" w:cs="Times New Roman"/>
          <w:lang w:val="en-US" w:eastAsia="zh-CN"/>
        </w:rPr>
        <w:t>付款方式：半年期商业汇票（包括银行承兑汇票和商业承兑汇票）</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eastAsia" w:cs="Times New Roman"/>
          <w:lang w:val="en-US" w:eastAsia="zh-CN"/>
        </w:rPr>
      </w:pPr>
      <w:r>
        <w:rPr>
          <w:rFonts w:hint="eastAsia" w:cs="Times New Roman"/>
          <w:lang w:val="en-US" w:eastAsia="zh-CN"/>
        </w:rPr>
        <w:t>付款节点：</w:t>
      </w:r>
    </w:p>
    <w:p>
      <w:pPr>
        <w:ind w:firstLine="480" w:firstLineChars="200"/>
        <w:rPr>
          <w:rFonts w:ascii="宋体" w:hAnsi="宋体" w:eastAsia="宋体" w:cs="宋体"/>
          <w:sz w:val="24"/>
          <w:szCs w:val="24"/>
        </w:rPr>
      </w:pPr>
      <w:r>
        <w:rPr>
          <w:rFonts w:ascii="宋体" w:hAnsi="宋体" w:eastAsia="宋体" w:cs="宋体"/>
          <w:sz w:val="24"/>
          <w:szCs w:val="24"/>
        </w:rPr>
        <w:t>1.合同生效设备全部到齐无质量问题通过买方初步验收并到货后，卖方开具金额为该合同设备价格30%的增值税专用发票带30%的收据（含复印件二份），经买方依照财务制度审核无误后支付合同价款的30%。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2.设备全部到齐，经现场安装、调试、验收合格交付使用后，卖方提交金额为合同价款60%的收据并附带下列单据，经买方依照财务制度审核无误后支付合同价款的60%。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a.金额为该合同设备价格70%的增值税专用发票（含复印件二份），具体开票信息详见发票信息表，根据表中所列分别开具增值税发票。</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b.该套设备最终验收报告的原件及其复印件两份。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pStyle w:val="77"/>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425" w:leftChars="0" w:hanging="425" w:firstLineChars="0"/>
        <w:textAlignment w:val="auto"/>
        <w:rPr>
          <w:rFonts w:hint="default" w:cs="Times New Roman"/>
          <w:lang w:val="en-US" w:eastAsia="zh-CN"/>
        </w:rPr>
      </w:pPr>
      <w:r>
        <w:rPr>
          <w:rFonts w:hint="eastAsia" w:cs="Times New Roman"/>
          <w:lang w:val="en-US" w:eastAsia="zh-CN"/>
        </w:rPr>
        <w:t>付款方式和付款比例不允许偏离</w:t>
      </w:r>
    </w:p>
    <w:p>
      <w:pPr>
        <w:pStyle w:val="73"/>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w:t>
      </w:r>
      <w:r>
        <w:rPr>
          <w:rFonts w:hint="eastAsia"/>
          <w:highlight w:val="none"/>
          <w:lang w:val="en-US" w:eastAsia="zh-CN"/>
        </w:rPr>
        <w:t>重汽（济南）车桥有限公司</w:t>
      </w:r>
      <w:r>
        <w:rPr>
          <w:rFonts w:hint="eastAsia"/>
          <w:lang w:val="en-US" w:eastAsia="zh-CN"/>
        </w:rPr>
        <w:t>。</w:t>
      </w:r>
    </w:p>
    <w:p>
      <w:pPr>
        <w:pStyle w:val="77"/>
        <w:bidi w:val="0"/>
      </w:pPr>
    </w:p>
    <w:p>
      <w:pPr>
        <w:pStyle w:val="77"/>
        <w:bidi w:val="0"/>
        <w:rPr>
          <w:rFonts w:hint="eastAsia"/>
        </w:rPr>
      </w:pPr>
      <w:bookmarkStart w:id="11" w:name="_Toc47976607"/>
    </w:p>
    <w:p>
      <w:pPr>
        <w:pStyle w:val="77"/>
        <w:bidi w:val="0"/>
        <w:rPr>
          <w:rFonts w:hint="eastAsia"/>
        </w:rPr>
      </w:pPr>
    </w:p>
    <w:p>
      <w:pPr>
        <w:pStyle w:val="77"/>
        <w:bidi w:val="0"/>
        <w:rPr>
          <w:rFonts w:hint="eastAsia"/>
        </w:rPr>
      </w:pPr>
    </w:p>
    <w:p>
      <w:pPr>
        <w:pStyle w:val="77"/>
        <w:bidi w:val="0"/>
        <w:rPr>
          <w:rFonts w:hint="eastAsia"/>
        </w:rPr>
      </w:pPr>
    </w:p>
    <w:p>
      <w:pPr>
        <w:rPr>
          <w:rFonts w:hint="eastAsia"/>
        </w:rPr>
      </w:pPr>
      <w:r>
        <w:rPr>
          <w:rFonts w:hint="eastAsia"/>
        </w:rPr>
        <w:br w:type="page"/>
      </w:r>
    </w:p>
    <w:p>
      <w:pPr>
        <w:pStyle w:val="72"/>
        <w:jc w:val="center"/>
        <w:rPr>
          <w:b w:val="0"/>
          <w:bCs w:val="0"/>
        </w:rPr>
      </w:pPr>
      <w:bookmarkStart w:id="12" w:name="_Toc16839"/>
      <w:r>
        <w:rPr>
          <w:rFonts w:hint="eastAsia"/>
        </w:rPr>
        <w:t>第二部分　</w:t>
      </w:r>
      <w:bookmarkEnd w:id="11"/>
      <w:r>
        <w:rPr>
          <w:rFonts w:hint="eastAsia"/>
          <w:lang w:val="en-US" w:eastAsia="zh-CN"/>
        </w:rPr>
        <w:t>技术标书</w:t>
      </w:r>
      <w:bookmarkEnd w:id="12"/>
    </w:p>
    <w:p>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13" w:name="_Toc31266"/>
      <w:r>
        <w:rPr>
          <w:rFonts w:hint="eastAsia" w:ascii="仿宋" w:hAnsi="仿宋" w:eastAsia="仿宋" w:cs="仿宋"/>
          <w:b/>
          <w:bCs/>
          <w:color w:val="000000" w:themeColor="text1"/>
          <w:lang w:val="en-US" w:eastAsia="zh-CN"/>
          <w14:textFill>
            <w14:solidFill>
              <w14:schemeClr w14:val="tx1"/>
            </w14:solidFill>
          </w14:textFill>
        </w:rPr>
        <w:t>第</w:t>
      </w:r>
      <w:r>
        <w:rPr>
          <w:rFonts w:hint="eastAsia" w:ascii="仿宋" w:hAnsi="仿宋" w:eastAsia="仿宋" w:cs="仿宋"/>
          <w:b/>
          <w:bCs/>
          <w:color w:val="000000" w:themeColor="text1"/>
          <w14:textFill>
            <w14:solidFill>
              <w14:schemeClr w14:val="tx1"/>
            </w14:solidFill>
          </w14:textFill>
        </w:rPr>
        <w:t>一章采购货物概况</w:t>
      </w:r>
      <w:bookmarkEnd w:id="13"/>
      <w:bookmarkStart w:id="14" w:name="_Toc133783967"/>
    </w:p>
    <w:p>
      <w:pPr>
        <w:adjustRightInd w:val="0"/>
        <w:snapToGrid w:val="0"/>
        <w:spacing w:line="360" w:lineRule="auto"/>
        <w:jc w:val="center"/>
        <w:outlineLvl w:val="1"/>
        <w:rPr>
          <w:rFonts w:ascii="仿宋" w:hAnsi="仿宋" w:eastAsia="仿宋" w:cs="仿宋"/>
          <w:b/>
          <w:bCs/>
          <w:color w:val="000000" w:themeColor="text1"/>
          <w14:textFill>
            <w14:solidFill>
              <w14:schemeClr w14:val="tx1"/>
            </w14:solidFill>
          </w14:textFill>
        </w:rPr>
      </w:pPr>
      <w:bookmarkStart w:id="15" w:name="_Toc73112397"/>
      <w:bookmarkStart w:id="16" w:name="_Toc27214"/>
      <w:bookmarkStart w:id="17" w:name="_Toc2554"/>
      <w:bookmarkStart w:id="18" w:name="_Toc22942"/>
      <w:bookmarkStart w:id="19" w:name="_Toc2152"/>
      <w:bookmarkStart w:id="20" w:name="_Toc30808"/>
      <w:bookmarkStart w:id="21" w:name="_Toc2996"/>
      <w:bookmarkStart w:id="22" w:name="_Toc4004"/>
      <w:bookmarkStart w:id="23" w:name="_Toc6436"/>
      <w:bookmarkStart w:id="24" w:name="_Toc5400"/>
      <w:bookmarkStart w:id="25" w:name="_Toc2940"/>
      <w:bookmarkStart w:id="26" w:name="_Toc7333"/>
      <w:bookmarkStart w:id="27" w:name="_Toc11411"/>
      <w:bookmarkStart w:id="28" w:name="_Toc17474"/>
      <w:bookmarkStart w:id="29" w:name="_Toc19070"/>
      <w:bookmarkStart w:id="30" w:name="_Toc5172"/>
      <w:bookmarkStart w:id="31" w:name="_Toc11763"/>
      <w:bookmarkStart w:id="32" w:name="_Toc22424"/>
      <w:bookmarkStart w:id="33" w:name="_Toc29605"/>
      <w:bookmarkStart w:id="34" w:name="_Toc24689"/>
      <w:bookmarkStart w:id="35" w:name="_Toc30246"/>
      <w:bookmarkStart w:id="36" w:name="_Toc23180"/>
      <w:bookmarkStart w:id="37" w:name="_Toc27040"/>
      <w:bookmarkStart w:id="38" w:name="_Toc10612"/>
      <w:bookmarkStart w:id="39" w:name="_Toc6606"/>
      <w:bookmarkStart w:id="40" w:name="_Toc21756"/>
      <w:bookmarkStart w:id="41" w:name="_Toc6498"/>
      <w:bookmarkStart w:id="42" w:name="_Toc9983"/>
      <w:bookmarkStart w:id="43" w:name="_Toc31000"/>
      <w:bookmarkStart w:id="44" w:name="_Toc30245"/>
      <w:bookmarkStart w:id="45" w:name="_Toc5826"/>
      <w:bookmarkStart w:id="46" w:name="_Toc5983"/>
      <w:bookmarkStart w:id="47" w:name="_Toc29927"/>
      <w:bookmarkStart w:id="48" w:name="_Toc29157"/>
      <w:bookmarkStart w:id="49" w:name="_Toc892"/>
      <w:bookmarkStart w:id="50" w:name="_Toc7515"/>
      <w:bookmarkStart w:id="51" w:name="_Toc8362"/>
      <w:bookmarkStart w:id="52" w:name="_Toc16714"/>
      <w:bookmarkStart w:id="53" w:name="_Toc5609"/>
      <w:bookmarkStart w:id="54" w:name="_Toc864"/>
      <w:bookmarkStart w:id="55" w:name="_Toc25011"/>
      <w:bookmarkStart w:id="56" w:name="_Toc7159"/>
      <w:bookmarkStart w:id="57" w:name="_Toc28361"/>
      <w:bookmarkStart w:id="58" w:name="_Toc5420"/>
      <w:bookmarkStart w:id="59" w:name="_Toc21892"/>
      <w:r>
        <w:rPr>
          <w:rFonts w:hint="eastAsia" w:ascii="仿宋" w:hAnsi="仿宋" w:eastAsia="仿宋" w:cs="仿宋"/>
          <w:b/>
          <w:bCs/>
          <w:color w:val="000000" w:themeColor="text1"/>
          <w14:textFill>
            <w14:solidFill>
              <w14:schemeClr w14:val="tx1"/>
            </w14:solidFill>
          </w14:textFill>
        </w:rPr>
        <w:t>第一节使用环境</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pPr>
        <w:pStyle w:val="17"/>
        <w:tabs>
          <w:tab w:val="left" w:pos="0"/>
        </w:tabs>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1项目名称：</w:t>
      </w:r>
      <w:r>
        <w:rPr>
          <w:rFonts w:hint="eastAsia" w:ascii="仿宋" w:hAnsi="仿宋" w:eastAsia="仿宋" w:cs="仿宋"/>
          <w:color w:val="000000" w:themeColor="text1"/>
          <w:shd w:val="pct10" w:color="auto" w:fill="FFFFFF"/>
          <w14:textFill>
            <w14:solidFill>
              <w14:schemeClr w14:val="tx1"/>
            </w14:solidFill>
          </w14:textFill>
        </w:rPr>
        <w:t>桥壳加工线起重设备改造技改项目</w:t>
      </w:r>
    </w:p>
    <w:p>
      <w:pPr>
        <w:pStyle w:val="17"/>
        <w:snapToGrid w:val="0"/>
        <w:spacing w:line="360" w:lineRule="auto"/>
        <w:ind w:firstLine="480" w:firstLineChars="200"/>
        <w:rPr>
          <w:rFonts w:ascii="仿宋" w:hAnsi="仿宋" w:eastAsia="仿宋" w:cs="仿宋"/>
          <w:color w:val="000000" w:themeColor="text1"/>
          <w:shd w:val="pct10" w:color="auto" w:fill="FFFFFF"/>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2建设地点：</w:t>
      </w:r>
      <w:r>
        <w:rPr>
          <w:rFonts w:hint="eastAsia" w:ascii="仿宋" w:hAnsi="仿宋" w:eastAsia="仿宋" w:cs="仿宋"/>
          <w:color w:val="000000" w:themeColor="text1"/>
          <w:shd w:val="pct10" w:color="auto" w:fill="FFFFFF"/>
          <w14:textFill>
            <w14:solidFill>
              <w14:schemeClr w14:val="tx1"/>
            </w14:solidFill>
          </w14:textFill>
        </w:rPr>
        <w:t>重汽(济南)车桥有限公司</w:t>
      </w:r>
      <w:r>
        <w:rPr>
          <w:rFonts w:hint="eastAsia" w:ascii="仿宋" w:hAnsi="仿宋" w:eastAsia="仿宋" w:cs="仿宋"/>
          <w:color w:val="000000" w:themeColor="text1"/>
          <w14:textFill>
            <w14:solidFill>
              <w14:schemeClr w14:val="tx1"/>
            </w14:solidFill>
          </w14:textFill>
        </w:rPr>
        <w:t>（工地）</w:t>
      </w:r>
    </w:p>
    <w:p>
      <w:pPr>
        <w:pStyle w:val="17"/>
        <w:snapToGrid w:val="0"/>
        <w:spacing w:line="360" w:lineRule="auto"/>
        <w:ind w:firstLine="480" w:firstLineChars="200"/>
        <w:rPr>
          <w:rFonts w:ascii="仿宋" w:hAnsi="仿宋" w:eastAsia="仿宋" w:cs="仿宋"/>
          <w:color w:val="000000" w:themeColor="text1"/>
          <w:shd w:val="pct10" w:color="auto" w:fill="FFFFFF"/>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3使用地点：</w:t>
      </w:r>
      <w:r>
        <w:rPr>
          <w:rFonts w:hint="eastAsia" w:ascii="仿宋" w:hAnsi="仿宋" w:eastAsia="仿宋" w:cs="仿宋"/>
          <w:color w:val="000000" w:themeColor="text1"/>
          <w:shd w:val="pct10" w:color="auto" w:fill="FFFFFF"/>
          <w14:textFill>
            <w14:solidFill>
              <w14:schemeClr w14:val="tx1"/>
            </w14:solidFill>
          </w14:textFill>
        </w:rPr>
        <w:t>车桥公司桥壳</w:t>
      </w:r>
      <w:r>
        <w:rPr>
          <w:rFonts w:hint="eastAsia" w:ascii="仿宋" w:hAnsi="仿宋" w:eastAsia="仿宋" w:cs="仿宋"/>
          <w:color w:val="000000" w:themeColor="text1"/>
          <w:shd w:val="pct10" w:color="auto" w:fill="FFFFFF"/>
          <w:lang w:val="en-US" w:eastAsia="zh-CN"/>
          <w14:textFill>
            <w14:solidFill>
              <w14:schemeClr w14:val="tx1"/>
            </w14:solidFill>
          </w14:textFill>
        </w:rPr>
        <w:t>加工一部</w:t>
      </w:r>
      <w:r>
        <w:rPr>
          <w:rFonts w:hint="eastAsia" w:ascii="仿宋" w:hAnsi="仿宋" w:eastAsia="仿宋" w:cs="仿宋"/>
          <w:color w:val="000000" w:themeColor="text1"/>
          <w14:textFill>
            <w14:solidFill>
              <w14:schemeClr w14:val="tx1"/>
            </w14:solidFill>
          </w14:textFill>
        </w:rPr>
        <w:t>（室内）</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4工作制度：全年工作</w:t>
      </w:r>
      <w:r>
        <w:rPr>
          <w:rFonts w:hint="eastAsia" w:ascii="仿宋" w:hAnsi="仿宋" w:eastAsia="仿宋" w:cs="仿宋"/>
          <w:color w:val="000000" w:themeColor="text1"/>
          <w:shd w:val="pct10" w:color="auto" w:fill="FFFFFF"/>
          <w14:textFill>
            <w14:solidFill>
              <w14:schemeClr w14:val="tx1"/>
            </w14:solidFill>
          </w14:textFill>
        </w:rPr>
        <w:t>300</w:t>
      </w:r>
      <w:r>
        <w:rPr>
          <w:rFonts w:hint="eastAsia" w:ascii="仿宋" w:hAnsi="仿宋" w:eastAsia="仿宋" w:cs="仿宋"/>
          <w:color w:val="000000" w:themeColor="text1"/>
          <w14:textFill>
            <w14:solidFill>
              <w14:schemeClr w14:val="tx1"/>
            </w14:solidFill>
          </w14:textFill>
        </w:rPr>
        <w:t>天、</w:t>
      </w:r>
      <w:r>
        <w:rPr>
          <w:rFonts w:hint="eastAsia" w:ascii="仿宋" w:hAnsi="仿宋" w:eastAsia="仿宋" w:cs="仿宋"/>
          <w:color w:val="000000" w:themeColor="text1"/>
          <w:shd w:val="pct10" w:color="auto" w:fill="FFFFFF"/>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班制、设备年时基数 </w:t>
      </w:r>
      <w:r>
        <w:rPr>
          <w:rFonts w:hint="eastAsia" w:ascii="仿宋" w:hAnsi="仿宋" w:eastAsia="仿宋" w:cs="仿宋"/>
          <w:color w:val="000000" w:themeColor="text1"/>
          <w:shd w:val="pct10" w:color="auto" w:fill="FFFFFF"/>
          <w14:textFill>
            <w14:solidFill>
              <w14:schemeClr w14:val="tx1"/>
            </w14:solidFill>
          </w14:textFill>
        </w:rPr>
        <w:t>7200</w:t>
      </w:r>
      <w:r>
        <w:rPr>
          <w:rFonts w:hint="eastAsia" w:ascii="仿宋" w:hAnsi="仿宋" w:eastAsia="仿宋" w:cs="仿宋"/>
          <w:color w:val="000000" w:themeColor="text1"/>
          <w14:textFill>
            <w14:solidFill>
              <w14:schemeClr w14:val="tx1"/>
            </w14:solidFill>
          </w14:textFill>
        </w:rPr>
        <w:t xml:space="preserve"> 小时</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5使用地点区域自然环境：</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5.1海拨高度：1000m以下。</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5.2环境温度：室外极端最低温度-19.7℃、极端最高温度42℃，昼夜最大温差25℃；室内温度5～40℃。</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5.3相对湿度：年平均59%，最大95%、最小15%。</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 地震裂度：七度。</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6能源环境：</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6.1电力：中国制式，供电电压</w:t>
      </w:r>
      <w:r>
        <w:rPr>
          <w:rFonts w:hint="eastAsia" w:ascii="仿宋" w:hAnsi="仿宋" w:eastAsia="仿宋" w:cs="仿宋"/>
          <w:color w:val="000000" w:themeColor="text1"/>
          <w:u w:val="single"/>
          <w:shd w:val="pct10" w:color="auto" w:fill="FFFFFF"/>
          <w14:textFill>
            <w14:solidFill>
              <w14:schemeClr w14:val="tx1"/>
            </w14:solidFill>
          </w14:textFill>
        </w:rPr>
        <w:t>380V±15%/220V±15%</w:t>
      </w:r>
      <w:r>
        <w:rPr>
          <w:rFonts w:hint="eastAsia" w:ascii="仿宋" w:hAnsi="仿宋" w:eastAsia="仿宋" w:cs="仿宋"/>
          <w:color w:val="000000" w:themeColor="text1"/>
          <w14:textFill>
            <w14:solidFill>
              <w14:schemeClr w14:val="tx1"/>
            </w14:solidFill>
          </w14:textFill>
        </w:rPr>
        <w:t>，供电频率50Hz±2%。</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6.2 </w:t>
      </w:r>
      <w:r>
        <w:rPr>
          <w:rFonts w:hint="eastAsia" w:ascii="仿宋" w:hAnsi="仿宋" w:eastAsia="仿宋" w:cs="仿宋"/>
          <w:color w:val="000000" w:themeColor="text1"/>
          <w:kern w:val="0"/>
          <w14:textFill>
            <w14:solidFill>
              <w14:schemeClr w14:val="tx1"/>
            </w14:solidFill>
          </w14:textFill>
        </w:rPr>
        <w:t>给水：市政自来水</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6.3压缩空气：自备空压机自产压缩空气，压力范围</w:t>
      </w:r>
      <w:r>
        <w:rPr>
          <w:rFonts w:hint="eastAsia" w:ascii="仿宋" w:hAnsi="仿宋" w:eastAsia="仿宋" w:cs="仿宋"/>
          <w:color w:val="000000" w:themeColor="text1"/>
          <w:u w:val="single"/>
          <w:shd w:val="pct10" w:color="auto" w:fill="FFFFFF"/>
          <w14:textFill>
            <w14:solidFill>
              <w14:schemeClr w14:val="tx1"/>
            </w14:solidFill>
          </w14:textFill>
        </w:rPr>
        <w:t>0.5 ±0.1MPa</w:t>
      </w:r>
      <w:r>
        <w:rPr>
          <w:rFonts w:hint="eastAsia" w:ascii="仿宋" w:hAnsi="仿宋" w:eastAsia="仿宋" w:cs="仿宋"/>
          <w:color w:val="000000" w:themeColor="text1"/>
          <w14:textFill>
            <w14:solidFill>
              <w14:schemeClr w14:val="tx1"/>
            </w14:solidFill>
          </w14:textFill>
        </w:rPr>
        <w:t>。</w:t>
      </w:r>
      <w:bookmarkStart w:id="60" w:name="_Toc15369"/>
      <w:bookmarkStart w:id="61" w:name="_Toc8728"/>
      <w:bookmarkStart w:id="62" w:name="_Toc21616"/>
      <w:bookmarkStart w:id="63" w:name="_Toc429"/>
      <w:bookmarkStart w:id="64" w:name="_Toc22983"/>
      <w:bookmarkStart w:id="65" w:name="_Toc18569"/>
      <w:bookmarkStart w:id="66" w:name="_Toc6433"/>
      <w:bookmarkStart w:id="67" w:name="_Toc30431"/>
      <w:bookmarkStart w:id="68" w:name="_Toc29333"/>
      <w:bookmarkStart w:id="69" w:name="_Toc27449"/>
      <w:bookmarkStart w:id="70" w:name="_Toc11744"/>
      <w:bookmarkStart w:id="71" w:name="_Toc9143"/>
      <w:bookmarkStart w:id="72" w:name="_Toc5374"/>
      <w:bookmarkStart w:id="73" w:name="_Toc24563"/>
      <w:bookmarkStart w:id="74" w:name="_Toc12401"/>
      <w:bookmarkStart w:id="75" w:name="_Toc24481"/>
      <w:bookmarkStart w:id="76" w:name="_Toc9671"/>
      <w:bookmarkStart w:id="77" w:name="_Toc13324"/>
      <w:bookmarkStart w:id="78" w:name="_Toc17682"/>
      <w:bookmarkStart w:id="79" w:name="_Toc23473"/>
      <w:bookmarkStart w:id="80" w:name="_Toc6636"/>
      <w:bookmarkStart w:id="81" w:name="_Toc29019"/>
      <w:bookmarkStart w:id="82" w:name="_Toc27857"/>
      <w:bookmarkStart w:id="83" w:name="_Toc17543"/>
      <w:bookmarkStart w:id="84" w:name="_Toc17605"/>
      <w:bookmarkStart w:id="85" w:name="_Toc4175"/>
      <w:bookmarkStart w:id="86" w:name="_Toc9561"/>
      <w:bookmarkStart w:id="87" w:name="_Toc133783968"/>
      <w:bookmarkStart w:id="88" w:name="_Toc9784"/>
      <w:bookmarkStart w:id="89" w:name="_Toc5421"/>
      <w:bookmarkStart w:id="90" w:name="_Toc31241"/>
      <w:bookmarkStart w:id="91" w:name="_Toc5282"/>
      <w:bookmarkStart w:id="92" w:name="_Toc8740"/>
    </w:p>
    <w:p>
      <w:pPr>
        <w:adjustRightInd w:val="0"/>
        <w:snapToGrid w:val="0"/>
        <w:spacing w:line="360" w:lineRule="auto"/>
        <w:jc w:val="center"/>
        <w:outlineLvl w:val="1"/>
        <w:rPr>
          <w:rFonts w:ascii="仿宋" w:hAnsi="仿宋" w:eastAsia="仿宋" w:cs="仿宋"/>
          <w:color w:val="000000" w:themeColor="text1"/>
          <w14:textFill>
            <w14:solidFill>
              <w14:schemeClr w14:val="tx1"/>
            </w14:solidFill>
          </w14:textFill>
        </w:rPr>
      </w:pPr>
      <w:bookmarkStart w:id="93" w:name="_Toc1424"/>
      <w:bookmarkStart w:id="94" w:name="_Toc18778"/>
      <w:bookmarkStart w:id="95" w:name="_Toc32599"/>
      <w:bookmarkStart w:id="96" w:name="_Toc18032"/>
      <w:bookmarkStart w:id="97" w:name="_Toc10013"/>
      <w:bookmarkStart w:id="98" w:name="_Toc73112398"/>
      <w:bookmarkStart w:id="99" w:name="_Toc1523"/>
      <w:bookmarkStart w:id="100" w:name="_Toc21957"/>
      <w:bookmarkStart w:id="101" w:name="_Toc21130"/>
      <w:bookmarkStart w:id="102" w:name="_Toc13544"/>
      <w:bookmarkStart w:id="103" w:name="_Toc17750"/>
      <w:bookmarkStart w:id="104" w:name="_Toc21302"/>
      <w:bookmarkStart w:id="105" w:name="_Toc20734"/>
      <w:bookmarkStart w:id="106" w:name="_Toc24559"/>
      <w:bookmarkStart w:id="107" w:name="_Toc29190"/>
      <w:bookmarkStart w:id="108" w:name="_Toc24624"/>
      <w:bookmarkStart w:id="109" w:name="_Toc8560"/>
      <w:r>
        <w:rPr>
          <w:rFonts w:hint="eastAsia" w:ascii="仿宋" w:hAnsi="仿宋" w:eastAsia="仿宋" w:cs="仿宋"/>
          <w:b/>
          <w:bCs/>
          <w:color w:val="000000" w:themeColor="text1"/>
          <w14:textFill>
            <w14:solidFill>
              <w14:schemeClr w14:val="tx1"/>
            </w14:solidFill>
          </w14:textFill>
        </w:rPr>
        <w:t>第二节采购货物概况</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1货物：</w:t>
      </w:r>
      <w:r>
        <w:rPr>
          <w:rFonts w:hint="eastAsia" w:ascii="仿宋" w:hAnsi="仿宋" w:eastAsia="仿宋" w:cs="仿宋"/>
          <w:color w:val="auto"/>
          <w:highlight w:val="none"/>
          <w:u w:val="single"/>
          <w:lang w:val="en-US" w:eastAsia="zh-CN"/>
        </w:rPr>
        <w:t>柔性吊</w:t>
      </w:r>
      <w:r>
        <w:rPr>
          <w:rFonts w:hint="eastAsia" w:ascii="仿宋" w:hAnsi="仿宋" w:eastAsia="仿宋" w:cs="仿宋"/>
          <w:color w:val="000000" w:themeColor="text1"/>
          <w14:textFill>
            <w14:solidFill>
              <w14:schemeClr w14:val="tx1"/>
            </w14:solidFill>
          </w14:textFill>
        </w:rPr>
        <w:t>（详见下表）</w:t>
      </w:r>
    </w:p>
    <w:p>
      <w:pPr>
        <w:pStyle w:val="17"/>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2货物数量：</w:t>
      </w:r>
      <w:r>
        <w:rPr>
          <w:rFonts w:hint="eastAsia" w:ascii="仿宋" w:hAnsi="仿宋" w:eastAsia="仿宋" w:cs="仿宋"/>
          <w:color w:val="auto"/>
          <w:highlight w:val="none"/>
          <w:u w:val="single"/>
          <w:lang w:val="en-US" w:eastAsia="zh-CN"/>
        </w:rPr>
        <w:t>45套</w:t>
      </w:r>
      <w:r>
        <w:rPr>
          <w:rFonts w:hint="eastAsia" w:ascii="仿宋" w:hAnsi="仿宋" w:eastAsia="仿宋" w:cs="仿宋"/>
          <w:color w:val="auto"/>
          <w:highlight w:val="none"/>
        </w:rPr>
        <w:t>（详见下表）</w:t>
      </w:r>
    </w:p>
    <w:p>
      <w:pPr>
        <w:pStyle w:val="17"/>
        <w:snapToGrid w:val="0"/>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采购货物主要构成一览表</w:t>
      </w:r>
    </w:p>
    <w:tbl>
      <w:tblPr>
        <w:tblStyle w:val="31"/>
        <w:tblW w:w="8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429"/>
        <w:gridCol w:w="1543"/>
        <w:gridCol w:w="984"/>
        <w:gridCol w:w="1065"/>
        <w:gridCol w:w="145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885"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both"/>
              <w:textAlignment w:val="auto"/>
              <w:rPr>
                <w:rFonts w:ascii="仿宋" w:hAnsi="仿宋" w:eastAsia="仿宋" w:cs="仿宋"/>
                <w:color w:val="auto"/>
                <w:sz w:val="21"/>
                <w:szCs w:val="21"/>
                <w:highlight w:val="none"/>
              </w:rPr>
            </w:pPr>
            <w:r>
              <w:rPr>
                <w:rFonts w:hint="eastAsia" w:ascii="仿宋" w:hAnsi="仿宋" w:eastAsia="仿宋" w:cs="仿宋"/>
                <w:color w:val="auto"/>
                <w:kern w:val="2"/>
                <w:sz w:val="21"/>
                <w:szCs w:val="21"/>
                <w:highlight w:val="none"/>
              </w:rPr>
              <w:t>序号</w:t>
            </w:r>
          </w:p>
        </w:tc>
        <w:tc>
          <w:tcPr>
            <w:tcW w:w="1429"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both"/>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货物名称</w:t>
            </w:r>
          </w:p>
        </w:tc>
        <w:tc>
          <w:tcPr>
            <w:tcW w:w="1543"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both"/>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型号规格</w:t>
            </w:r>
          </w:p>
        </w:tc>
        <w:tc>
          <w:tcPr>
            <w:tcW w:w="984" w:type="dxa"/>
            <w:shd w:val="clear" w:color="auto" w:fill="auto"/>
            <w:vAlign w:val="top"/>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both"/>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单位</w:t>
            </w:r>
          </w:p>
        </w:tc>
        <w:tc>
          <w:tcPr>
            <w:tcW w:w="1065"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both"/>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数量</w:t>
            </w:r>
          </w:p>
        </w:tc>
        <w:tc>
          <w:tcPr>
            <w:tcW w:w="145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both"/>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安装地点</w:t>
            </w:r>
          </w:p>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both"/>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 服务对象</w:t>
            </w:r>
          </w:p>
        </w:tc>
        <w:tc>
          <w:tcPr>
            <w:tcW w:w="120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both"/>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供货方式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885"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left"/>
              <w:textAlignment w:val="auto"/>
              <w:rPr>
                <w:rFonts w:ascii="仿宋" w:hAnsi="仿宋" w:eastAsia="仿宋" w:cs="仿宋"/>
                <w:color w:val="auto"/>
                <w:sz w:val="21"/>
                <w:szCs w:val="21"/>
                <w:highlight w:val="none"/>
              </w:rPr>
            </w:pPr>
            <w:r>
              <w:rPr>
                <w:rFonts w:hint="eastAsia" w:ascii="仿宋" w:hAnsi="仿宋" w:eastAsia="仿宋" w:cs="仿宋"/>
                <w:color w:val="auto"/>
                <w:kern w:val="2"/>
                <w:sz w:val="21"/>
                <w:szCs w:val="21"/>
                <w:highlight w:val="none"/>
              </w:rPr>
              <w:t>1</w:t>
            </w:r>
          </w:p>
        </w:tc>
        <w:tc>
          <w:tcPr>
            <w:tcW w:w="1429"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left"/>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柔性吊</w:t>
            </w:r>
          </w:p>
        </w:tc>
        <w:tc>
          <w:tcPr>
            <w:tcW w:w="1543"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left"/>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250kg</w:t>
            </w:r>
          </w:p>
        </w:tc>
        <w:tc>
          <w:tcPr>
            <w:tcW w:w="984" w:type="dxa"/>
            <w:shd w:val="clear" w:color="auto" w:fill="auto"/>
            <w:vAlign w:val="top"/>
          </w:tcPr>
          <w:p>
            <w:pPr>
              <w:pStyle w:val="17"/>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套</w:t>
            </w:r>
          </w:p>
        </w:tc>
        <w:tc>
          <w:tcPr>
            <w:tcW w:w="1065"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left"/>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43</w:t>
            </w:r>
          </w:p>
        </w:tc>
        <w:tc>
          <w:tcPr>
            <w:tcW w:w="145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left"/>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桥壳加工一部</w:t>
            </w:r>
          </w:p>
        </w:tc>
        <w:tc>
          <w:tcPr>
            <w:tcW w:w="120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left"/>
              <w:textAlignment w:val="auto"/>
              <w:rPr>
                <w:rFonts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交钥匙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885"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left"/>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2</w:t>
            </w:r>
          </w:p>
        </w:tc>
        <w:tc>
          <w:tcPr>
            <w:tcW w:w="1429"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left"/>
              <w:textAlignment w:val="auto"/>
              <w:rPr>
                <w:rFonts w:hint="eastAsia"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rPr>
              <w:t>柔性吊</w:t>
            </w:r>
          </w:p>
        </w:tc>
        <w:tc>
          <w:tcPr>
            <w:tcW w:w="1543"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left"/>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500Kg</w:t>
            </w:r>
          </w:p>
        </w:tc>
        <w:tc>
          <w:tcPr>
            <w:tcW w:w="984"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left"/>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套</w:t>
            </w:r>
          </w:p>
        </w:tc>
        <w:tc>
          <w:tcPr>
            <w:tcW w:w="1065"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left"/>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2</w:t>
            </w:r>
          </w:p>
        </w:tc>
        <w:tc>
          <w:tcPr>
            <w:tcW w:w="145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left"/>
              <w:textAlignment w:val="auto"/>
              <w:rPr>
                <w:rFonts w:hint="default"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lang w:val="en-US" w:eastAsia="zh-CN"/>
              </w:rPr>
              <w:t>驱动桥部</w:t>
            </w:r>
          </w:p>
        </w:tc>
        <w:tc>
          <w:tcPr>
            <w:tcW w:w="1200" w:type="dxa"/>
            <w:shd w:val="clear" w:color="auto" w:fill="auto"/>
            <w:vAlign w:val="center"/>
          </w:tcPr>
          <w:p>
            <w:pPr>
              <w:pStyle w:val="17"/>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left"/>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交钥匙</w:t>
            </w:r>
          </w:p>
        </w:tc>
      </w:tr>
    </w:tbl>
    <w:p>
      <w:pPr>
        <w:pStyle w:val="17"/>
        <w:snapToGrid w:val="0"/>
        <w:spacing w:line="360" w:lineRule="auto"/>
        <w:ind w:firstLine="420" w:firstLineChars="200"/>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备注：①本表所列采购货物仅为货物的主要构成部分，应配套供货以及招标方所列其它货物（或设备）和服务，请投标方认真阅读“供货范围”。若有异议，不管是多么微小，都应在投标文件“商务偏离”章节中予以详细说明。②本表“供货方式”指：交钥匙方式——包括制造、运输、定点卸货、安装、调试和验收以及培训等。</w:t>
      </w:r>
    </w:p>
    <w:p>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pPr>
        <w:jc w:val="center"/>
        <w:outlineLvl w:val="0"/>
        <w:rPr>
          <w:rFonts w:ascii="仿宋" w:hAnsi="仿宋" w:eastAsia="仿宋" w:cs="仿宋"/>
          <w:b/>
          <w:bCs/>
          <w:color w:val="000000" w:themeColor="text1"/>
          <w14:textFill>
            <w14:solidFill>
              <w14:schemeClr w14:val="tx1"/>
            </w14:solidFill>
          </w14:textFill>
        </w:rPr>
      </w:pPr>
      <w:bookmarkStart w:id="110" w:name="_Toc22658"/>
      <w:bookmarkStart w:id="111" w:name="_Toc11605"/>
      <w:bookmarkStart w:id="112" w:name="_Toc7805"/>
      <w:bookmarkStart w:id="113" w:name="_Toc4743"/>
      <w:bookmarkStart w:id="114" w:name="_Toc32616"/>
      <w:bookmarkStart w:id="115" w:name="_Toc498"/>
      <w:bookmarkStart w:id="116" w:name="_Toc31734"/>
      <w:bookmarkStart w:id="117" w:name="_Toc16387"/>
      <w:bookmarkStart w:id="118" w:name="_Toc761"/>
      <w:bookmarkStart w:id="119" w:name="_Toc6687"/>
      <w:bookmarkStart w:id="120" w:name="_Toc30487"/>
      <w:bookmarkStart w:id="121" w:name="_Toc10580"/>
      <w:bookmarkStart w:id="122" w:name="_Toc15180"/>
      <w:bookmarkStart w:id="123" w:name="_Toc28168"/>
      <w:bookmarkStart w:id="124" w:name="_Toc10441"/>
      <w:bookmarkStart w:id="125" w:name="_Toc19793"/>
      <w:bookmarkStart w:id="126" w:name="_Toc1621"/>
      <w:bookmarkStart w:id="127" w:name="_Toc133783969"/>
      <w:bookmarkStart w:id="128" w:name="_Toc2018"/>
      <w:bookmarkStart w:id="129" w:name="_Toc20034"/>
      <w:bookmarkStart w:id="130" w:name="_Toc7338"/>
      <w:bookmarkStart w:id="131" w:name="_Toc13878"/>
      <w:bookmarkStart w:id="132" w:name="_Toc26149"/>
      <w:bookmarkStart w:id="133" w:name="_Toc23603"/>
      <w:bookmarkStart w:id="134" w:name="_Toc32524"/>
      <w:bookmarkStart w:id="135" w:name="_Toc73112399"/>
      <w:bookmarkStart w:id="136" w:name="_Toc19015"/>
      <w:bookmarkStart w:id="137" w:name="_Toc7739"/>
      <w:bookmarkStart w:id="138" w:name="_Toc18970"/>
      <w:bookmarkStart w:id="139" w:name="_Toc442"/>
      <w:bookmarkStart w:id="140" w:name="_Toc12377"/>
      <w:bookmarkStart w:id="141" w:name="_Toc8780"/>
      <w:bookmarkStart w:id="142" w:name="_Toc8565"/>
      <w:bookmarkStart w:id="143" w:name="_Toc27638"/>
      <w:bookmarkStart w:id="144" w:name="_Toc2875"/>
      <w:bookmarkStart w:id="145" w:name="_Toc24992"/>
      <w:bookmarkStart w:id="146" w:name="_Toc29174"/>
      <w:bookmarkStart w:id="147" w:name="_Toc18120"/>
      <w:bookmarkStart w:id="148" w:name="_Toc30429"/>
      <w:bookmarkStart w:id="149" w:name="_Toc4488"/>
      <w:bookmarkStart w:id="150" w:name="_Toc7813"/>
      <w:bookmarkStart w:id="151" w:name="_Toc4881"/>
      <w:bookmarkStart w:id="152" w:name="_Toc24597"/>
      <w:bookmarkStart w:id="153" w:name="_Toc26470"/>
      <w:bookmarkStart w:id="154" w:name="_Toc22689"/>
      <w:bookmarkStart w:id="155" w:name="_Toc17465"/>
      <w:r>
        <w:rPr>
          <w:rFonts w:hint="eastAsia" w:ascii="仿宋" w:hAnsi="仿宋" w:eastAsia="仿宋" w:cs="仿宋"/>
          <w:b/>
          <w:bCs/>
          <w:color w:val="000000" w:themeColor="text1"/>
          <w14:textFill>
            <w14:solidFill>
              <w14:schemeClr w14:val="tx1"/>
            </w14:solidFill>
          </w14:textFill>
        </w:rPr>
        <w:t>第二章技术要求</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156" w:name="_Toc5714"/>
      <w:bookmarkStart w:id="157" w:name="_Toc27930"/>
      <w:bookmarkStart w:id="158" w:name="_Toc5469"/>
      <w:bookmarkStart w:id="159" w:name="_Toc29489"/>
      <w:bookmarkStart w:id="160" w:name="_Toc6003"/>
      <w:bookmarkStart w:id="161" w:name="_Toc26827"/>
      <w:bookmarkStart w:id="162" w:name="_Toc21559"/>
      <w:bookmarkStart w:id="163" w:name="_Toc28751"/>
      <w:bookmarkStart w:id="164" w:name="_Toc11056"/>
      <w:bookmarkStart w:id="165" w:name="_Toc5110"/>
      <w:bookmarkStart w:id="166" w:name="_Toc23337"/>
      <w:bookmarkStart w:id="167" w:name="_Toc16822"/>
      <w:bookmarkStart w:id="168" w:name="_Toc11621"/>
      <w:bookmarkStart w:id="169" w:name="_Toc39"/>
      <w:bookmarkStart w:id="170" w:name="_Toc5804"/>
      <w:bookmarkStart w:id="171" w:name="_Toc18792"/>
      <w:bookmarkStart w:id="172" w:name="_Toc73112400"/>
      <w:bookmarkStart w:id="173" w:name="_Toc20402"/>
      <w:bookmarkStart w:id="174" w:name="_Toc7141"/>
      <w:bookmarkStart w:id="175" w:name="_Toc25950"/>
      <w:bookmarkStart w:id="176" w:name="_Toc31691"/>
      <w:bookmarkStart w:id="177" w:name="_Toc1968"/>
      <w:bookmarkStart w:id="178" w:name="_Toc380"/>
      <w:bookmarkStart w:id="179" w:name="_Toc13195"/>
      <w:bookmarkStart w:id="180" w:name="_Toc29354"/>
      <w:bookmarkStart w:id="181" w:name="_Toc22422"/>
      <w:bookmarkStart w:id="182" w:name="_Toc31434"/>
      <w:bookmarkStart w:id="183" w:name="_Toc15744"/>
      <w:bookmarkStart w:id="184" w:name="_Toc20792"/>
      <w:bookmarkStart w:id="185" w:name="_Toc31246"/>
      <w:bookmarkStart w:id="186" w:name="_Toc15995"/>
      <w:bookmarkStart w:id="187" w:name="_Toc477"/>
      <w:bookmarkStart w:id="188" w:name="_Toc9134"/>
      <w:bookmarkStart w:id="189" w:name="_Toc1111"/>
      <w:bookmarkStart w:id="190" w:name="_Toc5876"/>
      <w:bookmarkStart w:id="191" w:name="_Toc15747"/>
      <w:bookmarkStart w:id="192" w:name="_Toc23050"/>
      <w:bookmarkStart w:id="193" w:name="_Toc9894"/>
      <w:bookmarkStart w:id="194" w:name="_Toc5450"/>
      <w:bookmarkStart w:id="195" w:name="_Toc2473"/>
      <w:bookmarkStart w:id="196" w:name="_Toc27282"/>
      <w:bookmarkStart w:id="197" w:name="_Toc17019"/>
      <w:bookmarkStart w:id="198" w:name="_Toc4126"/>
      <w:bookmarkStart w:id="199" w:name="_Toc16063"/>
      <w:r>
        <w:rPr>
          <w:rFonts w:hint="eastAsia" w:ascii="仿宋" w:hAnsi="仿宋" w:eastAsia="仿宋" w:cs="仿宋"/>
          <w:b/>
          <w:bCs/>
          <w:color w:val="000000" w:themeColor="text1"/>
          <w14:textFill>
            <w14:solidFill>
              <w14:schemeClr w14:val="tx1"/>
            </w14:solidFill>
          </w14:textFill>
        </w:rPr>
        <w:t>1基本要求</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1.1投标方所供的货物，必须符合中国最新版的法律、法规和相关标准、规范的要求，符合项目所在地政府有关特殊要求。</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1.2投标方所供货物涉及的、招标方有权使用的专利权技术以及知识产权保护的其它技术等，应保证招标方不因此受到任何侵权指控以及实际损失。</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1.3投标方应保证所供货物的先进性、可靠性、经济性和实用性，并为全新货物（或设备）。</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 投标方应满足招标方提出的各项技术要求，必要时应当免费提供技术承诺或担保。</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★1.5投标方应保证所供货物为中国公布的非淘汰货物，并为中国指定或规定的主管部门认可的环保型和节能型货物；招标的中标货物不接受试验品（提供证据），还应是原产地的货物。</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1.6投标方保证所供货物的完整性和成套性，能保证货物的正常运行、使用。</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1.7投标方对招标方招标货物所涉及的技术、能力等信息负有保密义务，特殊项目应当无条件签署保密协议。</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投标方应保证所供货物，必须符合《机械制造企业安全生产标准化》各项要求。确保货物在使用管理过程中满足《职业健康安全管理体系》、《环境管理体系》等方面的规范及国家标准要求；必须提供所供货物相应的安全操作规程。</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1.9设备用能设计基本要求：</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1.9.1 任何用能设备均应遵循《能源管理体系要求》（GB/T23331-2012）的相关规定，并在《能源管理体系要求》下开展设备的采购、维护、保养、淘汰更换等工作。</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1.9.2 为方便用能设备的计量统计，新增采购设备应在《用能单位能源计量器具配备和管理通则》（GB17167-2006）指导下配备符合相应要求的能源计量器具。</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1.9.3 供方应确保各类机电设备（产品）无《高耗能机电设备（产品）淘汰目录（第一批）》、《高耗能机电设备（产品）淘汰目录（第二 批）》、《高耗能机电设备（产品）淘汰目录（第三批）》所罗列的各类淘汰机电设备（产品）。</w:t>
      </w:r>
    </w:p>
    <w:p>
      <w:pPr>
        <w:widowControl w:val="0"/>
        <w:snapToGrid w:val="0"/>
        <w:spacing w:line="360" w:lineRule="auto"/>
        <w:ind w:firstLine="420" w:firstLine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1.9.4 </w:t>
      </w:r>
      <w:r>
        <w:rPr>
          <w:rFonts w:hint="eastAsia" w:ascii="仿宋" w:hAnsi="仿宋" w:eastAsia="仿宋" w:cs="仿宋"/>
          <w:kern w:val="0"/>
          <w:sz w:val="24"/>
          <w:szCs w:val="24"/>
          <w:highlight w:val="none"/>
          <w:lang w:val="en-US" w:eastAsia="zh-CN" w:bidi="ar-SA"/>
        </w:rPr>
        <w:t>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1.9.5 供方应确保设备的附属各类机电设备、设施（如：电机、风机、电器控制系统、润滑、保温隔热、照明、湿度等等）符合国家现行的相关专项标准要求。</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★1.10设备使用仪表和自控设备要求：</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1.10.1设备使用仪表通用技术要求:</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1.10.1.1投标人及供货商应保证所提供的仪表和自控设备，完全符合或高于本文通用技术要求及相应产品技术规范的要求，并应保证其供应产品在本工程指明的环境条件下能够长期安全、正常地运行。 </w:t>
      </w:r>
    </w:p>
    <w:p>
      <w:pPr>
        <w:widowControl w:val="0"/>
        <w:snapToGrid w:val="0"/>
        <w:spacing w:line="360" w:lineRule="auto"/>
        <w:ind w:firstLine="42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color w:val="000000" w:themeColor="text1"/>
          <w14:textFill>
            <w14:solidFill>
              <w14:schemeClr w14:val="tx1"/>
            </w14:solidFill>
          </w14:textFill>
        </w:rPr>
        <w:t>1.10.1.2</w:t>
      </w:r>
      <w:r>
        <w:rPr>
          <w:rFonts w:hint="eastAsia" w:ascii="仿宋" w:hAnsi="仿宋" w:eastAsia="仿宋" w:cs="仿宋"/>
          <w:kern w:val="0"/>
          <w:sz w:val="24"/>
          <w:szCs w:val="24"/>
          <w:highlight w:val="none"/>
          <w:lang w:val="en-US" w:eastAsia="zh-CN" w:bidi="ar-SA"/>
        </w:rPr>
        <w:t>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1.10.1.3</w:t>
      </w:r>
      <w:r>
        <w:rPr>
          <w:rFonts w:hint="eastAsia" w:ascii="仿宋" w:hAnsi="仿宋" w:eastAsia="仿宋" w:cs="仿宋"/>
          <w:kern w:val="0"/>
          <w:sz w:val="24"/>
          <w:szCs w:val="24"/>
          <w:highlight w:val="none"/>
          <w:lang w:val="en-US" w:eastAsia="zh-CN" w:bidi="ar-SA"/>
        </w:rPr>
        <w:t>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r>
        <w:rPr>
          <w:rFonts w:hint="eastAsia" w:ascii="仿宋" w:hAnsi="仿宋" w:eastAsia="仿宋" w:cs="仿宋"/>
          <w:color w:val="000000" w:themeColor="text1"/>
          <w14:textFill>
            <w14:solidFill>
              <w14:schemeClr w14:val="tx1"/>
            </w14:solidFill>
          </w14:textFill>
        </w:rPr>
        <w:t> </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1.10.2准确度要求: </w:t>
      </w:r>
    </w:p>
    <w:p>
      <w:pPr>
        <w:widowControl w:val="0"/>
        <w:snapToGrid w:val="0"/>
        <w:spacing w:line="360" w:lineRule="auto"/>
        <w:ind w:firstLine="420" w:firstLineChars="200"/>
        <w:jc w:val="both"/>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1.10.2.1</w:t>
      </w:r>
      <w:r>
        <w:rPr>
          <w:rFonts w:hint="eastAsia" w:ascii="仿宋" w:hAnsi="仿宋" w:eastAsia="仿宋" w:cs="仿宋"/>
          <w:kern w:val="0"/>
          <w:sz w:val="24"/>
          <w:szCs w:val="24"/>
          <w:highlight w:val="none"/>
          <w:lang w:val="en-US" w:eastAsia="zh-CN" w:bidi="ar-SA"/>
        </w:rPr>
        <w:t>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1.10.2.2仪表和自控设备的准确度应不受周围环境和安装位置的影响，任何生产过程中存在的正常振动，不应造成测量准确度的变化。仪表和自控设备的零点和重复性应非常稳定，并符合各专用技术规格书中的有关技术要求。 </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1.10.3材质要求: </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及供货商应保证所提供的仪表和自控设备在材料的使用方面无任何设计问题，能够满足或高于实际操作和使用过程中的要求，如压力、温度、粘度、组份等的要求。应保证所有零部件的材质必须符合环境条件如湿度、温度以及防爆的要求。</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★1.11投标方所供设备应按“交钥匙工程”要求。</w:t>
      </w:r>
    </w:p>
    <w:p>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200" w:name="_Toc18994"/>
      <w:bookmarkStart w:id="201" w:name="_Toc6699"/>
      <w:bookmarkStart w:id="202" w:name="_Toc718"/>
      <w:bookmarkStart w:id="203" w:name="_Hlk69924518"/>
      <w:r>
        <w:rPr>
          <w:rFonts w:hint="eastAsia" w:ascii="仿宋" w:hAnsi="仿宋" w:eastAsia="仿宋" w:cs="仿宋"/>
          <w:b/>
          <w:bCs/>
          <w:color w:val="000000" w:themeColor="text1"/>
          <w14:textFill>
            <w14:solidFill>
              <w14:schemeClr w14:val="tx1"/>
            </w14:solidFill>
          </w14:textFill>
        </w:rPr>
        <w:t>2 执行标准</w:t>
      </w:r>
      <w:bookmarkEnd w:id="200"/>
      <w:bookmarkEnd w:id="201"/>
      <w:bookmarkEnd w:id="202"/>
    </w:p>
    <w:bookmarkEnd w:id="203"/>
    <w:p>
      <w:pPr>
        <w:spacing w:line="48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bidi="ar"/>
          <w14:textFill>
            <w14:solidFill>
              <w14:schemeClr w14:val="tx1"/>
            </w14:solidFill>
          </w14:textFill>
        </w:rPr>
        <w:t>2.1 招标方此处所列标准仅为涉及的主要标准，而且不保证其为最新版执行标准；投标方应当在投标文件中予以补充和完善。</w:t>
      </w:r>
    </w:p>
    <w:p>
      <w:pPr>
        <w:spacing w:line="48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bidi="ar"/>
          <w14:textFill>
            <w14:solidFill>
              <w14:schemeClr w14:val="tx1"/>
            </w14:solidFill>
          </w14:textFill>
        </w:rPr>
        <w:t>2.2 投标方需要执行的标准，应当以所供设备通过招标方将来组织的最终验收之日后需要执行的标准。</w:t>
      </w:r>
    </w:p>
    <w:p>
      <w:pPr>
        <w:spacing w:line="480" w:lineRule="exact"/>
        <w:ind w:firstLine="420" w:firstLineChars="200"/>
        <w:rPr>
          <w:rFonts w:hint="eastAsia" w:ascii="仿宋" w:hAnsi="仿宋" w:eastAsia="仿宋" w:cs="仿宋"/>
          <w:color w:val="000000" w:themeColor="text1"/>
          <w:lang w:bidi="ar"/>
          <w14:textFill>
            <w14:solidFill>
              <w14:schemeClr w14:val="tx1"/>
            </w14:solidFill>
          </w14:textFill>
        </w:rPr>
      </w:pPr>
      <w:r>
        <w:rPr>
          <w:rFonts w:hint="eastAsia" w:ascii="仿宋" w:hAnsi="仿宋" w:eastAsia="仿宋" w:cs="仿宋"/>
          <w:color w:val="000000" w:themeColor="text1"/>
          <w:lang w:bidi="ar"/>
          <w14:textFill>
            <w14:solidFill>
              <w14:schemeClr w14:val="tx1"/>
            </w14:solidFill>
          </w14:textFill>
        </w:rPr>
        <w:t>2.3 涉及的主要标准表（包含但不限于）</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4984"/>
        <w:gridCol w:w="2116"/>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序号</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标准名称</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标准编号</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电工成套装置中的导线颜色</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GB/T2681-81</w:t>
            </w:r>
          </w:p>
        </w:tc>
        <w:tc>
          <w:tcPr>
            <w:tcW w:w="670"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电工成套装置中的指示灯和按钮的颜色</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GB/T2682-81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电能质量公用电网谐波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GB/T14549-93</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防止上下肢触及危险区的安全距离</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GB/T23821-2022</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双手操纵装置 设计和选择原则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GB/T19671-2022</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安全防护的实施准则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GB/T30574-2021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接近机械的固定设施 </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17888-2020</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《工业企业设计卫生标准》</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 1-2002</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《工业企业噪声控制设计规范》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GB/T50087-2013</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《工业企业噪声测量规范》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GBJ122-88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GBZ/T189.1-2007</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高耗能落后机电设备（产品）淘汰目录（第二批）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高耗能落后机电设备（产品）淘汰目录（第三批）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高耗能落后机电设备（产品）淘汰目录（第一批）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高耗能落后机电设备（产品）淘汰目录（第四批）</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节能机电设备（产品）推荐目录</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工业和信息化部</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用能单位能源计量器具配备和管理</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GB17167-2006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《工作场所物理因素测量》第8部分噪声</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GBZ/T189.8-2007</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19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钢结构防火涂料通用技术条件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GB/T14907-94</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建筑机械与设备涂装通用技术条件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GB/T5011.12-92</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接近机械的固定设施</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17888-2020</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环链电动葫芦技术条件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JB/T5317.2-1991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柔性组合式悬挂起重机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JB/T 10381-2002</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起重机械超载保护装置安全技术规范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GB12602-90</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起重机试验规范和程序</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5905-2011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GB/T3811-2008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起重机安全规程第1部分总则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GB/T6067.1-2010</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起重机安全规程第5部分桥式和门式起重机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GB/T6067.5-2014</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29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通用桥式起重机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GB/T14405-2011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机械电气安全机械电气设备第32部分；起重机械技术条件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GB/T5223.32-2017</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起重机司机室第1部分总则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GB/T20303.1-2016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起重机司机室第5部分桥式和门式起重机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GB/T20303.5-2006</w:t>
            </w:r>
          </w:p>
        </w:tc>
        <w:tc>
          <w:tcPr>
            <w:tcW w:w="670" w:type="dxa"/>
            <w:vMerge w:val="restart"/>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起重机载荷与载荷组合的设计原则 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22437.1-2018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起重吊具分类</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35975-2018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起重机和动芦绳、和滑轮的选择</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GB/T34029-2017</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起重机用钢丝绳</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GM/T3418-2017</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起重机钢丝绳保养、维护、检验和报废</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5972-2016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起重机检查第1部分；总则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GB/T23723.1-2016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39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起重机械检查与维护规程 第7部分；杆起重机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20303.1-2016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起重机械检查与维护规程第10部分；轻小型起重设备</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20303.1-2016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起重机械检查与维护规程第1部分；总则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GB/T31052.10-2016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工作和非工作状态下的锚定装置第1部分；总则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31052.1-2014</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起重机械用电力驱动起升机构能效测试方法</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31051.1-2014</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起重机械用电动机能效测试方法第3部分；锥形转子三相异步电动机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29562.3-2013</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通道及安全防护设施第1部分；总则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24818.1-2009</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通道及安全防护设施第5部分；桥式和门式起重机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24818.5-2009</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载荷与载荷组合的设计原则第5部分；桥式和门式起重机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GB/T22437.5-2008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分级第5部分；桥式和门式起重机</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20863.5-2007</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49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桥式和门式起重机 制造及轨道安装公差</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10183-2005</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备件手册</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18875-2002</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 维护手册第1部分；总则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18453-2001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起重机和起重机械 技术性能和验收文件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17908-1999</w:t>
            </w:r>
          </w:p>
        </w:tc>
        <w:tc>
          <w:tcPr>
            <w:tcW w:w="670" w:type="dxa"/>
            <w:vMerge w:val="restart"/>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电动桥式起重机跨度和起升高度系列</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 790-1995</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电气设备安全设计导则</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GB/T25295-2010</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strike/>
                <w:dstrike w:val="0"/>
                <w:sz w:val="21"/>
                <w:szCs w:val="21"/>
                <w:highlight w:val="none"/>
                <w:lang w:bidi="ar"/>
              </w:rPr>
            </w:pPr>
            <w:r>
              <w:rPr>
                <w:rFonts w:hint="eastAsia" w:ascii="仿宋" w:hAnsi="仿宋" w:eastAsia="仿宋" w:cs="仿宋"/>
                <w:color w:val="000000" w:themeColor="text1"/>
                <w:sz w:val="21"/>
                <w:szCs w:val="21"/>
                <w:highlight w:val="none"/>
                <w:lang w:val="en-US" w:eastAsia="zh-CN" w:bidi="ar"/>
                <w14:textFill>
                  <w14:solidFill>
                    <w14:schemeClr w14:val="tx1"/>
                  </w14:solidFill>
                </w14:textFill>
              </w:rPr>
              <w:t>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trike/>
                <w:dstrike w:val="0"/>
                <w:sz w:val="21"/>
                <w:szCs w:val="21"/>
                <w:highlight w:val="none"/>
                <w:lang w:bidi="ar"/>
              </w:rPr>
            </w:pPr>
            <w:r>
              <w:rPr>
                <w:rFonts w:hint="eastAsia" w:ascii="仿宋" w:hAnsi="仿宋" w:eastAsia="仿宋" w:cs="仿宋"/>
                <w:color w:val="000000" w:themeColor="text1"/>
                <w:sz w:val="21"/>
                <w:szCs w:val="21"/>
                <w:highlight w:val="none"/>
                <w:lang w:bidi="ar"/>
                <w14:textFill>
                  <w14:solidFill>
                    <w14:schemeClr w14:val="tx1"/>
                  </w14:solidFill>
                </w14:textFill>
              </w:rPr>
              <w:t>《起重机安全起重吊具》</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trike/>
                <w:dstrike w:val="0"/>
                <w:sz w:val="21"/>
                <w:szCs w:val="21"/>
                <w:highlight w:val="none"/>
                <w:lang w:bidi="ar"/>
              </w:rPr>
            </w:pPr>
            <w:r>
              <w:rPr>
                <w:rFonts w:hint="eastAsia" w:ascii="仿宋" w:hAnsi="仿宋" w:eastAsia="仿宋" w:cs="仿宋"/>
                <w:color w:val="000000" w:themeColor="text1"/>
                <w:sz w:val="21"/>
                <w:szCs w:val="21"/>
                <w:highlight w:val="none"/>
                <w:lang w:bidi="ar"/>
                <w14:textFill>
                  <w14:solidFill>
                    <w14:schemeClr w14:val="tx1"/>
                  </w14:solidFill>
                </w14:textFill>
              </w:rPr>
              <w:t>GB/T 41098-2021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起重机械安全监控管理系统</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GB/T28264-2017</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气焊、手工焊及气保焊焊缝坡口基本形式与尺寸</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GB986-1998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旋转电机整体结构的防护等级</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GB/T4942.1-2006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59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供配电系统设计规范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GB50052-2016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低压配电设计规范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GB50054-2011</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优质碳素结构钢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GB699-88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碳素结构钢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GB700-88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起重机车轮</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JB/T6392-2008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64</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重要用途钢丝绳</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GB8918-2006</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65</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低合金结构钢</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GB1348-88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66</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一般工程用铸造碳钢件</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GB11352-89</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67</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起重机用三合一减速器检验标准与规范(3)</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J8/T9003-2004</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trike w:val="0"/>
                <w:dstrike w:val="0"/>
                <w:sz w:val="21"/>
                <w:szCs w:val="21"/>
                <w:highlight w:val="none"/>
                <w:lang w:bidi="ar"/>
              </w:rPr>
              <w:t>68</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钢熔化焊对接头射线照相和质量分级</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GB/T3323-2005</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69</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焊缝无损检测技术、检测等级和评定</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GB11345-2013</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70</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涂覆涂料前钢材表面处理</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GB/T8923.2-2008</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71</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起重设备安装工程施工及验收规范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GB50278-2010</w:t>
            </w:r>
          </w:p>
        </w:tc>
        <w:tc>
          <w:tcPr>
            <w:tcW w:w="670" w:type="dxa"/>
            <w:vMerge w:val="restart"/>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72</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电气装置安装工程起重机电气装置施工及验收规范</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GB50256-2014</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bottom"/>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73</w:t>
            </w:r>
          </w:p>
        </w:tc>
        <w:tc>
          <w:tcPr>
            <w:tcW w:w="4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吊车轨道联结及车挡</w:t>
            </w:r>
          </w:p>
        </w:tc>
        <w:tc>
          <w:tcPr>
            <w:tcW w:w="2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lang w:bidi="ar"/>
              </w:rPr>
            </w:pPr>
            <w:r>
              <w:rPr>
                <w:rFonts w:hint="eastAsia" w:ascii="仿宋" w:hAnsi="仿宋" w:eastAsia="仿宋" w:cs="仿宋"/>
                <w:sz w:val="21"/>
                <w:szCs w:val="21"/>
                <w:highlight w:val="none"/>
                <w:lang w:bidi="ar"/>
              </w:rPr>
              <w:t>05G525</w:t>
            </w:r>
          </w:p>
        </w:tc>
        <w:tc>
          <w:tcPr>
            <w:tcW w:w="670"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tLeast"/>
              <w:jc w:val="both"/>
              <w:rPr>
                <w:rFonts w:hint="eastAsia" w:ascii="仿宋" w:hAnsi="仿宋" w:eastAsia="仿宋" w:cs="仿宋"/>
                <w:sz w:val="21"/>
                <w:szCs w:val="21"/>
                <w:highlight w:val="none"/>
              </w:rPr>
            </w:pPr>
          </w:p>
        </w:tc>
      </w:tr>
    </w:tbl>
    <w:p>
      <w:pPr>
        <w:spacing w:line="360" w:lineRule="exact"/>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lang w:bidi="ar"/>
          <w14:textFill>
            <w14:solidFill>
              <w14:schemeClr w14:val="tx1"/>
            </w14:solidFill>
          </w14:textFill>
        </w:rPr>
        <w:t>备注：1、如果有采用国际标准的货物，其执行标准由投标方提供、招标方确认。</w:t>
      </w:r>
    </w:p>
    <w:p>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204" w:name="_Toc73112401"/>
      <w:bookmarkStart w:id="205" w:name="_Toc14059"/>
      <w:bookmarkStart w:id="206" w:name="_Toc5212"/>
      <w:bookmarkStart w:id="207" w:name="_Toc12179"/>
      <w:bookmarkStart w:id="208" w:name="_Toc26406"/>
      <w:bookmarkStart w:id="209" w:name="_Toc20016"/>
      <w:bookmarkStart w:id="210" w:name="_Toc22289"/>
      <w:bookmarkStart w:id="211" w:name="_Toc6412"/>
      <w:bookmarkStart w:id="212" w:name="_Toc17980"/>
      <w:bookmarkStart w:id="213" w:name="_Toc30383"/>
      <w:bookmarkStart w:id="214" w:name="_Toc6030"/>
      <w:bookmarkStart w:id="215" w:name="_Toc5402"/>
      <w:bookmarkStart w:id="216" w:name="_Toc20964"/>
      <w:bookmarkStart w:id="217" w:name="_Toc8461"/>
      <w:bookmarkStart w:id="218" w:name="_Toc7623"/>
      <w:bookmarkStart w:id="219" w:name="_Toc1883"/>
      <w:bookmarkStart w:id="220" w:name="_Toc3292"/>
      <w:bookmarkStart w:id="221" w:name="_Toc13423"/>
      <w:bookmarkStart w:id="222" w:name="_Toc16137"/>
      <w:bookmarkStart w:id="223" w:name="_Toc19476"/>
      <w:bookmarkStart w:id="224" w:name="_Toc32758"/>
      <w:bookmarkStart w:id="225" w:name="_Toc21638"/>
      <w:bookmarkStart w:id="226" w:name="_Toc4217"/>
      <w:bookmarkStart w:id="227" w:name="_Toc29779"/>
      <w:bookmarkStart w:id="228" w:name="_Toc13103"/>
      <w:bookmarkStart w:id="229" w:name="_Toc17231"/>
      <w:bookmarkStart w:id="230" w:name="_Toc26387"/>
      <w:bookmarkStart w:id="231" w:name="_Toc19250"/>
      <w:bookmarkStart w:id="232" w:name="_Toc4470"/>
      <w:bookmarkStart w:id="233" w:name="_Toc1411"/>
      <w:bookmarkStart w:id="234" w:name="_Toc29247"/>
      <w:bookmarkStart w:id="235" w:name="_Toc31630"/>
      <w:bookmarkStart w:id="236" w:name="_Toc12125"/>
      <w:bookmarkStart w:id="237" w:name="_Toc7648"/>
      <w:bookmarkStart w:id="238" w:name="_Toc11599"/>
      <w:bookmarkStart w:id="239" w:name="_Toc7895"/>
      <w:bookmarkStart w:id="240" w:name="_Toc5441"/>
      <w:bookmarkStart w:id="241" w:name="_Toc1676"/>
      <w:bookmarkStart w:id="242" w:name="_Toc27027"/>
      <w:bookmarkStart w:id="243" w:name="_Toc23967"/>
      <w:bookmarkStart w:id="244" w:name="_Toc27157"/>
      <w:bookmarkStart w:id="245" w:name="_Toc32006"/>
      <w:bookmarkStart w:id="246" w:name="_Toc7786"/>
      <w:bookmarkStart w:id="247" w:name="_Toc19638"/>
      <w:r>
        <w:rPr>
          <w:rFonts w:hint="eastAsia" w:ascii="仿宋" w:hAnsi="仿宋" w:eastAsia="仿宋" w:cs="仿宋"/>
          <w:b/>
          <w:bCs/>
          <w:color w:val="000000" w:themeColor="text1"/>
          <w14:textFill>
            <w14:solidFill>
              <w14:schemeClr w14:val="tx1"/>
            </w14:solidFill>
          </w14:textFill>
        </w:rPr>
        <w:t>3技术规范</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在基本要求和执行标准基础上，本技术标书对所采购的货物的技术及使用等方面作出如下要求：</w:t>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3.1功能用途：</w:t>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3.1.1</w:t>
      </w:r>
      <w:r>
        <w:rPr>
          <w:rFonts w:hint="eastAsia" w:ascii="仿宋" w:hAnsi="仿宋" w:eastAsia="仿宋" w:cs="仿宋"/>
          <w:color w:val="000000" w:themeColor="text1"/>
          <w14:textFill>
            <w14:solidFill>
              <w14:schemeClr w14:val="tx1"/>
            </w14:solidFill>
          </w14:textFill>
        </w:rPr>
        <w:t>铸铁二线、铸铁三线及曼一线柔性吊</w:t>
      </w:r>
      <w:r>
        <w:rPr>
          <w:rFonts w:hint="eastAsia" w:ascii="仿宋" w:hAnsi="仿宋" w:eastAsia="仿宋" w:cs="仿宋"/>
          <w:color w:val="000000" w:themeColor="text1"/>
          <w:lang w:eastAsia="zh-CN"/>
          <w14:textFill>
            <w14:solidFill>
              <w14:schemeClr w14:val="tx1"/>
            </w14:solidFill>
          </w14:textFill>
        </w:rPr>
        <w:t>纵轨</w:t>
      </w:r>
      <w:r>
        <w:rPr>
          <w:rFonts w:hint="eastAsia" w:ascii="仿宋" w:hAnsi="仿宋" w:eastAsia="仿宋" w:cs="仿宋"/>
          <w:color w:val="000000" w:themeColor="text1"/>
          <w14:textFill>
            <w14:solidFill>
              <w14:schemeClr w14:val="tx1"/>
            </w14:solidFill>
          </w14:textFill>
        </w:rPr>
        <w:t>南北方向排列，横</w:t>
      </w:r>
      <w:r>
        <w:rPr>
          <w:rFonts w:hint="eastAsia" w:ascii="仿宋" w:hAnsi="仿宋" w:eastAsia="仿宋" w:cs="仿宋"/>
          <w:color w:val="000000" w:themeColor="text1"/>
          <w:lang w:val="en-US" w:eastAsia="zh-CN"/>
          <w14:textFill>
            <w14:solidFill>
              <w14:schemeClr w14:val="tx1"/>
            </w14:solidFill>
          </w14:textFill>
        </w:rPr>
        <w:t>轨</w:t>
      </w:r>
      <w:r>
        <w:rPr>
          <w:rFonts w:hint="eastAsia" w:ascii="仿宋" w:hAnsi="仿宋" w:eastAsia="仿宋" w:cs="仿宋"/>
          <w:color w:val="000000" w:themeColor="text1"/>
          <w14:textFill>
            <w14:solidFill>
              <w14:schemeClr w14:val="tx1"/>
            </w14:solidFill>
          </w14:textFill>
        </w:rPr>
        <w:t>东西方向排列。压装线及清洗线柔性吊</w:t>
      </w:r>
      <w:r>
        <w:rPr>
          <w:rFonts w:hint="eastAsia" w:ascii="仿宋" w:hAnsi="仿宋" w:eastAsia="仿宋" w:cs="仿宋"/>
          <w:color w:val="000000" w:themeColor="text1"/>
          <w:lang w:eastAsia="zh-CN"/>
          <w14:textFill>
            <w14:solidFill>
              <w14:schemeClr w14:val="tx1"/>
            </w14:solidFill>
          </w14:textFill>
        </w:rPr>
        <w:t>纵轨</w:t>
      </w:r>
      <w:r>
        <w:rPr>
          <w:rFonts w:hint="eastAsia" w:ascii="仿宋" w:hAnsi="仿宋" w:eastAsia="仿宋" w:cs="仿宋"/>
          <w:color w:val="000000" w:themeColor="text1"/>
          <w14:textFill>
            <w14:solidFill>
              <w14:schemeClr w14:val="tx1"/>
            </w14:solidFill>
          </w14:textFill>
        </w:rPr>
        <w:t>东西方向排列，横梁南北方向排列。用于各种桥壳的吊运；</w:t>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p>
    <w:p>
      <w:pPr>
        <w:pStyle w:val="17"/>
        <w:snapToGrid w:val="0"/>
        <w:spacing w:line="360" w:lineRule="auto"/>
        <w:ind w:firstLine="480" w:firstLineChars="200"/>
        <w:jc w:val="center"/>
      </w:pPr>
      <w:r>
        <w:drawing>
          <wp:inline distT="0" distB="0" distL="114300" distR="114300">
            <wp:extent cx="4202430" cy="5477510"/>
            <wp:effectExtent l="0" t="0" r="7620" b="889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4"/>
                    <a:stretch>
                      <a:fillRect/>
                    </a:stretch>
                  </pic:blipFill>
                  <pic:spPr>
                    <a:xfrm>
                      <a:off x="0" y="0"/>
                      <a:ext cx="4202430" cy="5477510"/>
                    </a:xfrm>
                    <a:prstGeom prst="rect">
                      <a:avLst/>
                    </a:prstGeom>
                    <a:noFill/>
                    <a:ln>
                      <a:noFill/>
                    </a:ln>
                  </pic:spPr>
                </pic:pic>
              </a:graphicData>
            </a:graphic>
          </wp:inline>
        </w:drawing>
      </w:r>
    </w:p>
    <w:p>
      <w:pPr>
        <w:pStyle w:val="17"/>
        <w:snapToGrid w:val="0"/>
        <w:spacing w:line="360" w:lineRule="auto"/>
        <w:ind w:firstLine="480" w:firstLineChars="200"/>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lang w:val="en-US" w:eastAsia="zh-CN"/>
          <w14:textFill>
            <w14:solidFill>
              <w14:schemeClr w14:val="tx1"/>
            </w14:solidFill>
          </w14:textFill>
        </w:rPr>
        <w:t>3.1.2在驱动桥装配三线：双级桥主减装配工位加装2套柔性吊。</w:t>
      </w:r>
    </w:p>
    <w:p>
      <w:pPr>
        <w:pStyle w:val="116"/>
        <w:spacing w:line="360" w:lineRule="auto"/>
        <w:ind w:left="0" w:leftChars="0" w:firstLine="0" w:firstLineChars="0"/>
      </w:pPr>
      <w:r>
        <w:drawing>
          <wp:inline distT="0" distB="0" distL="114300" distR="114300">
            <wp:extent cx="5262245" cy="1212215"/>
            <wp:effectExtent l="0" t="0" r="1460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5262245" cy="1212215"/>
                    </a:xfrm>
                    <a:prstGeom prst="rect">
                      <a:avLst/>
                    </a:prstGeom>
                    <a:noFill/>
                    <a:ln>
                      <a:noFill/>
                    </a:ln>
                  </pic:spPr>
                </pic:pic>
              </a:graphicData>
            </a:graphic>
          </wp:inline>
        </w:drawing>
      </w:r>
    </w:p>
    <w:p>
      <w:pPr>
        <w:pStyle w:val="17"/>
        <w:snapToGrid w:val="0"/>
        <w:spacing w:line="360" w:lineRule="auto"/>
        <w:ind w:firstLine="48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3.1.2建设方案要求</w:t>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1）</w:t>
      </w:r>
      <w:r>
        <w:rPr>
          <w:rFonts w:hint="eastAsia" w:ascii="仿宋" w:hAnsi="仿宋" w:eastAsia="仿宋" w:cs="仿宋"/>
          <w:color w:val="000000" w:themeColor="text1"/>
          <w14:textFill>
            <w14:solidFill>
              <w14:schemeClr w14:val="tx1"/>
            </w14:solidFill>
          </w14:textFill>
        </w:rPr>
        <w:t>曼一线：对整线柔性吊纵轨、滑线进行更换，横轨长度8米，起升高度不低于3.8米</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纵轨</w:t>
      </w:r>
      <w:r>
        <w:rPr>
          <w:rFonts w:hint="eastAsia" w:ascii="仿宋" w:hAnsi="仿宋" w:eastAsia="仿宋" w:cs="仿宋"/>
          <w:color w:val="000000" w:themeColor="text1"/>
          <w:lang w:val="en-US" w:eastAsia="zh-CN"/>
          <w14:textFill>
            <w14:solidFill>
              <w14:schemeClr w14:val="tx1"/>
            </w14:solidFill>
          </w14:textFill>
        </w:rPr>
        <w:t>两根，每根106米</w:t>
      </w:r>
      <w:r>
        <w:rPr>
          <w:rFonts w:hint="eastAsia" w:ascii="仿宋" w:hAnsi="仿宋" w:eastAsia="仿宋" w:cs="仿宋"/>
          <w:color w:val="000000" w:themeColor="text1"/>
          <w14:textFill>
            <w14:solidFill>
              <w14:schemeClr w14:val="tx1"/>
            </w14:solidFill>
          </w14:textFill>
        </w:rPr>
        <w:t>，安装在现有钢结构上，跨度7米；更换现场7挂250kg柔性吊（含横轨），对剩余12挂柔性吊改造相应集电器及支架。</w:t>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铸铁二线：对整线柔性吊纵轨、滑线进行更换，横轨长度8米，起升高度不低于3.8米</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纵轨</w:t>
      </w:r>
      <w:r>
        <w:rPr>
          <w:rFonts w:hint="eastAsia" w:ascii="仿宋" w:hAnsi="仿宋" w:eastAsia="仿宋" w:cs="仿宋"/>
          <w:color w:val="000000" w:themeColor="text1"/>
          <w:lang w:val="en-US" w:eastAsia="zh-CN"/>
          <w14:textFill>
            <w14:solidFill>
              <w14:schemeClr w14:val="tx1"/>
            </w14:solidFill>
          </w14:textFill>
        </w:rPr>
        <w:t>两根，每根90米</w:t>
      </w:r>
      <w:r>
        <w:rPr>
          <w:rFonts w:hint="eastAsia" w:ascii="仿宋" w:hAnsi="仿宋" w:eastAsia="仿宋" w:cs="仿宋"/>
          <w:color w:val="000000" w:themeColor="text1"/>
          <w14:textFill>
            <w14:solidFill>
              <w14:schemeClr w14:val="tx1"/>
            </w14:solidFill>
          </w14:textFill>
        </w:rPr>
        <w:t>，安装在现有钢结构上，跨度7米；更换现场11挂250kg柔性吊（含横轨），对剩余1挂柔性吊改造相应集电器及支架。</w:t>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铸铁三线：对整线柔性吊纵轨、滑线进行更换，横轨长度8米，起升高度不低于3.8米</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纵轨</w:t>
      </w:r>
      <w:r>
        <w:rPr>
          <w:rFonts w:hint="eastAsia" w:ascii="仿宋" w:hAnsi="仿宋" w:eastAsia="仿宋" w:cs="仿宋"/>
          <w:color w:val="000000" w:themeColor="text1"/>
          <w:lang w:val="en-US" w:eastAsia="zh-CN"/>
          <w14:textFill>
            <w14:solidFill>
              <w14:schemeClr w14:val="tx1"/>
            </w14:solidFill>
          </w14:textFill>
        </w:rPr>
        <w:t>两根，每根80米</w:t>
      </w:r>
      <w:r>
        <w:rPr>
          <w:rFonts w:hint="eastAsia" w:ascii="仿宋" w:hAnsi="仿宋" w:eastAsia="仿宋" w:cs="仿宋"/>
          <w:color w:val="000000" w:themeColor="text1"/>
          <w14:textFill>
            <w14:solidFill>
              <w14:schemeClr w14:val="tx1"/>
            </w14:solidFill>
          </w14:textFill>
        </w:rPr>
        <w:t>，安装在现有钢结构上，跨度7米；更换现场10挂250kg柔性吊，对剩余2挂柔性吊改造相应集电器及支架。</w:t>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4）</w:t>
      </w:r>
      <w:r>
        <w:rPr>
          <w:rFonts w:hint="eastAsia" w:ascii="仿宋" w:hAnsi="仿宋" w:eastAsia="仿宋" w:cs="仿宋"/>
          <w:color w:val="000000" w:themeColor="text1"/>
          <w14:textFill>
            <w14:solidFill>
              <w14:schemeClr w14:val="tx1"/>
            </w14:solidFill>
          </w14:textFill>
        </w:rPr>
        <w:t>压装线：对整线柔性吊纵轨、滑线进行更换，横轨长度9米，起升高度不低于3.8米</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纵轨</w:t>
      </w:r>
      <w:r>
        <w:rPr>
          <w:rFonts w:hint="eastAsia" w:ascii="仿宋" w:hAnsi="仿宋" w:eastAsia="仿宋" w:cs="仿宋"/>
          <w:color w:val="000000" w:themeColor="text1"/>
          <w:lang w:val="en-US" w:eastAsia="zh-CN"/>
          <w14:textFill>
            <w14:solidFill>
              <w14:schemeClr w14:val="tx1"/>
            </w14:solidFill>
          </w14:textFill>
        </w:rPr>
        <w:t>两根，每根18米</w:t>
      </w:r>
      <w:r>
        <w:rPr>
          <w:rFonts w:hint="eastAsia" w:ascii="仿宋" w:hAnsi="仿宋" w:eastAsia="仿宋" w:cs="仿宋"/>
          <w:color w:val="000000" w:themeColor="text1"/>
          <w14:textFill>
            <w14:solidFill>
              <w14:schemeClr w14:val="tx1"/>
            </w14:solidFill>
          </w14:textFill>
        </w:rPr>
        <w:t>，安装在现有钢结构上，跨度8米；更换现场5挂250kg柔性吊（含横轨），对剩余5挂柔性吊改造相应集电器及支架。</w:t>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5）</w:t>
      </w:r>
      <w:r>
        <w:rPr>
          <w:rFonts w:hint="eastAsia" w:ascii="仿宋" w:hAnsi="仿宋" w:eastAsia="仿宋" w:cs="仿宋"/>
          <w:color w:val="000000" w:themeColor="text1"/>
          <w14:textFill>
            <w14:solidFill>
              <w14:schemeClr w14:val="tx1"/>
            </w14:solidFill>
          </w14:textFill>
        </w:rPr>
        <w:t>清洗线：对整线柔性吊纵轨、滑线进行更换，横轨长度8.5米，起升高度不低于3.8米</w:t>
      </w:r>
      <w:r>
        <w:rPr>
          <w:rFonts w:hint="eastAsia" w:ascii="仿宋" w:hAnsi="仿宋" w:eastAsia="仿宋" w:cs="仿宋"/>
          <w:color w:val="000000" w:themeColor="text1"/>
          <w:lang w:eastAsia="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纵轨</w:t>
      </w:r>
      <w:r>
        <w:rPr>
          <w:rFonts w:hint="eastAsia" w:ascii="仿宋" w:hAnsi="仿宋" w:eastAsia="仿宋" w:cs="仿宋"/>
          <w:color w:val="000000" w:themeColor="text1"/>
          <w:lang w:val="en-US" w:eastAsia="zh-CN"/>
          <w14:textFill>
            <w14:solidFill>
              <w14:schemeClr w14:val="tx1"/>
            </w14:solidFill>
          </w14:textFill>
        </w:rPr>
        <w:t>两根，每根24.5米</w:t>
      </w:r>
      <w:r>
        <w:rPr>
          <w:rFonts w:hint="eastAsia" w:ascii="仿宋" w:hAnsi="仿宋" w:eastAsia="仿宋" w:cs="仿宋"/>
          <w:color w:val="000000" w:themeColor="text1"/>
          <w14:textFill>
            <w14:solidFill>
              <w14:schemeClr w14:val="tx1"/>
            </w14:solidFill>
          </w14:textFill>
        </w:rPr>
        <w:t>，安装在现有钢结构上，跨度7米；更换现场3挂250kg柔性吊（含横轨），对剩余1挂柔性吊改造相应集电器及支架。</w:t>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抛丸线：更换250kg环链电动葫芦7个。</w:t>
      </w:r>
    </w:p>
    <w:p>
      <w:pPr>
        <w:pStyle w:val="17"/>
        <w:snapToGrid w:val="0"/>
        <w:spacing w:line="360" w:lineRule="auto"/>
        <w:ind w:firstLine="48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7）驱动桥装配三线：双级桥主减装配工位加装2个0.5T环链电动葫芦、1个8m横轨、新增3M纵轨以及集电器及支架等；其中1个电动葫芦安装在新增8m横轨上，横轨安装在现有纵轨上（跨度7.5米）；1个电动葫芦安装在新增纵轨上，纵轨固定在线体中线上方钢结构上。</w:t>
      </w:r>
    </w:p>
    <w:p>
      <w:pPr>
        <w:pStyle w:val="17"/>
        <w:snapToGrid w:val="0"/>
        <w:spacing w:line="360" w:lineRule="auto"/>
        <w:ind w:left="0" w:leftChars="0" w:firstLine="0" w:firstLineChars="0"/>
        <w:rPr>
          <w:rFonts w:hint="eastAsia" w:ascii="仿宋" w:hAnsi="仿宋" w:eastAsia="仿宋" w:cs="仿宋"/>
          <w:color w:val="000000" w:themeColor="text1"/>
          <w:lang w:val="en-US" w:eastAsia="zh-CN"/>
          <w14:textFill>
            <w14:solidFill>
              <w14:schemeClr w14:val="tx1"/>
            </w14:solidFill>
          </w14:textFill>
        </w:rPr>
      </w:pPr>
      <w:r>
        <w:drawing>
          <wp:inline distT="0" distB="0" distL="114300" distR="114300">
            <wp:extent cx="5203190" cy="1242060"/>
            <wp:effectExtent l="0" t="0" r="16510" b="1524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6"/>
                    <a:stretch>
                      <a:fillRect/>
                    </a:stretch>
                  </pic:blipFill>
                  <pic:spPr>
                    <a:xfrm>
                      <a:off x="0" y="0"/>
                      <a:ext cx="5203190" cy="1242060"/>
                    </a:xfrm>
                    <a:prstGeom prst="rect">
                      <a:avLst/>
                    </a:prstGeom>
                    <a:noFill/>
                    <a:ln>
                      <a:noFill/>
                    </a:ln>
                  </pic:spPr>
                </pic:pic>
              </a:graphicData>
            </a:graphic>
          </wp:inline>
        </w:drawing>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柔性吊具体</w:t>
      </w:r>
      <w:r>
        <w:rPr>
          <w:rFonts w:hint="eastAsia" w:ascii="仿宋" w:hAnsi="仿宋" w:eastAsia="仿宋" w:cs="仿宋"/>
          <w:color w:val="000000" w:themeColor="text1"/>
          <w:lang w:val="en-US" w:eastAsia="zh-CN"/>
          <w14:textFill>
            <w14:solidFill>
              <w14:schemeClr w14:val="tx1"/>
            </w14:solidFill>
          </w14:textFill>
        </w:rPr>
        <w:t>数量归纳</w:t>
      </w:r>
      <w:r>
        <w:rPr>
          <w:rFonts w:hint="eastAsia" w:ascii="仿宋" w:hAnsi="仿宋" w:eastAsia="仿宋" w:cs="仿宋"/>
          <w:color w:val="000000" w:themeColor="text1"/>
          <w14:textFill>
            <w14:solidFill>
              <w14:schemeClr w14:val="tx1"/>
            </w14:solidFill>
          </w14:textFill>
        </w:rPr>
        <w:t>如下：</w:t>
      </w:r>
    </w:p>
    <w:tbl>
      <w:tblPr>
        <w:tblStyle w:val="31"/>
        <w:tblW w:w="81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96"/>
        <w:gridCol w:w="914"/>
        <w:gridCol w:w="876"/>
        <w:gridCol w:w="768"/>
        <w:gridCol w:w="892"/>
        <w:gridCol w:w="969"/>
        <w:gridCol w:w="1153"/>
        <w:gridCol w:w="13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19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生产线</w:t>
            </w:r>
          </w:p>
        </w:tc>
        <w:tc>
          <w:tcPr>
            <w:tcW w:w="91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规格</w:t>
            </w:r>
          </w:p>
        </w:tc>
        <w:tc>
          <w:tcPr>
            <w:tcW w:w="1644"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纵轨</w:t>
            </w:r>
          </w:p>
        </w:tc>
        <w:tc>
          <w:tcPr>
            <w:tcW w:w="1861"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横轨</w:t>
            </w:r>
          </w:p>
        </w:tc>
        <w:tc>
          <w:tcPr>
            <w:tcW w:w="1153" w:type="dxa"/>
            <w:vMerge w:val="restart"/>
            <w:tcBorders>
              <w:top w:val="single" w:color="000000" w:sz="4" w:space="0"/>
              <w:left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环链</w:t>
            </w:r>
          </w:p>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吊葫芦</w:t>
            </w:r>
          </w:p>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/挂</w:t>
            </w:r>
          </w:p>
        </w:tc>
        <w:tc>
          <w:tcPr>
            <w:tcW w:w="1368" w:type="dxa"/>
            <w:vMerge w:val="restart"/>
            <w:tcBorders>
              <w:top w:val="single" w:color="000000" w:sz="4" w:space="0"/>
              <w:left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集电器</w:t>
            </w:r>
            <w:r>
              <w:rPr>
                <w:rFonts w:hint="eastAsia" w:ascii="仿宋" w:hAnsi="仿宋" w:eastAsia="仿宋" w:cs="仿宋"/>
                <w:color w:val="000000"/>
                <w:sz w:val="21"/>
                <w:szCs w:val="21"/>
                <w:lang w:eastAsia="zh-CN"/>
              </w:rPr>
              <w:t>、</w:t>
            </w:r>
            <w:r>
              <w:rPr>
                <w:rFonts w:hint="eastAsia" w:ascii="仿宋" w:hAnsi="仿宋" w:eastAsia="仿宋" w:cs="仿宋"/>
                <w:color w:val="000000" w:themeColor="text1"/>
                <w14:textFill>
                  <w14:solidFill>
                    <w14:schemeClr w14:val="tx1"/>
                  </w14:solidFill>
                </w14:textFill>
              </w:rPr>
              <w:t>支架</w:t>
            </w:r>
            <w:r>
              <w:rPr>
                <w:rFonts w:hint="eastAsia" w:ascii="仿宋" w:hAnsi="仿宋" w:eastAsia="仿宋" w:cs="仿宋"/>
                <w:color w:val="000000"/>
                <w:sz w:val="21"/>
                <w:szCs w:val="21"/>
              </w:rPr>
              <w:t>等附件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p>
        </w:tc>
        <w:tc>
          <w:tcPr>
            <w:tcW w:w="9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长度/m</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跨距/m</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数量/根</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长</w:t>
            </w:r>
            <w:r>
              <w:rPr>
                <w:rFonts w:hint="eastAsia" w:ascii="仿宋" w:hAnsi="仿宋" w:eastAsia="仿宋" w:cs="仿宋"/>
                <w:color w:val="000000"/>
                <w:sz w:val="21"/>
                <w:szCs w:val="21"/>
                <w:lang w:val="en-US" w:eastAsia="zh-CN"/>
              </w:rPr>
              <w:t>：</w:t>
            </w:r>
            <w:r>
              <w:rPr>
                <w:rFonts w:hint="eastAsia" w:ascii="仿宋" w:hAnsi="仿宋" w:eastAsia="仿宋" w:cs="仿宋"/>
                <w:color w:val="000000"/>
                <w:sz w:val="21"/>
                <w:szCs w:val="21"/>
              </w:rPr>
              <w:t>m/根</w:t>
            </w:r>
          </w:p>
        </w:tc>
        <w:tc>
          <w:tcPr>
            <w:tcW w:w="1153" w:type="dxa"/>
            <w:vMerge w:val="continue"/>
            <w:tcBorders>
              <w:left w:val="single" w:color="000000" w:sz="4" w:space="0"/>
              <w:right w:val="single" w:color="000000" w:sz="4" w:space="0"/>
            </w:tcBorders>
            <w:shd w:val="clear" w:color="auto" w:fill="auto"/>
            <w:tcMar>
              <w:top w:w="12" w:type="dxa"/>
              <w:left w:w="12" w:type="dxa"/>
              <w:bottom w:w="72" w:type="dxa"/>
              <w:right w:w="12"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p>
        </w:tc>
        <w:tc>
          <w:tcPr>
            <w:tcW w:w="1368" w:type="dxa"/>
            <w:vMerge w:val="continue"/>
            <w:tcBorders>
              <w:left w:val="single" w:color="000000" w:sz="4" w:space="0"/>
              <w:right w:val="single" w:color="000000" w:sz="4" w:space="0"/>
            </w:tcBorders>
            <w:shd w:val="clear" w:color="auto" w:fill="auto"/>
            <w:tcMar>
              <w:top w:w="12" w:type="dxa"/>
              <w:left w:w="12" w:type="dxa"/>
              <w:bottom w:w="72" w:type="dxa"/>
              <w:right w:w="12"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曼一线</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2×106</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7</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7</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8</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7</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铸铁二线</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2×90</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7</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11</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8</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11</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铸铁三线</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2×80</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7</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10</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8</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10</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压装线</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2×18</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8</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5</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9</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5</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清洗线</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2×24.5</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7</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3</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8.5</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3</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抛丸线</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250Kg</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7</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11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0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驱动桥装配三线</w:t>
            </w:r>
          </w:p>
        </w:tc>
        <w:tc>
          <w:tcPr>
            <w:tcW w:w="91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500Kg</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default" w:ascii="仿宋" w:hAnsi="仿宋" w:eastAsia="仿宋" w:cs="仿宋"/>
                <w:sz w:val="21"/>
                <w:szCs w:val="21"/>
                <w:lang w:val="en-US" w:eastAsia="zh-CN"/>
              </w:rPr>
            </w:pPr>
            <w:r>
              <w:rPr>
                <w:rFonts w:hint="eastAsia" w:ascii="仿宋" w:hAnsi="仿宋" w:eastAsia="仿宋" w:cs="仿宋"/>
                <w:color w:val="000000"/>
                <w:sz w:val="21"/>
                <w:szCs w:val="21"/>
                <w:lang w:val="en-US" w:eastAsia="zh-CN"/>
              </w:rPr>
              <w:t>1×3</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w:t>
            </w: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1</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8</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lang w:eastAsia="zh-CN"/>
              </w:rPr>
            </w:pPr>
            <w:r>
              <w:rPr>
                <w:rFonts w:hint="eastAsia" w:ascii="仿宋" w:hAnsi="仿宋" w:eastAsia="仿宋" w:cs="仿宋"/>
                <w:color w:val="000000"/>
                <w:sz w:val="21"/>
                <w:szCs w:val="21"/>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jc w:val="center"/>
        </w:trPr>
        <w:tc>
          <w:tcPr>
            <w:tcW w:w="211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合计</w:t>
            </w:r>
          </w:p>
        </w:tc>
        <w:tc>
          <w:tcPr>
            <w:tcW w:w="87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637米</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p>
        </w:tc>
        <w:tc>
          <w:tcPr>
            <w:tcW w:w="8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38</w:t>
            </w:r>
          </w:p>
        </w:tc>
        <w:tc>
          <w:tcPr>
            <w:tcW w:w="96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303米</w:t>
            </w:r>
          </w:p>
        </w:tc>
        <w:tc>
          <w:tcPr>
            <w:tcW w:w="11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45</w:t>
            </w:r>
          </w:p>
        </w:tc>
        <w:tc>
          <w:tcPr>
            <w:tcW w:w="136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eastAsia" w:ascii="仿宋" w:hAnsi="仿宋" w:eastAsia="仿宋" w:cs="仿宋"/>
                <w:sz w:val="21"/>
                <w:szCs w:val="21"/>
              </w:rPr>
            </w:pPr>
            <w:r>
              <w:rPr>
                <w:rFonts w:hint="eastAsia" w:ascii="仿宋" w:hAnsi="仿宋" w:eastAsia="仿宋" w:cs="仿宋"/>
                <w:color w:val="000000"/>
                <w:sz w:val="21"/>
                <w:szCs w:val="21"/>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7" w:hRule="atLeast"/>
          <w:jc w:val="center"/>
        </w:trPr>
        <w:tc>
          <w:tcPr>
            <w:tcW w:w="8136" w:type="dxa"/>
            <w:gridSpan w:val="8"/>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bottom w:w="72" w:type="dxa"/>
              <w:right w:w="12" w:type="dxa"/>
            </w:tcMar>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eastAsia" w:ascii="仿宋" w:hAnsi="仿宋" w:eastAsia="仿宋" w:cs="仿宋"/>
                <w:color w:val="000000"/>
                <w:sz w:val="21"/>
                <w:szCs w:val="21"/>
              </w:rPr>
            </w:pPr>
            <w:r>
              <w:rPr>
                <w:rFonts w:hint="eastAsia" w:ascii="仿宋" w:hAnsi="仿宋" w:eastAsia="仿宋" w:cs="仿宋"/>
                <w:color w:val="000000" w:themeColor="text1"/>
                <w:kern w:val="2"/>
                <w:sz w:val="21"/>
                <w:szCs w:val="21"/>
                <w:lang w:val="en-US" w:eastAsia="zh-CN"/>
                <w14:textFill>
                  <w14:solidFill>
                    <w14:schemeClr w14:val="tx1"/>
                  </w14:solidFill>
                </w14:textFill>
              </w:rPr>
              <w:t>采用</w:t>
            </w:r>
            <w:r>
              <w:rPr>
                <w:rFonts w:hint="eastAsia" w:ascii="仿宋" w:hAnsi="仿宋" w:eastAsia="仿宋" w:cs="仿宋"/>
                <w:color w:val="000000" w:themeColor="text1"/>
                <w:kern w:val="2"/>
                <w:sz w:val="21"/>
                <w:szCs w:val="21"/>
                <w14:textFill>
                  <w14:solidFill>
                    <w14:schemeClr w14:val="tx1"/>
                  </w14:solidFill>
                </w14:textFill>
              </w:rPr>
              <w:t>Ⅱ型</w:t>
            </w:r>
            <w:r>
              <w:rPr>
                <w:rFonts w:hint="eastAsia" w:ascii="仿宋" w:hAnsi="仿宋" w:eastAsia="仿宋" w:cs="仿宋"/>
                <w:color w:val="000000" w:themeColor="text1"/>
                <w:kern w:val="2"/>
                <w:sz w:val="21"/>
                <w:szCs w:val="21"/>
                <w:lang w:val="en-US" w:eastAsia="zh-CN"/>
                <w14:textFill>
                  <w14:solidFill>
                    <w14:schemeClr w14:val="tx1"/>
                  </w14:solidFill>
                </w14:textFill>
              </w:rPr>
              <w:t>导轨结构。</w:t>
            </w:r>
          </w:p>
        </w:tc>
      </w:tr>
    </w:tbl>
    <w:p>
      <w:pPr>
        <w:pStyle w:val="17"/>
        <w:keepNext w:val="0"/>
        <w:keepLines w:val="0"/>
        <w:pageBreakBefore w:val="0"/>
        <w:widowControl w:val="0"/>
        <w:numPr>
          <w:ilvl w:val="0"/>
          <w:numId w:val="0"/>
        </w:numPr>
        <w:kinsoku/>
        <w:wordWrap/>
        <w:overflowPunct/>
        <w:topLinePunct w:val="0"/>
        <w:autoSpaceDE/>
        <w:autoSpaceDN/>
        <w:bidi w:val="0"/>
        <w:adjustRightInd/>
        <w:snapToGrid w:val="0"/>
        <w:spacing w:before="164" w:beforeLines="50" w:line="360" w:lineRule="auto"/>
        <w:ind w:firstLine="480" w:firstLineChars="200"/>
        <w:jc w:val="both"/>
        <w:textAlignment w:val="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3.2技术性能参数：</w:t>
      </w:r>
    </w:p>
    <w:p>
      <w:pPr>
        <w:pStyle w:val="17"/>
        <w:snapToGrid w:val="0"/>
        <w:spacing w:line="360" w:lineRule="auto"/>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3.2.1起升高度和跨度：（见采购货物主要构成一览表，仅供参考，以实际</w:t>
      </w:r>
      <w:r>
        <w:rPr>
          <w:rFonts w:hint="eastAsia" w:ascii="仿宋" w:hAnsi="仿宋" w:eastAsia="仿宋" w:cs="仿宋"/>
          <w:color w:val="000000" w:themeColor="text1"/>
          <w:highlight w:val="none"/>
          <w14:textFill>
            <w14:solidFill>
              <w14:schemeClr w14:val="tx1"/>
            </w14:solidFill>
          </w14:textFill>
        </w:rPr>
        <w:t>提升高度和跨度为准）</w:t>
      </w:r>
    </w:p>
    <w:p>
      <w:pPr>
        <w:pStyle w:val="17"/>
        <w:snapToGrid w:val="0"/>
        <w:spacing w:line="360" w:lineRule="auto"/>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★3.2.2 起升速度：环链葫芦＞8-2m/min。</w:t>
      </w:r>
    </w:p>
    <w:p>
      <w:pPr>
        <w:pStyle w:val="17"/>
        <w:snapToGrid w:val="0"/>
        <w:spacing w:line="360" w:lineRule="auto"/>
        <w:ind w:firstLine="480" w:firstLineChars="200"/>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★3.2.3 吊具配置双速电机；高低速控制手柄。</w:t>
      </w:r>
      <w:r>
        <w:rPr>
          <w:rFonts w:hint="eastAsia" w:ascii="仿宋" w:hAnsi="仿宋" w:eastAsia="仿宋" w:cs="仿宋"/>
          <w:color w:val="000000" w:themeColor="text1"/>
          <w:highlight w:val="none"/>
          <w:lang w:val="en-US" w:eastAsia="zh-CN"/>
          <w14:textFill>
            <w14:solidFill>
              <w14:schemeClr w14:val="tx1"/>
            </w14:solidFill>
          </w14:textFill>
        </w:rPr>
        <w:t>控制手柄上的按钮需注明中文名称。</w:t>
      </w:r>
    </w:p>
    <w:p>
      <w:pPr>
        <w:pStyle w:val="17"/>
        <w:snapToGrid w:val="0"/>
        <w:spacing w:line="360" w:lineRule="auto"/>
        <w:ind w:firstLine="480" w:firstLineChars="200"/>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3.2.4 安装：柔性吊安装在买方设计的钢结构上，导轨吊点间</w:t>
      </w:r>
      <w:r>
        <w:rPr>
          <w:rFonts w:hint="eastAsia" w:ascii="仿宋" w:hAnsi="仿宋" w:eastAsia="仿宋" w:cs="仿宋"/>
          <w:color w:val="auto"/>
          <w:highlight w:val="none"/>
        </w:rPr>
        <w:t>距小于1.2m，</w:t>
      </w:r>
      <w:r>
        <w:rPr>
          <w:rFonts w:hint="eastAsia" w:ascii="仿宋" w:hAnsi="仿宋" w:eastAsia="仿宋" w:cs="仿宋"/>
          <w:color w:val="000000" w:themeColor="text1"/>
          <w:highlight w:val="none"/>
          <w14:textFill>
            <w14:solidFill>
              <w14:schemeClr w14:val="tx1"/>
            </w14:solidFill>
          </w14:textFill>
        </w:rPr>
        <w:t>密度均布。</w:t>
      </w:r>
      <w:r>
        <w:rPr>
          <w:rFonts w:hint="eastAsia" w:ascii="仿宋" w:hAnsi="仿宋" w:eastAsia="仿宋" w:cs="仿宋"/>
          <w:color w:val="000000" w:themeColor="text1"/>
          <w:highlight w:val="none"/>
          <w:lang w:val="en-US" w:eastAsia="zh-CN"/>
          <w14:textFill>
            <w14:solidFill>
              <w14:schemeClr w14:val="tx1"/>
            </w14:solidFill>
          </w14:textFill>
        </w:rPr>
        <w:t>导轨与工字钢之间需安装防坠落装置。</w:t>
      </w:r>
    </w:p>
    <w:p>
      <w:pPr>
        <w:pStyle w:val="17"/>
        <w:snapToGrid w:val="0"/>
        <w:spacing w:line="360" w:lineRule="auto"/>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3.2.5 送电方式：大车采用安全外置滑触线；小车采用拖缆。</w:t>
      </w:r>
    </w:p>
    <w:p>
      <w:pPr>
        <w:pStyle w:val="17"/>
        <w:snapToGrid w:val="0"/>
        <w:spacing w:line="360" w:lineRule="auto"/>
        <w:ind w:firstLine="480" w:firstLineChars="200"/>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3.2.6滑动小车：采用双轮结构，使用连接板、螺母及开口销进行固定</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开口销捆绑红色扎带；相邻柔性吊之间安装防撞措施，避免电源开关箱相互碰撞。</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3.2.7外置安全滑触线：使用螺栓连接到导轨吊点，不允许焊接固定，每条外置安全滑触线在末端配备一个电源三色灯。</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3.2.8 电动葫芦在满载运行过程中，不得有爬行、抖动、卡死等现象；</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3.2.9 电动葫芦在满载运行过程中的噪声不大于</w:t>
      </w:r>
      <w:r>
        <w:rPr>
          <w:rFonts w:hint="eastAsia" w:ascii="仿宋" w:hAnsi="仿宋" w:eastAsia="仿宋" w:cs="仿宋"/>
          <w:color w:val="000000" w:themeColor="text1"/>
          <w:lang w:val="en-US" w:eastAsia="zh-CN"/>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0dB；</w:t>
      </w:r>
    </w:p>
    <w:p>
      <w:pPr>
        <w:pStyle w:val="17"/>
        <w:snapToGrid w:val="0"/>
        <w:spacing w:line="360" w:lineRule="auto"/>
        <w:ind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3.2.10电动葫芦应有防撞装置，以防两台葫芦相遇时产生危险；电动葫芦应有机械式防冲顶装置，</w:t>
      </w:r>
      <w:r>
        <w:rPr>
          <w:rFonts w:hint="eastAsia" w:ascii="仿宋" w:hAnsi="仿宋" w:eastAsia="仿宋" w:cs="仿宋"/>
          <w:color w:val="000000" w:themeColor="text1"/>
          <w:highlight w:val="none"/>
          <w14:textFill>
            <w14:solidFill>
              <w14:schemeClr w14:val="tx1"/>
            </w14:solidFill>
          </w14:textFill>
        </w:rPr>
        <w:t>且电动葫芦与横梁</w:t>
      </w:r>
      <w:r>
        <w:rPr>
          <w:rFonts w:hint="eastAsia" w:ascii="仿宋" w:hAnsi="仿宋" w:eastAsia="仿宋" w:cs="仿宋"/>
          <w:color w:val="000000" w:themeColor="text1"/>
          <w:highlight w:val="none"/>
          <w:lang w:val="en-US" w:eastAsia="zh-CN"/>
          <w14:textFill>
            <w14:solidFill>
              <w14:schemeClr w14:val="tx1"/>
            </w14:solidFill>
          </w14:textFill>
        </w:rPr>
        <w:t>之间</w:t>
      </w:r>
      <w:r>
        <w:rPr>
          <w:rFonts w:hint="eastAsia" w:ascii="仿宋" w:hAnsi="仿宋" w:eastAsia="仿宋" w:cs="仿宋"/>
          <w:color w:val="000000" w:themeColor="text1"/>
          <w:highlight w:val="none"/>
          <w14:textFill>
            <w14:solidFill>
              <w14:schemeClr w14:val="tx1"/>
            </w14:solidFill>
          </w14:textFill>
        </w:rPr>
        <w:t>需安装防坠落装置。</w:t>
      </w:r>
    </w:p>
    <w:p>
      <w:pPr>
        <w:pStyle w:val="17"/>
        <w:snapToGrid w:val="0"/>
        <w:spacing w:line="360" w:lineRule="auto"/>
        <w:ind w:firstLine="480" w:firstLineChars="200"/>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3.2.11电动葫芦链盒防坠落；链条防脱落；吊钩使用重力式防脱止推片，吊钩上方设置弹簧式缓冲结构；操作手柄使用36V安全电压控制</w:t>
      </w:r>
      <w:r>
        <w:rPr>
          <w:rFonts w:hint="eastAsia" w:ascii="仿宋" w:hAnsi="仿宋" w:eastAsia="仿宋" w:cs="仿宋"/>
          <w:color w:val="000000" w:themeColor="text1"/>
          <w:lang w:eastAsia="zh-CN"/>
          <w14:textFill>
            <w14:solidFill>
              <w14:schemeClr w14:val="tx1"/>
            </w14:solidFill>
          </w14:textFill>
        </w:rPr>
        <w:t>。</w:t>
      </w:r>
    </w:p>
    <w:p>
      <w:pPr>
        <w:pStyle w:val="17"/>
        <w:snapToGrid w:val="0"/>
        <w:spacing w:line="360" w:lineRule="auto"/>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3.2.12每台柔性吊单独配备一个电源开关箱</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lang w:val="en-US" w:eastAsia="zh-CN"/>
          <w14:textFill>
            <w14:solidFill>
              <w14:schemeClr w14:val="tx1"/>
            </w14:solidFill>
          </w14:textFill>
        </w:rPr>
        <w:t>横梁与导轨之间</w:t>
      </w:r>
      <w:r>
        <w:rPr>
          <w:rFonts w:hint="eastAsia" w:ascii="仿宋" w:hAnsi="仿宋" w:eastAsia="仿宋" w:cs="仿宋"/>
          <w:color w:val="000000" w:themeColor="text1"/>
          <w:highlight w:val="none"/>
          <w14:textFill>
            <w14:solidFill>
              <w14:schemeClr w14:val="tx1"/>
            </w14:solidFill>
          </w14:textFill>
        </w:rPr>
        <w:t>需安装防坠落装置。</w:t>
      </w:r>
    </w:p>
    <w:p>
      <w:pPr>
        <w:pStyle w:val="17"/>
        <w:snapToGrid w:val="0"/>
        <w:spacing w:line="360" w:lineRule="auto"/>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3.2.13导轨喷涂长度及限载标识</w:t>
      </w:r>
      <w:r>
        <w:rPr>
          <w:rFonts w:hint="eastAsia" w:ascii="仿宋" w:hAnsi="仿宋" w:eastAsia="仿宋" w:cs="仿宋"/>
          <w:color w:val="000000" w:themeColor="text1"/>
          <w:highlight w:val="none"/>
          <w:lang w:eastAsia="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吊钩</w:t>
      </w:r>
      <w:r>
        <w:rPr>
          <w:rFonts w:hint="eastAsia" w:ascii="仿宋" w:hAnsi="仿宋" w:eastAsia="仿宋" w:cs="仿宋"/>
          <w:color w:val="000000" w:themeColor="text1"/>
          <w:highlight w:val="none"/>
          <w:lang w:val="en-US" w:eastAsia="zh-CN"/>
          <w14:textFill>
            <w14:solidFill>
              <w14:schemeClr w14:val="tx1"/>
            </w14:solidFill>
          </w14:textFill>
        </w:rPr>
        <w:t>需标注</w:t>
      </w:r>
      <w:r>
        <w:rPr>
          <w:rFonts w:hint="eastAsia" w:ascii="仿宋" w:hAnsi="仿宋" w:eastAsia="仿宋" w:cs="仿宋"/>
          <w:color w:val="000000" w:themeColor="text1"/>
          <w:highlight w:val="none"/>
          <w14:textFill>
            <w14:solidFill>
              <w14:schemeClr w14:val="tx1"/>
            </w14:solidFill>
          </w14:textFill>
        </w:rPr>
        <w:t>限载标识</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3.2.14主要元器件、零部件的选用和配置要求：电动葫芦、供电拖缆、滑触线应选用国内外名牌产品；</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3.2.15要求检修、维修、使用方便；</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3.2.16使用寿命大于10年；</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3.2.17大车、小车运行轻快。</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3.2.18导轨与目前招标方现场使用的通用。</w:t>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3.2.19系统颜色与目前招标方现场使用的相同。</w:t>
      </w:r>
    </w:p>
    <w:p>
      <w:pPr>
        <w:pStyle w:val="17"/>
        <w:snapToGrid w:val="0"/>
        <w:spacing w:line="360" w:lineRule="auto"/>
        <w:ind w:firstLine="48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3.2.20所有传感器检测功能和精度需配备对应的传感器校验方式，并配备使用说明和检测工具，并提供工具检定证书。</w:t>
      </w:r>
    </w:p>
    <w:p>
      <w:pPr>
        <w:pStyle w:val="17"/>
        <w:snapToGrid w:val="0"/>
        <w:spacing w:line="360" w:lineRule="auto"/>
        <w:ind w:firstLine="480" w:firstLineChars="200"/>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3.2.21电器柜前需铺设符合要求的绝缘地垫。</w:t>
      </w:r>
    </w:p>
    <w:p>
      <w:pPr>
        <w:pStyle w:val="17"/>
        <w:snapToGrid w:val="0"/>
        <w:spacing w:line="360" w:lineRule="auto"/>
        <w:ind w:firstLine="480" w:firstLineChars="200"/>
        <w:rPr>
          <w:rFonts w:hint="default"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lang w:val="en-US" w:eastAsia="zh-CN"/>
          <w14:textFill>
            <w14:solidFill>
              <w14:schemeClr w14:val="tx1"/>
            </w14:solidFill>
          </w14:textFill>
        </w:rPr>
        <w:t>3.2.22柔性吊控制器需设置急停按钮，并需标注中文标识；上下运行键需有对应标识</w:t>
      </w:r>
    </w:p>
    <w:p>
      <w:pPr>
        <w:pStyle w:val="17"/>
        <w:snapToGrid w:val="0"/>
        <w:spacing w:line="360" w:lineRule="auto"/>
        <w:ind w:firstLine="480" w:firstLineChars="200"/>
        <w:rPr>
          <w:rFonts w:hint="eastAsia" w:ascii="仿宋" w:hAnsi="仿宋" w:eastAsia="仿宋" w:cs="仿宋"/>
          <w:kern w:val="0"/>
          <w:sz w:val="24"/>
          <w:szCs w:val="24"/>
          <w:highlight w:val="none"/>
          <w:lang w:val="en-US" w:eastAsia="zh-CN" w:bidi="ar-SA"/>
        </w:rPr>
      </w:pPr>
      <w:r>
        <w:rPr>
          <w:rFonts w:hint="eastAsia" w:ascii="仿宋" w:hAnsi="仿宋" w:eastAsia="仿宋" w:cs="仿宋"/>
          <w:color w:val="000000" w:themeColor="text1"/>
          <w:lang w:val="en-US" w:eastAsia="zh-CN"/>
          <w14:textFill>
            <w14:solidFill>
              <w14:schemeClr w14:val="tx1"/>
            </w14:solidFill>
          </w14:textFill>
        </w:rPr>
        <w:t>3.3</w:t>
      </w:r>
      <w:r>
        <w:rPr>
          <w:rFonts w:hint="eastAsia" w:ascii="仿宋" w:hAnsi="仿宋" w:eastAsia="仿宋" w:cs="仿宋"/>
          <w:kern w:val="0"/>
          <w:sz w:val="24"/>
          <w:szCs w:val="24"/>
          <w:highlight w:val="none"/>
          <w:lang w:val="en-US" w:eastAsia="zh-CN" w:bidi="ar-SA"/>
        </w:rPr>
        <w:t>安全及环保要求</w:t>
      </w:r>
    </w:p>
    <w:p>
      <w:pPr>
        <w:pStyle w:val="17"/>
        <w:snapToGrid w:val="0"/>
        <w:spacing w:line="360" w:lineRule="auto"/>
        <w:ind w:firstLine="480" w:firstLineChars="200"/>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3.3.1投标方所供的货物（或生产线），必须符合中国最新版的安全、环保、消防及职业健康的法律、法规要求，符合行业安全标准及项目所在地政府有关特殊要求。</w:t>
      </w:r>
    </w:p>
    <w:p>
      <w:pPr>
        <w:numPr>
          <w:ilvl w:val="0"/>
          <w:numId w:val="0"/>
        </w:numPr>
        <w:adjustRightInd w:val="0"/>
        <w:snapToGrid w:val="0"/>
        <w:spacing w:line="360" w:lineRule="auto"/>
        <w:ind w:leftChars="0" w:firstLine="480" w:firstLineChars="200"/>
        <w:rPr>
          <w:rFonts w:ascii="仿宋" w:hAnsi="仿宋" w:eastAsia="仿宋" w:cs="仿宋"/>
          <w:sz w:val="24"/>
          <w:szCs w:val="24"/>
          <w:highlight w:val="none"/>
        </w:rPr>
      </w:pPr>
      <w:r>
        <w:rPr>
          <w:rFonts w:hint="eastAsia" w:ascii="仿宋" w:hAnsi="仿宋" w:eastAsia="仿宋" w:cs="仿宋"/>
          <w:kern w:val="0"/>
          <w:sz w:val="24"/>
          <w:szCs w:val="24"/>
          <w:highlight w:val="none"/>
          <w:lang w:val="en-US" w:eastAsia="zh-CN" w:bidi="ar-SA"/>
        </w:rPr>
        <w:t>3.3.2</w:t>
      </w:r>
      <w:r>
        <w:rPr>
          <w:rFonts w:hint="eastAsia" w:ascii="仿宋" w:hAnsi="仿宋" w:eastAsia="仿宋" w:cs="仿宋"/>
          <w:sz w:val="24"/>
          <w:szCs w:val="24"/>
          <w:highlight w:val="none"/>
        </w:rPr>
        <w:t>货物（或生产线）应完整且所有的零部件应该安装安全、牢固，外观无损伤，所有的焊缝饱满、无残渣等缺陷且符合国家及行业相关标准。</w:t>
      </w:r>
    </w:p>
    <w:p>
      <w:pPr>
        <w:numPr>
          <w:ilvl w:val="0"/>
          <w:numId w:val="0"/>
        </w:numPr>
        <w:snapToGrid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kern w:val="0"/>
          <w:sz w:val="24"/>
          <w:szCs w:val="24"/>
          <w:highlight w:val="none"/>
          <w:lang w:val="en-US" w:eastAsia="zh-CN" w:bidi="ar-SA"/>
        </w:rPr>
        <w:t>3.3.3</w:t>
      </w:r>
      <w:r>
        <w:rPr>
          <w:rFonts w:hint="eastAsia" w:ascii="仿宋" w:hAnsi="仿宋" w:eastAsia="仿宋" w:cs="仿宋"/>
          <w:sz w:val="24"/>
          <w:szCs w:val="24"/>
          <w:highlight w:val="none"/>
        </w:rPr>
        <w:t>生产线存在安全风险的工位必须采取安全措施，如：线体防护板、高温防护、光栅等。</w:t>
      </w:r>
    </w:p>
    <w:p>
      <w:pPr>
        <w:numPr>
          <w:ilvl w:val="0"/>
          <w:numId w:val="0"/>
        </w:numPr>
        <w:snapToGrid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3.3.4</w:t>
      </w:r>
      <w:r>
        <w:rPr>
          <w:rFonts w:hint="eastAsia" w:ascii="仿宋" w:hAnsi="仿宋" w:eastAsia="仿宋" w:cs="仿宋"/>
          <w:sz w:val="24"/>
          <w:szCs w:val="24"/>
          <w:highlight w:val="none"/>
        </w:rPr>
        <w:t>从安全生产的角度考虑各单元及工位应设有急停按钮，并有明显标识。</w:t>
      </w:r>
    </w:p>
    <w:p>
      <w:pPr>
        <w:pStyle w:val="2"/>
        <w:ind w:left="420" w:leftChars="20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3.3.5</w:t>
      </w:r>
      <w:r>
        <w:rPr>
          <w:rFonts w:hint="eastAsia" w:ascii="仿宋" w:hAnsi="仿宋" w:eastAsia="仿宋" w:cs="仿宋"/>
          <w:sz w:val="24"/>
          <w:szCs w:val="24"/>
          <w:highlight w:val="none"/>
        </w:rPr>
        <w:t>单元操作面板上有上电按钮和急停按钮，上电后可对系统进行操作。</w:t>
      </w:r>
    </w:p>
    <w:p>
      <w:pPr>
        <w:widowControl w:val="0"/>
        <w:numPr>
          <w:ilvl w:val="0"/>
          <w:numId w:val="0"/>
        </w:numPr>
        <w:snapToGrid w:val="0"/>
        <w:spacing w:line="360" w:lineRule="auto"/>
        <w:ind w:left="0" w:leftChars="0" w:firstLine="480" w:firstLineChars="200"/>
        <w:jc w:val="both"/>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3.3.6所有电气安装和施工均应符合我国现行行业标准（规范），电器柜需张贴当心触电警示标识。</w:t>
      </w:r>
    </w:p>
    <w:p>
      <w:pPr>
        <w:numPr>
          <w:ilvl w:val="0"/>
          <w:numId w:val="0"/>
        </w:numPr>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3.3.7</w:t>
      </w:r>
      <w:r>
        <w:rPr>
          <w:rFonts w:hint="eastAsia" w:ascii="仿宋" w:hAnsi="仿宋" w:eastAsia="仿宋" w:cs="仿宋"/>
          <w:sz w:val="24"/>
          <w:szCs w:val="24"/>
          <w:highlight w:val="none"/>
        </w:rPr>
        <w:t>投标方必须提供所供设备相应的安全操作规程和安全事项的说明书，危险化学品“一书一签”；负责对招标方相关人员开展“四新”安全培训。</w:t>
      </w:r>
    </w:p>
    <w:p>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3.3.8</w:t>
      </w:r>
      <w:r>
        <w:rPr>
          <w:rFonts w:hint="eastAsia" w:ascii="仿宋" w:hAnsi="仿宋" w:eastAsia="仿宋" w:cs="仿宋"/>
          <w:sz w:val="24"/>
          <w:szCs w:val="24"/>
          <w:highlight w:val="none"/>
        </w:rPr>
        <w:t>货物（或生产线）应运行稳定、可靠、安全，无非正常变形，非正常振动，无异常声音；无漏水、漏液、漏气（汽）、漏电等现象。</w:t>
      </w:r>
    </w:p>
    <w:p>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3.3.9</w:t>
      </w:r>
      <w:r>
        <w:rPr>
          <w:rFonts w:hint="eastAsia" w:ascii="仿宋" w:hAnsi="仿宋" w:eastAsia="仿宋" w:cs="仿宋"/>
          <w:sz w:val="24"/>
          <w:szCs w:val="24"/>
          <w:highlight w:val="none"/>
        </w:rPr>
        <w:t>所有的管路和线缆等，接头应完全正确、可靠地联接；应排列有序（正确、牢固、整齐），有必要的防护，无皱褶、收缩和裂缝等不良现象。</w:t>
      </w:r>
    </w:p>
    <w:p>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3.3.10</w:t>
      </w:r>
      <w:r>
        <w:rPr>
          <w:rFonts w:hint="eastAsia" w:ascii="仿宋" w:hAnsi="仿宋" w:eastAsia="仿宋" w:cs="仿宋"/>
          <w:sz w:val="24"/>
          <w:szCs w:val="24"/>
          <w:highlight w:val="none"/>
        </w:rPr>
        <w:t>地线联接和地极符合国际（ISO/IEC）标准规范，电器柜需张贴当心触电警示标识。</w:t>
      </w:r>
    </w:p>
    <w:p>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3.3.11</w:t>
      </w:r>
      <w:r>
        <w:rPr>
          <w:rFonts w:hint="eastAsia" w:ascii="仿宋" w:hAnsi="仿宋" w:eastAsia="仿宋" w:cs="仿宋"/>
          <w:sz w:val="24"/>
          <w:szCs w:val="24"/>
          <w:highlight w:val="none"/>
        </w:rPr>
        <w:t>货物（或生产线）正常运行时，噪声等环境影响因素满足国家（《工作场所物理因素测量 噪声》GBZ/T 189.8-2007. 噪音≤80dB(A)（距设备一米处测量））和当地环保主管部门规定。项目验收时，投标方须提供</w:t>
      </w:r>
      <w:r>
        <w:rPr>
          <w:rFonts w:hint="eastAsia" w:ascii="仿宋_GB2312" w:hAnsi="宋体" w:eastAsia="仿宋_GB2312" w:cs="宋体"/>
          <w:sz w:val="24"/>
          <w:szCs w:val="24"/>
          <w:highlight w:val="none"/>
          <w:lang w:bidi="ar"/>
        </w:rPr>
        <w:t>由第三方监测机构出具的噪音合格监测报告。</w:t>
      </w:r>
    </w:p>
    <w:p>
      <w:pPr>
        <w:numPr>
          <w:ilvl w:val="0"/>
          <w:numId w:val="0"/>
        </w:numPr>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3.3.12</w:t>
      </w:r>
      <w:r>
        <w:rPr>
          <w:rFonts w:hint="eastAsia" w:ascii="仿宋" w:hAnsi="仿宋" w:eastAsia="仿宋" w:cs="仿宋"/>
          <w:sz w:val="24"/>
          <w:szCs w:val="24"/>
          <w:highlight w:val="none"/>
        </w:rPr>
        <w:t>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3.3.13</w:t>
      </w:r>
      <w:r>
        <w:rPr>
          <w:rFonts w:hint="eastAsia" w:ascii="仿宋" w:hAnsi="仿宋" w:eastAsia="仿宋" w:cs="仿宋"/>
          <w:sz w:val="24"/>
          <w:szCs w:val="24"/>
          <w:highlight w:val="none"/>
        </w:rPr>
        <w:t>涉及需要进行环保、职业卫生强制检测的项目（设备、设施），应由中标方提供权威第三方检测机构出具的完工检测报告。</w:t>
      </w:r>
    </w:p>
    <w:p>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3.3.14</w:t>
      </w:r>
      <w:r>
        <w:rPr>
          <w:rFonts w:hint="eastAsia" w:ascii="仿宋" w:hAnsi="仿宋" w:eastAsia="仿宋" w:cs="仿宋"/>
          <w:sz w:val="24"/>
          <w:szCs w:val="24"/>
          <w:highlight w:val="none"/>
        </w:rPr>
        <w:t>特种设备应提供济南市特种设备检验研究院出具的首次检验报告，招标方协助中标方办理相关注册登记手续。</w:t>
      </w:r>
    </w:p>
    <w:p>
      <w:pPr>
        <w:numPr>
          <w:ilvl w:val="0"/>
          <w:numId w:val="0"/>
        </w:numPr>
        <w:adjustRightInd w:val="0"/>
        <w:snapToGrid w:val="0"/>
        <w:spacing w:line="360" w:lineRule="auto"/>
        <w:ind w:left="0" w:leftChars="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3.3.15</w:t>
      </w:r>
      <w:r>
        <w:rPr>
          <w:rFonts w:hint="eastAsia" w:ascii="仿宋" w:hAnsi="仿宋" w:eastAsia="仿宋" w:cs="仿宋"/>
          <w:sz w:val="24"/>
          <w:szCs w:val="24"/>
          <w:highlight w:val="none"/>
        </w:rPr>
        <w:t>机器人作业区域安全防护。机器人作业区域需安装安全防护隔离，安全防护隔离形式：采用型钢材质整体式设计，由方管焊接框架结构和金属网格组成，防护栏立柱和防护栏采用螺栓连接；安全门采用门联锁进行安全防护。门联锁必须保证，只有当安全门处于完全关闭状态时，才容许机器人自动运行，当安全门打开时机器人须立即停止运行。</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3.3.16</w:t>
      </w:r>
      <w:r>
        <w:rPr>
          <w:rFonts w:hint="eastAsia" w:ascii="仿宋" w:hAnsi="仿宋" w:eastAsia="仿宋" w:cs="仿宋"/>
          <w:sz w:val="24"/>
          <w:szCs w:val="24"/>
          <w:highlight w:val="none"/>
        </w:rPr>
        <w:t>投标方所投货物外观颜色标准按招标方提供的标准《Q/ZZ 30070—</w:t>
      </w:r>
      <w:r>
        <w:rPr>
          <w:rFonts w:hint="eastAsia" w:ascii="仿宋" w:hAnsi="仿宋" w:eastAsia="仿宋" w:cs="仿宋"/>
          <w:sz w:val="24"/>
          <w:szCs w:val="24"/>
          <w:highlight w:val="none"/>
          <w:lang w:val="en-US" w:eastAsia="zh-CN"/>
        </w:rPr>
        <w:t>2020》或双方书面约定的标准执行。</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3.3.17</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施工前须提供安全施工技术方案（含危险源辨识与风险控制措施内容）及详细的安全施工措施并经</w:t>
      </w:r>
      <w:r>
        <w:rPr>
          <w:rFonts w:hint="eastAsia" w:ascii="仿宋" w:hAnsi="仿宋" w:eastAsia="仿宋" w:cs="仿宋"/>
          <w:sz w:val="24"/>
          <w:szCs w:val="24"/>
          <w:highlight w:val="none"/>
        </w:rPr>
        <w:t>招标方</w:t>
      </w:r>
      <w:r>
        <w:rPr>
          <w:rFonts w:hint="eastAsia" w:ascii="仿宋" w:hAnsi="仿宋" w:eastAsia="仿宋" w:cs="仿宋"/>
          <w:sz w:val="24"/>
          <w:szCs w:val="24"/>
          <w:highlight w:val="none"/>
          <w:lang w:val="en-US" w:eastAsia="zh-CN"/>
        </w:rPr>
        <w:t>认可，并签订《安全协议》。</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3.3.18</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在整个项目过程中必须严格执行</w:t>
      </w:r>
      <w:r>
        <w:rPr>
          <w:rFonts w:hint="eastAsia" w:ascii="仿宋" w:hAnsi="仿宋" w:eastAsia="仿宋" w:cs="仿宋"/>
          <w:sz w:val="24"/>
          <w:szCs w:val="24"/>
          <w:highlight w:val="none"/>
        </w:rPr>
        <w:t>招标方</w:t>
      </w:r>
      <w:r>
        <w:rPr>
          <w:rFonts w:hint="eastAsia" w:ascii="仿宋" w:hAnsi="仿宋" w:eastAsia="仿宋" w:cs="仿宋"/>
          <w:sz w:val="24"/>
          <w:szCs w:val="24"/>
          <w:highlight w:val="none"/>
          <w:lang w:val="en-US" w:eastAsia="zh-CN"/>
        </w:rPr>
        <w:t>要求及国家相关安全、消防、环保等法律、法规。</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3.3.21进入现场所有的特殊工种的操作人员必须持有相应的操作资格证（如电工、焊工、高空、叉车证等）；进入现场所有设备必须符合国家标准。</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3.3.22</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需采用隔栏或围栏的形式将施工区域与生产区域隔开，不能影响生产。</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3.3.23在没有正式的书面批准和现场的化学制品核准情况下，所有的化学制品不允许进入施工现场，现场不允许储藏化学制品、油漆、燃料等，严禁</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带过量、超期的气瓶（氧气/乙炔）到现场(保证安全附件完好)，替换钢瓶前，</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必须搬出空瓶。</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3.3.24设备的主机、附件及附属设施应具有安全防护措施，以避免操作者身体与设备的危险区域接触。</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3.3.25所有进入现场的人员必须穿戴合适的劳保用品，例如劳保鞋、安全帽、带侧面保护的眼镜等，并对现场施工做安全标识、警示标识。</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3.3.26所有的安全说明书及安全标志须符合国家标准，或用中文标识，在设备装运时，所有安全标志须由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贴好。</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3.3.27高处作业施工人员，严禁投掷物料，并做安全标识，做好防高处坠落、物体打击、防触电、防机械伤害的各项安全防护工作。</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3.3.28现场的各种安全防护设施，未经招标方批准，任何人不准随意拆改；</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3.3.29施工现场临时用电执行招标方要求及国家相关规定。</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3.3.30进入现场，需按要求办理出入证件，招标方协助相关证件的办理；</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3.3.31设备的安全与环保要求必须符合国家标准，在运转过程中应保证安全、可靠，无漏电、漏气现象。</w:t>
      </w:r>
    </w:p>
    <w:p>
      <w:pPr>
        <w:numPr>
          <w:ilvl w:val="0"/>
          <w:numId w:val="0"/>
        </w:numPr>
        <w:adjustRightInd w:val="0"/>
        <w:snapToGrid w:val="0"/>
        <w:spacing w:line="360" w:lineRule="auto"/>
        <w:ind w:left="0" w:lef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3.3.32</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在安装现场施工时，必须严格遵守招标方制定的安全、防火规定和其它规章制度，遵守国家各项安全制度，并制订安全预案，文明施工，如因</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施工不遵守规章制度而造成的各种损失由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负全责。</w:t>
      </w:r>
    </w:p>
    <w:p>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应保证设备安装现场的环境卫生，在设备及材料运进工厂时应确保不损坏车间地表面和厂房内设施并按招标方规定位置存放，不得在施工现场进行打磨、除锈。现场材料和设备要堆放整齐，生产、生活垃圾必须及时清理干净，为保证整个安装及调试过程中现场和设备内部的清洁，</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应采取切实可行的措施，最终的深度清洁由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负责。</w:t>
      </w:r>
    </w:p>
    <w:p>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在整个项目施工期间，所有设备、零部件、制成品、工具、材料等均由</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看管、保护，损坏及丢失招标方一概不负责任，招标方只负责提供场所。</w:t>
      </w:r>
    </w:p>
    <w:p>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所有主要的有可能做的材料（支吊架、连杆等）的表面清洁、切割、打磨、焊接和总体制作、底漆涂刷等工作必须在安装场地以外进行；任何需在现场制作、管子切割、焊接、攻丝等工作必须在指定的区域进行；</w:t>
      </w:r>
    </w:p>
    <w:p>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在开工前须提供系统设计安全方案，设备安装调试阶段的高风险项目安全预案，预案中要体现安全措施费用及人员配置。</w:t>
      </w:r>
    </w:p>
    <w:p>
      <w:pPr>
        <w:keepNext w:val="0"/>
        <w:keepLines w:val="0"/>
        <w:pageBreakBefore w:val="0"/>
        <w:widowControl w:val="0"/>
        <w:numPr>
          <w:ilvl w:val="0"/>
          <w:numId w:val="29"/>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lang w:val="en-US" w:eastAsia="zh-CN"/>
        </w:rPr>
      </w:pPr>
      <w:r>
        <w:rPr>
          <w:rFonts w:hint="eastAsia" w:ascii="仿宋" w:hAnsi="仿宋" w:eastAsia="仿宋" w:cs="仿宋"/>
          <w:sz w:val="24"/>
          <w:szCs w:val="24"/>
          <w:highlight w:val="none"/>
          <w:lang w:val="en-US" w:eastAsia="zh-CN"/>
        </w:rPr>
        <w:t>设备安装调试过程中，</w:t>
      </w:r>
      <w:r>
        <w:rPr>
          <w:rFonts w:hint="eastAsia" w:ascii="仿宋" w:hAnsi="仿宋" w:eastAsia="仿宋" w:cs="仿宋"/>
          <w:sz w:val="24"/>
          <w:szCs w:val="24"/>
          <w:highlight w:val="none"/>
        </w:rPr>
        <w:t>投标方</w:t>
      </w:r>
      <w:r>
        <w:rPr>
          <w:rFonts w:hint="eastAsia" w:ascii="仿宋" w:hAnsi="仿宋" w:eastAsia="仿宋" w:cs="仿宋"/>
          <w:sz w:val="24"/>
          <w:szCs w:val="24"/>
          <w:highlight w:val="none"/>
          <w:lang w:val="en-US" w:eastAsia="zh-CN"/>
        </w:rPr>
        <w:t>须听从招标方指挥。</w:t>
      </w:r>
    </w:p>
    <w:p>
      <w:pPr>
        <w:snapToGrid w:val="0"/>
        <w:spacing w:line="360" w:lineRule="auto"/>
        <w:ind w:firstLine="422" w:firstLineChars="200"/>
        <w:outlineLvl w:val="1"/>
        <w:rPr>
          <w:rFonts w:ascii="仿宋" w:hAnsi="仿宋" w:eastAsia="仿宋" w:cs="仿宋"/>
          <w:b/>
          <w:bCs/>
          <w:color w:val="000000" w:themeColor="text1"/>
          <w14:textFill>
            <w14:solidFill>
              <w14:schemeClr w14:val="tx1"/>
            </w14:solidFill>
          </w14:textFill>
        </w:rPr>
      </w:pPr>
      <w:bookmarkStart w:id="248" w:name="_Toc12980"/>
      <w:bookmarkStart w:id="249" w:name="_Toc10838"/>
      <w:bookmarkStart w:id="250" w:name="_Toc6116"/>
      <w:bookmarkStart w:id="251" w:name="_Toc28302"/>
      <w:bookmarkStart w:id="252" w:name="_Toc30526"/>
      <w:bookmarkStart w:id="253" w:name="_Toc466"/>
      <w:bookmarkStart w:id="254" w:name="_Toc8333"/>
      <w:bookmarkStart w:id="255" w:name="_Toc12383"/>
      <w:bookmarkStart w:id="256" w:name="_Toc293"/>
      <w:bookmarkStart w:id="257" w:name="_Toc1717"/>
      <w:bookmarkStart w:id="258" w:name="_Toc28134"/>
      <w:bookmarkStart w:id="259" w:name="_Toc15063"/>
      <w:bookmarkStart w:id="260" w:name="_Toc73"/>
      <w:bookmarkStart w:id="261" w:name="_Toc11237"/>
      <w:bookmarkStart w:id="262" w:name="_Toc13730"/>
      <w:bookmarkStart w:id="263" w:name="_Toc4932"/>
      <w:bookmarkStart w:id="264" w:name="_Toc11655"/>
      <w:bookmarkStart w:id="265" w:name="_Toc14086"/>
      <w:bookmarkStart w:id="266" w:name="_Toc11582"/>
      <w:bookmarkStart w:id="267" w:name="_Toc31046"/>
      <w:bookmarkStart w:id="268" w:name="_Toc2761"/>
      <w:bookmarkStart w:id="269" w:name="_Toc31832"/>
      <w:bookmarkStart w:id="270" w:name="_Toc20271"/>
      <w:bookmarkStart w:id="271" w:name="_Toc14191"/>
      <w:bookmarkStart w:id="272" w:name="_Toc14715"/>
      <w:bookmarkStart w:id="273" w:name="_Toc2382"/>
      <w:bookmarkStart w:id="274" w:name="_Toc3096"/>
      <w:bookmarkStart w:id="275" w:name="_Toc14754"/>
      <w:bookmarkStart w:id="276" w:name="_Toc963"/>
      <w:bookmarkStart w:id="277" w:name="_Toc11448"/>
      <w:bookmarkStart w:id="278" w:name="_Toc8256"/>
      <w:bookmarkStart w:id="279" w:name="_Toc24970"/>
      <w:bookmarkStart w:id="280" w:name="_Toc25096"/>
      <w:bookmarkStart w:id="281" w:name="_Toc17206"/>
      <w:bookmarkStart w:id="282" w:name="_Toc31509"/>
      <w:bookmarkStart w:id="283" w:name="_Toc24311"/>
      <w:bookmarkStart w:id="284" w:name="_Toc16458"/>
      <w:bookmarkStart w:id="285" w:name="_Toc10224"/>
      <w:bookmarkStart w:id="286" w:name="_Toc24239"/>
      <w:bookmarkStart w:id="287" w:name="_Toc3721"/>
      <w:bookmarkStart w:id="288" w:name="_Toc28651"/>
      <w:bookmarkStart w:id="289" w:name="_Toc16595"/>
      <w:bookmarkStart w:id="290" w:name="_Toc73112402"/>
      <w:bookmarkStart w:id="291" w:name="_Toc16723"/>
      <w:bookmarkStart w:id="292" w:name="_Toc900"/>
      <w:r>
        <w:rPr>
          <w:rFonts w:hint="eastAsia" w:ascii="仿宋" w:hAnsi="仿宋" w:eastAsia="仿宋" w:cs="仿宋"/>
          <w:b/>
          <w:bCs/>
          <w:color w:val="000000" w:themeColor="text1"/>
          <w14:textFill>
            <w14:solidFill>
              <w14:schemeClr w14:val="tx1"/>
            </w14:solidFill>
          </w14:textFill>
        </w:rPr>
        <w:t>4特别提示</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本技术要求，仅对功能、设计、结构、性能、安装和试验等方面，提出了最低和一般性的技术要求；并未对一切技术细节作出规定，未充分引述有关标准和规范的条文。投标方应保证提供的货物是符合本技术标书和国家最新的有关标准、规范的优质产品。若有异议，不管是多么微小，都应在投标文件“技术偏离”中予以详细说明。</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4.2本技术要求所使用的标准、规范等，如与投标方所执行的标准、规范不一致时，应按高于本技术要求所列的标准、规范执行，并在投标文件“技术偏离”中予以说明。</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4.3投标方认为所供货物必需由招标方配备、解决或提供的其它要求，如设备基础隔振和减振设施、软化水、洁净气源等，均应在投标文件“技术偏离”中予以充分说明。</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4.4投标方须负责在终验收前，在招标方设备现场对投标设备实施电能质量和公用电网谐波检测并出具检测报告。检测工作由投标方负责安排第三方实施（第三方的资质须由招标方认可）。</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4.5投标文件中，针对“特别提示”条款所做的回应，将作为投标方能否中标的重要依据之一。</w:t>
      </w:r>
      <w:bookmarkStart w:id="293" w:name="_Toc133783970"/>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4.6投标方所投货物外观颜色标准按招标方提供的标准或双方书面约定的标准执行。</w:t>
      </w:r>
    </w:p>
    <w:p>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294" w:name="_Toc10828"/>
      <w:bookmarkStart w:id="295" w:name="_Toc1962"/>
      <w:bookmarkStart w:id="296" w:name="_Toc27327"/>
      <w:bookmarkStart w:id="297" w:name="_Toc19805"/>
      <w:bookmarkStart w:id="298" w:name="_Toc4641"/>
      <w:bookmarkStart w:id="299" w:name="_Toc17909"/>
      <w:bookmarkStart w:id="300" w:name="_Toc22710"/>
      <w:bookmarkStart w:id="301" w:name="_Toc28398"/>
      <w:bookmarkStart w:id="302" w:name="_Toc8892"/>
      <w:bookmarkStart w:id="303" w:name="_Toc11390"/>
      <w:bookmarkStart w:id="304" w:name="_Toc13526"/>
      <w:bookmarkStart w:id="305" w:name="_Toc73112403"/>
      <w:bookmarkStart w:id="306" w:name="_Toc20329"/>
      <w:bookmarkStart w:id="307" w:name="_Toc16352"/>
      <w:bookmarkStart w:id="308" w:name="_Toc26601"/>
      <w:bookmarkStart w:id="309" w:name="_Toc22347"/>
      <w:bookmarkStart w:id="310" w:name="_Toc19812"/>
      <w:bookmarkStart w:id="311" w:name="_Toc1171"/>
      <w:bookmarkStart w:id="312" w:name="_Toc26551"/>
      <w:bookmarkStart w:id="313" w:name="_Toc22156"/>
      <w:bookmarkStart w:id="314" w:name="_Toc16317"/>
      <w:bookmarkStart w:id="315" w:name="_Toc1909"/>
      <w:bookmarkStart w:id="316" w:name="_Toc22662"/>
      <w:bookmarkStart w:id="317" w:name="_Toc21086"/>
      <w:bookmarkStart w:id="318" w:name="_Toc20994"/>
      <w:bookmarkStart w:id="319" w:name="_Toc11725"/>
      <w:bookmarkStart w:id="320" w:name="_Toc19081"/>
      <w:bookmarkStart w:id="321" w:name="_Toc30892"/>
      <w:bookmarkStart w:id="322" w:name="_Toc28745"/>
      <w:bookmarkStart w:id="323" w:name="_Toc7258"/>
      <w:bookmarkStart w:id="324" w:name="_Toc3808"/>
      <w:bookmarkStart w:id="325" w:name="_Toc19022"/>
      <w:bookmarkStart w:id="326" w:name="_Toc20260"/>
      <w:bookmarkStart w:id="327" w:name="_Toc31816"/>
      <w:bookmarkStart w:id="328" w:name="_Toc22516"/>
      <w:bookmarkStart w:id="329" w:name="_Toc24173"/>
      <w:bookmarkStart w:id="330" w:name="_Toc20841"/>
      <w:bookmarkStart w:id="331" w:name="_Toc13783"/>
      <w:bookmarkStart w:id="332" w:name="_Toc14583"/>
      <w:bookmarkStart w:id="333" w:name="_Toc6352"/>
      <w:bookmarkStart w:id="334" w:name="_Toc29006"/>
      <w:bookmarkStart w:id="335" w:name="_Toc32382"/>
      <w:bookmarkStart w:id="336" w:name="_Toc31361"/>
      <w:bookmarkStart w:id="337" w:name="_Toc16316"/>
      <w:bookmarkStart w:id="338" w:name="_Toc29222"/>
      <w:r>
        <w:rPr>
          <w:rFonts w:hint="eastAsia" w:ascii="仿宋" w:hAnsi="仿宋" w:eastAsia="仿宋" w:cs="仿宋"/>
          <w:b/>
          <w:bCs/>
          <w:color w:val="000000" w:themeColor="text1"/>
          <w14:textFill>
            <w14:solidFill>
              <w14:schemeClr w14:val="tx1"/>
            </w14:solidFill>
          </w14:textFill>
        </w:rPr>
        <w:t>第三章供货范围及供货方式</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pPr>
        <w:pStyle w:val="5"/>
        <w:snapToGrid w:val="0"/>
        <w:spacing w:before="0" w:after="0" w:line="360" w:lineRule="auto"/>
        <w:ind w:left="6" w:firstLine="474"/>
        <w:jc w:val="center"/>
        <w:rPr>
          <w:rFonts w:ascii="仿宋" w:hAnsi="仿宋" w:eastAsia="仿宋" w:cs="仿宋"/>
          <w:b/>
          <w:bCs/>
          <w:color w:val="000000" w:themeColor="text1"/>
          <w:sz w:val="24"/>
          <w:szCs w:val="24"/>
          <w14:textFill>
            <w14:solidFill>
              <w14:schemeClr w14:val="tx1"/>
            </w14:solidFill>
          </w14:textFill>
        </w:rPr>
      </w:pPr>
      <w:bookmarkStart w:id="339" w:name="_Toc19908"/>
      <w:bookmarkStart w:id="340" w:name="_Toc19860"/>
      <w:bookmarkStart w:id="341" w:name="_Toc27567"/>
      <w:bookmarkStart w:id="342" w:name="_Toc4032"/>
      <w:bookmarkStart w:id="343" w:name="_Toc12581"/>
      <w:bookmarkStart w:id="344" w:name="_Toc6864"/>
      <w:bookmarkStart w:id="345" w:name="_Toc73112404"/>
      <w:bookmarkStart w:id="346" w:name="_Toc13578"/>
      <w:bookmarkStart w:id="347" w:name="_Toc13960"/>
      <w:bookmarkStart w:id="348" w:name="_Toc32542"/>
      <w:bookmarkStart w:id="349" w:name="_Toc4896"/>
      <w:bookmarkStart w:id="350" w:name="_Toc9580"/>
      <w:bookmarkStart w:id="351" w:name="_Toc2288"/>
      <w:bookmarkStart w:id="352" w:name="_Toc19111"/>
      <w:bookmarkStart w:id="353" w:name="_Toc6629"/>
      <w:bookmarkStart w:id="354" w:name="_Toc20301"/>
      <w:bookmarkStart w:id="355" w:name="_Toc10323"/>
      <w:bookmarkStart w:id="356" w:name="_Toc28344"/>
      <w:bookmarkStart w:id="357" w:name="_Toc17404"/>
      <w:bookmarkStart w:id="358" w:name="_Toc969"/>
      <w:bookmarkStart w:id="359" w:name="_Toc29751"/>
      <w:bookmarkStart w:id="360" w:name="_Toc20721"/>
      <w:bookmarkStart w:id="361" w:name="_Toc5032"/>
      <w:bookmarkStart w:id="362" w:name="_Toc8963"/>
      <w:bookmarkStart w:id="363" w:name="_Toc32741"/>
      <w:bookmarkStart w:id="364" w:name="_Toc5131"/>
      <w:bookmarkStart w:id="365" w:name="_Toc16027"/>
      <w:bookmarkStart w:id="366" w:name="_Toc680"/>
      <w:bookmarkStart w:id="367" w:name="_Toc26946"/>
      <w:bookmarkStart w:id="368" w:name="_Toc11227"/>
      <w:bookmarkStart w:id="369" w:name="_Toc3639"/>
      <w:bookmarkStart w:id="370" w:name="_Toc27831"/>
      <w:bookmarkStart w:id="371" w:name="_Toc20066"/>
      <w:bookmarkStart w:id="372" w:name="_Toc133783971"/>
      <w:bookmarkStart w:id="373" w:name="_Toc2127"/>
      <w:bookmarkStart w:id="374" w:name="_Toc14383"/>
      <w:bookmarkStart w:id="375" w:name="_Toc32750"/>
      <w:bookmarkStart w:id="376" w:name="_Toc18238"/>
      <w:bookmarkStart w:id="377" w:name="_Toc6219"/>
      <w:bookmarkStart w:id="378" w:name="_Toc9994"/>
      <w:bookmarkStart w:id="379" w:name="_Toc3358"/>
      <w:bookmarkStart w:id="380" w:name="_Toc11979"/>
      <w:bookmarkStart w:id="381" w:name="_Toc19155"/>
      <w:bookmarkStart w:id="382" w:name="_Toc32286"/>
      <w:bookmarkStart w:id="383" w:name="_Toc31722"/>
      <w:bookmarkStart w:id="384" w:name="_Toc8238"/>
      <w:bookmarkStart w:id="385" w:name="_Toc32716"/>
      <w:bookmarkStart w:id="386" w:name="_Toc9571"/>
      <w:bookmarkStart w:id="387" w:name="_Toc25354"/>
      <w:bookmarkStart w:id="388" w:name="_Toc5052"/>
      <w:r>
        <w:rPr>
          <w:rFonts w:hint="eastAsia" w:ascii="仿宋" w:hAnsi="仿宋" w:eastAsia="仿宋" w:cs="仿宋"/>
          <w:b/>
          <w:bCs/>
          <w:color w:val="000000" w:themeColor="text1"/>
          <w:sz w:val="24"/>
          <w:szCs w:val="24"/>
          <w14:textFill>
            <w14:solidFill>
              <w14:schemeClr w14:val="tx1"/>
            </w14:solidFill>
          </w14:textFill>
        </w:rPr>
        <w:t>第一节供货范围</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389" w:name="_Toc28468"/>
      <w:bookmarkStart w:id="390" w:name="_Toc4850"/>
      <w:bookmarkStart w:id="391" w:name="_Toc73112405"/>
      <w:bookmarkStart w:id="392" w:name="_Toc15878"/>
      <w:bookmarkStart w:id="393" w:name="_Toc14280"/>
      <w:bookmarkStart w:id="394" w:name="_Toc17029"/>
      <w:bookmarkStart w:id="395" w:name="_Toc14137"/>
      <w:bookmarkStart w:id="396" w:name="_Toc18228"/>
      <w:bookmarkStart w:id="397" w:name="_Toc5149"/>
      <w:bookmarkStart w:id="398" w:name="_Toc9769"/>
      <w:bookmarkStart w:id="399" w:name="_Toc29417"/>
      <w:bookmarkStart w:id="400" w:name="_Toc17608"/>
      <w:bookmarkStart w:id="401" w:name="_Toc18305"/>
      <w:bookmarkStart w:id="402" w:name="_Toc6385"/>
      <w:bookmarkStart w:id="403" w:name="_Toc13760"/>
      <w:bookmarkStart w:id="404" w:name="_Toc272"/>
      <w:bookmarkStart w:id="405" w:name="_Toc25761"/>
      <w:bookmarkStart w:id="406" w:name="_Toc4815"/>
      <w:bookmarkStart w:id="407" w:name="_Toc17678"/>
      <w:bookmarkStart w:id="408" w:name="_Toc21071"/>
      <w:r>
        <w:rPr>
          <w:rFonts w:hint="eastAsia" w:ascii="仿宋" w:hAnsi="仿宋" w:eastAsia="仿宋" w:cs="仿宋"/>
          <w:b/>
          <w:bCs/>
          <w:color w:val="000000" w:themeColor="text1"/>
          <w14:textFill>
            <w14:solidFill>
              <w14:schemeClr w14:val="tx1"/>
            </w14:solidFill>
          </w14:textFill>
        </w:rPr>
        <w:t>1主要供货范围</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1.1招标方只提供所需厂房、货物的基本砼基础，如不满足项目需求，由投标方负责进行建设。</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1.2招标方只负责提供符合本技术标书中“采购货物概况”和“使用环境”章节所列明品质的电力、自来水、压缩空气、蒸汽、天然气（或煤气）管线至车间接口,投标方负责从车间接口到项目系统的对接。</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1.3投标方应提供包括货物正常运行所必需的全套连线设备、材料等；如：联接法兰外端面（含联接螺栓）之内的、电气系统接口压线板（插座等）之内的设备、材料等；</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投标方应提供包括货物正常运行、使用所必需的过桥、护栏、防护网、盖板等辅助设施。标书中有要求的，按标书要求提供；标书中无具体要求而投标方认为必须具备的，在投标文件报价明细中，单独报价（但不计入税费等其它费用的计算基数）。</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投标方应提供包括为达到环保、消防和职业健康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1.6投标方应提供包括为保证货物自身正常运行所必需的、适应使用地点条件的通风、冷却、降温系统等。</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投标方应提供包括为保证货物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1.8投标方应提供货物维修所必需的专用工具，并在投标报价部分说明数量。</w:t>
      </w:r>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409" w:name="_Toc3726"/>
      <w:bookmarkStart w:id="410" w:name="_Toc18018"/>
      <w:bookmarkStart w:id="411" w:name="_Toc30004"/>
      <w:bookmarkStart w:id="412" w:name="_Toc8330"/>
      <w:bookmarkStart w:id="413" w:name="_Toc5521"/>
      <w:bookmarkStart w:id="414" w:name="_Toc20059"/>
      <w:bookmarkStart w:id="415" w:name="_Toc2744"/>
      <w:bookmarkStart w:id="416" w:name="_Toc10027"/>
      <w:bookmarkStart w:id="417" w:name="_Toc11531"/>
      <w:bookmarkStart w:id="418" w:name="_Toc31074"/>
      <w:bookmarkStart w:id="419" w:name="_Toc6916"/>
      <w:bookmarkStart w:id="420" w:name="_Toc19187"/>
      <w:bookmarkStart w:id="421" w:name="_Toc10211"/>
      <w:bookmarkStart w:id="422" w:name="_Toc31685"/>
      <w:bookmarkStart w:id="423" w:name="_Toc31723"/>
      <w:bookmarkStart w:id="424" w:name="_Toc29389"/>
      <w:bookmarkStart w:id="425" w:name="_Toc434"/>
      <w:bookmarkStart w:id="426" w:name="_Toc30087"/>
      <w:bookmarkStart w:id="427" w:name="_Toc73112406"/>
      <w:bookmarkStart w:id="428" w:name="_Toc25570"/>
      <w:r>
        <w:rPr>
          <w:rFonts w:hint="eastAsia" w:ascii="仿宋" w:hAnsi="仿宋" w:eastAsia="仿宋" w:cs="仿宋"/>
          <w:b/>
          <w:bCs/>
          <w:color w:val="000000" w:themeColor="text1"/>
          <w14:textFill>
            <w14:solidFill>
              <w14:schemeClr w14:val="tx1"/>
            </w14:solidFill>
          </w14:textFill>
        </w:rPr>
        <w:t>2备品备件、易损件和专用耗材供货范围</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2.1招标方招标文件所指备品备件、易损件和专用耗材，是招标方为保证货物质保期之后正常运行一年所自备自用的备品备件、易损件和专用耗材。</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2.2投标方按照招标文件要求提供、或投标方认为招标方应当储备的备品备件、易损件和专用耗材，投标方应当在投标报价部分分别说明所列备品备件、易损件和专用耗材的使用时间。</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2.3投标方应提供易损件和专用耗材的制造图纸及其技术要求等资料。</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投标文件中，应当有备品备件、易损件和专用耗材的详细清单（内容包括名称、型号、规格、单位、数量、生产厂家、单价、总价等）。机床和机器人的主要参数、配置表、关键件和进口外购明细表、随机附明细表、技术文件明细表等。</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2.5备品备件、易损件和专用耗材的费用应分类单列，并计入投标总报价之内。</w:t>
      </w:r>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429" w:name="_Toc8994"/>
      <w:bookmarkStart w:id="430" w:name="_Toc11396"/>
      <w:bookmarkStart w:id="431" w:name="_Toc26974"/>
      <w:bookmarkStart w:id="432" w:name="_Toc6474"/>
      <w:bookmarkStart w:id="433" w:name="_Toc21438"/>
      <w:bookmarkStart w:id="434" w:name="_Toc20956"/>
      <w:bookmarkStart w:id="435" w:name="_Toc73112407"/>
      <w:bookmarkStart w:id="436" w:name="_Toc29028"/>
      <w:bookmarkStart w:id="437" w:name="_Toc30185"/>
      <w:bookmarkStart w:id="438" w:name="_Toc30460"/>
      <w:bookmarkStart w:id="439" w:name="_Toc8769"/>
      <w:bookmarkStart w:id="440" w:name="_Toc29526"/>
      <w:bookmarkStart w:id="441" w:name="_Toc13573"/>
      <w:bookmarkStart w:id="442" w:name="_Toc14387"/>
      <w:bookmarkStart w:id="443" w:name="_Toc30333"/>
      <w:bookmarkStart w:id="444" w:name="_Toc19082"/>
      <w:bookmarkStart w:id="445" w:name="_Toc29622"/>
      <w:bookmarkStart w:id="446" w:name="_Toc253"/>
      <w:bookmarkStart w:id="447" w:name="_Toc23668"/>
      <w:bookmarkStart w:id="448" w:name="_Toc27176"/>
      <w:r>
        <w:rPr>
          <w:rFonts w:hint="eastAsia" w:ascii="仿宋" w:hAnsi="仿宋" w:eastAsia="仿宋" w:cs="仿宋"/>
          <w:b/>
          <w:bCs/>
          <w:color w:val="000000" w:themeColor="text1"/>
          <w14:textFill>
            <w14:solidFill>
              <w14:schemeClr w14:val="tx1"/>
            </w14:solidFill>
          </w14:textFill>
        </w:rPr>
        <w:t>3技术资料供货范围</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bookmarkStart w:id="449" w:name="_Toc3548"/>
      <w:bookmarkStart w:id="450" w:name="_Toc27960"/>
      <w:bookmarkStart w:id="451" w:name="_Toc4183"/>
      <w:bookmarkStart w:id="452" w:name="_Toc17660"/>
      <w:bookmarkStart w:id="453" w:name="_Toc22358"/>
      <w:bookmarkStart w:id="454" w:name="_Toc27636"/>
      <w:bookmarkStart w:id="455" w:name="_Toc4381"/>
      <w:bookmarkStart w:id="456" w:name="_Toc4601"/>
      <w:bookmarkStart w:id="457" w:name="_Toc13201"/>
      <w:bookmarkStart w:id="458" w:name="_Toc15671"/>
      <w:bookmarkStart w:id="459" w:name="_Toc11837"/>
      <w:bookmarkStart w:id="460" w:name="_Toc16689"/>
      <w:bookmarkStart w:id="461" w:name="_Toc603"/>
      <w:bookmarkStart w:id="462" w:name="_Toc6313"/>
      <w:bookmarkStart w:id="463" w:name="_Toc21360"/>
      <w:bookmarkStart w:id="464" w:name="_Toc1998"/>
      <w:bookmarkStart w:id="465" w:name="_Toc16163"/>
      <w:bookmarkStart w:id="466" w:name="_Toc30635"/>
      <w:bookmarkStart w:id="467" w:name="_Toc133783972"/>
      <w:bookmarkStart w:id="468" w:name="_Toc3580"/>
      <w:bookmarkStart w:id="469" w:name="_Toc19194"/>
      <w:bookmarkStart w:id="470" w:name="_Toc29107"/>
      <w:bookmarkStart w:id="471" w:name="_Toc20754"/>
      <w:bookmarkStart w:id="472" w:name="_Toc17613"/>
      <w:bookmarkStart w:id="473" w:name="_Toc4676"/>
      <w:bookmarkStart w:id="474" w:name="_Toc23856"/>
      <w:bookmarkStart w:id="475" w:name="_Toc1897"/>
      <w:bookmarkStart w:id="476" w:name="_Toc73112408"/>
      <w:bookmarkStart w:id="477" w:name="_Toc17572"/>
      <w:bookmarkStart w:id="478" w:name="_Toc5634"/>
      <w:bookmarkStart w:id="479" w:name="_Toc10692"/>
      <w:bookmarkStart w:id="480" w:name="_Toc12288"/>
      <w:bookmarkStart w:id="481" w:name="_Toc23025"/>
      <w:bookmarkStart w:id="482" w:name="_Toc18839"/>
      <w:bookmarkStart w:id="483" w:name="_Toc25983"/>
      <w:bookmarkStart w:id="484" w:name="_Toc15620"/>
      <w:bookmarkStart w:id="485" w:name="_Toc8309"/>
      <w:bookmarkStart w:id="486" w:name="_Toc18118"/>
      <w:bookmarkStart w:id="487" w:name="_Toc18492"/>
      <w:bookmarkStart w:id="488" w:name="_Toc81"/>
      <w:bookmarkStart w:id="489" w:name="_Toc24898"/>
      <w:bookmarkStart w:id="490" w:name="_Toc11851"/>
      <w:bookmarkStart w:id="491" w:name="_Toc29792"/>
      <w:r>
        <w:rPr>
          <w:rFonts w:hint="eastAsia" w:ascii="仿宋" w:hAnsi="仿宋" w:eastAsia="仿宋" w:cs="仿宋"/>
          <w:color w:val="000000" w:themeColor="text1"/>
          <w14:textFill>
            <w14:solidFill>
              <w14:schemeClr w14:val="tx1"/>
            </w14:solidFill>
          </w14:textFill>
        </w:rPr>
        <w:t xml:space="preserve">3.1投标方须负责在被通知中标之日起 </w:t>
      </w:r>
      <w:r>
        <w:rPr>
          <w:rFonts w:hint="eastAsia" w:ascii="仿宋" w:hAnsi="仿宋" w:eastAsia="仿宋" w:cs="仿宋"/>
          <w:u w:val="single"/>
          <w:shd w:val="pct10" w:color="auto" w:fill="FFFFFF"/>
        </w:rPr>
        <w:t xml:space="preserve">  30   </w:t>
      </w:r>
      <w:r>
        <w:rPr>
          <w:rFonts w:hint="eastAsia" w:ascii="仿宋" w:hAnsi="仿宋" w:eastAsia="仿宋" w:cs="仿宋"/>
          <w:color w:val="000000" w:themeColor="text1"/>
          <w14:textFill>
            <w14:solidFill>
              <w14:schemeClr w14:val="tx1"/>
            </w14:solidFill>
          </w14:textFill>
        </w:rPr>
        <w:t>个日历日内，提供货物基础及相关的设计、制作所需的纸质及电子版资料；电子版文件应当能够使用常用</w:t>
      </w:r>
      <w:r>
        <w:rPr>
          <w:rFonts w:ascii="宋体" w:hAnsi="宋体"/>
          <w:u w:val="single"/>
          <w:shd w:val="pct10" w:color="auto" w:fill="FFFFFF"/>
        </w:rPr>
        <w:t xml:space="preserve">  </w:t>
      </w:r>
      <w:r>
        <w:rPr>
          <w:rFonts w:hint="eastAsia" w:ascii="仿宋" w:hAnsi="仿宋" w:eastAsia="仿宋" w:cs="仿宋"/>
          <w:color w:val="000000" w:themeColor="text1"/>
          <w14:textFill>
            <w14:solidFill>
              <w14:schemeClr w14:val="tx1"/>
            </w14:solidFill>
          </w14:textFill>
        </w:rPr>
        <w:t>版本软件可以阅读甚至使用，进口货物、设备应有中外文对照。</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3.2投标方应同时提出对厂房、基础、公用设施、消防、环保、职业危害等超出招标文件、投标文件、答疑文件、技术交流文件、技术协议书和合同等规定的、有特殊需要的解释、说明和要求。</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3.3投标方须负责在预验收前，提供货物各部分的功能描述文件、图片、影像等资料（进口、设备应有中外文对照）。</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3.4投标方须负责在终验收前，提供招标方为保证货物正常运行所需后续自制的工装、吊（挂）具明细及其图纸、具体技术要求等资料（如果供货范围包含该部分实物）。</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3.5投标方须负责在交货之前，提供确定的而且质保期之后招标方维修所需要的、可以自行采购的外购件、外协件、电气元件及主要原材料的供货厂家明细表。</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3.6投标方须负责在终验收前，提供包括货物的备品备件、易损件和专用耗材规定的图纸及技术参数、技术要求等资料。</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3.7投标方须负责在终验收前，提供关于采购货物的操作维护手册、保养维修手册、安全注意事项等的使用说明书、仪器仪表检定和使用维修说明书、合格证、产品样本等技术资料（含图片和影像等资料）；对于进口设备，应有中外文资料说明。</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外购部件提供正规装配图及零件明细;标准件提供明细（包括型号、规格、部位、数量、制造厂家）并与装配图一一对应总装配图和主要部件的装配图，全部自制或非标设计零件正规图纸，提供机床所有零件的明细表，零件号与装配图应一一对应，且能方便地查找零件在装配图上的位置；提供关键件、易损件零件图。</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3.9提供关键件，易损件明细;提供所有电气元件，液压元件，气动元件，润滑元件明细表（包括型号、规格、部位、数量、制造厂家）；</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 主要外购装置、外购件、系统的使用指导说明书。</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3.9主要零部件、元器件，由投标方负责检验，并提供检验报告。</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3.10 应提供设备出厂所必须的精度检验证书、性能测试记录和报告。</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3.11 提供设备消耗水、电、气的详细资料。</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3.12 保证设备正常运行、维护和保养必需的其他参数和资料。</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3.13 投标方须负责在合同签订后</w:t>
      </w:r>
      <w:r>
        <w:rPr>
          <w:rFonts w:hint="eastAsia" w:ascii="仿宋" w:hAnsi="仿宋" w:eastAsia="仿宋" w:cs="仿宋"/>
          <w:u w:val="single"/>
          <w:shd w:val="pct10" w:color="auto" w:fill="FFFFFF"/>
        </w:rPr>
        <w:t xml:space="preserve">  30  </w:t>
      </w:r>
      <w:r>
        <w:rPr>
          <w:rFonts w:hint="eastAsia" w:ascii="仿宋" w:hAnsi="仿宋" w:eastAsia="仿宋" w:cs="仿宋"/>
          <w:color w:val="000000" w:themeColor="text1"/>
          <w14:textFill>
            <w14:solidFill>
              <w14:schemeClr w14:val="tx1"/>
            </w14:solidFill>
          </w14:textFill>
        </w:rPr>
        <w:t>日内，提供设备基础及相关的安装、设计资料，并提供电子版资料文件，文件格式为：.doc,.dwg或.dxf；（进口货物、设备应有中外文对照）；并同时提出对厂房、基础、公用设施、消防、环保、职业危害等不超出招标文件、投标文件、答疑文件、技术交流文件、技术协议书和合同等规定的、有特殊要求的解释、说明和要求。</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3.14投标方须负责在设备到达招标方工厂时，与设备一并提供包括设备的设计总图、装配图（包括零部件件号、名称、型号规格、数量等）、设备全线布置图、电气资料（包括接线图、原理图、布线图、梯形图等）、液压（气动）原理图和系统图、安装基础图、维修图等有关的资料、图片、影像等资料(对于进口设备，应有中外文资料说明)，设备外形三维图纸和二维图纸。</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3.15 本“技术资料范围”所列三维图纸能够用PROE或SOLIDWORKS等常用软件阅览和编辑，二维图纸能够用AUTOCAD、CAXA等常用软件阅览和编辑。</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3.16本“技术资料范围”所列的技术资料、图片、影像等，投标方应各提供5套，其中2套为电子版光盘；每份技术文件应装有目录清单。</w:t>
      </w:r>
    </w:p>
    <w:p>
      <w:pPr>
        <w:pStyle w:val="17"/>
        <w:snapToGrid w:val="0"/>
        <w:spacing w:line="360" w:lineRule="auto"/>
        <w:ind w:left="6" w:firstLine="474" w:firstLineChars="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3.17本“技术资料范围”所列要求，如招标方认为投标方提供的资料不能满足要求时，有权要求投标方补充或增加。</w:t>
      </w:r>
    </w:p>
    <w:p>
      <w:pPr>
        <w:pStyle w:val="17"/>
        <w:snapToGrid w:val="0"/>
        <w:spacing w:line="360" w:lineRule="auto"/>
        <w:ind w:left="6" w:firstLine="474" w:firstLineChars="0"/>
        <w:jc w:val="center"/>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第二节供货方式</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492" w:name="_Toc24179"/>
      <w:bookmarkStart w:id="493" w:name="_Toc28222"/>
      <w:bookmarkStart w:id="494" w:name="_Toc1474"/>
      <w:bookmarkStart w:id="495" w:name="_Toc14135"/>
      <w:bookmarkStart w:id="496" w:name="_Toc22679"/>
      <w:bookmarkStart w:id="497" w:name="_Toc19237"/>
      <w:bookmarkStart w:id="498" w:name="_Toc28534"/>
      <w:bookmarkStart w:id="499" w:name="_Toc11533"/>
      <w:bookmarkStart w:id="500" w:name="_Toc32491"/>
      <w:bookmarkStart w:id="501" w:name="_Toc28962"/>
      <w:bookmarkStart w:id="502" w:name="_Toc28360"/>
      <w:bookmarkStart w:id="503" w:name="_Toc20263"/>
      <w:bookmarkStart w:id="504" w:name="_Toc73112409"/>
      <w:bookmarkStart w:id="505" w:name="_Toc18282"/>
      <w:bookmarkStart w:id="506" w:name="_Toc10286"/>
      <w:bookmarkStart w:id="507" w:name="_Toc3032"/>
      <w:bookmarkStart w:id="508" w:name="_Toc1116"/>
      <w:bookmarkStart w:id="509" w:name="_Toc27005"/>
      <w:bookmarkStart w:id="510" w:name="_Toc28759"/>
      <w:bookmarkStart w:id="511" w:name="_Toc4344"/>
      <w:r>
        <w:rPr>
          <w:rFonts w:hint="eastAsia" w:ascii="仿宋" w:hAnsi="仿宋" w:eastAsia="仿宋" w:cs="仿宋"/>
          <w:b/>
          <w:bCs/>
          <w:color w:val="000000" w:themeColor="text1"/>
          <w14:textFill>
            <w14:solidFill>
              <w14:schemeClr w14:val="tx1"/>
            </w14:solidFill>
          </w14:textFill>
        </w:rPr>
        <w:t>1供货地点</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本项目建设工地。</w:t>
      </w:r>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12" w:name="_Toc8043"/>
      <w:bookmarkStart w:id="513" w:name="_Toc27724"/>
      <w:bookmarkStart w:id="514" w:name="_Toc5862"/>
      <w:bookmarkStart w:id="515" w:name="_Toc6707"/>
      <w:bookmarkStart w:id="516" w:name="_Toc11152"/>
      <w:bookmarkStart w:id="517" w:name="_Toc11086"/>
      <w:bookmarkStart w:id="518" w:name="_Toc21521"/>
      <w:bookmarkStart w:id="519" w:name="_Toc30858"/>
      <w:bookmarkStart w:id="520" w:name="_Toc6963"/>
      <w:bookmarkStart w:id="521" w:name="_Toc531"/>
      <w:bookmarkStart w:id="522" w:name="_Toc31657"/>
      <w:bookmarkStart w:id="523" w:name="_Toc73112410"/>
      <w:bookmarkStart w:id="524" w:name="_Toc2280"/>
      <w:bookmarkStart w:id="525" w:name="_Toc9856"/>
      <w:bookmarkStart w:id="526" w:name="_Toc27558"/>
      <w:bookmarkStart w:id="527" w:name="_Toc22044"/>
      <w:bookmarkStart w:id="528" w:name="_Toc20257"/>
      <w:bookmarkStart w:id="529" w:name="_Toc26611"/>
      <w:bookmarkStart w:id="530" w:name="_Toc26178"/>
      <w:bookmarkStart w:id="531" w:name="_Toc4215"/>
      <w:r>
        <w:rPr>
          <w:rFonts w:hint="eastAsia" w:ascii="仿宋" w:hAnsi="仿宋" w:eastAsia="仿宋" w:cs="仿宋"/>
          <w:b/>
          <w:bCs/>
          <w:color w:val="000000" w:themeColor="text1"/>
          <w14:textFill>
            <w14:solidFill>
              <w14:schemeClr w14:val="tx1"/>
            </w14:solidFill>
          </w14:textFill>
        </w:rPr>
        <w:t>2供货时间</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pPr>
        <w:snapToGrid w:val="0"/>
        <w:spacing w:line="360" w:lineRule="auto"/>
        <w:ind w:firstLine="420" w:firstLineChars="200"/>
        <w:jc w:val="left"/>
        <w:rPr>
          <w:rFonts w:ascii="仿宋" w:hAnsi="仿宋" w:eastAsia="仿宋" w:cs="仿宋"/>
          <w:strike/>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2.1投标方应自</w:t>
      </w:r>
      <w:r>
        <w:rPr>
          <w:rFonts w:hint="eastAsia" w:ascii="仿宋" w:hAnsi="仿宋" w:eastAsia="仿宋" w:cs="仿宋"/>
          <w:color w:val="000000" w:themeColor="text1"/>
          <w:lang w:val="en-US" w:eastAsia="zh-CN"/>
          <w14:textFill>
            <w14:solidFill>
              <w14:schemeClr w14:val="tx1"/>
            </w14:solidFill>
          </w14:textFill>
        </w:rPr>
        <w:t>合同生效后</w:t>
      </w:r>
      <w:r>
        <w:rPr>
          <w:rFonts w:hint="eastAsia" w:ascii="仿宋" w:hAnsi="仿宋" w:eastAsia="仿宋" w:cs="仿宋"/>
          <w:color w:val="000000" w:themeColor="text1"/>
          <w14:textFill>
            <w14:solidFill>
              <w14:schemeClr w14:val="tx1"/>
            </w14:solidFill>
          </w14:textFill>
        </w:rPr>
        <w:t>后，</w:t>
      </w:r>
      <w:r>
        <w:rPr>
          <w:rFonts w:hint="eastAsia" w:ascii="仿宋" w:hAnsi="仿宋" w:eastAsia="仿宋" w:cs="仿宋"/>
          <w:color w:val="000000" w:themeColor="text1"/>
          <w:u w:val="single"/>
          <w:shd w:val="pct10" w:color="auto" w:fill="FFFFFF"/>
          <w:lang w:val="en-US" w:eastAsia="zh-CN"/>
          <w14:textFill>
            <w14:solidFill>
              <w14:schemeClr w14:val="tx1"/>
            </w14:solidFill>
          </w14:textFill>
        </w:rPr>
        <w:t>30个</w:t>
      </w:r>
      <w:r>
        <w:rPr>
          <w:rFonts w:hint="eastAsia" w:ascii="仿宋" w:hAnsi="仿宋" w:eastAsia="仿宋" w:cs="仿宋"/>
          <w:color w:val="000000" w:themeColor="text1"/>
          <w14:textFill>
            <w14:solidFill>
              <w14:schemeClr w14:val="tx1"/>
            </w14:solidFill>
          </w14:textFill>
        </w:rPr>
        <w:t>日历日之内交货至供货地点。</w:t>
      </w:r>
    </w:p>
    <w:p>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2.2连续</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u w:val="single"/>
          <w:shd w:val="pct10" w:color="auto" w:fill="FFFFFF"/>
          <w14:textFill>
            <w14:solidFill>
              <w14:schemeClr w14:val="tx1"/>
            </w14:solidFill>
          </w14:textFill>
        </w:rPr>
        <w:t>20</w:t>
      </w:r>
      <w:r>
        <w:rPr>
          <w:rFonts w:hint="eastAsia" w:ascii="仿宋" w:hAnsi="仿宋" w:eastAsia="仿宋" w:cs="仿宋"/>
          <w:color w:val="000000" w:themeColor="text1"/>
          <w14:textFill>
            <w14:solidFill>
              <w14:schemeClr w14:val="tx1"/>
            </w14:solidFill>
          </w14:textFill>
        </w:rPr>
        <w:t>个日历日之内安装调试完毕；</w:t>
      </w:r>
    </w:p>
    <w:p>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2.3连续</w:t>
      </w:r>
      <w:r>
        <w:rPr>
          <w:rFonts w:hint="eastAsia" w:ascii="仿宋" w:hAnsi="仿宋" w:eastAsia="仿宋" w:cs="仿宋"/>
          <w:color w:val="000000" w:themeColor="text1"/>
          <w:u w:val="single"/>
          <w:shd w:val="pct10" w:color="auto" w:fill="FFFFFF"/>
          <w14:textFill>
            <w14:solidFill>
              <w14:schemeClr w14:val="tx1"/>
            </w14:solidFill>
          </w14:textFill>
        </w:rPr>
        <w:t xml:space="preserve"> </w:t>
      </w:r>
      <w:r>
        <w:rPr>
          <w:rFonts w:hint="eastAsia" w:ascii="仿宋" w:hAnsi="仿宋" w:eastAsia="仿宋" w:cs="仿宋"/>
          <w:color w:val="000000" w:themeColor="text1"/>
          <w:u w:val="single"/>
          <w:shd w:val="pct10" w:color="auto" w:fill="FFFFFF"/>
          <w:lang w:val="en-US" w:eastAsia="zh-CN"/>
          <w14:textFill>
            <w14:solidFill>
              <w14:schemeClr w14:val="tx1"/>
            </w14:solidFill>
          </w14:textFill>
        </w:rPr>
        <w:t>20</w:t>
      </w:r>
      <w:r>
        <w:rPr>
          <w:rFonts w:hint="eastAsia" w:ascii="仿宋" w:hAnsi="仿宋" w:eastAsia="仿宋" w:cs="仿宋"/>
          <w:color w:val="000000" w:themeColor="text1"/>
          <w14:textFill>
            <w14:solidFill>
              <w14:schemeClr w14:val="tx1"/>
            </w14:solidFill>
          </w14:textFill>
        </w:rPr>
        <w:t>个日历日之内完成终验收。</w:t>
      </w:r>
    </w:p>
    <w:p>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2.4必要时，投标方应当提供详细的工期计划。</w:t>
      </w:r>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32" w:name="_Toc73112411"/>
      <w:bookmarkStart w:id="533" w:name="_Toc22617"/>
      <w:bookmarkStart w:id="534" w:name="_Toc17489"/>
      <w:bookmarkStart w:id="535" w:name="_Toc4431"/>
      <w:bookmarkStart w:id="536" w:name="_Toc18845"/>
      <w:bookmarkStart w:id="537" w:name="_Toc9507"/>
      <w:bookmarkStart w:id="538" w:name="_Toc22968"/>
      <w:bookmarkStart w:id="539" w:name="_Toc31485"/>
      <w:bookmarkStart w:id="540" w:name="_Toc16960"/>
      <w:bookmarkStart w:id="541" w:name="_Toc8193"/>
      <w:bookmarkStart w:id="542" w:name="_Toc23122"/>
      <w:bookmarkStart w:id="543" w:name="_Toc29786"/>
      <w:bookmarkStart w:id="544" w:name="_Toc5288"/>
      <w:bookmarkStart w:id="545" w:name="_Toc22394"/>
      <w:bookmarkStart w:id="546" w:name="_Toc18153"/>
      <w:bookmarkStart w:id="547" w:name="_Toc17351"/>
      <w:bookmarkStart w:id="548" w:name="_Toc11749"/>
      <w:bookmarkStart w:id="549" w:name="_Toc8419"/>
      <w:bookmarkStart w:id="550" w:name="_Toc24587"/>
      <w:bookmarkStart w:id="551" w:name="_Toc30983"/>
      <w:r>
        <w:rPr>
          <w:rFonts w:hint="eastAsia" w:ascii="仿宋" w:hAnsi="仿宋" w:eastAsia="仿宋" w:cs="仿宋"/>
          <w:b/>
          <w:bCs/>
          <w:color w:val="000000" w:themeColor="text1"/>
          <w14:textFill>
            <w14:solidFill>
              <w14:schemeClr w14:val="tx1"/>
            </w14:solidFill>
          </w14:textFill>
        </w:rPr>
        <w:t>3质保期</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3.1投标方所提供货物涉及的全部供货范围内的设备、材料、零配件和工器具等，除合同特别约定外，其质保期均自终验收签字生效之日起</w:t>
      </w:r>
      <w:r>
        <w:rPr>
          <w:rFonts w:hint="eastAsia" w:ascii="仿宋" w:hAnsi="仿宋" w:eastAsia="仿宋" w:cs="仿宋"/>
          <w:color w:val="000000" w:themeColor="text1"/>
          <w:u w:val="single"/>
          <w:shd w:val="pct10" w:color="auto" w:fill="FFFFFF"/>
          <w14:textFill>
            <w14:solidFill>
              <w14:schemeClr w14:val="tx1"/>
            </w14:solidFill>
          </w14:textFill>
        </w:rPr>
        <w:t>12</w:t>
      </w:r>
      <w:r>
        <w:rPr>
          <w:rFonts w:hint="eastAsia" w:ascii="仿宋" w:hAnsi="仿宋" w:eastAsia="仿宋" w:cs="仿宋"/>
          <w:color w:val="000000" w:themeColor="text1"/>
          <w14:textFill>
            <w14:solidFill>
              <w14:schemeClr w14:val="tx1"/>
            </w14:solidFill>
          </w14:textFill>
        </w:rPr>
        <w:t>个月。</w:t>
      </w:r>
    </w:p>
    <w:p>
      <w:pPr>
        <w:snapToGrid w:val="0"/>
        <w:spacing w:line="360" w:lineRule="auto"/>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3.2质保期之内，如果货物出现关键设备、总成、零部件或者多处一般设备、总成、零部件的更换或维修行为，则质保期自更换或维修行为结束、货物能够正常运行使用之日起重新计算。</w:t>
      </w:r>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52" w:name="_Toc21924"/>
      <w:bookmarkStart w:id="553" w:name="_Toc19011"/>
      <w:bookmarkStart w:id="554" w:name="_Toc17320"/>
      <w:bookmarkStart w:id="555" w:name="_Toc73112412"/>
      <w:bookmarkStart w:id="556" w:name="_Toc14622"/>
      <w:bookmarkStart w:id="557" w:name="_Toc28907"/>
      <w:bookmarkStart w:id="558" w:name="_Toc16664"/>
      <w:bookmarkStart w:id="559" w:name="_Toc20248"/>
      <w:bookmarkStart w:id="560" w:name="_Toc12791"/>
      <w:bookmarkStart w:id="561" w:name="_Toc5126"/>
      <w:bookmarkStart w:id="562" w:name="_Toc27080"/>
      <w:bookmarkStart w:id="563" w:name="_Toc21555"/>
      <w:bookmarkStart w:id="564" w:name="_Toc20400"/>
      <w:bookmarkStart w:id="565" w:name="_Toc27729"/>
      <w:bookmarkStart w:id="566" w:name="_Toc26040"/>
      <w:bookmarkStart w:id="567" w:name="_Toc16381"/>
      <w:bookmarkStart w:id="568" w:name="_Toc29090"/>
      <w:bookmarkStart w:id="569" w:name="_Toc27377"/>
      <w:bookmarkStart w:id="570" w:name="_Toc10272"/>
      <w:bookmarkStart w:id="571" w:name="_Toc426"/>
      <w:r>
        <w:rPr>
          <w:rFonts w:hint="eastAsia" w:ascii="仿宋" w:hAnsi="仿宋" w:eastAsia="仿宋" w:cs="仿宋"/>
          <w:b/>
          <w:bCs/>
          <w:color w:val="000000" w:themeColor="text1"/>
          <w14:textFill>
            <w14:solidFill>
              <w14:schemeClr w14:val="tx1"/>
            </w14:solidFill>
          </w14:textFill>
        </w:rPr>
        <w:t>4包装</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4.1投标方所提供货物（或设备）的包装，应遵照国家标准和有关包装、包皮的技术条件，或按照最好的商业惯例进行包装。</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4.2包装应能满足所需要采取的运输方式（船运、汽运或铁路运输）、多次吊装卸装、卸货以及长期露天堆放要求，应能防止雨淋、受潮、生锈、腐蚀、受振、受磁以及机械和化学因素等引起的损坏。</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4.3投标方所提供货物（或设备）的包装，应能防止其一般性被窃或受外力破坏；一般不得采用有大缝隙的板条包装。</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4.4投标方应对包装件做必要的加固和固定等防护措施，以防止运输可能造成的损坏。</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4.5每个包装件应有装箱单，并至少标明名称、型号规格、数量、净重和毛重、投标方（或供货商）名称和制造日期等相关内容。</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4.6每个包装箱应有明显标志，并具有中文书写的合同号、装运标志、发货和到货地点名称、发货人和收货人名称、货物名称和项目号、箱号和外型尺寸等内容。</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4.7投标方还应按照不同的装运要求在包装箱上标明“小心轻放”、“箭头向上”、“防潮”、“防磁”、“不准平放”等标志，以及其它适用的国标通用标志。</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4.8包装箱应连续编号，不应出现重复编号。</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4.9在不受到外界破坏情况下，包装应保证自交货日起一年内货物（或设备）完好无损。</w:t>
      </w:r>
    </w:p>
    <w:p>
      <w:pPr>
        <w:snapToGrid w:val="0"/>
        <w:spacing w:line="360" w:lineRule="auto"/>
        <w:ind w:left="480"/>
        <w:outlineLvl w:val="2"/>
        <w:rPr>
          <w:rFonts w:ascii="仿宋" w:hAnsi="仿宋" w:eastAsia="仿宋" w:cs="仿宋"/>
          <w:b/>
          <w:bCs/>
          <w:color w:val="000000" w:themeColor="text1"/>
          <w14:textFill>
            <w14:solidFill>
              <w14:schemeClr w14:val="tx1"/>
            </w14:solidFill>
          </w14:textFill>
        </w:rPr>
      </w:pPr>
      <w:bookmarkStart w:id="572" w:name="_Toc5373"/>
      <w:bookmarkStart w:id="573" w:name="_Toc21308"/>
      <w:bookmarkStart w:id="574" w:name="_Toc32266"/>
      <w:bookmarkStart w:id="575" w:name="_Toc73112413"/>
      <w:bookmarkStart w:id="576" w:name="_Toc22792"/>
      <w:bookmarkStart w:id="577" w:name="_Toc22992"/>
      <w:bookmarkStart w:id="578" w:name="_Toc7046"/>
      <w:bookmarkStart w:id="579" w:name="_Toc17881"/>
      <w:bookmarkStart w:id="580" w:name="_Toc31538"/>
      <w:bookmarkStart w:id="581" w:name="_Toc7889"/>
      <w:bookmarkStart w:id="582" w:name="_Toc26302"/>
      <w:bookmarkStart w:id="583" w:name="_Toc21886"/>
      <w:bookmarkStart w:id="584" w:name="_Toc20536"/>
      <w:bookmarkStart w:id="585" w:name="_Toc1857"/>
      <w:bookmarkStart w:id="586" w:name="_Toc4346"/>
      <w:bookmarkStart w:id="587" w:name="_Toc25305"/>
      <w:bookmarkStart w:id="588" w:name="_Toc17990"/>
      <w:bookmarkStart w:id="589" w:name="_Toc22949"/>
      <w:bookmarkStart w:id="590" w:name="_Toc23221"/>
      <w:bookmarkStart w:id="591" w:name="_Toc8"/>
      <w:r>
        <w:rPr>
          <w:rFonts w:hint="eastAsia" w:ascii="仿宋" w:hAnsi="仿宋" w:eastAsia="仿宋" w:cs="仿宋"/>
          <w:b/>
          <w:bCs/>
          <w:color w:val="000000" w:themeColor="text1"/>
          <w14:textFill>
            <w14:solidFill>
              <w14:schemeClr w14:val="tx1"/>
            </w14:solidFill>
          </w14:textFill>
        </w:rPr>
        <w:t>5运输</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5.1投标方应负责将货物（或设备）运到目的地，并必须做到货物（或设备）在任何运输过程中不受损坏和遗失</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5.2同批货物（或设备）应统一包装、编号运输。</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5.3一般情况下，经由铁路、公路运输的包装件尺寸和重量不应超过国家所规定的尺寸限制。特殊情况应予以说明。</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5.4在每批货物（或设备）发出后，投标方应立即通知招标方；通知中应指明：合同号、货运单号、件数、重量和货物（或设备）发出日期等相关内容。</w:t>
      </w:r>
    </w:p>
    <w:p>
      <w:pPr>
        <w:pStyle w:val="17"/>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5.5货物（或设备）运抵招标方现场后，投标方应负责货物（或设备）的卸货、搬运、保管等事宜；或按照合同约定。</w:t>
      </w:r>
      <w:bookmarkStart w:id="592" w:name="_Toc133783973"/>
    </w:p>
    <w:p>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593" w:name="_Toc20251"/>
      <w:bookmarkStart w:id="594" w:name="_Toc14229"/>
      <w:bookmarkStart w:id="595" w:name="_Toc29063"/>
      <w:bookmarkStart w:id="596" w:name="_Toc27169"/>
      <w:bookmarkStart w:id="597" w:name="_Toc24397"/>
      <w:bookmarkStart w:id="598" w:name="_Toc1740"/>
      <w:bookmarkStart w:id="599" w:name="_Toc14023"/>
      <w:bookmarkStart w:id="600" w:name="_Toc14916"/>
      <w:bookmarkStart w:id="601" w:name="_Toc11027"/>
      <w:bookmarkStart w:id="602" w:name="_Toc10894"/>
      <w:bookmarkStart w:id="603" w:name="_Toc8515"/>
      <w:bookmarkStart w:id="604" w:name="_Toc12478"/>
      <w:bookmarkStart w:id="605" w:name="_Toc14171"/>
      <w:bookmarkStart w:id="606" w:name="_Toc14862"/>
      <w:bookmarkStart w:id="607" w:name="_Toc26671"/>
      <w:bookmarkStart w:id="608" w:name="_Toc24415"/>
      <w:bookmarkStart w:id="609" w:name="_Toc15153"/>
      <w:bookmarkStart w:id="610" w:name="_Toc3739"/>
      <w:bookmarkStart w:id="611" w:name="_Toc12994"/>
      <w:bookmarkStart w:id="612" w:name="_Toc73112414"/>
      <w:bookmarkStart w:id="613" w:name="_Toc24978"/>
      <w:bookmarkStart w:id="614" w:name="_Toc23255"/>
      <w:bookmarkStart w:id="615" w:name="_Toc32280"/>
      <w:bookmarkStart w:id="616" w:name="_Toc25044"/>
      <w:bookmarkStart w:id="617" w:name="_Toc13927"/>
      <w:bookmarkStart w:id="618" w:name="_Toc7501"/>
      <w:bookmarkStart w:id="619" w:name="_Toc7672"/>
      <w:bookmarkStart w:id="620" w:name="_Toc28164"/>
      <w:bookmarkStart w:id="621" w:name="_Toc12021"/>
      <w:bookmarkStart w:id="622" w:name="_Toc16036"/>
      <w:bookmarkStart w:id="623" w:name="_Toc9059"/>
      <w:bookmarkStart w:id="624" w:name="_Toc25292"/>
      <w:bookmarkStart w:id="625" w:name="_Toc26651"/>
      <w:bookmarkStart w:id="626" w:name="_Toc27085"/>
      <w:bookmarkStart w:id="627" w:name="_Toc19133"/>
      <w:bookmarkStart w:id="628" w:name="_Toc19986"/>
      <w:bookmarkStart w:id="629" w:name="_Toc2250"/>
      <w:bookmarkStart w:id="630" w:name="_Toc10676"/>
      <w:bookmarkStart w:id="631" w:name="_Toc31301"/>
      <w:bookmarkStart w:id="632" w:name="_Toc10275"/>
      <w:bookmarkStart w:id="633" w:name="_Toc28211"/>
      <w:bookmarkStart w:id="634" w:name="_Toc25780"/>
      <w:bookmarkStart w:id="635" w:name="_Toc22680"/>
      <w:bookmarkStart w:id="636" w:name="_Toc2668"/>
      <w:bookmarkStart w:id="637" w:name="_Toc18423"/>
      <w:bookmarkStart w:id="638" w:name="_Toc14414"/>
      <w:r>
        <w:rPr>
          <w:rFonts w:hint="eastAsia" w:ascii="仿宋" w:hAnsi="仿宋" w:eastAsia="仿宋" w:cs="仿宋"/>
          <w:b/>
          <w:bCs/>
          <w:color w:val="000000" w:themeColor="text1"/>
          <w14:textFill>
            <w14:solidFill>
              <w14:schemeClr w14:val="tx1"/>
            </w14:solidFill>
          </w14:textFill>
        </w:rPr>
        <w:t>第四章售中售后服务</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639" w:name="_Toc4180"/>
      <w:bookmarkStart w:id="640" w:name="_Toc20772"/>
      <w:bookmarkStart w:id="641" w:name="_Toc14199"/>
      <w:bookmarkStart w:id="642" w:name="_Toc24344"/>
      <w:bookmarkStart w:id="643" w:name="_Toc4952"/>
      <w:bookmarkStart w:id="644" w:name="_Toc73112415"/>
      <w:bookmarkStart w:id="645" w:name="_Toc10542"/>
      <w:bookmarkStart w:id="646" w:name="_Toc9919"/>
      <w:bookmarkStart w:id="647" w:name="_Toc2564"/>
      <w:bookmarkStart w:id="648" w:name="_Toc23892"/>
      <w:bookmarkStart w:id="649" w:name="_Toc10791"/>
      <w:bookmarkStart w:id="650" w:name="_Toc7036"/>
      <w:bookmarkStart w:id="651" w:name="_Toc24654"/>
      <w:bookmarkStart w:id="652" w:name="_Toc344"/>
      <w:bookmarkStart w:id="653" w:name="_Toc17832"/>
      <w:bookmarkStart w:id="654" w:name="_Toc12793"/>
      <w:bookmarkStart w:id="655" w:name="_Toc19576"/>
      <w:bookmarkStart w:id="656" w:name="_Toc17645"/>
      <w:bookmarkStart w:id="657" w:name="_Toc217"/>
      <w:bookmarkStart w:id="658" w:name="_Toc30399"/>
      <w:bookmarkStart w:id="659" w:name="_Toc9079"/>
      <w:bookmarkStart w:id="660" w:name="_Toc25505"/>
      <w:bookmarkStart w:id="661" w:name="_Toc29321"/>
      <w:bookmarkStart w:id="662" w:name="_Toc16066"/>
      <w:bookmarkStart w:id="663" w:name="_Toc28487"/>
      <w:bookmarkStart w:id="664" w:name="_Toc7723"/>
      <w:bookmarkStart w:id="665" w:name="_Toc4682"/>
      <w:bookmarkStart w:id="666" w:name="_Toc13551"/>
      <w:bookmarkStart w:id="667" w:name="_Toc10787"/>
      <w:bookmarkStart w:id="668" w:name="_Toc23493"/>
      <w:bookmarkStart w:id="669" w:name="_Toc788"/>
      <w:bookmarkStart w:id="670" w:name="_Toc20514"/>
      <w:bookmarkStart w:id="671" w:name="_Toc8465"/>
      <w:bookmarkStart w:id="672" w:name="_Toc3722"/>
      <w:bookmarkStart w:id="673" w:name="_Toc414"/>
      <w:bookmarkStart w:id="674" w:name="_Toc18522"/>
      <w:bookmarkStart w:id="675" w:name="_Toc19735"/>
      <w:bookmarkStart w:id="676" w:name="_Toc23541"/>
      <w:bookmarkStart w:id="677" w:name="_Toc13786"/>
      <w:bookmarkStart w:id="678" w:name="_Toc8910"/>
      <w:bookmarkStart w:id="679" w:name="_Toc3697"/>
      <w:bookmarkStart w:id="680" w:name="_Toc27811"/>
      <w:bookmarkStart w:id="681" w:name="_Toc29262"/>
      <w:bookmarkStart w:id="682" w:name="_Toc14968"/>
      <w:bookmarkStart w:id="683" w:name="_Toc2661"/>
      <w:r>
        <w:rPr>
          <w:rFonts w:hint="eastAsia" w:ascii="仿宋" w:hAnsi="仿宋" w:eastAsia="仿宋" w:cs="仿宋"/>
          <w:b/>
          <w:bCs/>
          <w:color w:val="000000" w:themeColor="text1"/>
          <w14:textFill>
            <w14:solidFill>
              <w14:schemeClr w14:val="tx1"/>
            </w14:solidFill>
          </w14:textFill>
        </w:rPr>
        <w:t>1技术及培训服务</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1.1投标方应负责对招标方</w:t>
      </w:r>
      <w:r>
        <w:rPr>
          <w:rFonts w:hint="eastAsia" w:ascii="仿宋" w:hAnsi="仿宋" w:eastAsia="仿宋" w:cs="仿宋"/>
          <w:color w:val="000000" w:themeColor="text1"/>
          <w:u w:val="single"/>
          <w:shd w:val="pct10" w:color="auto" w:fill="FFFFFF"/>
          <w14:textFill>
            <w14:solidFill>
              <w14:schemeClr w14:val="tx1"/>
            </w14:solidFill>
          </w14:textFill>
        </w:rPr>
        <w:t xml:space="preserve"> 3-5</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名工程技术人员、维修人员和操作人员提供不少于</w:t>
      </w:r>
      <w:r>
        <w:rPr>
          <w:rFonts w:hint="eastAsia" w:ascii="仿宋" w:hAnsi="仿宋" w:eastAsia="仿宋" w:cs="仿宋"/>
          <w:color w:val="000000" w:themeColor="text1"/>
          <w:u w:val="single"/>
          <w:shd w:val="pct10" w:color="auto" w:fill="FFFFFF"/>
          <w14:textFill>
            <w14:solidFill>
              <w14:schemeClr w14:val="tx1"/>
            </w14:solidFill>
          </w14:textFill>
        </w:rPr>
        <w:t xml:space="preserve"> 7</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个日历日的免费的、生产制造现场的理论、技术和操作、维修、安全等方面的指导和培训，并为招标方受培训人员提供免费的培训地交通、食宿条件。</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1.2投标方应负责在招标方货物使用现场，进行</w:t>
      </w:r>
      <w:r>
        <w:rPr>
          <w:rFonts w:hint="eastAsia" w:ascii="仿宋" w:hAnsi="仿宋" w:eastAsia="仿宋" w:cs="仿宋"/>
          <w:color w:val="000000" w:themeColor="text1"/>
          <w:shd w:val="pct10" w:color="auto" w:fill="FFFFFF"/>
          <w14:textFill>
            <w14:solidFill>
              <w14:schemeClr w14:val="tx1"/>
            </w14:solidFill>
          </w14:textFill>
        </w:rPr>
        <w:t>2～3</w:t>
      </w:r>
      <w:r>
        <w:rPr>
          <w:rFonts w:hint="eastAsia" w:ascii="仿宋" w:hAnsi="仿宋" w:eastAsia="仿宋" w:cs="仿宋"/>
          <w:color w:val="000000" w:themeColor="text1"/>
          <w14:textFill>
            <w14:solidFill>
              <w14:schemeClr w14:val="tx1"/>
            </w14:solidFill>
          </w14:textFill>
        </w:rPr>
        <w:t>次免费的技术指导和培训，并接受招标方有关人员的技术咨询。</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1.3投标方应免费提供全套培训资料。所有设备均需要配备产品说明书，包括设备的内部结构、组成及保养、维护、调试等相关内容，便于生产人员及维修人员查阅。</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1.4投标方应按要求，免费积极协助和提供招标方以及招标方所委托的工程设计单位有关人员所需要的、与货物有关的工程设计资料、技术咨询等。</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1.5若投标方提供的货物涉及到外购外协货物、而且该货物的技术质量等较为关键时，凡招标方提出需求的，投标方应能得到配套厂家的技术支持，并免费为招标方提供技术服务及培训。</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684" w:name="_Toc22719"/>
      <w:bookmarkStart w:id="685" w:name="_Toc16207"/>
      <w:bookmarkStart w:id="686" w:name="_Toc5703"/>
      <w:bookmarkStart w:id="687" w:name="_Toc13864"/>
      <w:bookmarkStart w:id="688" w:name="_Toc3042"/>
      <w:bookmarkStart w:id="689" w:name="_Toc1176"/>
      <w:bookmarkStart w:id="690" w:name="_Toc29981"/>
      <w:bookmarkStart w:id="691" w:name="_Toc30271"/>
      <w:bookmarkStart w:id="692" w:name="_Toc11060"/>
      <w:bookmarkStart w:id="693" w:name="_Toc9824"/>
      <w:bookmarkStart w:id="694" w:name="_Toc31039"/>
      <w:bookmarkStart w:id="695" w:name="_Toc19866"/>
      <w:bookmarkStart w:id="696" w:name="_Toc26430"/>
      <w:bookmarkStart w:id="697" w:name="_Toc73112416"/>
      <w:bookmarkStart w:id="698" w:name="_Toc3976"/>
      <w:bookmarkStart w:id="699" w:name="_Toc17516"/>
      <w:bookmarkStart w:id="700" w:name="_Toc15460"/>
      <w:bookmarkStart w:id="701" w:name="_Toc29413"/>
      <w:bookmarkStart w:id="702" w:name="_Toc17849"/>
      <w:bookmarkStart w:id="703" w:name="_Toc16259"/>
      <w:bookmarkStart w:id="704" w:name="_Toc16493"/>
      <w:bookmarkStart w:id="705" w:name="_Toc3892"/>
      <w:bookmarkStart w:id="706" w:name="_Toc25347"/>
      <w:bookmarkStart w:id="707" w:name="_Toc26880"/>
      <w:bookmarkStart w:id="708" w:name="_Toc6394"/>
      <w:bookmarkStart w:id="709" w:name="_Toc13970"/>
      <w:bookmarkStart w:id="710" w:name="_Toc21693"/>
      <w:bookmarkStart w:id="711" w:name="_Toc1525"/>
      <w:bookmarkStart w:id="712" w:name="_Toc1420"/>
      <w:bookmarkStart w:id="713" w:name="_Toc26197"/>
      <w:bookmarkStart w:id="714" w:name="_Toc25721"/>
      <w:bookmarkStart w:id="715" w:name="_Toc17865"/>
      <w:bookmarkStart w:id="716" w:name="_Toc14504"/>
      <w:bookmarkStart w:id="717" w:name="_Toc3907"/>
      <w:bookmarkStart w:id="718" w:name="_Toc15028"/>
      <w:bookmarkStart w:id="719" w:name="_Toc22693"/>
      <w:bookmarkStart w:id="720" w:name="_Toc11516"/>
      <w:bookmarkStart w:id="721" w:name="_Toc19800"/>
      <w:bookmarkStart w:id="722" w:name="_Toc22880"/>
      <w:bookmarkStart w:id="723" w:name="_Toc16867"/>
      <w:bookmarkStart w:id="724" w:name="_Toc10782"/>
      <w:bookmarkStart w:id="725" w:name="_Toc13235"/>
      <w:bookmarkStart w:id="726" w:name="_Toc32690"/>
      <w:bookmarkStart w:id="727" w:name="_Toc25595"/>
      <w:r>
        <w:rPr>
          <w:rFonts w:hint="eastAsia" w:ascii="仿宋" w:hAnsi="仿宋" w:eastAsia="仿宋" w:cs="仿宋"/>
          <w:b/>
          <w:bCs/>
          <w:color w:val="000000" w:themeColor="text1"/>
          <w14:textFill>
            <w14:solidFill>
              <w14:schemeClr w14:val="tx1"/>
            </w14:solidFill>
          </w14:textFill>
        </w:rPr>
        <w:t>2安装调试服务</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2.1根据货物的要求，调试可分空载和负载两个阶段进行；招标方将予以积极配合，协助投标方达到货物的各项技术指标和性能要求。</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安装调试与验收期间，若投标方提供的货物涉及到外购外协货物、而且该货物的技术质量等较为关键时，凡招标方提出需求的，投标方应能得到配套厂家的技术支持，并免费为招标方提供安装使用现场的指导与协调。</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2.3投标方提供收费的或免费的、指导安装调试或负责安装调试，至少应在投标文件的报价章节中，予以明确说明。</w:t>
      </w:r>
    </w:p>
    <w:p>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728" w:name="_Toc8975"/>
      <w:bookmarkStart w:id="729" w:name="_Toc19810"/>
      <w:bookmarkStart w:id="730" w:name="_Toc13443"/>
      <w:bookmarkStart w:id="731" w:name="_Toc16706"/>
      <w:bookmarkStart w:id="732" w:name="_Toc32442"/>
      <w:bookmarkStart w:id="733" w:name="_Toc628"/>
      <w:bookmarkStart w:id="734" w:name="_Toc3170"/>
      <w:bookmarkStart w:id="735" w:name="_Toc17284"/>
      <w:bookmarkStart w:id="736" w:name="_Toc16373"/>
      <w:bookmarkStart w:id="737" w:name="_Toc4076"/>
      <w:bookmarkStart w:id="738" w:name="_Toc7783"/>
      <w:bookmarkStart w:id="739" w:name="_Toc2772"/>
      <w:bookmarkStart w:id="740" w:name="_Toc22871"/>
      <w:bookmarkStart w:id="741" w:name="_Toc19674"/>
      <w:bookmarkStart w:id="742" w:name="_Toc30398"/>
      <w:bookmarkStart w:id="743" w:name="_Toc24615"/>
      <w:bookmarkStart w:id="744" w:name="_Toc11229"/>
      <w:bookmarkStart w:id="745" w:name="_Toc17427"/>
      <w:bookmarkStart w:id="746" w:name="_Toc12739"/>
      <w:bookmarkStart w:id="747" w:name="_Toc2657"/>
      <w:bookmarkStart w:id="748" w:name="_Toc1585"/>
      <w:bookmarkStart w:id="749" w:name="_Toc9329"/>
      <w:bookmarkStart w:id="750" w:name="_Toc73112417"/>
      <w:bookmarkStart w:id="751" w:name="_Toc16916"/>
      <w:bookmarkStart w:id="752" w:name="_Toc9878"/>
      <w:bookmarkStart w:id="753" w:name="_Toc10635"/>
      <w:bookmarkStart w:id="754" w:name="_Toc32488"/>
      <w:bookmarkStart w:id="755" w:name="_Toc27515"/>
      <w:bookmarkStart w:id="756" w:name="_Toc29125"/>
      <w:bookmarkStart w:id="757" w:name="_Toc30193"/>
      <w:bookmarkStart w:id="758" w:name="_Toc1565"/>
      <w:bookmarkStart w:id="759" w:name="_Toc218"/>
      <w:bookmarkStart w:id="760" w:name="_Toc2097"/>
      <w:bookmarkStart w:id="761" w:name="_Toc29126"/>
      <w:bookmarkStart w:id="762" w:name="_Toc2510"/>
      <w:bookmarkStart w:id="763" w:name="_Toc7956"/>
      <w:bookmarkStart w:id="764" w:name="_Toc13921"/>
      <w:bookmarkStart w:id="765" w:name="_Toc4751"/>
      <w:bookmarkStart w:id="766" w:name="_Toc9269"/>
      <w:bookmarkStart w:id="767" w:name="_Toc29245"/>
      <w:bookmarkStart w:id="768" w:name="_Toc478"/>
      <w:bookmarkStart w:id="769" w:name="_Toc16435"/>
      <w:bookmarkStart w:id="770" w:name="_Toc16337"/>
      <w:bookmarkStart w:id="771" w:name="_Toc25079"/>
      <w:bookmarkStart w:id="772" w:name="_Toc18269"/>
      <w:r>
        <w:rPr>
          <w:rFonts w:hint="eastAsia" w:ascii="仿宋" w:hAnsi="仿宋" w:eastAsia="仿宋" w:cs="仿宋"/>
          <w:b/>
          <w:bCs/>
          <w:color w:val="000000" w:themeColor="text1"/>
          <w14:textFill>
            <w14:solidFill>
              <w14:schemeClr w14:val="tx1"/>
            </w14:solidFill>
          </w14:textFill>
        </w:rPr>
        <w:t>3验收服务</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bookmarkStart w:id="773" w:name="_Toc22965"/>
      <w:bookmarkStart w:id="774" w:name="_Toc18968"/>
      <w:bookmarkStart w:id="775" w:name="_Toc32682"/>
      <w:bookmarkStart w:id="776" w:name="_Toc7478"/>
      <w:bookmarkStart w:id="777" w:name="_Toc21987"/>
      <w:bookmarkStart w:id="778" w:name="_Toc14739"/>
      <w:bookmarkStart w:id="779" w:name="_Toc73112418"/>
      <w:bookmarkStart w:id="780" w:name="_Toc20916"/>
      <w:bookmarkStart w:id="781" w:name="_Toc20717"/>
      <w:bookmarkStart w:id="782" w:name="_Toc19441"/>
      <w:bookmarkStart w:id="783" w:name="_Toc22392"/>
      <w:bookmarkStart w:id="784" w:name="_Toc4417"/>
      <w:bookmarkStart w:id="785" w:name="_Toc19397"/>
      <w:bookmarkStart w:id="786" w:name="_Toc29633"/>
      <w:bookmarkStart w:id="787" w:name="_Toc7782"/>
      <w:bookmarkStart w:id="788" w:name="_Toc26773"/>
      <w:bookmarkStart w:id="789" w:name="_Toc17056"/>
      <w:bookmarkStart w:id="790" w:name="_Toc26554"/>
      <w:bookmarkStart w:id="791" w:name="_Toc28635"/>
      <w:bookmarkStart w:id="792" w:name="_Toc11213"/>
      <w:bookmarkStart w:id="793" w:name="_Toc1454"/>
      <w:bookmarkStart w:id="794" w:name="_Toc8078"/>
      <w:bookmarkStart w:id="795" w:name="_Toc17895"/>
      <w:bookmarkStart w:id="796" w:name="_Toc2093"/>
      <w:bookmarkStart w:id="797" w:name="_Toc27224"/>
      <w:bookmarkStart w:id="798" w:name="_Toc30412"/>
      <w:bookmarkStart w:id="799" w:name="_Toc1199"/>
      <w:bookmarkStart w:id="800" w:name="_Toc542"/>
      <w:bookmarkStart w:id="801" w:name="_Toc20081"/>
      <w:bookmarkStart w:id="802" w:name="_Toc1311"/>
      <w:bookmarkStart w:id="803" w:name="_Toc10014"/>
      <w:bookmarkStart w:id="804" w:name="_Toc18836"/>
      <w:bookmarkStart w:id="805" w:name="_Toc6099"/>
      <w:bookmarkStart w:id="806" w:name="_Toc11699"/>
      <w:bookmarkStart w:id="807" w:name="_Toc20426"/>
      <w:bookmarkStart w:id="808" w:name="_Toc29778"/>
      <w:bookmarkStart w:id="809" w:name="_Toc9592"/>
      <w:bookmarkStart w:id="810" w:name="_Toc3798"/>
      <w:bookmarkStart w:id="811" w:name="_Toc32079"/>
      <w:bookmarkStart w:id="812" w:name="_Toc6232"/>
      <w:bookmarkStart w:id="813" w:name="_Toc29300"/>
      <w:bookmarkStart w:id="814" w:name="_Toc10808"/>
      <w:r>
        <w:rPr>
          <w:rFonts w:hint="eastAsia" w:ascii="仿宋" w:hAnsi="仿宋" w:eastAsia="仿宋" w:cs="仿宋"/>
          <w:color w:val="000000" w:themeColor="text1"/>
          <w14:textFill>
            <w14:solidFill>
              <w14:schemeClr w14:val="tx1"/>
            </w14:solidFill>
          </w14:textFill>
        </w:rPr>
        <w:t>3.1投标方在招标方现场进行的货物的预验收和终验收配合或指导，应当是免费的。</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 货物验收时，若投标方提供的货物涉及到外购外协货物、而且该货物的技术质量等较为关键时，投标方应能得到配套厂家的技术支持，并免费为招标方提供使用现场验收的配合或指导。</w:t>
      </w:r>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pPr>
        <w:snapToGrid w:val="0"/>
        <w:spacing w:line="360" w:lineRule="auto"/>
        <w:ind w:left="480"/>
        <w:outlineLvl w:val="1"/>
        <w:rPr>
          <w:rFonts w:hint="eastAsia" w:ascii="仿宋" w:hAnsi="仿宋" w:eastAsia="仿宋" w:cs="仿宋"/>
          <w:b/>
          <w:bCs/>
          <w:color w:val="000000" w:themeColor="text1"/>
          <w14:textFill>
            <w14:solidFill>
              <w14:schemeClr w14:val="tx1"/>
            </w14:solidFill>
          </w14:textFill>
        </w:rPr>
      </w:pPr>
      <w:bookmarkStart w:id="815" w:name="_Toc988"/>
      <w:bookmarkStart w:id="816" w:name="_Toc26183"/>
      <w:r>
        <w:rPr>
          <w:rFonts w:hint="eastAsia" w:ascii="仿宋" w:hAnsi="仿宋" w:eastAsia="仿宋" w:cs="仿宋"/>
          <w:b/>
          <w:bCs/>
          <w:color w:val="000000" w:themeColor="text1"/>
          <w14:textFill>
            <w14:solidFill>
              <w14:schemeClr w14:val="tx1"/>
            </w14:solidFill>
          </w14:textFill>
        </w:rPr>
        <w:t>4售后服务</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4.1所有的售后服务均由投标方受理。如果发生问题并且收到报告，投标方应当在2小时内予以答复。</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4.2如发现所提供的货物存在问题，需要投标方解决或配合解决时：在质保期之内，应在接到通知后</w:t>
      </w:r>
      <w:r>
        <w:rPr>
          <w:rFonts w:hint="eastAsia" w:ascii="仿宋" w:hAnsi="仿宋" w:eastAsia="仿宋" w:cs="仿宋"/>
          <w:color w:val="000000" w:themeColor="text1"/>
          <w:u w:val="single"/>
          <w:shd w:val="pct10" w:color="auto" w:fill="FFFFFF"/>
          <w14:textFill>
            <w14:solidFill>
              <w14:schemeClr w14:val="tx1"/>
            </w14:solidFill>
          </w14:textFill>
        </w:rPr>
        <w:t>24</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小时内派有关人员到达现场；在质保期之外，应在接到通知后</w:t>
      </w:r>
      <w:r>
        <w:rPr>
          <w:rFonts w:hint="eastAsia" w:ascii="仿宋" w:hAnsi="仿宋" w:eastAsia="仿宋" w:cs="仿宋"/>
          <w:color w:val="000000" w:themeColor="text1"/>
          <w:u w:val="single"/>
          <w:shd w:val="pct10" w:color="auto" w:fill="FFFFFF"/>
          <w14:textFill>
            <w14:solidFill>
              <w14:schemeClr w14:val="tx1"/>
            </w14:solidFill>
          </w14:textFill>
        </w:rPr>
        <w:t>24</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小时内派有关人员到达现场。</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4.3投标方派往招标方使用现场的人员，应具有较高的业务素质；现场解决问题时，不得无故拖延或推迟，应为招标方提供最佳的服务。</w:t>
      </w:r>
    </w:p>
    <w:p>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817" w:name="_Toc27285"/>
      <w:bookmarkStart w:id="818" w:name="_Toc4793"/>
      <w:bookmarkStart w:id="819" w:name="_Toc30999"/>
      <w:bookmarkStart w:id="820" w:name="_Toc28927"/>
      <w:bookmarkStart w:id="821" w:name="_Toc9982"/>
      <w:bookmarkStart w:id="822" w:name="_Toc22262"/>
      <w:bookmarkStart w:id="823" w:name="_Toc32366"/>
      <w:bookmarkStart w:id="824" w:name="_Toc20936"/>
      <w:bookmarkStart w:id="825" w:name="_Toc913"/>
      <w:bookmarkStart w:id="826" w:name="_Toc25693"/>
      <w:bookmarkStart w:id="827" w:name="_Toc6730"/>
      <w:bookmarkStart w:id="828" w:name="_Toc17891"/>
      <w:bookmarkStart w:id="829" w:name="_Toc12294"/>
      <w:bookmarkStart w:id="830" w:name="_Toc6107"/>
      <w:bookmarkStart w:id="831" w:name="_Toc6984"/>
      <w:bookmarkStart w:id="832" w:name="_Toc7130"/>
      <w:bookmarkStart w:id="833" w:name="_Toc1118"/>
      <w:bookmarkStart w:id="834" w:name="_Toc32502"/>
      <w:bookmarkStart w:id="835" w:name="_Toc26623"/>
      <w:bookmarkStart w:id="836" w:name="_Toc18148"/>
      <w:bookmarkStart w:id="837" w:name="_Toc26287"/>
      <w:bookmarkStart w:id="838" w:name="_Toc13974"/>
      <w:bookmarkStart w:id="839" w:name="_Toc1573"/>
      <w:bookmarkStart w:id="840" w:name="_Toc25994"/>
      <w:bookmarkStart w:id="841" w:name="_Toc25242"/>
      <w:bookmarkStart w:id="842" w:name="_Toc6354"/>
      <w:bookmarkStart w:id="843" w:name="_Toc3819"/>
      <w:bookmarkStart w:id="844" w:name="_Toc31498"/>
      <w:bookmarkStart w:id="845" w:name="_Toc115"/>
      <w:bookmarkStart w:id="846" w:name="_Toc16849"/>
      <w:bookmarkStart w:id="847" w:name="_Toc22732"/>
      <w:bookmarkStart w:id="848" w:name="_Toc27505"/>
      <w:bookmarkStart w:id="849" w:name="_Toc1438"/>
      <w:bookmarkStart w:id="850" w:name="_Toc19301"/>
      <w:bookmarkStart w:id="851" w:name="_Toc14349"/>
      <w:bookmarkStart w:id="852" w:name="_Toc26976"/>
      <w:bookmarkStart w:id="853" w:name="_Toc27733"/>
      <w:bookmarkStart w:id="854" w:name="_Toc22593"/>
      <w:bookmarkStart w:id="855" w:name="_Toc3912"/>
      <w:bookmarkStart w:id="856" w:name="_Toc73112419"/>
      <w:bookmarkStart w:id="857" w:name="_Toc9688"/>
      <w:bookmarkStart w:id="858" w:name="_Toc20327"/>
      <w:bookmarkStart w:id="859" w:name="_Toc30887"/>
      <w:bookmarkStart w:id="860" w:name="_Toc10752"/>
      <w:bookmarkStart w:id="861" w:name="_Toc21895"/>
      <w:r>
        <w:rPr>
          <w:rFonts w:hint="eastAsia" w:ascii="仿宋" w:hAnsi="仿宋" w:eastAsia="仿宋" w:cs="仿宋"/>
          <w:b/>
          <w:bCs/>
          <w:color w:val="000000" w:themeColor="text1"/>
          <w14:textFill>
            <w14:solidFill>
              <w14:schemeClr w14:val="tx1"/>
            </w14:solidFill>
          </w14:textFill>
        </w:rPr>
        <w:t>5其它服务</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862" w:name="_Toc32483"/>
      <w:bookmarkStart w:id="863" w:name="_Toc133783974"/>
      <w:bookmarkStart w:id="864" w:name="_Toc19017"/>
      <w:bookmarkStart w:id="865" w:name="_Toc8547"/>
      <w:bookmarkStart w:id="866" w:name="_Toc9498"/>
      <w:bookmarkStart w:id="867" w:name="_Toc10492"/>
      <w:bookmarkStart w:id="868" w:name="_Toc2800"/>
      <w:bookmarkStart w:id="869" w:name="_Toc10873"/>
      <w:bookmarkStart w:id="870" w:name="_Toc21122"/>
      <w:bookmarkStart w:id="871" w:name="_Toc13250"/>
      <w:bookmarkStart w:id="872" w:name="_Toc16355"/>
      <w:bookmarkStart w:id="873" w:name="_Toc15356"/>
      <w:bookmarkStart w:id="874" w:name="_Toc32409"/>
      <w:bookmarkStart w:id="875" w:name="_Toc25057"/>
      <w:bookmarkStart w:id="876" w:name="_Toc29269"/>
      <w:bookmarkStart w:id="877" w:name="_Toc22725"/>
      <w:bookmarkStart w:id="878" w:name="_Toc13895"/>
      <w:bookmarkStart w:id="879" w:name="_Toc19942"/>
      <w:bookmarkStart w:id="880" w:name="_Toc14411"/>
      <w:bookmarkStart w:id="881" w:name="_Toc25825"/>
      <w:bookmarkStart w:id="882" w:name="_Toc9482"/>
      <w:bookmarkStart w:id="883" w:name="_Toc27484"/>
      <w:bookmarkStart w:id="884" w:name="_Toc5013"/>
      <w:bookmarkStart w:id="885" w:name="_Toc16312"/>
      <w:bookmarkStart w:id="886" w:name="_Toc4011"/>
      <w:bookmarkStart w:id="887" w:name="_Toc18621"/>
      <w:bookmarkStart w:id="888" w:name="_Toc19208"/>
      <w:bookmarkStart w:id="889" w:name="_Toc73112420"/>
      <w:bookmarkStart w:id="890" w:name="_Toc26489"/>
      <w:bookmarkStart w:id="891" w:name="_Toc12454"/>
      <w:bookmarkStart w:id="892" w:name="_Toc10438"/>
      <w:bookmarkStart w:id="893" w:name="_Toc7461"/>
      <w:bookmarkStart w:id="894" w:name="_Toc24752"/>
      <w:bookmarkStart w:id="895" w:name="_Toc2140"/>
      <w:bookmarkStart w:id="896" w:name="_Toc9121"/>
      <w:bookmarkStart w:id="897" w:name="_Toc12013"/>
      <w:bookmarkStart w:id="898" w:name="_Toc6228"/>
      <w:bookmarkStart w:id="899" w:name="_Toc29777"/>
      <w:bookmarkStart w:id="900" w:name="_Toc11150"/>
      <w:bookmarkStart w:id="901" w:name="_Toc8076"/>
      <w:bookmarkStart w:id="902" w:name="_Toc23730"/>
      <w:bookmarkStart w:id="903" w:name="_Toc18030"/>
      <w:bookmarkStart w:id="904" w:name="_Toc30293"/>
      <w:bookmarkStart w:id="905" w:name="_Toc5996"/>
      <w:r>
        <w:rPr>
          <w:rFonts w:hint="eastAsia" w:ascii="仿宋" w:hAnsi="仿宋" w:eastAsia="仿宋" w:cs="仿宋"/>
          <w:color w:val="000000" w:themeColor="text1"/>
          <w14:textFill>
            <w14:solidFill>
              <w14:schemeClr w14:val="tx1"/>
            </w14:solidFill>
          </w14:textFill>
        </w:rPr>
        <w:t>5.1若投标方所提供货物有需要进口的，投标方一般应自行、自费办理；必要时，招标方和投标方共同办理。</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5.2除招标文件、投标文件、答疑文件、技术协议、合同等约定之外，投标方应免费负责必要的或强制性的货物的检验、试验、化验等直接费用。</w:t>
      </w:r>
    </w:p>
    <w:p>
      <w:pPr>
        <w:adjustRightInd w:val="0"/>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5.3本章节条款所列“免费”，并非指定不可收费，而是指招标文件、投标文件、答疑文件、技术交流文件、技术协议书和合同等范围之外，投标方不可另行收取的费用。</w:t>
      </w:r>
    </w:p>
    <w:p>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906" w:name="_Toc30753"/>
      <w:bookmarkStart w:id="907" w:name="_Toc22807"/>
      <w:r>
        <w:rPr>
          <w:rFonts w:hint="eastAsia" w:ascii="仿宋" w:hAnsi="仿宋" w:eastAsia="仿宋" w:cs="仿宋"/>
          <w:b/>
          <w:bCs/>
          <w:color w:val="000000" w:themeColor="text1"/>
          <w14:textFill>
            <w14:solidFill>
              <w14:schemeClr w14:val="tx1"/>
            </w14:solidFill>
          </w14:textFill>
        </w:rPr>
        <w:t>第五章预验收和终验收</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908" w:name="_Toc14541"/>
      <w:bookmarkStart w:id="909" w:name="_Toc22981"/>
      <w:bookmarkStart w:id="910" w:name="_Toc22140"/>
      <w:bookmarkStart w:id="911" w:name="_Toc7191"/>
      <w:bookmarkStart w:id="912" w:name="_Toc2326"/>
      <w:bookmarkStart w:id="913" w:name="_Toc14965"/>
      <w:bookmarkStart w:id="914" w:name="_Toc10033"/>
      <w:bookmarkStart w:id="915" w:name="_Toc7184"/>
      <w:bookmarkStart w:id="916" w:name="_Toc242"/>
      <w:bookmarkStart w:id="917" w:name="_Toc29608"/>
      <w:bookmarkStart w:id="918" w:name="_Toc28073"/>
      <w:bookmarkStart w:id="919" w:name="_Toc6378"/>
      <w:bookmarkStart w:id="920" w:name="_Toc27448"/>
      <w:bookmarkStart w:id="921" w:name="_Toc3676"/>
      <w:bookmarkStart w:id="922" w:name="_Toc11331"/>
      <w:bookmarkStart w:id="923" w:name="_Toc7463"/>
      <w:bookmarkStart w:id="924" w:name="_Toc23231"/>
      <w:bookmarkStart w:id="925" w:name="_Toc31478"/>
      <w:bookmarkStart w:id="926" w:name="_Toc21557"/>
      <w:bookmarkStart w:id="927" w:name="_Toc21402"/>
      <w:bookmarkStart w:id="928" w:name="_Toc24809"/>
      <w:bookmarkStart w:id="929" w:name="_Toc23191"/>
      <w:bookmarkStart w:id="930" w:name="_Toc6924"/>
      <w:bookmarkStart w:id="931" w:name="_Toc27951"/>
      <w:bookmarkStart w:id="932" w:name="_Toc29287"/>
      <w:bookmarkStart w:id="933" w:name="_Toc29611"/>
      <w:bookmarkStart w:id="934" w:name="_Toc12676"/>
      <w:bookmarkStart w:id="935" w:name="_Toc17620"/>
      <w:bookmarkStart w:id="936" w:name="_Toc5401"/>
      <w:bookmarkStart w:id="937" w:name="_Toc14249"/>
      <w:bookmarkStart w:id="938" w:name="_Toc27225"/>
      <w:bookmarkStart w:id="939" w:name="_Toc22207"/>
      <w:bookmarkStart w:id="940" w:name="_Toc13718"/>
      <w:bookmarkStart w:id="941" w:name="_Toc21206"/>
      <w:bookmarkStart w:id="942" w:name="_Toc4070"/>
      <w:bookmarkStart w:id="943" w:name="_Toc24517"/>
      <w:bookmarkStart w:id="944" w:name="_Toc73112421"/>
      <w:bookmarkStart w:id="945" w:name="_Toc17568"/>
      <w:bookmarkStart w:id="946" w:name="_Toc9902"/>
      <w:bookmarkStart w:id="947" w:name="_Toc1286"/>
      <w:bookmarkStart w:id="948" w:name="_Toc25574"/>
      <w:bookmarkStart w:id="949" w:name="_Toc28506"/>
      <w:bookmarkStart w:id="950" w:name="_Toc29964"/>
      <w:bookmarkStart w:id="951" w:name="_Toc15025"/>
      <w:bookmarkStart w:id="952" w:name="_Toc12239"/>
      <w:r>
        <w:rPr>
          <w:rFonts w:hint="eastAsia" w:ascii="仿宋" w:hAnsi="仿宋" w:eastAsia="仿宋" w:cs="仿宋"/>
          <w:b/>
          <w:bCs/>
          <w:color w:val="000000" w:themeColor="text1"/>
          <w14:textFill>
            <w14:solidFill>
              <w14:schemeClr w14:val="tx1"/>
            </w14:solidFill>
          </w14:textFill>
        </w:rPr>
        <w:t>1验收的一般约定</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1.1验收标准一般以技术协议书和合同规定验收。</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1.2如果验收过程中，发现招标文件、投标文件、答疑文件、技术交流文件等与技术协议书、合同存在差异，原则上以涉及条款中对买方最有利条款为验收依据。</w:t>
      </w:r>
    </w:p>
    <w:p>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953" w:name="_Toc28925"/>
      <w:bookmarkStart w:id="954" w:name="_Toc10568"/>
      <w:bookmarkStart w:id="955" w:name="_Toc73112422"/>
      <w:bookmarkStart w:id="956" w:name="_Toc7863"/>
      <w:bookmarkStart w:id="957" w:name="_Toc29669"/>
      <w:bookmarkStart w:id="958" w:name="_Toc8742"/>
      <w:bookmarkStart w:id="959" w:name="_Toc6471"/>
      <w:bookmarkStart w:id="960" w:name="_Toc32581"/>
      <w:bookmarkStart w:id="961" w:name="_Toc27467"/>
      <w:bookmarkStart w:id="962" w:name="_Toc16943"/>
      <w:bookmarkStart w:id="963" w:name="_Toc8338"/>
      <w:bookmarkStart w:id="964" w:name="_Toc28873"/>
      <w:bookmarkStart w:id="965" w:name="_Toc23013"/>
      <w:bookmarkStart w:id="966" w:name="_Toc8093"/>
      <w:bookmarkStart w:id="967" w:name="_Toc31116"/>
      <w:bookmarkStart w:id="968" w:name="_Toc22158"/>
      <w:bookmarkStart w:id="969" w:name="_Toc13173"/>
      <w:bookmarkStart w:id="970" w:name="_Toc21568"/>
      <w:bookmarkStart w:id="971" w:name="_Toc28148"/>
      <w:bookmarkStart w:id="972" w:name="_Toc8916"/>
      <w:bookmarkStart w:id="973" w:name="_Toc20876"/>
      <w:bookmarkStart w:id="974" w:name="_Toc2310"/>
      <w:bookmarkStart w:id="975" w:name="_Toc21722"/>
      <w:bookmarkStart w:id="976" w:name="_Toc7457"/>
      <w:bookmarkStart w:id="977" w:name="_Toc23919"/>
      <w:bookmarkStart w:id="978" w:name="_Toc19505"/>
      <w:bookmarkStart w:id="979" w:name="_Toc17720"/>
      <w:bookmarkStart w:id="980" w:name="_Toc17335"/>
      <w:bookmarkStart w:id="981" w:name="_Toc11335"/>
      <w:bookmarkStart w:id="982" w:name="_Toc10200"/>
      <w:bookmarkStart w:id="983" w:name="_Toc21414"/>
      <w:bookmarkStart w:id="984" w:name="_Toc25951"/>
      <w:bookmarkStart w:id="985" w:name="_Toc16278"/>
      <w:bookmarkStart w:id="986" w:name="_Toc11248"/>
      <w:bookmarkStart w:id="987" w:name="_Toc30274"/>
      <w:bookmarkStart w:id="988" w:name="_Toc9729"/>
      <w:bookmarkStart w:id="989" w:name="_Toc18517"/>
      <w:bookmarkStart w:id="990" w:name="_Toc13736"/>
      <w:bookmarkStart w:id="991" w:name="_Toc22558"/>
      <w:bookmarkStart w:id="992" w:name="_Toc513"/>
      <w:bookmarkStart w:id="993" w:name="_Toc1155"/>
      <w:bookmarkStart w:id="994" w:name="_Toc15379"/>
      <w:bookmarkStart w:id="995" w:name="_Toc23133"/>
      <w:bookmarkStart w:id="996" w:name="_Toc27120"/>
      <w:bookmarkStart w:id="997" w:name="_Toc6206"/>
      <w:r>
        <w:rPr>
          <w:rFonts w:hint="eastAsia" w:ascii="仿宋" w:hAnsi="仿宋" w:eastAsia="仿宋" w:cs="仿宋"/>
          <w:b/>
          <w:bCs/>
          <w:color w:val="000000" w:themeColor="text1"/>
          <w14:textFill>
            <w14:solidFill>
              <w14:schemeClr w14:val="tx1"/>
            </w14:solidFill>
          </w14:textFill>
        </w:rPr>
        <w:t>2检验</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998" w:name="_Toc8214"/>
      <w:bookmarkStart w:id="999" w:name="_Toc27310"/>
      <w:bookmarkStart w:id="1000" w:name="_Toc14993"/>
      <w:bookmarkStart w:id="1001" w:name="_Toc23252"/>
      <w:bookmarkStart w:id="1002" w:name="_Toc15488"/>
      <w:bookmarkStart w:id="1003" w:name="_Toc25654"/>
      <w:bookmarkStart w:id="1004" w:name="_Toc27594"/>
      <w:bookmarkStart w:id="1005" w:name="_Toc14844"/>
      <w:bookmarkStart w:id="1006" w:name="_Toc27145"/>
      <w:bookmarkStart w:id="1007" w:name="_Toc18595"/>
      <w:bookmarkStart w:id="1008" w:name="_Toc30797"/>
      <w:bookmarkStart w:id="1009" w:name="_Toc19311"/>
      <w:bookmarkStart w:id="1010" w:name="_Toc16665"/>
      <w:bookmarkStart w:id="1011" w:name="_Toc8128"/>
      <w:bookmarkStart w:id="1012" w:name="_Toc11846"/>
      <w:bookmarkStart w:id="1013" w:name="_Toc22379"/>
      <w:bookmarkStart w:id="1014" w:name="_Toc21757"/>
      <w:bookmarkStart w:id="1015" w:name="_Toc5653"/>
      <w:bookmarkStart w:id="1016" w:name="_Toc21487"/>
      <w:bookmarkStart w:id="1017" w:name="_Toc5604"/>
      <w:bookmarkStart w:id="1018" w:name="_Toc18036"/>
      <w:bookmarkStart w:id="1019" w:name="_Toc23250"/>
      <w:bookmarkStart w:id="1020" w:name="_Toc8477"/>
      <w:bookmarkStart w:id="1021" w:name="_Toc73112423"/>
      <w:bookmarkStart w:id="1022" w:name="_Toc28225"/>
      <w:bookmarkStart w:id="1023" w:name="_Toc14904"/>
      <w:bookmarkStart w:id="1024" w:name="_Toc1041"/>
      <w:bookmarkStart w:id="1025" w:name="_Toc11780"/>
      <w:bookmarkStart w:id="1026" w:name="_Toc16878"/>
      <w:bookmarkStart w:id="1027" w:name="_Toc17499"/>
      <w:bookmarkStart w:id="1028" w:name="_Toc228"/>
      <w:bookmarkStart w:id="1029" w:name="_Toc32111"/>
      <w:bookmarkStart w:id="1030" w:name="_Toc1969"/>
      <w:bookmarkStart w:id="1031" w:name="_Toc31780"/>
      <w:bookmarkStart w:id="1032" w:name="_Toc29497"/>
      <w:bookmarkStart w:id="1033" w:name="_Toc8664"/>
      <w:bookmarkStart w:id="1034" w:name="_Toc14587"/>
      <w:bookmarkStart w:id="1035" w:name="_Toc27538"/>
      <w:bookmarkStart w:id="1036" w:name="_Toc10879"/>
      <w:bookmarkStart w:id="1037" w:name="_Toc6506"/>
      <w:bookmarkStart w:id="1038" w:name="_Toc1461"/>
      <w:bookmarkStart w:id="1039" w:name="_Toc27629"/>
      <w:r>
        <w:rPr>
          <w:rFonts w:hint="eastAsia" w:ascii="仿宋" w:hAnsi="仿宋" w:eastAsia="仿宋" w:cs="仿宋"/>
          <w:color w:val="000000" w:themeColor="text1"/>
          <w14:textFill>
            <w14:solidFill>
              <w14:schemeClr w14:val="tx1"/>
            </w14:solidFill>
          </w14:textFill>
        </w:rPr>
        <w:t>2.1国产货物的检验由卖买双方按照合同要求或在制造现场进行。</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2.2卖方应依据合同规定的要求，提供买卖双方达成一致的货物的验收标准和装箱单，作为买方检验的依据。</w:t>
      </w:r>
    </w:p>
    <w:p>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1040" w:name="_Toc15552"/>
      <w:bookmarkStart w:id="1041" w:name="_Toc13033"/>
      <w:bookmarkStart w:id="1042" w:name="_Toc1970"/>
      <w:r>
        <w:rPr>
          <w:rFonts w:hint="eastAsia" w:ascii="仿宋" w:hAnsi="仿宋" w:eastAsia="仿宋" w:cs="仿宋"/>
          <w:b/>
          <w:bCs/>
          <w:color w:val="000000" w:themeColor="text1"/>
          <w14:textFill>
            <w14:solidFill>
              <w14:schemeClr w14:val="tx1"/>
            </w14:solidFill>
          </w14:textFill>
        </w:rPr>
        <w:t>3验收条件</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买卖双方按照合同约定执行了合同，同时货物完成了试运行并经检验合格，则具备验收条件。</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1043" w:name="_Toc24377"/>
      <w:bookmarkStart w:id="1044" w:name="_Toc32498"/>
      <w:bookmarkStart w:id="1045" w:name="_Toc30563"/>
      <w:bookmarkStart w:id="1046" w:name="_Toc17709"/>
      <w:bookmarkStart w:id="1047" w:name="_Toc16974"/>
      <w:bookmarkStart w:id="1048" w:name="_Toc18487"/>
      <w:bookmarkStart w:id="1049" w:name="_Toc5473"/>
      <w:bookmarkStart w:id="1050" w:name="_Toc3034"/>
      <w:bookmarkStart w:id="1051" w:name="_Toc10052"/>
      <w:bookmarkStart w:id="1052" w:name="_Toc5952"/>
      <w:bookmarkStart w:id="1053" w:name="_Toc771"/>
      <w:bookmarkStart w:id="1054" w:name="_Toc11902"/>
      <w:bookmarkStart w:id="1055" w:name="_Toc24814"/>
      <w:bookmarkStart w:id="1056" w:name="_Toc7303"/>
      <w:bookmarkStart w:id="1057" w:name="_Toc4741"/>
      <w:bookmarkStart w:id="1058" w:name="_Toc16622"/>
      <w:bookmarkStart w:id="1059" w:name="_Toc4157"/>
      <w:bookmarkStart w:id="1060" w:name="_Toc20087"/>
      <w:bookmarkStart w:id="1061" w:name="_Toc27856"/>
      <w:bookmarkStart w:id="1062" w:name="_Toc362"/>
      <w:bookmarkStart w:id="1063" w:name="_Toc21811"/>
      <w:bookmarkStart w:id="1064" w:name="_Toc10389"/>
      <w:bookmarkStart w:id="1065" w:name="_Toc23170"/>
      <w:bookmarkStart w:id="1066" w:name="_Toc6977"/>
      <w:bookmarkStart w:id="1067" w:name="_Toc11234"/>
      <w:bookmarkStart w:id="1068" w:name="_Toc31328"/>
      <w:bookmarkStart w:id="1069" w:name="_Toc10586"/>
      <w:bookmarkStart w:id="1070" w:name="_Toc25547"/>
      <w:bookmarkStart w:id="1071" w:name="_Toc11412"/>
      <w:bookmarkStart w:id="1072" w:name="_Toc23548"/>
      <w:bookmarkStart w:id="1073" w:name="_Toc1849"/>
      <w:bookmarkStart w:id="1074" w:name="_Toc27848"/>
      <w:bookmarkStart w:id="1075" w:name="_Toc20504"/>
      <w:bookmarkStart w:id="1076" w:name="_Toc31639"/>
      <w:bookmarkStart w:id="1077" w:name="_Toc6731"/>
      <w:bookmarkStart w:id="1078" w:name="_Toc24921"/>
      <w:bookmarkStart w:id="1079" w:name="_Toc19344"/>
      <w:bookmarkStart w:id="1080" w:name="_Toc18903"/>
      <w:bookmarkStart w:id="1081" w:name="_Toc9015"/>
      <w:bookmarkStart w:id="1082" w:name="_Toc22247"/>
      <w:bookmarkStart w:id="1083" w:name="_Toc18963"/>
      <w:r>
        <w:rPr>
          <w:rFonts w:hint="eastAsia" w:ascii="仿宋" w:hAnsi="仿宋" w:eastAsia="仿宋" w:cs="仿宋"/>
          <w:color w:val="000000" w:themeColor="text1"/>
          <w14:textFill>
            <w14:solidFill>
              <w14:schemeClr w14:val="tx1"/>
            </w14:solidFill>
          </w14:textFill>
        </w:rPr>
        <w:t>3.1预验收一般条件</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3.1.1投标方已经按照“供货范围”要求提供了预验收资料，并且资料齐全、完整和有效。</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3.1.2货物应运行稳定、可靠、安全，无非正常变形，非正常振动，无异常声音；无漏水、漏液、漏气（汽）、漏电等现象。运动的零部件（如链条、联轴器、离合器、主轴、工作台等）动作平稳、灵活运动准确。</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3.1.3货物应完整且所有的零部件应该安装安全、牢固，外观无损伤，所有的焊缝饱满、无残渣等缺陷。</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3.1.4一般情况下，所有的管路和线缆等，接头应完全正确、可靠地联接；应排列有序（正确、牢固、整齐），有必要的防护，无皱褶、收缩和裂缝等不良现象。</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3.1.5货物的润滑系统工作正常、可靠，润滑点易于到达。</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3.1.6使用的压力容器、电气等应具备合格证（如果有压力容器），</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3.1.7货物的油漆质量应饱满、有光泽，无掉漆、无色差、无“桔皮”等不良现象（特殊标志除外）。</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3.1.8货物标牌完整、清晰、明确。</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3.1.9地线联接和地极符合国际（ISO/IEC）标准规范。</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3.1.10货物的安全要求符合中国最新的相关法律、法规、标准和规范以及合同要求。</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1084" w:name="_Toc17491"/>
      <w:bookmarkStart w:id="1085" w:name="_Toc11537"/>
      <w:bookmarkStart w:id="1086" w:name="_Toc18823"/>
      <w:bookmarkStart w:id="1087" w:name="_Toc7060"/>
      <w:bookmarkStart w:id="1088" w:name="_Toc1293"/>
      <w:bookmarkStart w:id="1089" w:name="_Toc17523"/>
      <w:bookmarkStart w:id="1090" w:name="_Toc15751"/>
      <w:bookmarkStart w:id="1091" w:name="_Toc8938"/>
      <w:bookmarkStart w:id="1092" w:name="_Toc5422"/>
      <w:bookmarkStart w:id="1093" w:name="_Toc8879"/>
      <w:bookmarkStart w:id="1094" w:name="_Toc4108"/>
      <w:bookmarkStart w:id="1095" w:name="_Toc16821"/>
      <w:bookmarkStart w:id="1096" w:name="_Toc12439"/>
      <w:bookmarkStart w:id="1097" w:name="_Toc8320"/>
      <w:bookmarkStart w:id="1098" w:name="_Toc21629"/>
      <w:bookmarkStart w:id="1099" w:name="_Toc29661"/>
      <w:bookmarkStart w:id="1100" w:name="_Toc2134"/>
      <w:bookmarkStart w:id="1101" w:name="_Toc20374"/>
      <w:bookmarkStart w:id="1102" w:name="_Toc6062"/>
      <w:bookmarkStart w:id="1103" w:name="_Toc931"/>
      <w:bookmarkStart w:id="1104" w:name="_Toc19887"/>
      <w:bookmarkStart w:id="1105" w:name="_Toc26496"/>
      <w:bookmarkStart w:id="1106" w:name="_Toc3329"/>
      <w:bookmarkStart w:id="1107" w:name="_Toc22891"/>
      <w:bookmarkStart w:id="1108" w:name="_Toc2362"/>
      <w:bookmarkStart w:id="1109" w:name="_Toc4066"/>
      <w:bookmarkStart w:id="1110" w:name="_Toc30498"/>
      <w:bookmarkStart w:id="1111" w:name="_Toc27491"/>
      <w:bookmarkStart w:id="1112" w:name="_Toc28390"/>
      <w:bookmarkStart w:id="1113" w:name="_Toc9105"/>
      <w:bookmarkStart w:id="1114" w:name="_Toc21671"/>
      <w:bookmarkStart w:id="1115" w:name="_Toc23596"/>
      <w:bookmarkStart w:id="1116" w:name="_Toc19728"/>
      <w:bookmarkStart w:id="1117" w:name="_Toc29327"/>
      <w:bookmarkStart w:id="1118" w:name="_Toc17924"/>
      <w:bookmarkStart w:id="1119" w:name="_Toc24874"/>
      <w:bookmarkStart w:id="1120" w:name="_Toc12987"/>
      <w:bookmarkStart w:id="1121" w:name="_Toc21953"/>
      <w:bookmarkStart w:id="1122" w:name="_Toc24950"/>
      <w:bookmarkStart w:id="1123" w:name="_Toc14552"/>
      <w:bookmarkStart w:id="1124" w:name="_Toc4643"/>
      <w:r>
        <w:rPr>
          <w:rFonts w:hint="eastAsia" w:ascii="仿宋" w:hAnsi="仿宋" w:eastAsia="仿宋" w:cs="仿宋"/>
          <w:color w:val="000000" w:themeColor="text1"/>
          <w14:textFill>
            <w14:solidFill>
              <w14:schemeClr w14:val="tx1"/>
            </w14:solidFill>
          </w14:textFill>
        </w:rPr>
        <w:t>3.2终验收一般条件</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3.2.1经过预验收而且没有出现新的质量问题，或者满足预验收条款。</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3.2.2货物安装调试完毕，并至少经过了验收要求的负荷试运行。</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3.2.3货物正常运行时，噪声等环境影响因素满足国家（《工作场所物理因素测量 噪声》GBZ/T 189.8-2007. 噪音≤</w:t>
      </w:r>
      <w:r>
        <w:rPr>
          <w:rFonts w:hint="eastAsia" w:ascii="仿宋" w:hAnsi="仿宋" w:eastAsia="仿宋" w:cs="仿宋"/>
          <w:color w:val="000000" w:themeColor="text1"/>
          <w:lang w:val="en-US" w:eastAsia="zh-CN"/>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0dB(A)）和当地环保主管部门规定。投标方需提供由第三方检测机构出具的检测报告 ，检测事宜及费用由投标方负责，招标方负责相关配合协调工作。</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3.2.4计量仪器、仪表配套合理，采用中国的法定计量单位，计量准确、灵敏可靠。保证设计指标和仪器说明书的参数的实现。</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3.2.5试运行期间或之后无维修、调整等行为（特殊情况除外）。</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3.2.6货物质量、技术性能等，达到签定的技术协议书和合同规定的终验收标准。</w:t>
      </w:r>
    </w:p>
    <w:p>
      <w:pPr>
        <w:snapToGrid w:val="0"/>
        <w:spacing w:line="360" w:lineRule="auto"/>
        <w:ind w:left="482"/>
        <w:outlineLvl w:val="1"/>
        <w:rPr>
          <w:rFonts w:ascii="仿宋" w:hAnsi="仿宋" w:eastAsia="仿宋" w:cs="仿宋"/>
          <w:b/>
          <w:bCs/>
          <w:color w:val="000000" w:themeColor="text1"/>
          <w14:textFill>
            <w14:solidFill>
              <w14:schemeClr w14:val="tx1"/>
            </w14:solidFill>
          </w14:textFill>
        </w:rPr>
      </w:pPr>
      <w:bookmarkStart w:id="1125" w:name="_Toc22915"/>
      <w:bookmarkStart w:id="1126" w:name="_Toc17223"/>
      <w:bookmarkStart w:id="1127" w:name="_Toc7243"/>
      <w:bookmarkStart w:id="1128" w:name="_Toc10673"/>
      <w:bookmarkStart w:id="1129" w:name="_Toc193"/>
      <w:bookmarkStart w:id="1130" w:name="_Toc1961"/>
      <w:bookmarkStart w:id="1131" w:name="_Toc6573"/>
      <w:bookmarkStart w:id="1132" w:name="_Toc551"/>
      <w:bookmarkStart w:id="1133" w:name="_Toc9027"/>
      <w:bookmarkStart w:id="1134" w:name="_Toc26083"/>
      <w:bookmarkStart w:id="1135" w:name="_Toc73112424"/>
      <w:bookmarkStart w:id="1136" w:name="_Toc1469"/>
      <w:bookmarkStart w:id="1137" w:name="_Toc32661"/>
      <w:bookmarkStart w:id="1138" w:name="_Toc17549"/>
      <w:bookmarkStart w:id="1139" w:name="_Toc1885"/>
      <w:bookmarkStart w:id="1140" w:name="_Toc21504"/>
      <w:bookmarkStart w:id="1141" w:name="_Toc22500"/>
      <w:bookmarkStart w:id="1142" w:name="_Toc1761"/>
      <w:bookmarkStart w:id="1143" w:name="_Toc28499"/>
      <w:bookmarkStart w:id="1144" w:name="_Toc20983"/>
      <w:bookmarkStart w:id="1145" w:name="_Toc21291"/>
      <w:bookmarkStart w:id="1146" w:name="_Toc25411"/>
      <w:bookmarkStart w:id="1147" w:name="_Toc1804"/>
      <w:bookmarkStart w:id="1148" w:name="_Toc11114"/>
      <w:r>
        <w:rPr>
          <w:rFonts w:hint="eastAsia" w:ascii="仿宋" w:hAnsi="仿宋" w:eastAsia="仿宋" w:cs="仿宋"/>
          <w:b/>
          <w:bCs/>
          <w:color w:val="000000" w:themeColor="text1"/>
          <w14:textFill>
            <w14:solidFill>
              <w14:schemeClr w14:val="tx1"/>
            </w14:solidFill>
          </w14:textFill>
        </w:rPr>
        <w:t>4终验收基本要求</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4.1货物允许情况下，一般先连续空运转</w:t>
      </w:r>
      <w:r>
        <w:rPr>
          <w:rFonts w:hint="eastAsia" w:ascii="仿宋" w:hAnsi="仿宋" w:eastAsia="仿宋" w:cs="仿宋"/>
          <w:color w:val="000000" w:themeColor="text1"/>
          <w:u w:val="single"/>
          <w:shd w:val="pct10" w:color="auto" w:fill="FFFFFF"/>
          <w14:textFill>
            <w14:solidFill>
              <w14:schemeClr w14:val="tx1"/>
            </w14:solidFill>
          </w14:textFill>
        </w:rPr>
        <w:t>8</w:t>
      </w:r>
      <w:r>
        <w:rPr>
          <w:rFonts w:hint="eastAsia" w:ascii="仿宋" w:hAnsi="仿宋" w:eastAsia="仿宋" w:cs="仿宋"/>
          <w:color w:val="000000" w:themeColor="text1"/>
          <w14:textFill>
            <w14:solidFill>
              <w14:schemeClr w14:val="tx1"/>
            </w14:solidFill>
          </w14:textFill>
        </w:rPr>
        <w:t>小时，然后再进行负荷运行。</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4.2负荷运行时，货物应连续运行</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u w:val="single"/>
          <w:shd w:val="pct10" w:color="auto" w:fill="FFFFFF"/>
          <w14:textFill>
            <w14:solidFill>
              <w14:schemeClr w14:val="tx1"/>
            </w14:solidFill>
          </w14:textFill>
        </w:rPr>
        <w:t>15</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天，每天连续</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u w:val="single"/>
          <w:shd w:val="pct10" w:color="auto" w:fill="FFFFFF"/>
          <w14:textFill>
            <w14:solidFill>
              <w14:schemeClr w14:val="tx1"/>
            </w14:solidFill>
          </w14:textFill>
        </w:rPr>
        <w:t xml:space="preserve">8 </w:t>
      </w:r>
      <w:r>
        <w:rPr>
          <w:rFonts w:hint="eastAsia" w:ascii="仿宋" w:hAnsi="仿宋" w:eastAsia="仿宋" w:cs="仿宋"/>
          <w:color w:val="000000" w:themeColor="text1"/>
          <w14:textFill>
            <w14:solidFill>
              <w14:schemeClr w14:val="tx1"/>
            </w14:solidFill>
          </w14:textFill>
        </w:rPr>
        <w:t>小时，除用户方面因素外，必须达到以下要求：</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4.2.1在整个验收过程中没有维修、更换零部件或元件行为；</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4.2.2所有出现的调整，每次调整时间均不超过</w:t>
      </w:r>
      <w:r>
        <w:rPr>
          <w:rFonts w:hint="eastAsia" w:ascii="仿宋" w:hAnsi="仿宋" w:eastAsia="仿宋" w:cs="仿宋"/>
          <w:color w:val="000000" w:themeColor="text1"/>
          <w:u w:val="single"/>
          <w:shd w:val="pct10" w:color="auto" w:fill="FFFFFF"/>
          <w14:textFill>
            <w14:solidFill>
              <w14:schemeClr w14:val="tx1"/>
            </w14:solidFill>
          </w14:textFill>
        </w:rPr>
        <w:t>120</w:t>
      </w:r>
      <w:r>
        <w:rPr>
          <w:rFonts w:hint="eastAsia" w:ascii="仿宋" w:hAnsi="仿宋" w:eastAsia="仿宋" w:cs="仿宋"/>
          <w:color w:val="000000" w:themeColor="text1"/>
          <w14:textFill>
            <w14:solidFill>
              <w14:schemeClr w14:val="tx1"/>
            </w14:solidFill>
          </w14:textFill>
        </w:rPr>
        <w:t>分钟；</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4.2.3所有调整时间的总和不超过总运行时间的</w:t>
      </w:r>
      <w:r>
        <w:rPr>
          <w:rFonts w:hint="eastAsia" w:ascii="仿宋" w:hAnsi="仿宋" w:eastAsia="仿宋" w:cs="仿宋"/>
          <w:color w:val="000000" w:themeColor="text1"/>
          <w:u w:val="single"/>
          <w:shd w:val="pct10" w:color="auto" w:fill="FFFFFF"/>
          <w14:textFill>
            <w14:solidFill>
              <w14:schemeClr w14:val="tx1"/>
            </w14:solidFill>
          </w14:textFill>
        </w:rPr>
        <w:t>20</w:t>
      </w:r>
      <w:r>
        <w:rPr>
          <w:rFonts w:hint="eastAsia" w:ascii="仿宋" w:hAnsi="仿宋" w:eastAsia="仿宋" w:cs="仿宋"/>
          <w:color w:val="000000" w:themeColor="text1"/>
          <w14:textFill>
            <w14:solidFill>
              <w14:schemeClr w14:val="tx1"/>
            </w14:solidFill>
          </w14:textFill>
        </w:rPr>
        <w:t>%；</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4.2.4累计负载运行实际性能（或生产率）达到合同规定；（节拍超出标书规定在20%以内，罚款额为货物总价的10%；超过20%以上，视为供货方违约，招标方有权解除合同，由此造成的损失由投标方承担）。</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bookmarkStart w:id="1149" w:name="_Toc133783975"/>
      <w:r>
        <w:rPr>
          <w:rFonts w:hint="eastAsia" w:ascii="仿宋" w:hAnsi="仿宋" w:eastAsia="仿宋" w:cs="仿宋"/>
          <w:color w:val="000000" w:themeColor="text1"/>
          <w14:textFill>
            <w14:solidFill>
              <w14:schemeClr w14:val="tx1"/>
            </w14:solidFill>
          </w14:textFill>
        </w:rPr>
        <w:t>4.2.5 设备满足现场使用要求，符合技术要求。</w:t>
      </w:r>
    </w:p>
    <w:p>
      <w:pPr>
        <w:adjustRightInd w:val="0"/>
        <w:snapToGrid w:val="0"/>
        <w:spacing w:line="360" w:lineRule="auto"/>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4.2.6 终验收以招标方单位《新增设备安装竣工验收转资单》签署单为最终验收证明，同时移交、核对全部供货范围内物品。</w:t>
      </w:r>
    </w:p>
    <w:p>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1150" w:name="_Toc2957"/>
      <w:bookmarkStart w:id="1151" w:name="_Toc14217"/>
      <w:bookmarkStart w:id="1152" w:name="_Toc32696"/>
      <w:bookmarkStart w:id="1153" w:name="_Toc28594"/>
      <w:bookmarkStart w:id="1154" w:name="_Toc8015"/>
      <w:bookmarkStart w:id="1155" w:name="_Toc12636"/>
      <w:bookmarkStart w:id="1156" w:name="_Toc24925"/>
      <w:bookmarkStart w:id="1157" w:name="_Toc31042"/>
      <w:bookmarkStart w:id="1158" w:name="_Toc20836"/>
      <w:bookmarkStart w:id="1159" w:name="_Toc30219"/>
      <w:bookmarkStart w:id="1160" w:name="_Toc28136"/>
      <w:bookmarkStart w:id="1161" w:name="_Toc1683"/>
      <w:bookmarkStart w:id="1162" w:name="_Toc27346"/>
      <w:bookmarkStart w:id="1163" w:name="_Toc18146"/>
      <w:bookmarkStart w:id="1164" w:name="_Toc23616"/>
      <w:bookmarkStart w:id="1165" w:name="_Toc8435"/>
      <w:bookmarkStart w:id="1166" w:name="_Toc18510"/>
      <w:bookmarkStart w:id="1167" w:name="_Toc1228"/>
      <w:bookmarkStart w:id="1168" w:name="_Toc2249"/>
      <w:bookmarkStart w:id="1169" w:name="_Toc19911"/>
      <w:bookmarkStart w:id="1170" w:name="_Toc14133"/>
      <w:bookmarkStart w:id="1171" w:name="_Toc25401"/>
      <w:bookmarkStart w:id="1172" w:name="_Toc7458"/>
      <w:bookmarkStart w:id="1173" w:name="_Toc17110"/>
      <w:bookmarkStart w:id="1174" w:name="_Toc26248"/>
      <w:bookmarkStart w:id="1175" w:name="_Toc1673"/>
      <w:bookmarkStart w:id="1176" w:name="_Toc23268"/>
      <w:bookmarkStart w:id="1177" w:name="_Toc2612"/>
      <w:bookmarkStart w:id="1178" w:name="_Toc30125"/>
      <w:bookmarkStart w:id="1179" w:name="_Toc27525"/>
      <w:bookmarkStart w:id="1180" w:name="_Toc4953"/>
      <w:bookmarkStart w:id="1181" w:name="_Toc15351"/>
      <w:bookmarkStart w:id="1182" w:name="_Toc10830"/>
      <w:bookmarkStart w:id="1183" w:name="_Toc663"/>
      <w:bookmarkStart w:id="1184" w:name="_Toc23397"/>
      <w:bookmarkStart w:id="1185" w:name="_Toc30656"/>
      <w:bookmarkStart w:id="1186" w:name="_Toc22179"/>
      <w:bookmarkStart w:id="1187" w:name="_Toc32074"/>
      <w:bookmarkStart w:id="1188" w:name="_Toc73112425"/>
      <w:bookmarkStart w:id="1189" w:name="_Toc29322"/>
      <w:bookmarkStart w:id="1190" w:name="_Toc25348"/>
      <w:bookmarkStart w:id="1191" w:name="_Toc1195"/>
      <w:bookmarkStart w:id="1192" w:name="_Toc22488"/>
      <w:bookmarkStart w:id="1193" w:name="_Toc15914"/>
      <w:bookmarkStart w:id="1194" w:name="_Toc30187"/>
      <w:bookmarkStart w:id="1195" w:name="_Toc1705"/>
      <w:r>
        <w:rPr>
          <w:rFonts w:hint="eastAsia" w:ascii="仿宋" w:hAnsi="仿宋" w:eastAsia="仿宋" w:cs="仿宋"/>
          <w:b/>
          <w:bCs/>
          <w:color w:val="000000" w:themeColor="text1"/>
          <w14:textFill>
            <w14:solidFill>
              <w14:schemeClr w14:val="tx1"/>
            </w14:solidFill>
          </w14:textFill>
        </w:rPr>
        <w:t>第六章投标技术文件一般要求</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1投标方应认真阅读招标文件和本技术标书，并按要求编写投标技术文件。</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2投标技术文件至少应对投标货物的“技术偏离”、“商务偏离”作出有无说明；若有，应予以详细填写和说明。</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3投标技术文件至少应对投标货物的功能用途、技术性能、质量标准、技术参数等作出详细说明。</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4投标技术文件至少应根据投标货物的关键设备、总成、零部件或系统作出优越性说明。</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5投标技术文件至少应根据投标货物的配置，按照备品备件、易损件和专用耗材明细表要求以及投标货物主要配置一览表要求（见下表），认真全面填写。</w:t>
      </w:r>
    </w:p>
    <w:p>
      <w:pPr>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投标货物主要配置一览表单位：元</w:t>
      </w:r>
    </w:p>
    <w:tbl>
      <w:tblPr>
        <w:tblStyle w:val="31"/>
        <w:tblpPr w:leftFromText="180" w:rightFromText="180" w:vertAnchor="text" w:tblpXSpec="center" w:tblpY="1"/>
        <w:tblOverlap w:val="never"/>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940"/>
        <w:gridCol w:w="697"/>
        <w:gridCol w:w="697"/>
        <w:gridCol w:w="697"/>
        <w:gridCol w:w="697"/>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名称</w:t>
            </w:r>
          </w:p>
        </w:tc>
        <w:tc>
          <w:tcPr>
            <w:tcW w:w="1940" w:type="dxa"/>
          </w:tcPr>
          <w:p>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型号规格</w:t>
            </w:r>
          </w:p>
        </w:tc>
        <w:tc>
          <w:tcPr>
            <w:tcW w:w="697" w:type="dxa"/>
          </w:tcPr>
          <w:p>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单位</w:t>
            </w:r>
          </w:p>
        </w:tc>
        <w:tc>
          <w:tcPr>
            <w:tcW w:w="697" w:type="dxa"/>
          </w:tcPr>
          <w:p>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数量</w:t>
            </w:r>
          </w:p>
        </w:tc>
        <w:tc>
          <w:tcPr>
            <w:tcW w:w="697" w:type="dxa"/>
          </w:tcPr>
          <w:p>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单价</w:t>
            </w:r>
          </w:p>
        </w:tc>
        <w:tc>
          <w:tcPr>
            <w:tcW w:w="697" w:type="dxa"/>
          </w:tcPr>
          <w:p>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总价</w:t>
            </w:r>
          </w:p>
        </w:tc>
        <w:tc>
          <w:tcPr>
            <w:tcW w:w="1665" w:type="dxa"/>
          </w:tcPr>
          <w:p>
            <w:pPr>
              <w:adjustRightInd w:val="0"/>
              <w:snapToGrid w:val="0"/>
              <w:spacing w:line="360" w:lineRule="auto"/>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940"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665"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940"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665"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940"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697"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c>
          <w:tcPr>
            <w:tcW w:w="1665" w:type="dxa"/>
          </w:tcPr>
          <w:p>
            <w:pPr>
              <w:adjustRightInd w:val="0"/>
              <w:snapToGrid w:val="0"/>
              <w:spacing w:line="360" w:lineRule="auto"/>
              <w:rPr>
                <w:rFonts w:ascii="仿宋" w:hAnsi="仿宋" w:eastAsia="仿宋" w:cs="仿宋"/>
                <w:color w:val="000000" w:themeColor="text1"/>
                <w14:textFill>
                  <w14:solidFill>
                    <w14:schemeClr w14:val="tx1"/>
                  </w14:solidFill>
                </w14:textFill>
              </w:rPr>
            </w:pPr>
          </w:p>
        </w:tc>
      </w:tr>
    </w:tbl>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备注：本表作为投标方编制投标技术文件的一般格式。表中应当尽可能将配置列全、列细，这将有助于投标方胜出。</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6投标技术文件至少应对招标文件和本技术标书所提出的要求，将投标方认为难以满足的条款和要求，予以明确和详细的说明或澄清。</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8供货范围内的物品或服务，应当尽可能详细且分类填入配置表，其费用应当计入投标总报价之内。如果出现不一致的报价，将有可能导致废标。</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9除招标文件明确的验收标准或内容之外，投标方应当在投标文件中提供预验收（必要时）和终验收的标准以及规程，在合同签定之前，经投标方和招标方双方洽谈确认并签署，以作为验收标准执行。</w:t>
      </w:r>
    </w:p>
    <w:p>
      <w:pPr>
        <w:adjustRightInd w:val="0"/>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10带 ★ 号条款为否定项条款。</w:t>
      </w:r>
      <w:bookmarkStart w:id="1196" w:name="_Toc133783976"/>
    </w:p>
    <w:p>
      <w:pPr>
        <w:adjustRightInd w:val="0"/>
        <w:snapToGrid w:val="0"/>
        <w:spacing w:before="163" w:beforeLines="50" w:after="163" w:afterLines="50" w:line="360" w:lineRule="auto"/>
        <w:jc w:val="center"/>
        <w:outlineLvl w:val="0"/>
        <w:rPr>
          <w:rFonts w:ascii="仿宋" w:hAnsi="仿宋" w:eastAsia="仿宋" w:cs="仿宋"/>
          <w:b/>
          <w:bCs/>
          <w:color w:val="000000" w:themeColor="text1"/>
          <w14:textFill>
            <w14:solidFill>
              <w14:schemeClr w14:val="tx1"/>
            </w14:solidFill>
          </w14:textFill>
        </w:rPr>
      </w:pPr>
      <w:bookmarkStart w:id="1197" w:name="_Toc1126"/>
      <w:bookmarkStart w:id="1198" w:name="_Toc5380"/>
      <w:bookmarkStart w:id="1199" w:name="_Toc26559"/>
      <w:bookmarkStart w:id="1200" w:name="_Toc24401"/>
      <w:bookmarkStart w:id="1201" w:name="_Toc17174"/>
      <w:bookmarkStart w:id="1202" w:name="_Toc29655"/>
      <w:bookmarkStart w:id="1203" w:name="_Toc10081"/>
      <w:bookmarkStart w:id="1204" w:name="_Toc31830"/>
      <w:bookmarkStart w:id="1205" w:name="_Toc919"/>
      <w:bookmarkStart w:id="1206" w:name="_Toc5153"/>
      <w:bookmarkStart w:id="1207" w:name="_Toc23538"/>
      <w:bookmarkStart w:id="1208" w:name="_Toc11155"/>
      <w:bookmarkStart w:id="1209" w:name="_Toc19043"/>
      <w:bookmarkStart w:id="1210" w:name="_Toc73112426"/>
      <w:bookmarkStart w:id="1211" w:name="_Toc15645"/>
      <w:bookmarkStart w:id="1212" w:name="_Toc25823"/>
      <w:bookmarkStart w:id="1213" w:name="_Toc4040"/>
      <w:bookmarkStart w:id="1214" w:name="_Toc22743"/>
      <w:bookmarkStart w:id="1215" w:name="_Toc19119"/>
      <w:bookmarkStart w:id="1216" w:name="_Toc10484"/>
      <w:bookmarkStart w:id="1217" w:name="_Toc19821"/>
      <w:bookmarkStart w:id="1218" w:name="_Toc671"/>
      <w:bookmarkStart w:id="1219" w:name="_Toc29369"/>
      <w:bookmarkStart w:id="1220" w:name="_Toc9954"/>
      <w:bookmarkStart w:id="1221" w:name="_Toc32403"/>
      <w:bookmarkStart w:id="1222" w:name="_Toc13350"/>
      <w:bookmarkStart w:id="1223" w:name="_Toc2177"/>
      <w:bookmarkStart w:id="1224" w:name="_Toc3256"/>
      <w:bookmarkStart w:id="1225" w:name="_Toc15684"/>
      <w:bookmarkStart w:id="1226" w:name="_Toc16301"/>
      <w:bookmarkStart w:id="1227" w:name="_Toc2341"/>
      <w:bookmarkStart w:id="1228" w:name="_Toc7541"/>
      <w:bookmarkStart w:id="1229" w:name="_Toc2151"/>
      <w:bookmarkStart w:id="1230" w:name="_Toc11416"/>
      <w:bookmarkStart w:id="1231" w:name="_Toc7423"/>
      <w:bookmarkStart w:id="1232" w:name="_Toc3744"/>
      <w:bookmarkStart w:id="1233" w:name="_Toc17045"/>
      <w:bookmarkStart w:id="1234" w:name="_Toc147"/>
      <w:bookmarkStart w:id="1235" w:name="_Toc19444"/>
      <w:bookmarkStart w:id="1236" w:name="_Toc26481"/>
      <w:bookmarkStart w:id="1237" w:name="_Toc17463"/>
      <w:bookmarkStart w:id="1238" w:name="_Toc25344"/>
      <w:bookmarkStart w:id="1239" w:name="_Toc4563"/>
      <w:bookmarkStart w:id="1240" w:name="_Toc623"/>
      <w:bookmarkStart w:id="1241" w:name="_Toc2783"/>
      <w:bookmarkStart w:id="1242" w:name="_Toc13666"/>
      <w:r>
        <w:rPr>
          <w:rFonts w:hint="eastAsia" w:ascii="仿宋" w:hAnsi="仿宋" w:eastAsia="仿宋" w:cs="仿宋"/>
          <w:b/>
          <w:bCs/>
          <w:color w:val="000000" w:themeColor="text1"/>
          <w14:textFill>
            <w14:solidFill>
              <w14:schemeClr w14:val="tx1"/>
            </w14:solidFill>
          </w14:textFill>
        </w:rPr>
        <w:t>第七章其它要求</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1243" w:name="_Toc24669"/>
      <w:bookmarkStart w:id="1244" w:name="_Toc17357"/>
      <w:bookmarkStart w:id="1245" w:name="_Toc16829"/>
      <w:bookmarkStart w:id="1246" w:name="_Toc32544"/>
      <w:bookmarkStart w:id="1247" w:name="_Toc12542"/>
      <w:bookmarkStart w:id="1248" w:name="_Toc17727"/>
      <w:bookmarkStart w:id="1249" w:name="_Toc30535"/>
      <w:bookmarkStart w:id="1250" w:name="_Toc4997"/>
      <w:bookmarkStart w:id="1251" w:name="_Toc15541"/>
      <w:bookmarkStart w:id="1252" w:name="_Toc18469"/>
      <w:bookmarkStart w:id="1253" w:name="_Toc17623"/>
      <w:bookmarkStart w:id="1254" w:name="_Toc31105"/>
      <w:bookmarkStart w:id="1255" w:name="_Toc17435"/>
      <w:bookmarkStart w:id="1256" w:name="_Toc32012"/>
      <w:bookmarkStart w:id="1257" w:name="_Toc15256"/>
      <w:bookmarkStart w:id="1258" w:name="_Toc12406"/>
      <w:bookmarkStart w:id="1259" w:name="_Toc22430"/>
      <w:bookmarkStart w:id="1260" w:name="_Toc17702"/>
      <w:bookmarkStart w:id="1261" w:name="_Toc24782"/>
      <w:bookmarkStart w:id="1262" w:name="_Toc32470"/>
      <w:bookmarkStart w:id="1263" w:name="_Toc24680"/>
      <w:bookmarkStart w:id="1264" w:name="_Toc11058"/>
      <w:bookmarkStart w:id="1265" w:name="_Toc29679"/>
      <w:bookmarkStart w:id="1266" w:name="_Toc13820"/>
      <w:bookmarkStart w:id="1267" w:name="_Toc3164"/>
      <w:bookmarkStart w:id="1268" w:name="_Toc26831"/>
      <w:bookmarkStart w:id="1269" w:name="_Toc16614"/>
      <w:bookmarkStart w:id="1270" w:name="_Toc29015"/>
      <w:bookmarkStart w:id="1271" w:name="_Toc5514"/>
      <w:bookmarkStart w:id="1272" w:name="_Toc14684"/>
      <w:bookmarkStart w:id="1273" w:name="_Toc16802"/>
      <w:bookmarkStart w:id="1274" w:name="_Toc15205"/>
      <w:bookmarkStart w:id="1275" w:name="_Toc24181"/>
      <w:bookmarkStart w:id="1276" w:name="_Toc32525"/>
      <w:bookmarkStart w:id="1277" w:name="_Toc2497"/>
      <w:bookmarkStart w:id="1278" w:name="_Toc27273"/>
      <w:bookmarkStart w:id="1279" w:name="_Toc12029"/>
      <w:bookmarkStart w:id="1280" w:name="_Toc20262"/>
      <w:bookmarkStart w:id="1281" w:name="_Toc11901"/>
      <w:bookmarkStart w:id="1282" w:name="_Toc22010"/>
      <w:bookmarkStart w:id="1283" w:name="_Toc28364"/>
      <w:bookmarkStart w:id="1284" w:name="_Toc25903"/>
      <w:bookmarkStart w:id="1285" w:name="_Toc21465"/>
      <w:bookmarkStart w:id="1286" w:name="_Toc14484"/>
      <w:bookmarkStart w:id="1287" w:name="_Toc73112427"/>
      <w:r>
        <w:rPr>
          <w:rFonts w:hint="eastAsia" w:ascii="仿宋" w:hAnsi="仿宋" w:eastAsia="仿宋" w:cs="仿宋"/>
          <w:b/>
          <w:bCs/>
          <w:color w:val="000000" w:themeColor="text1"/>
          <w14:textFill>
            <w14:solidFill>
              <w14:schemeClr w14:val="tx1"/>
            </w14:solidFill>
          </w14:textFill>
        </w:rPr>
        <w:t>1特殊要求</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pPr>
        <w:pStyle w:val="17"/>
        <w:snapToGrid w:val="0"/>
        <w:spacing w:line="360" w:lineRule="auto"/>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为保证本技术标书所列采购货物的质量以及先进性、可靠性、经济性和实用性，要求投标方在投标文件中，至少应具备以下资格证明文件或资料：</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1.1投标方应是通过有关资格认证的单位，因此应附有有效期内的资格认证证书，如：ISO9001、VDA6.1、QS9000等。</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1.2国产设备应附有采购货物（或设备）涉及的由“中国质量认证中心”颁发的《中国国家强制性产品认证证书》（CCC证书）。</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方应当保证其业绩的真实性，否则将影响投标或中标资格。</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1.4应附有其它与投标单位、采购货物有关的荣誉证书或资料。</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1.5应附有中国相关国家部委颁发的有效期之内所必需的《生产许可证》。</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1.6应附有必要的采购货物（或设备）的相关检验、试验报告，如：《型式试验的检验报告》、《产品鉴定证书》、《新技术成果证书》等。</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1.7投标方必须附有采购货物（或设备）涉及国家规定必须进行的检验、试验报告等。</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pPr>
        <w:snapToGrid w:val="0"/>
        <w:spacing w:line="360" w:lineRule="auto"/>
        <w:ind w:left="480"/>
        <w:outlineLvl w:val="1"/>
        <w:rPr>
          <w:rFonts w:ascii="仿宋" w:hAnsi="仿宋" w:eastAsia="仿宋" w:cs="仿宋"/>
          <w:b/>
          <w:bCs/>
          <w:color w:val="000000" w:themeColor="text1"/>
          <w14:textFill>
            <w14:solidFill>
              <w14:schemeClr w14:val="tx1"/>
            </w14:solidFill>
          </w14:textFill>
        </w:rPr>
      </w:pPr>
      <w:bookmarkStart w:id="1288" w:name="_Toc28559"/>
      <w:bookmarkStart w:id="1289" w:name="_Toc16457"/>
      <w:bookmarkStart w:id="1290" w:name="_Toc24482"/>
      <w:bookmarkStart w:id="1291" w:name="_Toc21942"/>
      <w:bookmarkStart w:id="1292" w:name="_Toc29954"/>
      <w:bookmarkStart w:id="1293" w:name="_Toc26626"/>
      <w:bookmarkStart w:id="1294" w:name="_Toc28700"/>
      <w:bookmarkStart w:id="1295" w:name="_Toc27164"/>
      <w:bookmarkStart w:id="1296" w:name="_Toc24176"/>
      <w:bookmarkStart w:id="1297" w:name="_Toc27894"/>
      <w:bookmarkStart w:id="1298" w:name="_Toc26307"/>
      <w:bookmarkStart w:id="1299" w:name="_Toc6242"/>
      <w:bookmarkStart w:id="1300" w:name="_Toc14052"/>
      <w:bookmarkStart w:id="1301" w:name="_Toc73112429"/>
      <w:bookmarkStart w:id="1302" w:name="_Toc14956"/>
      <w:bookmarkStart w:id="1303" w:name="_Toc4278"/>
      <w:bookmarkStart w:id="1304" w:name="_Toc335"/>
      <w:bookmarkStart w:id="1305" w:name="_Toc22763"/>
      <w:bookmarkStart w:id="1306" w:name="_Toc11255"/>
      <w:bookmarkStart w:id="1307" w:name="_Toc28380"/>
      <w:bookmarkStart w:id="1308" w:name="_Toc20370"/>
      <w:bookmarkStart w:id="1309" w:name="_Toc4243"/>
      <w:bookmarkStart w:id="1310" w:name="_Toc3821"/>
      <w:bookmarkStart w:id="1311" w:name="_Toc25028"/>
      <w:bookmarkStart w:id="1312" w:name="_Toc22893"/>
      <w:bookmarkStart w:id="1313" w:name="_Toc1823"/>
      <w:bookmarkStart w:id="1314" w:name="_Toc18674"/>
      <w:bookmarkStart w:id="1315" w:name="_Toc7398"/>
      <w:bookmarkStart w:id="1316" w:name="_Toc3658"/>
      <w:bookmarkStart w:id="1317" w:name="_Toc5504"/>
      <w:bookmarkStart w:id="1318" w:name="_Toc29233"/>
      <w:bookmarkStart w:id="1319" w:name="_Toc3323"/>
      <w:bookmarkStart w:id="1320" w:name="_Toc28267"/>
      <w:bookmarkStart w:id="1321" w:name="_Toc25498"/>
      <w:bookmarkStart w:id="1322" w:name="_Toc19315"/>
      <w:bookmarkStart w:id="1323" w:name="_Toc26724"/>
      <w:bookmarkStart w:id="1324" w:name="_Toc18370"/>
      <w:bookmarkStart w:id="1325" w:name="_Toc11707"/>
      <w:bookmarkStart w:id="1326" w:name="_Toc18745"/>
      <w:bookmarkStart w:id="1327" w:name="_Toc13497"/>
      <w:bookmarkStart w:id="1328" w:name="_Toc20830"/>
      <w:bookmarkStart w:id="1329" w:name="_Toc28718"/>
      <w:bookmarkStart w:id="1330" w:name="_Toc9442"/>
      <w:bookmarkStart w:id="1331" w:name="_Toc13528"/>
      <w:bookmarkStart w:id="1332" w:name="_Toc8864"/>
      <w:r>
        <w:rPr>
          <w:rFonts w:hint="eastAsia" w:ascii="仿宋" w:hAnsi="仿宋" w:eastAsia="仿宋" w:cs="仿宋"/>
          <w:b/>
          <w:bCs/>
          <w:color w:val="000000" w:themeColor="text1"/>
          <w14:textFill>
            <w14:solidFill>
              <w14:schemeClr w14:val="tx1"/>
            </w14:solidFill>
          </w14:textFill>
        </w:rPr>
        <w:t>2说明</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2.1投标方可以根据自身的技术、经验等优势以及对招标文件和本技术标书的理解，写明对招标方所采购货物的优化方案或建议意见。投标方的这些努力，招标方表示感谢，并将有助于投标方优先胜出。</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2.2即使有建议意见或建议方案，仍应依据招标文件和本技术标书要求，编写符合要求的投标文件。建议方案或建议意见，应以单独篇章或文件，予以说明。</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2.3请投标方仔细阅读“采购货物概况”章节内说明，针对允许分投分中的货物，招标方有权利选择其中优秀设备或服务，作为投标方合同供货范围中的指定选用设备或服务（替代投标方分投而未中标部分）。</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2.4招标文件、投标文件、答疑文件、技术交流文件、技术协议书等，在招标过程全部为有效文件，如有差异，以对招标方或买方最有利的条款为准。</w:t>
      </w:r>
    </w:p>
    <w:p>
      <w:pPr>
        <w:snapToGrid w:val="0"/>
        <w:spacing w:line="360" w:lineRule="auto"/>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pPr>
        <w:snapToGrid w:val="0"/>
        <w:spacing w:line="360" w:lineRule="auto"/>
        <w:ind w:firstLine="420" w:firstLineChars="200"/>
        <w:rPr>
          <w:rFonts w:ascii="仿宋" w:hAnsi="仿宋" w:eastAsia="仿宋" w:cs="仿宋"/>
        </w:rPr>
      </w:pPr>
    </w:p>
    <w:p>
      <w:pPr>
        <w:snapToGrid w:val="0"/>
        <w:spacing w:line="360" w:lineRule="auto"/>
        <w:ind w:firstLine="420" w:firstLineChars="200"/>
        <w:rPr>
          <w:rFonts w:ascii="仿宋" w:hAnsi="仿宋" w:eastAsia="仿宋" w:cs="仿宋"/>
          <w:highlight w:val="none"/>
        </w:rPr>
      </w:pPr>
    </w:p>
    <w:p>
      <w:pPr>
        <w:snapToGrid w:val="0"/>
        <w:spacing w:line="360" w:lineRule="auto"/>
        <w:ind w:firstLine="420" w:firstLineChars="200"/>
        <w:rPr>
          <w:rFonts w:ascii="仿宋" w:hAnsi="仿宋" w:eastAsia="仿宋" w:cs="仿宋"/>
          <w:highlight w:val="none"/>
        </w:rPr>
      </w:pPr>
    </w:p>
    <w:p>
      <w:pPr>
        <w:adjustRightInd w:val="0"/>
        <w:snapToGrid w:val="0"/>
        <w:spacing w:line="360" w:lineRule="auto"/>
        <w:ind w:firstLine="420" w:firstLineChars="200"/>
        <w:rPr>
          <w:rFonts w:ascii="仿宋" w:hAnsi="仿宋" w:eastAsia="仿宋" w:cs="仿宋"/>
          <w:highlight w:val="none"/>
        </w:rPr>
      </w:pPr>
    </w:p>
    <w:p>
      <w:pPr>
        <w:snapToGrid w:val="0"/>
        <w:spacing w:line="360" w:lineRule="auto"/>
        <w:rPr>
          <w:rFonts w:ascii="仿宋" w:hAnsi="仿宋" w:eastAsia="仿宋" w:cs="仿宋"/>
          <w:highlight w:val="none"/>
        </w:rPr>
      </w:pPr>
    </w:p>
    <w:p>
      <w:pPr>
        <w:pStyle w:val="77"/>
        <w:rPr>
          <w:b/>
          <w:bCs/>
        </w:rPr>
      </w:pPr>
    </w:p>
    <w:p>
      <w:pPr>
        <w:rPr>
          <w:rFonts w:hint="eastAsia"/>
        </w:rPr>
      </w:pPr>
      <w:bookmarkStart w:id="1333" w:name="_Toc47976609"/>
      <w:r>
        <w:rPr>
          <w:rFonts w:hint="eastAsia"/>
        </w:rPr>
        <w:br w:type="page"/>
      </w:r>
    </w:p>
    <w:bookmarkEnd w:id="1333"/>
    <w:p>
      <w:pPr>
        <w:pStyle w:val="72"/>
        <w:numPr>
          <w:ilvl w:val="0"/>
          <w:numId w:val="30"/>
        </w:numPr>
        <w:rPr>
          <w:rFonts w:hint="eastAsia"/>
        </w:rPr>
      </w:pPr>
      <w:r>
        <w:rPr>
          <w:rFonts w:hint="eastAsia" w:ascii="宋体" w:hAnsi="宋体" w:eastAsia="宋体" w:cs="Times New Roman"/>
          <w:b/>
          <w:sz w:val="36"/>
          <w:szCs w:val="36"/>
        </w:rPr>
        <w:t>设备采购合同</w:t>
      </w:r>
      <w:r>
        <w:rPr>
          <w:rFonts w:hint="eastAsia" w:ascii="宋体" w:hAnsi="宋体" w:eastAsia="宋体" w:cs="Times New Roman"/>
          <w:b/>
          <w:sz w:val="36"/>
          <w:szCs w:val="36"/>
          <w:lang w:eastAsia="zh-CN"/>
        </w:rPr>
        <w:t>（</w:t>
      </w:r>
      <w:r>
        <w:rPr>
          <w:rFonts w:hint="eastAsia" w:ascii="宋体" w:hAnsi="宋体" w:eastAsia="宋体" w:cs="Times New Roman"/>
          <w:b/>
          <w:sz w:val="36"/>
          <w:szCs w:val="36"/>
          <w:lang w:val="en-US" w:eastAsia="zh-CN"/>
        </w:rPr>
        <w:t>模板</w:t>
      </w:r>
      <w:r>
        <w:rPr>
          <w:rFonts w:hint="eastAsia" w:ascii="宋体" w:hAnsi="宋体" w:eastAsia="宋体" w:cs="Times New Roman"/>
          <w:b/>
          <w:sz w:val="36"/>
          <w:szCs w:val="36"/>
          <w:lang w:eastAsia="zh-CN"/>
        </w:rPr>
        <w:t>）</w:t>
      </w:r>
    </w:p>
    <w:p>
      <w:pPr>
        <w:wordWrap w:val="0"/>
        <w:adjustRightInd w:val="0"/>
        <w:snapToGrid w:val="0"/>
        <w:spacing w:line="360" w:lineRule="auto"/>
        <w:jc w:val="right"/>
        <w:rPr>
          <w:rFonts w:ascii="宋体" w:hAnsi="宋体"/>
          <w:b/>
          <w:sz w:val="28"/>
          <w:szCs w:val="28"/>
        </w:rPr>
      </w:pPr>
    </w:p>
    <w:p>
      <w:pPr>
        <w:adjustRightInd w:val="0"/>
        <w:snapToGrid w:val="0"/>
        <w:spacing w:line="360" w:lineRule="auto"/>
        <w:jc w:val="center"/>
        <w:rPr>
          <w:rFonts w:ascii="方正小标宋简体" w:hAnsi="宋体" w:eastAsia="方正小标宋简体"/>
          <w:bCs/>
          <w:sz w:val="52"/>
          <w:szCs w:val="36"/>
        </w:rPr>
      </w:pPr>
      <w:bookmarkStart w:id="1334" w:name="_Toc47976615"/>
      <w:r>
        <w:rPr>
          <w:rFonts w:hint="eastAsia" w:ascii="方正小标宋简体" w:hAnsi="宋体" w:eastAsia="方正小标宋简体"/>
          <w:bCs/>
          <w:sz w:val="52"/>
          <w:szCs w:val="36"/>
        </w:rPr>
        <w:t>设备采购合同（模板）</w:t>
      </w:r>
    </w:p>
    <w:p>
      <w:pPr>
        <w:pStyle w:val="15"/>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35" w:name="_Toc17619"/>
      <w:bookmarkStart w:id="1336" w:name="_Toc11930"/>
      <w:bookmarkStart w:id="1337" w:name="_Toc11823"/>
      <w:bookmarkStart w:id="1338" w:name="_Toc16330018"/>
      <w:r>
        <w:rPr>
          <w:rFonts w:hint="eastAsia" w:ascii="黑体" w:hAnsi="黑体" w:eastAsia="黑体" w:cstheme="minorEastAsia"/>
          <w:b w:val="0"/>
          <w:sz w:val="28"/>
          <w:szCs w:val="28"/>
        </w:rPr>
        <w:t>1 合同设备</w:t>
      </w:r>
      <w:bookmarkEnd w:id="1335"/>
      <w:bookmarkEnd w:id="1336"/>
      <w:bookmarkEnd w:id="1337"/>
      <w:bookmarkEnd w:id="133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1339" w:name="_Toc32510"/>
      <w:bookmarkStart w:id="1340" w:name="_Toc29026"/>
      <w:bookmarkStart w:id="1341"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42" w:name="_Toc16330019"/>
      <w:r>
        <w:rPr>
          <w:rFonts w:hint="eastAsia" w:ascii="黑体" w:hAnsi="黑体" w:eastAsia="黑体" w:cstheme="minorEastAsia"/>
          <w:b w:val="0"/>
          <w:sz w:val="28"/>
          <w:szCs w:val="28"/>
        </w:rPr>
        <w:t>2 包装</w:t>
      </w:r>
      <w:bookmarkEnd w:id="1339"/>
      <w:bookmarkEnd w:id="1340"/>
      <w:bookmarkEnd w:id="1341"/>
      <w:bookmarkEnd w:id="134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43" w:name="_Toc27144"/>
      <w:bookmarkStart w:id="1344" w:name="_Toc27453"/>
      <w:bookmarkStart w:id="1345" w:name="_Toc2833"/>
      <w:bookmarkStart w:id="1346" w:name="_Toc16330020"/>
      <w:r>
        <w:rPr>
          <w:rFonts w:hint="eastAsia" w:ascii="黑体" w:hAnsi="黑体" w:eastAsia="黑体" w:cstheme="minorEastAsia"/>
          <w:b w:val="0"/>
          <w:sz w:val="28"/>
          <w:szCs w:val="28"/>
        </w:rPr>
        <w:t>3 运输标记</w:t>
      </w:r>
      <w:bookmarkEnd w:id="1343"/>
      <w:bookmarkEnd w:id="1344"/>
      <w:bookmarkEnd w:id="1345"/>
      <w:bookmarkEnd w:id="134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47" w:name="_Toc16133"/>
      <w:bookmarkStart w:id="1348" w:name="_Toc16330021"/>
      <w:bookmarkStart w:id="1349" w:name="_Toc10630"/>
      <w:bookmarkStart w:id="1350" w:name="_Toc7431"/>
      <w:r>
        <w:rPr>
          <w:rFonts w:hint="eastAsia" w:ascii="黑体" w:hAnsi="黑体" w:eastAsia="黑体" w:cstheme="minorEastAsia"/>
          <w:b w:val="0"/>
          <w:sz w:val="28"/>
          <w:szCs w:val="28"/>
        </w:rPr>
        <w:t>4 检验</w:t>
      </w:r>
      <w:bookmarkEnd w:id="1347"/>
      <w:bookmarkEnd w:id="1348"/>
      <w:bookmarkEnd w:id="1349"/>
      <w:bookmarkEnd w:id="135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51" w:name="_Toc11217"/>
      <w:bookmarkStart w:id="1352" w:name="_Toc24467"/>
      <w:bookmarkStart w:id="1353" w:name="_Toc19850"/>
      <w:bookmarkStart w:id="1354" w:name="_Toc16330022"/>
      <w:r>
        <w:rPr>
          <w:rFonts w:hint="eastAsia" w:ascii="黑体" w:hAnsi="黑体" w:eastAsia="黑体" w:cstheme="minorEastAsia"/>
          <w:b w:val="0"/>
          <w:sz w:val="28"/>
          <w:szCs w:val="28"/>
        </w:rPr>
        <w:t>5 权利担保</w:t>
      </w:r>
      <w:bookmarkEnd w:id="1351"/>
      <w:bookmarkEnd w:id="1352"/>
      <w:bookmarkEnd w:id="1353"/>
      <w:bookmarkEnd w:id="135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55" w:name="_Toc14809"/>
      <w:bookmarkStart w:id="1356" w:name="_Toc11759"/>
      <w:bookmarkStart w:id="1357" w:name="_Toc27500"/>
      <w:bookmarkStart w:id="1358" w:name="_Toc16330023"/>
      <w:r>
        <w:rPr>
          <w:rFonts w:hint="eastAsia" w:ascii="黑体" w:hAnsi="黑体" w:eastAsia="黑体" w:cstheme="minorEastAsia"/>
          <w:b w:val="0"/>
          <w:sz w:val="28"/>
          <w:szCs w:val="28"/>
        </w:rPr>
        <w:t>6 交货</w:t>
      </w:r>
      <w:bookmarkEnd w:id="1355"/>
      <w:bookmarkEnd w:id="1356"/>
      <w:bookmarkEnd w:id="1357"/>
      <w:bookmarkEnd w:id="135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59" w:name="_Toc8024"/>
      <w:bookmarkStart w:id="1360" w:name="_Toc16330024"/>
      <w:bookmarkStart w:id="1361" w:name="_Toc25510"/>
      <w:bookmarkStart w:id="1362" w:name="_Toc2984"/>
      <w:r>
        <w:rPr>
          <w:rFonts w:hint="eastAsia" w:ascii="黑体" w:hAnsi="黑体" w:eastAsia="黑体" w:cstheme="minorEastAsia"/>
          <w:b w:val="0"/>
          <w:sz w:val="28"/>
          <w:szCs w:val="28"/>
        </w:rPr>
        <w:t>7 安装、调试</w:t>
      </w:r>
      <w:bookmarkEnd w:id="1359"/>
      <w:bookmarkEnd w:id="1360"/>
      <w:bookmarkEnd w:id="1361"/>
      <w:bookmarkEnd w:id="1362"/>
    </w:p>
    <w:p>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63" w:name="_Toc14098"/>
      <w:bookmarkStart w:id="1364" w:name="_Toc14260"/>
      <w:bookmarkStart w:id="1365" w:name="_Toc6350"/>
      <w:bookmarkStart w:id="1366" w:name="_Toc16330025"/>
      <w:r>
        <w:rPr>
          <w:rFonts w:hint="eastAsia" w:ascii="黑体" w:hAnsi="黑体" w:eastAsia="黑体" w:cstheme="minorEastAsia"/>
          <w:b w:val="0"/>
          <w:sz w:val="28"/>
          <w:szCs w:val="28"/>
        </w:rPr>
        <w:t>8 价款与支付</w:t>
      </w:r>
      <w:bookmarkEnd w:id="1363"/>
      <w:bookmarkEnd w:id="1364"/>
      <w:bookmarkEnd w:id="1365"/>
      <w:bookmarkEnd w:id="136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1367" w:name="_Toc14676804"/>
      <w:bookmarkStart w:id="1368"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367"/>
      <w:bookmarkEnd w:id="1368"/>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69" w:name="_Toc6726"/>
      <w:bookmarkStart w:id="1370" w:name="_Toc16330026"/>
      <w:bookmarkStart w:id="1371" w:name="_Toc25708"/>
      <w:bookmarkStart w:id="1372" w:name="_Toc24085"/>
      <w:r>
        <w:rPr>
          <w:rFonts w:hint="eastAsia" w:ascii="黑体" w:hAnsi="黑体" w:eastAsia="黑体" w:cstheme="minorEastAsia"/>
          <w:b w:val="0"/>
          <w:sz w:val="28"/>
          <w:szCs w:val="28"/>
        </w:rPr>
        <w:t>9 质量保证及售后服务</w:t>
      </w:r>
      <w:bookmarkEnd w:id="1369"/>
      <w:bookmarkEnd w:id="1370"/>
      <w:bookmarkEnd w:id="1371"/>
      <w:bookmarkEnd w:id="137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73" w:name="_Toc12927"/>
      <w:bookmarkStart w:id="1374" w:name="_Toc15570"/>
      <w:bookmarkStart w:id="1375" w:name="_Toc10359"/>
      <w:bookmarkStart w:id="1376" w:name="_Toc16330027"/>
      <w:r>
        <w:rPr>
          <w:rFonts w:hint="eastAsia" w:ascii="黑体" w:hAnsi="黑体" w:eastAsia="黑体" w:cstheme="minorEastAsia"/>
          <w:b w:val="0"/>
          <w:sz w:val="28"/>
          <w:szCs w:val="28"/>
        </w:rPr>
        <w:t>10法定责任</w:t>
      </w:r>
      <w:bookmarkEnd w:id="1373"/>
      <w:bookmarkEnd w:id="1374"/>
      <w:bookmarkEnd w:id="1375"/>
      <w:bookmarkEnd w:id="137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77" w:name="_Toc16330028"/>
      <w:bookmarkStart w:id="1378" w:name="_Toc27314"/>
      <w:bookmarkStart w:id="1379" w:name="_Toc9708"/>
      <w:bookmarkStart w:id="1380" w:name="_Toc30381"/>
      <w:r>
        <w:rPr>
          <w:rFonts w:hint="eastAsia" w:ascii="黑体" w:hAnsi="黑体" w:eastAsia="黑体" w:cstheme="minorEastAsia"/>
          <w:b w:val="0"/>
          <w:sz w:val="28"/>
          <w:szCs w:val="28"/>
        </w:rPr>
        <w:t>11 违约责任</w:t>
      </w:r>
      <w:bookmarkEnd w:id="1377"/>
      <w:bookmarkEnd w:id="1378"/>
      <w:bookmarkEnd w:id="1379"/>
      <w:bookmarkEnd w:id="138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81" w:name="_Toc16330029"/>
      <w:bookmarkStart w:id="1382" w:name="_Toc1827"/>
      <w:bookmarkStart w:id="1383" w:name="_Toc31554"/>
      <w:bookmarkStart w:id="1384" w:name="_Toc9172"/>
      <w:r>
        <w:rPr>
          <w:rFonts w:hint="eastAsia" w:ascii="黑体" w:hAnsi="黑体" w:eastAsia="黑体" w:cstheme="minorEastAsia"/>
          <w:b w:val="0"/>
          <w:sz w:val="28"/>
          <w:szCs w:val="28"/>
        </w:rPr>
        <w:t>12 合同的终止与解除</w:t>
      </w:r>
      <w:bookmarkEnd w:id="1381"/>
      <w:bookmarkEnd w:id="1382"/>
      <w:bookmarkEnd w:id="1383"/>
      <w:bookmarkEnd w:id="138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85" w:name="_Toc16330030"/>
      <w:bookmarkStart w:id="1386" w:name="_Toc31945"/>
      <w:bookmarkStart w:id="1387" w:name="_Toc13671"/>
      <w:bookmarkStart w:id="1388" w:name="_Toc8620"/>
      <w:r>
        <w:rPr>
          <w:rFonts w:hint="eastAsia" w:ascii="黑体" w:hAnsi="黑体" w:eastAsia="黑体" w:cstheme="minorEastAsia"/>
          <w:b w:val="0"/>
          <w:sz w:val="28"/>
          <w:szCs w:val="28"/>
        </w:rPr>
        <w:t>13 不可抗力</w:t>
      </w:r>
      <w:bookmarkEnd w:id="1385"/>
      <w:bookmarkEnd w:id="1386"/>
      <w:bookmarkEnd w:id="1387"/>
      <w:bookmarkEnd w:id="138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89" w:name="_Toc637"/>
      <w:bookmarkStart w:id="1390" w:name="_Toc31243"/>
      <w:bookmarkStart w:id="1391" w:name="_Toc16330031"/>
      <w:bookmarkStart w:id="1392" w:name="_Toc30389"/>
      <w:r>
        <w:rPr>
          <w:rFonts w:hint="eastAsia" w:ascii="黑体" w:hAnsi="黑体" w:eastAsia="黑体" w:cstheme="minorEastAsia"/>
          <w:b w:val="0"/>
          <w:sz w:val="28"/>
          <w:szCs w:val="28"/>
        </w:rPr>
        <w:t>14 通讯</w:t>
      </w:r>
      <w:bookmarkEnd w:id="1389"/>
      <w:bookmarkEnd w:id="1390"/>
      <w:bookmarkEnd w:id="1391"/>
      <w:bookmarkEnd w:id="139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5"/>
        <w:tabs>
          <w:tab w:val="right" w:leader="dot" w:pos="9061"/>
        </w:tabs>
        <w:spacing w:before="312" w:beforeLines="100"/>
        <w:rPr>
          <w:rFonts w:ascii="黑体" w:hAnsi="黑体" w:eastAsia="黑体" w:cstheme="minorEastAsia"/>
          <w:b w:val="0"/>
          <w:sz w:val="28"/>
          <w:szCs w:val="28"/>
        </w:rPr>
      </w:pPr>
      <w:bookmarkStart w:id="1393" w:name="_Toc12984"/>
      <w:bookmarkStart w:id="1394" w:name="_Toc16330032"/>
      <w:bookmarkStart w:id="1395" w:name="_Toc11290"/>
      <w:bookmarkStart w:id="1396" w:name="_Toc9915"/>
      <w:r>
        <w:rPr>
          <w:rFonts w:hint="eastAsia" w:ascii="黑体" w:hAnsi="黑体" w:eastAsia="黑体" w:cstheme="minorEastAsia"/>
          <w:b w:val="0"/>
          <w:sz w:val="28"/>
          <w:szCs w:val="28"/>
        </w:rPr>
        <w:t>15 适用法律及争议解决</w:t>
      </w:r>
      <w:bookmarkEnd w:id="1393"/>
      <w:bookmarkEnd w:id="1394"/>
      <w:bookmarkEnd w:id="1395"/>
      <w:bookmarkEnd w:id="139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397" w:name="_Toc23906"/>
      <w:bookmarkStart w:id="1398" w:name="_Toc18207"/>
      <w:bookmarkStart w:id="1399" w:name="_Toc16330033"/>
      <w:bookmarkStart w:id="1400" w:name="_Toc23765"/>
      <w:r>
        <w:rPr>
          <w:rFonts w:hint="eastAsia" w:ascii="黑体" w:hAnsi="黑体" w:eastAsia="黑体" w:cstheme="minorEastAsia"/>
          <w:b w:val="0"/>
          <w:sz w:val="28"/>
          <w:szCs w:val="28"/>
        </w:rPr>
        <w:t>16 附件</w:t>
      </w:r>
      <w:bookmarkEnd w:id="1397"/>
      <w:bookmarkEnd w:id="1398"/>
      <w:bookmarkEnd w:id="1399"/>
      <w:bookmarkEnd w:id="140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5"/>
        <w:tabs>
          <w:tab w:val="right" w:leader="dot" w:pos="9061"/>
        </w:tabs>
        <w:spacing w:before="312" w:beforeLines="100"/>
        <w:ind w:firstLine="529" w:firstLineChars="189"/>
        <w:rPr>
          <w:rFonts w:ascii="黑体" w:hAnsi="黑体" w:eastAsia="黑体" w:cstheme="minorEastAsia"/>
          <w:b w:val="0"/>
          <w:sz w:val="28"/>
          <w:szCs w:val="28"/>
        </w:rPr>
      </w:pPr>
      <w:bookmarkStart w:id="1401" w:name="_Toc31331"/>
      <w:bookmarkStart w:id="1402" w:name="_Toc17656"/>
      <w:bookmarkStart w:id="1403" w:name="_Toc27202"/>
      <w:bookmarkStart w:id="1404" w:name="_Toc16330034"/>
      <w:r>
        <w:rPr>
          <w:rFonts w:hint="eastAsia" w:ascii="黑体" w:hAnsi="黑体" w:eastAsia="黑体" w:cstheme="minorEastAsia"/>
          <w:b w:val="0"/>
          <w:sz w:val="28"/>
          <w:szCs w:val="28"/>
        </w:rPr>
        <w:t>17 其他规定</w:t>
      </w:r>
      <w:bookmarkEnd w:id="1401"/>
      <w:bookmarkEnd w:id="1402"/>
      <w:bookmarkEnd w:id="1403"/>
      <w:bookmarkEnd w:id="140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405" w:name="_Toc29136"/>
      <w:bookmarkStart w:id="1406" w:name="_Toc17952"/>
      <w:bookmarkStart w:id="1407" w:name="_Toc19077"/>
      <w:bookmarkStart w:id="1408"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5"/>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405"/>
      <w:bookmarkEnd w:id="1406"/>
      <w:bookmarkEnd w:id="1407"/>
      <w:bookmarkEnd w:id="140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5"/>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2"/>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2"/>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2"/>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2"/>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cstheme="minorEastAsia"/>
          <w:sz w:val="20"/>
          <w:szCs w:val="20"/>
        </w:rPr>
      </w:pPr>
      <w:bookmarkStart w:id="1409" w:name="_Toc5379"/>
      <w:bookmarkStart w:id="1410" w:name="_Toc25120"/>
      <w:bookmarkStart w:id="1411" w:name="_Toc16330037"/>
      <w:bookmarkStart w:id="1412" w:name="_Toc3778"/>
      <w:bookmarkStart w:id="1413" w:name="_Toc24623"/>
      <w:r>
        <w:rPr>
          <w:rFonts w:hint="eastAsia" w:asciiTheme="minorEastAsia" w:hAnsiTheme="minorEastAsia" w:cstheme="minorEastAsia"/>
          <w:sz w:val="20"/>
          <w:szCs w:val="20"/>
        </w:rPr>
        <w:br w:type="page"/>
      </w:r>
    </w:p>
    <w:p>
      <w:pPr>
        <w:pStyle w:val="5"/>
        <w:tabs>
          <w:tab w:val="right" w:leader="dot" w:pos="9061"/>
        </w:tabs>
        <w:rPr>
          <w:rFonts w:ascii="黑体" w:hAnsi="黑体" w:eastAsia="黑体" w:cstheme="minorEastAsia"/>
          <w:b w:val="0"/>
          <w:i/>
          <w:sz w:val="28"/>
          <w:szCs w:val="28"/>
        </w:rPr>
      </w:pPr>
      <w:r>
        <w:rPr>
          <w:rFonts w:hint="eastAsia" w:ascii="黑体" w:hAnsi="黑体" w:eastAsia="黑体" w:cstheme="minorEastAsia"/>
          <w:b w:val="0"/>
          <w:sz w:val="28"/>
          <w:szCs w:val="28"/>
        </w:rPr>
        <w:t xml:space="preserve">附件二 </w:t>
      </w:r>
      <w:bookmarkEnd w:id="1409"/>
      <w:bookmarkEnd w:id="1410"/>
      <w:bookmarkEnd w:id="1411"/>
      <w:bookmarkEnd w:id="1412"/>
      <w:bookmarkEnd w:id="1413"/>
      <w:r>
        <w:rPr>
          <w:rFonts w:hint="eastAsia" w:ascii="黑体" w:hAnsi="黑体" w:eastAsia="黑体" w:cstheme="minorEastAsia"/>
          <w:b w:val="0"/>
          <w:sz w:val="28"/>
          <w:szCs w:val="28"/>
        </w:rPr>
        <w:t>技术协议书</w:t>
      </w:r>
    </w:p>
    <w:p>
      <w:pPr>
        <w:ind w:right="360"/>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pPr>
        <w:jc w:val="right"/>
        <w:rPr>
          <w:rFonts w:asciiTheme="minorEastAsia" w:hAnsiTheme="minorEastAsia" w:cstheme="minorEastAsia"/>
          <w:sz w:val="20"/>
          <w:szCs w:val="20"/>
        </w:rPr>
      </w:pPr>
    </w:p>
    <w:p>
      <w:pPr>
        <w:wordWrap w:val="0"/>
        <w:ind w:right="480"/>
        <w:rPr>
          <w:rFonts w:asciiTheme="minorEastAsia" w:hAnsiTheme="minorEastAsia" w:cstheme="minorEastAsia"/>
          <w:sz w:val="20"/>
          <w:szCs w:val="20"/>
        </w:rPr>
      </w:pPr>
    </w:p>
    <w:p>
      <w:pPr>
        <w:jc w:val="right"/>
        <w:rPr>
          <w:rFonts w:ascii="楷体_GB2312" w:hAnsi="宋体" w:eastAsia="楷体_GB2312"/>
          <w:sz w:val="24"/>
        </w:rPr>
      </w:pPr>
      <w:bookmarkStart w:id="1414" w:name="_Toc14341849"/>
    </w:p>
    <w:p>
      <w:pPr>
        <w:ind w:right="480"/>
        <w:jc w:val="center"/>
        <w:rPr>
          <w:sz w:val="24"/>
          <w:szCs w:val="24"/>
        </w:rPr>
      </w:pPr>
      <w:r>
        <w:rPr>
          <w:rFonts w:hint="eastAsia" w:ascii="楷体_GB2312" w:hAnsi="宋体" w:eastAsia="楷体_GB2312"/>
          <w:sz w:val="24"/>
        </w:rPr>
        <w:t xml:space="preserve">                                    </w:t>
      </w:r>
    </w:p>
    <w:bookmarkEnd w:id="1414"/>
    <w:p>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2"/>
        <w:spacing w:before="8" w:after="156"/>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64"/>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64"/>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2"/>
        <w:spacing w:before="9" w:after="156"/>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2"/>
        <w:spacing w:after="156"/>
        <w:rPr>
          <w:rFonts w:ascii="楷体" w:hAnsi="楷体" w:eastAsia="楷体" w:cs="楷体"/>
          <w:b/>
          <w:sz w:val="24"/>
          <w:szCs w:val="28"/>
        </w:rPr>
      </w:pPr>
    </w:p>
    <w:p>
      <w:pPr>
        <w:pStyle w:val="2"/>
        <w:spacing w:before="1"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2"/>
        <w:spacing w:after="156"/>
        <w:rPr>
          <w:rFonts w:ascii="楷体" w:hAnsi="楷体" w:eastAsia="楷体" w:cs="楷体"/>
          <w:b/>
          <w:sz w:val="24"/>
          <w:szCs w:val="28"/>
        </w:rPr>
      </w:pPr>
    </w:p>
    <w:p>
      <w:pPr>
        <w:pStyle w:val="2"/>
        <w:spacing w:before="4"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ascii="Calibri" w:hAnsi="Calibri" w:eastAsia="宋体" w:cs="Times New Roman"/>
          <w:b/>
          <w:bCs/>
          <w:kern w:val="44"/>
          <w:sz w:val="36"/>
          <w:szCs w:val="44"/>
        </w:rPr>
        <w:sectPr>
          <w:footerReference r:id="rId11" w:type="first"/>
          <w:headerReference r:id="rId9" w:type="defaul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rPr>
          <w:rFonts w:hint="eastAsia"/>
        </w:rPr>
      </w:pPr>
    </w:p>
    <w:p>
      <w:pPr>
        <w:pStyle w:val="72"/>
        <w:rPr>
          <w:rFonts w:ascii="黑体" w:hAnsi="Calibri" w:eastAsia="黑体" w:cs="Times New Roman"/>
          <w:color w:val="000000"/>
          <w:sz w:val="24"/>
          <w:szCs w:val="24"/>
        </w:rPr>
      </w:pPr>
      <w:bookmarkStart w:id="1415" w:name="_Toc16500"/>
      <w:r>
        <w:rPr>
          <w:rFonts w:hint="eastAsia"/>
        </w:rPr>
        <w:t>第四部分　</w:t>
      </w:r>
      <w:bookmarkEnd w:id="1334"/>
      <w:r>
        <w:rPr>
          <w:rFonts w:hint="eastAsia"/>
          <w:lang w:val="en-US" w:eastAsia="zh-CN"/>
        </w:rPr>
        <w:t>投标文件附件</w:t>
      </w:r>
      <w:bookmarkEnd w:id="1415"/>
    </w:p>
    <w:p>
      <w:pPr>
        <w:jc w:val="both"/>
        <w:rPr>
          <w:rFonts w:ascii="宋体"/>
          <w:b/>
          <w:color w:val="000000"/>
          <w:szCs w:val="24"/>
        </w:rPr>
      </w:pPr>
    </w:p>
    <w:p>
      <w:pPr>
        <w:pStyle w:val="15"/>
      </w:pPr>
    </w:p>
    <w:p>
      <w:pPr>
        <w:pStyle w:val="73"/>
        <w:numPr>
          <w:ilvl w:val="0"/>
          <w:numId w:val="0"/>
        </w:numPr>
        <w:ind w:leftChars="0"/>
        <w:outlineLvl w:val="1"/>
        <w:rPr>
          <w:rFonts w:hint="default" w:ascii="宋体" w:hAnsi="宋体" w:eastAsia="宋体" w:cs="宋体"/>
          <w:sz w:val="32"/>
          <w:szCs w:val="32"/>
          <w:highlight w:val="yellow"/>
          <w:lang w:val="en-US" w:eastAsia="zh-CN"/>
        </w:rPr>
      </w:pPr>
      <w:bookmarkStart w:id="1416" w:name="_Toc47976618"/>
      <w:bookmarkStart w:id="1417" w:name="_Toc29366865"/>
      <w:bookmarkStart w:id="1418" w:name="_Toc29366869"/>
      <w:r>
        <w:rPr>
          <w:rFonts w:hint="eastAsia" w:ascii="宋体" w:hAnsi="宋体" w:eastAsia="宋体" w:cs="宋体"/>
          <w:sz w:val="32"/>
          <w:szCs w:val="32"/>
          <w:highlight w:val="none"/>
          <w:lang w:val="en-US" w:eastAsia="zh-CN"/>
        </w:rPr>
        <w:t>附件1 法定代表人授权委托书</w:t>
      </w:r>
    </w:p>
    <w:bookmarkEnd w:id="1416"/>
    <w:p>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w:t>
      </w:r>
      <w:r>
        <w:rPr>
          <w:rFonts w:hint="eastAsia" w:ascii="宋体" w:hAnsi="宋体" w:eastAsia="宋体" w:cs="Times New Roman"/>
          <w:color w:val="000000"/>
          <w:sz w:val="24"/>
          <w:szCs w:val="24"/>
          <w:highlight w:val="none"/>
        </w:rPr>
        <w:t>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济南车桥公司桥壳加工线起重设备改造技改项目  </w:t>
      </w:r>
      <w:r>
        <w:rPr>
          <w:rFonts w:hint="eastAsia" w:ascii="宋体" w:hAnsi="宋体" w:eastAsia="宋体" w:cs="Times New Roman"/>
          <w:color w:val="000000"/>
          <w:sz w:val="24"/>
          <w:szCs w:val="24"/>
          <w:highlight w:val="none"/>
        </w:rPr>
        <w:t>现授权委托＿＿＿＿＿＿＿＿＿＿＿＿＿＿＿＿＿＿＿＿＿＿＿＿＿＿＿＿（单位名称）的＿＿＿＿＿＿</w:t>
      </w:r>
      <w:r>
        <w:rPr>
          <w:rFonts w:hint="eastAsia" w:ascii="宋体" w:hAnsi="宋体" w:eastAsia="宋体" w:cs="Times New Roman"/>
          <w:color w:val="000000"/>
          <w:sz w:val="24"/>
          <w:szCs w:val="24"/>
        </w:rPr>
        <w:t>＿＿（姓名、职务）为我公司全权代表，全权代表在投标文件、评标过程中的书面承诺、合同等所签署的一切文件和处理与之有关的一切事务，我均予以承认。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460" w:lineRule="exact"/>
        <w:ind w:firstLine="5520" w:firstLineChars="2300"/>
        <w:rPr>
          <w:rFonts w:ascii="宋体" w:hAnsi="Calibri" w:eastAsia="宋体" w:cs="Times New Roman"/>
          <w:sz w:val="24"/>
          <w:szCs w:val="20"/>
          <w:u w:val="single"/>
        </w:rPr>
      </w:pPr>
    </w:p>
    <w:p>
      <w:pPr>
        <w:rPr>
          <w:rFonts w:ascii="Calibri" w:hAnsi="Calibri" w:eastAsia="黑体" w:cs="Times New Roman"/>
          <w:b/>
          <w:bCs/>
          <w:color w:val="000000"/>
          <w:sz w:val="28"/>
          <w:szCs w:val="20"/>
        </w:rPr>
      </w:pPr>
    </w:p>
    <w:p>
      <w:pPr>
        <w:pStyle w:val="15"/>
        <w:rPr>
          <w:rFonts w:ascii="Calibri" w:hAnsi="Calibri" w:eastAsia="黑体" w:cs="Times New Roman"/>
          <w:b/>
          <w:bCs/>
          <w:color w:val="000000"/>
          <w:sz w:val="28"/>
          <w:szCs w:val="20"/>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pStyle w:val="73"/>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pPr>
        <w:spacing w:line="240" w:lineRule="exact"/>
        <w:jc w:val="center"/>
        <w:rPr>
          <w:rFonts w:ascii="宋体" w:hAnsi="Calibri" w:eastAsia="宋体" w:cs="Times New Roman"/>
          <w:b/>
          <w:bCs/>
          <w:sz w:val="36"/>
          <w:szCs w:val="20"/>
          <w:highlight w:val="none"/>
        </w:rPr>
      </w:pPr>
    </w:p>
    <w:p>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highlight w:val="none"/>
        </w:rPr>
        <w:t>项目名称：</w:t>
      </w:r>
      <w:r>
        <w:rPr>
          <w:rFonts w:hint="eastAsia" w:ascii="宋体" w:hAnsi="宋体" w:cs="宋体"/>
          <w:b/>
          <w:bCs/>
          <w:sz w:val="24"/>
          <w:szCs w:val="24"/>
          <w:highlight w:val="none"/>
          <w:u w:val="single"/>
          <w:lang w:val="en-US" w:eastAsia="zh-CN"/>
        </w:rPr>
        <w:t>济南车桥公司桥壳加工线起重设备改造技改项目</w:t>
      </w:r>
    </w:p>
    <w:p>
      <w:pPr>
        <w:spacing w:line="360" w:lineRule="auto"/>
        <w:rPr>
          <w:rFonts w:ascii="宋体" w:hAnsi="Calibri" w:eastAsia="宋体" w:cs="Times New Roman"/>
          <w:b/>
          <w:bCs/>
          <w:sz w:val="24"/>
          <w:szCs w:val="20"/>
        </w:rPr>
      </w:pPr>
      <w:r>
        <w:rPr>
          <w:rFonts w:hint="eastAsia" w:ascii="宋体" w:hAnsi="宋体" w:cs="Times New Roman"/>
          <w:b/>
          <w:bCs/>
          <w:sz w:val="24"/>
          <w:szCs w:val="20"/>
          <w:highlight w:val="none"/>
          <w:lang w:eastAsia="zh-CN"/>
        </w:rPr>
        <w:t>重汽（济南）车桥有限公司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1417"/>
    <w:bookmarkEnd w:id="1418"/>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3</w:t>
      </w:r>
      <w:r>
        <w:rPr>
          <w:rFonts w:hint="default" w:ascii="宋体" w:hAnsi="宋体" w:eastAsia="宋体" w:cs="宋体"/>
          <w:sz w:val="32"/>
          <w:szCs w:val="32"/>
          <w:highlight w:val="none"/>
          <w:lang w:val="en-US" w:eastAsia="zh-CN"/>
        </w:rPr>
        <w:t xml:space="preserve"> 技术规格偏离表</w:t>
      </w:r>
    </w:p>
    <w:p>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default" w:ascii="Times New Roman" w:hAnsi="Times New Roman" w:eastAsia="宋体" w:cs="Times New Roman"/>
          <w:color w:val="000000"/>
          <w:sz w:val="24"/>
          <w:szCs w:val="24"/>
          <w:highlight w:val="none"/>
        </w:rPr>
        <w:t>：</w:t>
      </w:r>
      <w:r>
        <w:rPr>
          <w:rFonts w:hint="eastAsia" w:cs="Times New Roman"/>
          <w:sz w:val="24"/>
          <w:szCs w:val="24"/>
          <w:highlight w:val="none"/>
          <w:u w:val="single"/>
          <w:lang w:val="en-US" w:eastAsia="zh-CN"/>
        </w:rPr>
        <w:t>济南车桥公司桥壳加工线起重设备改造技改项目</w:t>
      </w:r>
      <w:r>
        <w:rPr>
          <w:rFonts w:hint="default" w:ascii="Times New Roman" w:hAnsi="Times New Roman" w:eastAsia="宋体" w:cs="Times New Roman"/>
          <w:color w:val="000000"/>
          <w:sz w:val="24"/>
          <w:szCs w:val="24"/>
          <w:highlight w:val="none"/>
        </w:rPr>
        <w:t xml:space="preserve">  </w:t>
      </w:r>
      <w:r>
        <w:rPr>
          <w:rFonts w:hint="default" w:ascii="Times New Roman" w:hAnsi="Times New Roman" w:eastAsia="宋体" w:cs="Times New Roman"/>
          <w:color w:val="000000"/>
          <w:sz w:val="24"/>
          <w:szCs w:val="24"/>
        </w:rPr>
        <w:t xml:space="preserve">                                                         </w:t>
      </w:r>
    </w:p>
    <w:tbl>
      <w:tblPr>
        <w:tblStyle w:val="3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both"/>
              <w:rPr>
                <w:rFonts w:hint="default" w:ascii="Times New Roman" w:hAnsi="Times New Roman" w:eastAsia="宋体" w:cs="Times New Roman"/>
                <w:b/>
                <w:sz w:val="24"/>
                <w:szCs w:val="20"/>
              </w:rPr>
            </w:pPr>
          </w:p>
        </w:tc>
        <w:tc>
          <w:tcPr>
            <w:tcW w:w="3449" w:type="dxa"/>
          </w:tcPr>
          <w:p>
            <w:pPr>
              <w:jc w:val="both"/>
              <w:rPr>
                <w:rFonts w:hint="default" w:ascii="Times New Roman" w:hAnsi="Times New Roman" w:eastAsia="宋体" w:cs="Times New Roman"/>
                <w:b/>
                <w:sz w:val="24"/>
                <w:szCs w:val="20"/>
              </w:rPr>
            </w:pPr>
          </w:p>
        </w:tc>
        <w:tc>
          <w:tcPr>
            <w:tcW w:w="2414" w:type="dxa"/>
          </w:tcPr>
          <w:p>
            <w:pPr>
              <w:jc w:val="both"/>
              <w:rPr>
                <w:rFonts w:hint="default" w:ascii="Times New Roman" w:hAnsi="Times New Roman" w:eastAsia="宋体" w:cs="Times New Roman"/>
                <w:b/>
                <w:sz w:val="24"/>
                <w:szCs w:val="20"/>
              </w:rPr>
            </w:pPr>
          </w:p>
        </w:tc>
        <w:tc>
          <w:tcPr>
            <w:tcW w:w="1608" w:type="dxa"/>
          </w:tcPr>
          <w:p>
            <w:pPr>
              <w:jc w:val="both"/>
              <w:rPr>
                <w:rFonts w:hint="default" w:ascii="Times New Roman" w:hAnsi="Times New Roman" w:eastAsia="宋体" w:cs="Times New Roman"/>
                <w:b/>
                <w:sz w:val="24"/>
                <w:szCs w:val="20"/>
              </w:rPr>
            </w:pPr>
          </w:p>
        </w:tc>
      </w:tr>
    </w:tbl>
    <w:p>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rPr>
          <w:rFonts w:hint="eastAsia" w:ascii="宋体" w:hAnsi="宋体" w:eastAsia="宋体" w:cs="宋体"/>
          <w:sz w:val="32"/>
          <w:szCs w:val="32"/>
          <w:highlight w:val="none"/>
          <w:lang w:val="en-US" w:eastAsia="zh-CN"/>
        </w:rPr>
      </w:pPr>
      <w:r>
        <w:rPr>
          <w:rFonts w:hint="default" w:ascii="Times New Roman" w:hAnsi="Times New Roman" w:eastAsia="宋体" w:cs="Times New Roman"/>
          <w:sz w:val="24"/>
          <w:szCs w:val="20"/>
        </w:rPr>
        <w:t>法定代表人（委托代理人）：（签字）</w:t>
      </w: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2612"/>
        <w:gridCol w:w="536"/>
        <w:gridCol w:w="2245"/>
        <w:gridCol w:w="646"/>
        <w:gridCol w:w="1520"/>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0" w:type="auto"/>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0" w:type="auto"/>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0" w:type="auto"/>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0" w:type="auto"/>
            <w:vAlign w:val="center"/>
          </w:tcPr>
          <w:p>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0" w:type="auto"/>
            <w:vAlign w:val="center"/>
          </w:tcPr>
          <w:p>
            <w:pPr>
              <w:jc w:val="center"/>
              <w:rPr>
                <w:rFonts w:hint="eastAsia" w:ascii="Times New Roman" w:hAnsi="Times New Roman" w:eastAsia="宋体" w:cs="Times New Roman"/>
                <w:b/>
                <w:szCs w:val="20"/>
                <w:lang w:eastAsia="zh-CN"/>
              </w:rPr>
            </w:pPr>
            <w:r>
              <w:rPr>
                <w:rFonts w:hint="eastAsia" w:cs="Times New Roman"/>
                <w:b/>
                <w:szCs w:val="20"/>
                <w:lang w:eastAsia="zh-CN"/>
              </w:rPr>
              <w:t>济南车桥公司桥壳加工线起重设备改造技改项目</w:t>
            </w:r>
          </w:p>
        </w:tc>
        <w:tc>
          <w:tcPr>
            <w:tcW w:w="0" w:type="auto"/>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1</w:t>
            </w:r>
          </w:p>
        </w:tc>
        <w:tc>
          <w:tcPr>
            <w:tcW w:w="0" w:type="auto"/>
            <w:vAlign w:val="center"/>
          </w:tcPr>
          <w:p>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0" w:type="auto"/>
            <w:vAlign w:val="center"/>
          </w:tcPr>
          <w:p>
            <w:pPr>
              <w:jc w:val="center"/>
              <w:rPr>
                <w:rFonts w:ascii="Times New Roman" w:hAnsi="Times New Roman" w:eastAsia="宋体" w:cs="Times New Roman"/>
                <w:b/>
                <w:szCs w:val="20"/>
              </w:rPr>
            </w:pPr>
          </w:p>
        </w:tc>
        <w:tc>
          <w:tcPr>
            <w:tcW w:w="0" w:type="auto"/>
            <w:vAlign w:val="center"/>
          </w:tcPr>
          <w:p>
            <w:pPr>
              <w:jc w:val="center"/>
              <w:rPr>
                <w:rFonts w:ascii="Times New Roman" w:hAnsi="Times New Roman" w:eastAsia="宋体" w:cs="Times New Roman"/>
                <w:b/>
                <w:szCs w:val="20"/>
              </w:rPr>
            </w:pPr>
          </w:p>
        </w:tc>
        <w:tc>
          <w:tcPr>
            <w:tcW w:w="0" w:type="auto"/>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pPr>
        <w:pStyle w:val="15"/>
        <w:rPr>
          <w:rFonts w:hint="eastAsia" w:hAnsi="宋体" w:eastAsia="宋体" w:cs="Times New Roman"/>
          <w:b/>
          <w:bCs/>
          <w:szCs w:val="21"/>
          <w:highlight w:val="yellow"/>
        </w:rPr>
      </w:pPr>
    </w:p>
    <w:p>
      <w:pPr>
        <w:pStyle w:val="15"/>
        <w:rPr>
          <w:rFonts w:hint="eastAsia" w:hAnsi="宋体" w:eastAsia="宋体" w:cs="Times New Roman"/>
          <w:b/>
          <w:bCs/>
          <w:szCs w:val="21"/>
          <w:highlight w:val="yellow"/>
        </w:rPr>
      </w:pP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77"/>
        <w:bidi w:val="0"/>
      </w:pPr>
      <w:r>
        <w:t xml:space="preserve"> </w:t>
      </w:r>
    </w:p>
    <w:p>
      <w:pPr>
        <w:pStyle w:val="77"/>
        <w:bidi w:val="0"/>
      </w:pPr>
    </w:p>
    <w:p>
      <w:pPr>
        <w:pStyle w:val="77"/>
        <w:bidi w:val="0"/>
      </w:pPr>
    </w:p>
    <w:p>
      <w:pPr>
        <w:rPr>
          <w:rFonts w:hint="eastAsia" w:ascii="宋体" w:hAnsi="宋体" w:eastAsia="宋体" w:cs="宋体"/>
          <w:sz w:val="32"/>
          <w:szCs w:val="32"/>
          <w:highlight w:val="none"/>
          <w:lang w:val="en-US" w:eastAsia="zh-CN"/>
        </w:rPr>
      </w:pPr>
      <w:bookmarkStart w:id="1419" w:name="_Toc47976616"/>
      <w:bookmarkStart w:id="1420" w:name="_Toc4225"/>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1419"/>
      <w:bookmarkEnd w:id="1420"/>
      <w:r>
        <w:rPr>
          <w:rFonts w:hint="eastAsia" w:ascii="宋体" w:hAnsi="宋体" w:eastAsia="宋体" w:cs="宋体"/>
          <w:sz w:val="32"/>
          <w:szCs w:val="32"/>
          <w:highlight w:val="none"/>
          <w:lang w:val="en-US" w:eastAsia="zh-CN"/>
        </w:rPr>
        <w:t>5 投标函</w:t>
      </w:r>
    </w:p>
    <w:p>
      <w:pPr>
        <w:spacing w:line="360" w:lineRule="auto"/>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w:t>
      </w:r>
      <w:r>
        <w:rPr>
          <w:rFonts w:hint="eastAsia" w:ascii="宋体" w:hAnsi="宋体" w:cs="Times New Roman"/>
          <w:color w:val="000000"/>
          <w:sz w:val="24"/>
          <w:szCs w:val="24"/>
          <w:highlight w:val="none"/>
          <w:lang w:eastAsia="zh-CN"/>
        </w:rPr>
        <w:t>重汽（济南）车桥有限公司</w:t>
      </w:r>
      <w:r>
        <w:rPr>
          <w:rFonts w:hint="eastAsia" w:ascii="宋体" w:hAnsi="宋体" w:eastAsia="宋体" w:cs="Times New Roman"/>
          <w:color w:val="000000"/>
          <w:sz w:val="24"/>
          <w:szCs w:val="24"/>
          <w:highlight w:val="none"/>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济南车桥公司桥壳加工线起重设备改造技改项目</w:t>
      </w:r>
      <w:r>
        <w:rPr>
          <w:rFonts w:hint="eastAsia" w:ascii="宋体" w:hAnsi="宋体" w:eastAsia="宋体" w:cs="Times New Roman"/>
          <w:bCs/>
          <w:snapToGrid w:val="0"/>
          <w:color w:val="000000"/>
          <w:kern w:val="0"/>
          <w:sz w:val="24"/>
          <w:szCs w:val="24"/>
          <w:highlight w:val="none"/>
        </w:rPr>
        <w:t>招标</w:t>
      </w:r>
      <w:r>
        <w:rPr>
          <w:rFonts w:hint="eastAsia" w:ascii="宋体" w:hAnsi="宋体" w:eastAsia="宋体" w:cs="Times New Roman"/>
          <w:bCs/>
          <w:snapToGrid w:val="0"/>
          <w:color w:val="000000"/>
          <w:kern w:val="0"/>
          <w:sz w:val="24"/>
          <w:szCs w:val="24"/>
        </w:rPr>
        <w:t>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w:t>
      </w:r>
      <w:r>
        <w:rPr>
          <w:rFonts w:hint="default" w:ascii="Times New Roman" w:hAnsi="Times New Roman" w:eastAsia="宋体" w:cs="Times New Roman"/>
          <w:color w:val="000000"/>
          <w:sz w:val="24"/>
          <w:szCs w:val="24"/>
        </w:rPr>
        <w:t>一份</w:t>
      </w:r>
      <w:r>
        <w:rPr>
          <w:rFonts w:hint="eastAsia" w:ascii="宋体" w:hAnsi="宋体" w:eastAsia="宋体" w:cs="Times New Roman"/>
          <w:color w:val="000000"/>
          <w:sz w:val="24"/>
          <w:szCs w:val="24"/>
        </w:rPr>
        <w:t>：资质证明文件、商务文件和技术文件。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77"/>
        <w:bidi w:val="0"/>
      </w:pPr>
    </w:p>
    <w:p>
      <w:pPr>
        <w:pStyle w:val="77"/>
        <w:bidi w:val="0"/>
      </w:pPr>
    </w:p>
    <w:p>
      <w:pPr>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6</w:t>
      </w:r>
      <w:r>
        <w:rPr>
          <w:rFonts w:hint="default" w:ascii="宋体" w:hAnsi="宋体" w:eastAsia="宋体" w:cs="宋体"/>
          <w:sz w:val="32"/>
          <w:szCs w:val="32"/>
          <w:highlight w:val="none"/>
          <w:lang w:val="en-US" w:eastAsia="zh-CN"/>
        </w:rPr>
        <w:t xml:space="preserve"> 服务承诺函</w:t>
      </w:r>
    </w:p>
    <w:p>
      <w:pPr>
        <w:spacing w:line="240" w:lineRule="exact"/>
        <w:jc w:val="both"/>
        <w:rPr>
          <w:rFonts w:hint="default" w:ascii="Times New Roman" w:hAnsi="Times New Roman" w:eastAsia="宋体" w:cs="Times New Roman"/>
          <w:b/>
          <w:bCs/>
          <w:sz w:val="36"/>
          <w:szCs w:val="20"/>
        </w:rPr>
      </w:pPr>
    </w:p>
    <w:p>
      <w:pPr>
        <w:spacing w:line="360" w:lineRule="auto"/>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项目名称：</w:t>
      </w:r>
      <w:r>
        <w:rPr>
          <w:rFonts w:hint="eastAsia" w:ascii="宋体" w:hAnsi="宋体" w:cs="宋体"/>
          <w:b/>
          <w:bCs/>
          <w:i w:val="0"/>
          <w:iCs w:val="0"/>
          <w:sz w:val="24"/>
          <w:szCs w:val="24"/>
          <w:highlight w:val="none"/>
          <w:u w:val="none"/>
          <w:lang w:val="en-US" w:eastAsia="zh-CN"/>
        </w:rPr>
        <w:t>济南车桥公司桥壳加工线起重设备改造技改项目</w:t>
      </w:r>
    </w:p>
    <w:p>
      <w:pPr>
        <w:spacing w:line="360" w:lineRule="auto"/>
        <w:jc w:val="both"/>
        <w:rPr>
          <w:rFonts w:hint="default" w:ascii="Times New Roman" w:hAnsi="Times New Roman" w:eastAsia="宋体" w:cs="Times New Roman"/>
          <w:b/>
          <w:bCs/>
          <w:sz w:val="24"/>
          <w:szCs w:val="20"/>
        </w:rPr>
      </w:pPr>
      <w:r>
        <w:rPr>
          <w:rFonts w:hint="eastAsia" w:cs="Times New Roman"/>
          <w:b/>
          <w:bCs/>
          <w:sz w:val="24"/>
          <w:szCs w:val="20"/>
          <w:lang w:eastAsia="zh-CN"/>
        </w:rPr>
        <w:t>重汽（济南）车桥有限公司</w:t>
      </w:r>
      <w:r>
        <w:rPr>
          <w:rFonts w:hint="default" w:ascii="Times New Roman" w:hAnsi="Times New Roman" w:eastAsia="宋体" w:cs="Times New Roman"/>
          <w:b/>
          <w:bCs/>
          <w:sz w:val="24"/>
          <w:szCs w:val="20"/>
        </w:rPr>
        <w:t>：</w:t>
      </w:r>
    </w:p>
    <w:p>
      <w:pPr>
        <w:spacing w:line="360" w:lineRule="auto"/>
        <w:ind w:firstLine="48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lang w:eastAsia="zh-CN"/>
        </w:rPr>
        <w:t>投标人</w:t>
      </w:r>
      <w:r>
        <w:rPr>
          <w:rFonts w:hint="default" w:ascii="Times New Roman" w:hAnsi="Times New Roman" w:eastAsia="宋体" w:cs="Times New Roman"/>
          <w:sz w:val="24"/>
          <w:szCs w:val="20"/>
        </w:rPr>
        <w:t>名称）对中标合同产品的服务作如下承诺：</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jc w:val="both"/>
        <w:rPr>
          <w:rFonts w:hint="default" w:ascii="Times New Roman" w:hAnsi="Times New Roman" w:eastAsia="宋体" w:cs="Times New Roman"/>
          <w:sz w:val="24"/>
          <w:szCs w:val="20"/>
          <w:u w:val="single"/>
        </w:rPr>
      </w:pPr>
    </w:p>
    <w:p>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rPr>
          <w:rFonts w:hint="eastAsia" w:ascii="宋体" w:hAnsi="宋体" w:eastAsia="宋体" w:cs="宋体"/>
          <w:sz w:val="32"/>
          <w:szCs w:val="32"/>
          <w:highlight w:val="none"/>
          <w:lang w:val="en-US" w:eastAsia="zh-CN"/>
        </w:rPr>
      </w:pPr>
      <w:r>
        <w:rPr>
          <w:rFonts w:hint="default" w:ascii="Times New Roman" w:hAnsi="Times New Roman" w:eastAsia="宋体" w:cs="Times New Roman"/>
          <w:color w:val="000000"/>
          <w:sz w:val="24"/>
          <w:szCs w:val="24"/>
        </w:rPr>
        <w:t>日  期：       年    月    日</w:t>
      </w: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商务条款偏离表</w:t>
      </w:r>
    </w:p>
    <w:p>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highlight w:val="none"/>
                <w:lang w:val="en-US"/>
              </w:rPr>
            </w:pPr>
            <w:r>
              <w:rPr>
                <w:rFonts w:hint="eastAsia" w:ascii="宋体" w:hAnsi="宋体" w:cs="宋体"/>
                <w:b/>
                <w:bCs/>
                <w:i w:val="0"/>
                <w:iCs w:val="0"/>
                <w:sz w:val="24"/>
                <w:szCs w:val="24"/>
                <w:highlight w:val="none"/>
                <w:u w:val="none"/>
                <w:lang w:val="en-US" w:eastAsia="zh-CN"/>
              </w:rPr>
              <w:t>济南车桥公司桥壳加工线起重设备改造技改项目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pStyle w:val="2"/>
        <w:rPr>
          <w:rFonts w:hint="default"/>
          <w:lang w:val="en-US" w:eastAsia="zh-CN"/>
        </w:rPr>
      </w:pPr>
    </w:p>
    <w:p>
      <w:pPr>
        <w:pStyle w:val="77"/>
        <w:rPr>
          <w:rFonts w:hint="default" w:hAnsi="宋体"/>
          <w:sz w:val="24"/>
          <w:lang w:val="en-US"/>
        </w:rPr>
      </w:pPr>
    </w:p>
    <w:p>
      <w:pPr>
        <w:pStyle w:val="77"/>
        <w:rPr>
          <w:rFonts w:hint="default" w:hAnsi="宋体"/>
          <w:sz w:val="24"/>
          <w:lang w:val="en-US"/>
        </w:rPr>
      </w:pPr>
    </w:p>
    <w:p>
      <w:pPr>
        <w:pStyle w:val="77"/>
        <w:rPr>
          <w:rFonts w:hint="default" w:hAnsi="宋体"/>
          <w:sz w:val="24"/>
          <w:lang w:val="en-US"/>
        </w:rPr>
      </w:pPr>
    </w:p>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3"/>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分项报价表</w:t>
      </w:r>
    </w:p>
    <w:tbl>
      <w:tblPr>
        <w:tblStyle w:val="31"/>
        <w:tblW w:w="101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5"/>
        <w:gridCol w:w="1209"/>
        <w:gridCol w:w="2953"/>
        <w:gridCol w:w="1198"/>
        <w:gridCol w:w="1129"/>
        <w:gridCol w:w="1025"/>
        <w:gridCol w:w="1025"/>
        <w:gridCol w:w="10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序号</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产线</w:t>
            </w:r>
          </w:p>
        </w:tc>
        <w:tc>
          <w:tcPr>
            <w:tcW w:w="29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内容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单位</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数量</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单价/元</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总价/元</w:t>
            </w: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曼一线</w:t>
            </w:r>
          </w:p>
        </w:tc>
        <w:tc>
          <w:tcPr>
            <w:tcW w:w="295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纵轨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2*106</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106m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7*8</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端盖螺栓M12×90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54</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纵轨接头螺栓M12×140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84</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端盖电缆夹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纵轨吊挂装置</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180</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扁电缆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外置安全滑触线</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106</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滑触线支架</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71</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集电器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扁电缆滑车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上挡块</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可移动挡块</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横轨吊环</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横轨二次保护装置</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手动小车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手动小车连接板</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电源开关箱</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环链电动葫芦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33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铸铁二线</w:t>
            </w:r>
          </w:p>
        </w:tc>
        <w:tc>
          <w:tcPr>
            <w:tcW w:w="295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纵轨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11*8</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端盖螺栓M12×90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78</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纵轨接头螺栓M12×140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端盖电缆夹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纵轨吊挂装置</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扁电缆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外置安全滑触线</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滑触线支架</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集电器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扁电缆滑车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88</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上挡块</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可移动挡块</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横轨吊环</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横轨二次保护装置</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手动小车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手动小车连接板</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电源开关箱</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环链电动葫芦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铸铁三线</w:t>
            </w:r>
          </w:p>
        </w:tc>
        <w:tc>
          <w:tcPr>
            <w:tcW w:w="295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纵轨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10*8</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端盖螺栓M12×90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纵轨接头螺栓M12×140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78</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端盖电缆夹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纵轨吊挂装置</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扁电缆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外置安全滑触线</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滑触线支架</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集电器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扁电缆滑车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96</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上挡块</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可移动挡块</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横轨吊环</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横轨二次保护装置</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手动小车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手动小车连接板</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电源开关箱</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环链电动葫芦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压装线</w:t>
            </w:r>
          </w:p>
        </w:tc>
        <w:tc>
          <w:tcPr>
            <w:tcW w:w="295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纵轨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2*18</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5*9</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端盖螺栓M12×90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纵轨接头螺栓M12×140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端盖电缆夹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纵轨吊挂装置</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扁电缆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外置安全滑触线</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滑触线支架</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集电器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扁电缆滑车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上挡块</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可移动挡块</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横轨吊环</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横轨二次保护装置</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手动小车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手动小车连接板</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电源开关箱</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环链电动葫芦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清洗线</w:t>
            </w:r>
          </w:p>
        </w:tc>
        <w:tc>
          <w:tcPr>
            <w:tcW w:w="295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纵轨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2*24.5</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3*8.5</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端盖螺栓M12×90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纵轨接头螺栓M12×140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端盖电缆夹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纵轨吊挂装置</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88</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扁电缆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外置安全滑触线</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滑触线支架</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集电器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扁电缆滑车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上挡块</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可移动挡块</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横轨吊环</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横轨二次保护装置</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手动小车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手动小车连接板</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电源开关箱</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环链电动葫芦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抛丸线</w:t>
            </w: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环链电动葫芦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驱动桥装配三线</w:t>
            </w: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横轨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4m/根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端盖螺栓M12×90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端盖电缆夹</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扁电缆</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外置安全滑触线</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8m/根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滑触线支架</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集电器</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扁电缆滑车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上挡块</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可移动挡块</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主梁吊环</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主梁二次保护装置</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手动小车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手动小车连接板</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电源开关箱</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环链电动葫芦</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套</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2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2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 w:hAnsi="仿宋" w:eastAsia="仿宋" w:cs="仿宋"/>
                <w:i w:val="0"/>
                <w:iCs w:val="0"/>
                <w:color w:val="000000"/>
                <w:sz w:val="21"/>
                <w:szCs w:val="21"/>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416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安装调试</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w:t>
            </w:r>
          </w:p>
        </w:tc>
        <w:tc>
          <w:tcPr>
            <w:tcW w:w="416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运费和保险</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1"/>
                <w:szCs w:val="21"/>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1"/>
                <w:szCs w:val="21"/>
                <w:u w:val="none"/>
              </w:rPr>
            </w:pPr>
          </w:p>
        </w:tc>
        <w:tc>
          <w:tcPr>
            <w:tcW w:w="10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rPr>
          <w:rFonts w:hint="default" w:hAnsi="宋体"/>
          <w:sz w:val="24"/>
          <w:lang w:val="en-US"/>
        </w:rPr>
      </w:pPr>
      <w:r>
        <w:rPr>
          <w:rFonts w:hint="default" w:hAnsi="宋体"/>
          <w:sz w:val="24"/>
          <w:lang w:val="en-US"/>
        </w:rPr>
        <w:br w:type="page"/>
      </w:r>
    </w:p>
    <w:p>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w:t>
      </w:r>
      <w:r>
        <w:rPr>
          <w:rFonts w:hint="eastAsia" w:ascii="Times New Roman" w:hAnsi="Times New Roman" w:cs="Times New Roman"/>
          <w:b/>
          <w:bCs/>
          <w:color w:val="000000"/>
          <w:sz w:val="24"/>
          <w:szCs w:val="24"/>
          <w:lang w:val="en-US" w:eastAsia="zh-CN"/>
        </w:rPr>
        <w:t>9</w:t>
      </w:r>
      <w:r>
        <w:rPr>
          <w:rFonts w:hint="eastAsia" w:ascii="Times New Roman" w:hAnsi="Times New Roman" w:eastAsia="宋体" w:cs="Times New Roman"/>
          <w:b/>
          <w:bCs/>
          <w:color w:val="000000"/>
          <w:sz w:val="24"/>
          <w:szCs w:val="24"/>
        </w:rPr>
        <w:t xml:space="preserve">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4</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5"/>
      </w:pPr>
    </w:p>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3"/>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附件10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13335" b="1651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7"/>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8"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9"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30"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31" cstate="print"/>
                    <a:srcRect/>
                    <a:stretch>
                      <a:fillRect/>
                    </a:stretch>
                  </pic:blipFill>
                  <pic:spPr>
                    <a:xfrm>
                      <a:off x="0" y="0"/>
                      <a:ext cx="5760085" cy="2853055"/>
                    </a:xfrm>
                    <a:prstGeom prst="rect">
                      <a:avLst/>
                    </a:prstGeom>
                  </pic:spPr>
                </pic:pic>
              </a:graphicData>
            </a:graphic>
          </wp:inline>
        </w:drawing>
      </w:r>
    </w:p>
    <w:p>
      <w:pPr>
        <w:numPr>
          <w:ilvl w:val="0"/>
          <w:numId w:val="3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13970" b="825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2"/>
                    <a:stretch>
                      <a:fillRect/>
                    </a:stretch>
                  </pic:blipFill>
                  <pic:spPr>
                    <a:xfrm>
                      <a:off x="0" y="0"/>
                      <a:ext cx="5758180" cy="3058795"/>
                    </a:xfrm>
                    <a:prstGeom prst="rect">
                      <a:avLst/>
                    </a:prstGeom>
                    <a:noFill/>
                    <a:ln>
                      <a:noFill/>
                    </a:ln>
                  </pic:spPr>
                </pic:pic>
              </a:graphicData>
            </a:graphic>
          </wp:inline>
        </w:drawing>
      </w:r>
    </w:p>
    <w:p>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3"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3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3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3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w:t>
      </w:r>
      <w:r>
        <w:rPr>
          <w:rFonts w:hint="eastAsia" w:ascii="宋体" w:hAnsi="宋体" w:cs="宋体"/>
          <w:b/>
          <w:bCs/>
          <w:color w:val="000000"/>
          <w:sz w:val="24"/>
          <w:szCs w:val="28"/>
          <w:highlight w:val="none"/>
          <w:lang w:val="en-US" w:eastAsia="zh-CN"/>
        </w:rPr>
        <w:t xml:space="preserve"> </w:t>
      </w:r>
      <w:r>
        <w:rPr>
          <w:rFonts w:hint="eastAsia" w:ascii="宋体" w:hAnsi="宋体" w:eastAsia="宋体" w:cs="宋体"/>
          <w:b/>
          <w:bCs/>
          <w:color w:val="000000"/>
          <w:sz w:val="24"/>
          <w:szCs w:val="28"/>
          <w:highlight w:val="none"/>
        </w:rPr>
        <w:t>/ 工艺设备 / 工艺设备”，业务主管部门</w:t>
      </w:r>
      <w:r>
        <w:rPr>
          <w:rFonts w:hint="eastAsia" w:ascii="宋体" w:hAnsi="宋体" w:cs="宋体"/>
          <w:b/>
          <w:bCs/>
          <w:color w:val="000000"/>
          <w:sz w:val="24"/>
          <w:szCs w:val="28"/>
          <w:highlight w:val="none"/>
          <w:lang w:val="en-US" w:eastAsia="zh-CN"/>
        </w:rPr>
        <w:t>为</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工艺研究院</w:t>
      </w:r>
      <w:r>
        <w:rPr>
          <w:rFonts w:hint="eastAsia" w:ascii="宋体" w:hAnsi="宋体" w:eastAsia="宋体" w:cs="宋体"/>
          <w:b/>
          <w:bCs/>
          <w:color w:val="000000"/>
          <w:sz w:val="24"/>
          <w:szCs w:val="28"/>
          <w:highlight w:val="none"/>
        </w:rPr>
        <w:t>”。</w:t>
      </w:r>
    </w:p>
    <w:p>
      <w:pPr>
        <w:numPr>
          <w:ilvl w:val="0"/>
          <w:numId w:val="31"/>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pPr>
        <w:keepNext w:val="0"/>
        <w:keepLines w:val="0"/>
        <w:pageBreakBefore w:val="0"/>
        <w:widowControl w:val="0"/>
        <w:numPr>
          <w:ilvl w:val="0"/>
          <w:numId w:val="3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4"/>
                    <a:stretch>
                      <a:fillRect/>
                    </a:stretch>
                  </pic:blipFill>
                  <pic:spPr>
                    <a:xfrm>
                      <a:off x="0" y="0"/>
                      <a:ext cx="5486400" cy="2661285"/>
                    </a:xfrm>
                    <a:prstGeom prst="rect">
                      <a:avLst/>
                    </a:prstGeom>
                    <a:noFill/>
                    <a:ln>
                      <a:noFill/>
                    </a:ln>
                  </pic:spPr>
                </pic:pic>
              </a:graphicData>
            </a:graphic>
          </wp:inline>
        </w:drawing>
      </w:r>
    </w:p>
    <w:p>
      <w:pPr>
        <w:pStyle w:val="73"/>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附件11 SRM系统供应商用户手册</w:t>
      </w:r>
    </w:p>
    <w:p>
      <w:pPr>
        <w:snapToGrid/>
        <w:spacing w:before="0" w:after="0" w:line="360" w:lineRule="auto"/>
        <w:ind w:left="0" w:right="0" w:firstLine="0"/>
        <w:jc w:val="both"/>
        <w:rPr>
          <w:rStyle w:val="38"/>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8"/>
          <w:rFonts w:hint="eastAsia" w:ascii="宋体" w:hAnsi="宋体" w:eastAsia="宋体" w:cs="宋体"/>
          <w:sz w:val="24"/>
          <w:szCs w:val="24"/>
        </w:rPr>
        <w:fldChar w:fldCharType="begin"/>
      </w:r>
      <w:r>
        <w:rPr>
          <w:rStyle w:val="38"/>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8"/>
          <w:rFonts w:hint="eastAsia" w:ascii="宋体" w:hAnsi="宋体" w:eastAsia="宋体" w:cs="宋体"/>
          <w:sz w:val="24"/>
          <w:szCs w:val="24"/>
        </w:rP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pPr>
        <w:pStyle w:val="2"/>
        <w:rPr>
          <w:rFonts w:hint="eastAsia"/>
        </w:rPr>
      </w:pPr>
      <w:r>
        <w:rPr>
          <w:rFonts w:hint="eastAsia"/>
          <w:sz w:val="24"/>
          <w:highlight w:val="none"/>
        </w:rPr>
        <w:t>初始密码为scm@2022或@2023</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5"/>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6"/>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5"/>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7"/>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8"/>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9"/>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rPr>
          <w:rFonts w:hint="default" w:hAnsi="宋体"/>
          <w:sz w:val="24"/>
          <w:lang w:val="en-US"/>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0"/>
                    <a:stretch>
                      <a:fillRect/>
                    </a:stretch>
                  </pic:blipFill>
                  <pic:spPr>
                    <a:xfrm>
                      <a:off x="0" y="0"/>
                      <a:ext cx="5760085" cy="1956600"/>
                    </a:xfrm>
                    <a:prstGeom prst="rect">
                      <a:avLst/>
                    </a:prstGeom>
                  </pic:spPr>
                </pic:pic>
              </a:graphicData>
            </a:graphic>
          </wp:inline>
        </w:drawing>
      </w:r>
    </w:p>
    <w:sectPr>
      <w:headerReference r:id="rId19" w:type="first"/>
      <w:footerReference r:id="rId21" w:type="first"/>
      <w:footerReference r:id="rId20"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19"/>
      <w:jc w:val="center"/>
    </w:pP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5"/>
      </w:rPr>
    </w:pPr>
    <w:r>
      <w:fldChar w:fldCharType="begin"/>
    </w:r>
    <w:r>
      <w:rPr>
        <w:rStyle w:val="35"/>
      </w:rPr>
      <w:instrText xml:space="preserve">PAGE  </w:instrText>
    </w:r>
    <w:r>
      <w:fldChar w:fldCharType="end"/>
    </w: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p>
    <w:pPr>
      <w:pStyle w:val="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680BC7B"/>
    <w:multiLevelType w:val="singleLevel"/>
    <w:tmpl w:val="C680BC7B"/>
    <w:lvl w:ilvl="0" w:tentative="0">
      <w:start w:val="1"/>
      <w:numFmt w:val="decimal"/>
      <w:suff w:val="space"/>
      <w:lvlText w:val="%1."/>
      <w:lvlJc w:val="left"/>
      <w:pPr>
        <w:ind w:left="0" w:leftChars="0" w:firstLine="420" w:firstLineChars="0"/>
      </w:pPr>
      <w:rPr>
        <w:rFonts w:hint="default"/>
        <w:b w:val="0"/>
        <w:bCs w:val="0"/>
        <w:color w:val="auto"/>
        <w:highlight w:val="none"/>
      </w:rPr>
    </w:lvl>
  </w:abstractNum>
  <w:abstractNum w:abstractNumId="5">
    <w:nsid w:val="C6C94E46"/>
    <w:multiLevelType w:val="multilevel"/>
    <w:tmpl w:val="C6C94E46"/>
    <w:lvl w:ilvl="0" w:tentative="0">
      <w:start w:val="1"/>
      <w:numFmt w:val="decimal"/>
      <w:lvlText w:val="%1."/>
      <w:lvlJc w:val="left"/>
      <w:pPr>
        <w:ind w:left="425" w:hanging="425"/>
      </w:pPr>
      <w:rPr>
        <w:rFonts w:hint="default"/>
      </w:rPr>
    </w:lvl>
    <w:lvl w:ilvl="1" w:tentative="0">
      <w:start w:val="1"/>
      <w:numFmt w:val="decimal"/>
      <w:suff w:val="nothing"/>
      <w:lvlText w:val="(%2)"/>
      <w:lvlJc w:val="left"/>
      <w:pPr>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7">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F54BF83F"/>
    <w:multiLevelType w:val="singleLevel"/>
    <w:tmpl w:val="F54BF83F"/>
    <w:lvl w:ilvl="0" w:tentative="0">
      <w:start w:val="1"/>
      <w:numFmt w:val="decimal"/>
      <w:suff w:val="space"/>
      <w:lvlText w:val="%1."/>
      <w:lvlJc w:val="left"/>
      <w:pPr>
        <w:ind w:left="0" w:firstLine="0"/>
      </w:p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5">
    <w:nsid w:val="12D9A626"/>
    <w:multiLevelType w:val="singleLevel"/>
    <w:tmpl w:val="12D9A626"/>
    <w:lvl w:ilvl="0" w:tentative="0">
      <w:start w:val="3"/>
      <w:numFmt w:val="chineseCounting"/>
      <w:suff w:val="nothing"/>
      <w:lvlText w:val="第%1部分　"/>
      <w:lvlJc w:val="left"/>
      <w:rPr>
        <w:rFonts w:hint="eastAsia"/>
      </w:rPr>
    </w:lvl>
  </w:abstractNum>
  <w:abstractNum w:abstractNumId="16">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8">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0">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1">
    <w:nsid w:val="4AF0723E"/>
    <w:multiLevelType w:val="singleLevel"/>
    <w:tmpl w:val="4AF0723E"/>
    <w:lvl w:ilvl="0" w:tentative="0">
      <w:start w:val="2"/>
      <w:numFmt w:val="chineseCounting"/>
      <w:suff w:val="nothing"/>
      <w:lvlText w:val="%1、"/>
      <w:lvlJc w:val="left"/>
      <w:rPr>
        <w:rFonts w:hint="eastAsia"/>
      </w:rPr>
    </w:lvl>
  </w:abstractNum>
  <w:abstractNum w:abstractNumId="22">
    <w:nsid w:val="4C11FA9C"/>
    <w:multiLevelType w:val="singleLevel"/>
    <w:tmpl w:val="4C11FA9C"/>
    <w:lvl w:ilvl="0" w:tentative="0">
      <w:start w:val="1"/>
      <w:numFmt w:val="decimal"/>
      <w:suff w:val="space"/>
      <w:lvlText w:val="(%1)"/>
      <w:lvlJc w:val="left"/>
      <w:pPr>
        <w:ind w:left="425" w:hanging="425"/>
      </w:pPr>
      <w:rPr>
        <w:rFonts w:hint="default"/>
      </w:rPr>
    </w:lvl>
  </w:abstractNum>
  <w:abstractNum w:abstractNumId="23">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7">
    <w:nsid w:val="58A803A7"/>
    <w:multiLevelType w:val="singleLevel"/>
    <w:tmpl w:val="58A803A7"/>
    <w:lvl w:ilvl="0" w:tentative="0">
      <w:start w:val="1"/>
      <w:numFmt w:val="decimal"/>
      <w:suff w:val="nothing"/>
      <w:lvlText w:val="%1."/>
      <w:lvlJc w:val="left"/>
      <w:pPr>
        <w:ind w:left="454" w:leftChars="0" w:hanging="454" w:firstLineChars="0"/>
      </w:pPr>
      <w:rPr>
        <w:rFonts w:hint="default"/>
      </w:rPr>
    </w:lvl>
  </w:abstractNum>
  <w:abstractNum w:abstractNumId="28">
    <w:nsid w:val="5A6836EF"/>
    <w:multiLevelType w:val="singleLevel"/>
    <w:tmpl w:val="5A6836EF"/>
    <w:lvl w:ilvl="0" w:tentative="0">
      <w:start w:val="1"/>
      <w:numFmt w:val="decimal"/>
      <w:suff w:val="nothing"/>
      <w:lvlText w:val="%1."/>
      <w:lvlJc w:val="left"/>
      <w:pPr>
        <w:ind w:left="0" w:firstLine="0"/>
      </w:pPr>
    </w:lvl>
  </w:abstractNum>
  <w:abstractNum w:abstractNumId="29">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0">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1">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2">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23"/>
  </w:num>
  <w:num w:numId="2">
    <w:abstractNumId w:val="31"/>
  </w:num>
  <w:num w:numId="3">
    <w:abstractNumId w:val="26"/>
  </w:num>
  <w:num w:numId="4">
    <w:abstractNumId w:val="24"/>
  </w:num>
  <w:num w:numId="5">
    <w:abstractNumId w:val="12"/>
  </w:num>
  <w:num w:numId="6">
    <w:abstractNumId w:val="17"/>
  </w:num>
  <w:num w:numId="7">
    <w:abstractNumId w:val="19"/>
  </w:num>
  <w:num w:numId="8">
    <w:abstractNumId w:val="25"/>
  </w:num>
  <w:num w:numId="9">
    <w:abstractNumId w:val="27"/>
  </w:num>
  <w:num w:numId="10">
    <w:abstractNumId w:val="16"/>
  </w:num>
  <w:num w:numId="11">
    <w:abstractNumId w:val="4"/>
  </w:num>
  <w:num w:numId="12">
    <w:abstractNumId w:val="14"/>
  </w:num>
  <w:num w:numId="13">
    <w:abstractNumId w:val="32"/>
  </w:num>
  <w:num w:numId="14">
    <w:abstractNumId w:val="0"/>
  </w:num>
  <w:num w:numId="15">
    <w:abstractNumId w:val="6"/>
  </w:num>
  <w:num w:numId="16">
    <w:abstractNumId w:val="7"/>
  </w:num>
  <w:num w:numId="17">
    <w:abstractNumId w:val="3"/>
  </w:num>
  <w:num w:numId="18">
    <w:abstractNumId w:val="13"/>
  </w:num>
  <w:num w:numId="19">
    <w:abstractNumId w:val="18"/>
  </w:num>
  <w:num w:numId="20">
    <w:abstractNumId w:val="2"/>
  </w:num>
  <w:num w:numId="21">
    <w:abstractNumId w:val="30"/>
  </w:num>
  <w:num w:numId="22">
    <w:abstractNumId w:val="8"/>
  </w:num>
  <w:num w:numId="23">
    <w:abstractNumId w:val="29"/>
  </w:num>
  <w:num w:numId="24">
    <w:abstractNumId w:val="9"/>
  </w:num>
  <w:num w:numId="25">
    <w:abstractNumId w:val="1"/>
  </w:num>
  <w:num w:numId="26">
    <w:abstractNumId w:val="20"/>
  </w:num>
  <w:num w:numId="27">
    <w:abstractNumId w:val="28"/>
  </w:num>
  <w:num w:numId="28">
    <w:abstractNumId w:val="5"/>
  </w:num>
  <w:num w:numId="29">
    <w:abstractNumId w:val="22"/>
  </w:num>
  <w:num w:numId="30">
    <w:abstractNumId w:val="15"/>
  </w:num>
  <w:num w:numId="31">
    <w:abstractNumId w:val="11"/>
  </w:num>
  <w:num w:numId="32">
    <w:abstractNumId w:val="10"/>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96F15"/>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1B40D3"/>
    <w:rsid w:val="01563B79"/>
    <w:rsid w:val="02173A21"/>
    <w:rsid w:val="02CC3DCA"/>
    <w:rsid w:val="02FE76EF"/>
    <w:rsid w:val="034E1239"/>
    <w:rsid w:val="03F033B0"/>
    <w:rsid w:val="05612989"/>
    <w:rsid w:val="057C1D39"/>
    <w:rsid w:val="05891259"/>
    <w:rsid w:val="05D554DB"/>
    <w:rsid w:val="0654565B"/>
    <w:rsid w:val="07253DF6"/>
    <w:rsid w:val="07613623"/>
    <w:rsid w:val="07C1191B"/>
    <w:rsid w:val="08633479"/>
    <w:rsid w:val="09630A6C"/>
    <w:rsid w:val="0A63147A"/>
    <w:rsid w:val="0ADB2EF0"/>
    <w:rsid w:val="0ADD4CBE"/>
    <w:rsid w:val="0B415BB4"/>
    <w:rsid w:val="0C83309C"/>
    <w:rsid w:val="0CB51572"/>
    <w:rsid w:val="0D01045C"/>
    <w:rsid w:val="0DA915A6"/>
    <w:rsid w:val="0DE73E36"/>
    <w:rsid w:val="0E4D31E3"/>
    <w:rsid w:val="0E530E38"/>
    <w:rsid w:val="10DC2AA3"/>
    <w:rsid w:val="10FA7C8C"/>
    <w:rsid w:val="12174CE2"/>
    <w:rsid w:val="121D1E44"/>
    <w:rsid w:val="12F64B6E"/>
    <w:rsid w:val="130B198F"/>
    <w:rsid w:val="13FA68E0"/>
    <w:rsid w:val="15BB1367"/>
    <w:rsid w:val="168618F8"/>
    <w:rsid w:val="16A918E4"/>
    <w:rsid w:val="17D966D6"/>
    <w:rsid w:val="18146E94"/>
    <w:rsid w:val="18945E62"/>
    <w:rsid w:val="19517BDA"/>
    <w:rsid w:val="19581095"/>
    <w:rsid w:val="19AE68D1"/>
    <w:rsid w:val="19E33213"/>
    <w:rsid w:val="1A463A67"/>
    <w:rsid w:val="1B481CDF"/>
    <w:rsid w:val="1BA3160C"/>
    <w:rsid w:val="1BC71D3B"/>
    <w:rsid w:val="1C59115B"/>
    <w:rsid w:val="1D495EC4"/>
    <w:rsid w:val="1D596BD7"/>
    <w:rsid w:val="1DFE17D9"/>
    <w:rsid w:val="1E296445"/>
    <w:rsid w:val="1EFD1680"/>
    <w:rsid w:val="1F6C766B"/>
    <w:rsid w:val="1F6D42D7"/>
    <w:rsid w:val="1FB23E60"/>
    <w:rsid w:val="1FBA79B4"/>
    <w:rsid w:val="212F23EA"/>
    <w:rsid w:val="21F50ADF"/>
    <w:rsid w:val="2225345A"/>
    <w:rsid w:val="226A2E83"/>
    <w:rsid w:val="227640E7"/>
    <w:rsid w:val="227F2CA6"/>
    <w:rsid w:val="22C5630B"/>
    <w:rsid w:val="23EC0BA6"/>
    <w:rsid w:val="24701A48"/>
    <w:rsid w:val="247E07FE"/>
    <w:rsid w:val="24AB04CD"/>
    <w:rsid w:val="25113A8A"/>
    <w:rsid w:val="25EC6AF8"/>
    <w:rsid w:val="268B0052"/>
    <w:rsid w:val="26CF6817"/>
    <w:rsid w:val="272A6A1B"/>
    <w:rsid w:val="27743C90"/>
    <w:rsid w:val="27B358EA"/>
    <w:rsid w:val="283931F7"/>
    <w:rsid w:val="284A307C"/>
    <w:rsid w:val="28B55739"/>
    <w:rsid w:val="28CE6296"/>
    <w:rsid w:val="29CA2459"/>
    <w:rsid w:val="2B271A58"/>
    <w:rsid w:val="2B4D164C"/>
    <w:rsid w:val="2B6304A7"/>
    <w:rsid w:val="2C642D3E"/>
    <w:rsid w:val="2CF6734C"/>
    <w:rsid w:val="2D4D284A"/>
    <w:rsid w:val="2D663463"/>
    <w:rsid w:val="2E112A52"/>
    <w:rsid w:val="2EDD38C8"/>
    <w:rsid w:val="2EF96EE4"/>
    <w:rsid w:val="2EFB779B"/>
    <w:rsid w:val="2FF10008"/>
    <w:rsid w:val="30C9346B"/>
    <w:rsid w:val="317E4255"/>
    <w:rsid w:val="31E37A09"/>
    <w:rsid w:val="32C207BF"/>
    <w:rsid w:val="3380787D"/>
    <w:rsid w:val="33822A0F"/>
    <w:rsid w:val="34F565DC"/>
    <w:rsid w:val="357E71B4"/>
    <w:rsid w:val="35D271A0"/>
    <w:rsid w:val="36254FE4"/>
    <w:rsid w:val="36AA39B8"/>
    <w:rsid w:val="372F61E0"/>
    <w:rsid w:val="39322FCA"/>
    <w:rsid w:val="3A503E1E"/>
    <w:rsid w:val="3AB90991"/>
    <w:rsid w:val="3B706131"/>
    <w:rsid w:val="3BF833EC"/>
    <w:rsid w:val="3C8E02FC"/>
    <w:rsid w:val="3D3346FD"/>
    <w:rsid w:val="3DE11DF4"/>
    <w:rsid w:val="3E6F041E"/>
    <w:rsid w:val="3E846635"/>
    <w:rsid w:val="3EC02A3D"/>
    <w:rsid w:val="3F9D2397"/>
    <w:rsid w:val="40AC20A0"/>
    <w:rsid w:val="41A5482C"/>
    <w:rsid w:val="420F3C32"/>
    <w:rsid w:val="4275481E"/>
    <w:rsid w:val="428B617A"/>
    <w:rsid w:val="42CE288A"/>
    <w:rsid w:val="433D7BDC"/>
    <w:rsid w:val="437E1813"/>
    <w:rsid w:val="43A427AA"/>
    <w:rsid w:val="43E96A97"/>
    <w:rsid w:val="444E2202"/>
    <w:rsid w:val="45354CBC"/>
    <w:rsid w:val="45BD47FC"/>
    <w:rsid w:val="45CC5FB2"/>
    <w:rsid w:val="46B75BA8"/>
    <w:rsid w:val="46E91D19"/>
    <w:rsid w:val="476E5648"/>
    <w:rsid w:val="47DE0683"/>
    <w:rsid w:val="48C97955"/>
    <w:rsid w:val="48D805C0"/>
    <w:rsid w:val="492E2C7C"/>
    <w:rsid w:val="49880C8F"/>
    <w:rsid w:val="4A1A43A3"/>
    <w:rsid w:val="4A2007F8"/>
    <w:rsid w:val="4A8835F7"/>
    <w:rsid w:val="4AB619BA"/>
    <w:rsid w:val="4B592E71"/>
    <w:rsid w:val="4BFA7044"/>
    <w:rsid w:val="4D595294"/>
    <w:rsid w:val="4DF75369"/>
    <w:rsid w:val="4E9E572E"/>
    <w:rsid w:val="4EA23B01"/>
    <w:rsid w:val="4EB0217D"/>
    <w:rsid w:val="4F8B220C"/>
    <w:rsid w:val="504F4EAF"/>
    <w:rsid w:val="516C4BAA"/>
    <w:rsid w:val="51D51447"/>
    <w:rsid w:val="52B9239A"/>
    <w:rsid w:val="52D52A7F"/>
    <w:rsid w:val="54287EA1"/>
    <w:rsid w:val="54BD78FD"/>
    <w:rsid w:val="54C512BB"/>
    <w:rsid w:val="552A3C28"/>
    <w:rsid w:val="555A2DA3"/>
    <w:rsid w:val="555B06B0"/>
    <w:rsid w:val="55F244FB"/>
    <w:rsid w:val="56901A99"/>
    <w:rsid w:val="571B2939"/>
    <w:rsid w:val="581925FA"/>
    <w:rsid w:val="58A86DDE"/>
    <w:rsid w:val="59154AD7"/>
    <w:rsid w:val="5A542AB4"/>
    <w:rsid w:val="5ADF548D"/>
    <w:rsid w:val="5BF95104"/>
    <w:rsid w:val="5C4627AE"/>
    <w:rsid w:val="5C9249CA"/>
    <w:rsid w:val="5D5C60B4"/>
    <w:rsid w:val="5DA23E51"/>
    <w:rsid w:val="5E5B22B9"/>
    <w:rsid w:val="5EB41BD3"/>
    <w:rsid w:val="5F9B694B"/>
    <w:rsid w:val="60027C70"/>
    <w:rsid w:val="60367925"/>
    <w:rsid w:val="60651FB9"/>
    <w:rsid w:val="614E12EC"/>
    <w:rsid w:val="616D6769"/>
    <w:rsid w:val="62BD60DC"/>
    <w:rsid w:val="63F04A69"/>
    <w:rsid w:val="646A3D0C"/>
    <w:rsid w:val="64A82747"/>
    <w:rsid w:val="65336B29"/>
    <w:rsid w:val="66526AE4"/>
    <w:rsid w:val="66A50B1E"/>
    <w:rsid w:val="67095CF1"/>
    <w:rsid w:val="674E3DF4"/>
    <w:rsid w:val="67B2063C"/>
    <w:rsid w:val="67C97AC3"/>
    <w:rsid w:val="67D5595A"/>
    <w:rsid w:val="67DD0DA5"/>
    <w:rsid w:val="67E30EC1"/>
    <w:rsid w:val="690861D7"/>
    <w:rsid w:val="695D046C"/>
    <w:rsid w:val="6A4E3B2B"/>
    <w:rsid w:val="6AC838A9"/>
    <w:rsid w:val="6AED682D"/>
    <w:rsid w:val="6B481C3B"/>
    <w:rsid w:val="6B875383"/>
    <w:rsid w:val="6C1331A3"/>
    <w:rsid w:val="6C765676"/>
    <w:rsid w:val="6CA84BC1"/>
    <w:rsid w:val="6CE64E7E"/>
    <w:rsid w:val="6D170ADE"/>
    <w:rsid w:val="6D3E4756"/>
    <w:rsid w:val="6E335CDC"/>
    <w:rsid w:val="6F12155D"/>
    <w:rsid w:val="6FC523EB"/>
    <w:rsid w:val="6FE22646"/>
    <w:rsid w:val="70825D63"/>
    <w:rsid w:val="71FE41EB"/>
    <w:rsid w:val="72895F2E"/>
    <w:rsid w:val="72C02EBE"/>
    <w:rsid w:val="72C507AD"/>
    <w:rsid w:val="72D028D8"/>
    <w:rsid w:val="73234831"/>
    <w:rsid w:val="745D47C3"/>
    <w:rsid w:val="75341FA7"/>
    <w:rsid w:val="755404B8"/>
    <w:rsid w:val="764F7753"/>
    <w:rsid w:val="767F1DA7"/>
    <w:rsid w:val="76AC3757"/>
    <w:rsid w:val="7714326D"/>
    <w:rsid w:val="77D4005C"/>
    <w:rsid w:val="78292927"/>
    <w:rsid w:val="78D35C78"/>
    <w:rsid w:val="78D62583"/>
    <w:rsid w:val="78F33EC6"/>
    <w:rsid w:val="78F37D6B"/>
    <w:rsid w:val="7A6B48EE"/>
    <w:rsid w:val="7A8E4ACC"/>
    <w:rsid w:val="7B8A3D70"/>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iPriority="99"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2"/>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112"/>
    <w:semiHidden/>
    <w:qFormat/>
    <w:uiPriority w:val="0"/>
    <w:pPr>
      <w:keepNext/>
      <w:keepLines/>
      <w:spacing w:line="416" w:lineRule="auto"/>
      <w:outlineLvl w:val="2"/>
    </w:pPr>
    <w:rPr>
      <w:b/>
      <w:bCs/>
      <w:sz w:val="32"/>
      <w:szCs w:val="32"/>
    </w:rPr>
  </w:style>
  <w:style w:type="paragraph" w:styleId="7">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
    <w:semiHidden/>
    <w:qFormat/>
    <w:uiPriority w:val="98"/>
    <w:rPr>
      <w:rFonts w:ascii="仿宋_GB2312" w:eastAsia="仿宋_GB2312"/>
      <w:sz w:val="32"/>
    </w:rPr>
  </w:style>
  <w:style w:type="paragraph" w:styleId="3">
    <w:name w:val="Body Text Indent"/>
    <w:basedOn w:val="1"/>
    <w:link w:val="50"/>
    <w:semiHidden/>
    <w:qFormat/>
    <w:uiPriority w:val="0"/>
    <w:pPr>
      <w:spacing w:after="120"/>
      <w:ind w:left="420" w:leftChars="200"/>
    </w:pPr>
    <w:rPr>
      <w:rFonts w:ascii="Calibri" w:hAnsi="Calibri"/>
      <w:szCs w:val="22"/>
    </w:rPr>
  </w:style>
  <w:style w:type="paragraph" w:styleId="9">
    <w:name w:val="E-mail Signature"/>
    <w:basedOn w:val="1"/>
    <w:link w:val="105"/>
    <w:semiHidden/>
    <w:qFormat/>
    <w:uiPriority w:val="99"/>
    <w:pPr>
      <w:spacing w:after="200" w:line="276" w:lineRule="auto"/>
      <w:jc w:val="left"/>
    </w:pPr>
    <w:rPr>
      <w:rFonts w:ascii="Calibri" w:hAnsi="Calibri"/>
      <w:kern w:val="0"/>
      <w:szCs w:val="21"/>
    </w:rPr>
  </w:style>
  <w:style w:type="paragraph" w:styleId="10">
    <w:name w:val="Normal Indent"/>
    <w:basedOn w:val="1"/>
    <w:next w:val="1"/>
    <w:unhideWhenUsed/>
    <w:qFormat/>
    <w:uiPriority w:val="99"/>
    <w:pPr>
      <w:tabs>
        <w:tab w:val="left" w:pos="1620"/>
      </w:tabs>
      <w:autoSpaceDE w:val="0"/>
      <w:autoSpaceDN w:val="0"/>
      <w:adjustRightInd w:val="0"/>
      <w:snapToGrid w:val="0"/>
      <w:spacing w:line="360" w:lineRule="auto"/>
      <w:ind w:firstLine="920" w:firstLineChars="200"/>
    </w:pPr>
    <w:rPr>
      <w:rFonts w:ascii="宋体" w:hAnsi="宋体" w:cs="宋体"/>
      <w:lang w:val="zh-CN"/>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7"/>
    <w:qFormat/>
    <w:uiPriority w:val="99"/>
    <w:pPr>
      <w:jc w:val="left"/>
    </w:p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2"/>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9"/>
    <w:semiHidden/>
    <w:qFormat/>
    <w:uiPriority w:val="0"/>
    <w:rPr>
      <w:sz w:val="18"/>
      <w:szCs w:val="18"/>
    </w:rPr>
  </w:style>
  <w:style w:type="paragraph" w:styleId="19">
    <w:name w:val="footer"/>
    <w:basedOn w:val="1"/>
    <w:link w:val="44"/>
    <w:semiHidden/>
    <w:qFormat/>
    <w:uiPriority w:val="0"/>
    <w:pPr>
      <w:tabs>
        <w:tab w:val="center" w:pos="4153"/>
        <w:tab w:val="right" w:pos="8306"/>
      </w:tabs>
      <w:snapToGrid w:val="0"/>
      <w:jc w:val="left"/>
    </w:pPr>
    <w:rPr>
      <w:sz w:val="18"/>
      <w:szCs w:val="18"/>
    </w:rPr>
  </w:style>
  <w:style w:type="paragraph" w:styleId="20">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5"/>
    <w:semiHidden/>
    <w:qFormat/>
    <w:uiPriority w:val="98"/>
    <w:rPr>
      <w:b/>
      <w:bCs/>
    </w:rPr>
  </w:style>
  <w:style w:type="paragraph" w:styleId="30">
    <w:name w:val="Body Text First Indent 2"/>
    <w:basedOn w:val="3"/>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paragraph" w:customStyle="1" w:styleId="4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2"/>
    <w:semiHidden/>
    <w:qFormat/>
    <w:uiPriority w:val="98"/>
    <w:rPr>
      <w:rFonts w:ascii="仿宋_GB2312" w:eastAsia="仿宋_GB2312"/>
      <w:kern w:val="2"/>
      <w:sz w:val="32"/>
    </w:rPr>
  </w:style>
  <w:style w:type="character" w:customStyle="1" w:styleId="44">
    <w:name w:val="页脚 字符"/>
    <w:link w:val="19"/>
    <w:semiHidden/>
    <w:qFormat/>
    <w:uiPriority w:val="0"/>
    <w:rPr>
      <w:kern w:val="2"/>
      <w:sz w:val="18"/>
      <w:szCs w:val="18"/>
    </w:rPr>
  </w:style>
  <w:style w:type="character" w:customStyle="1" w:styleId="45">
    <w:name w:val="标题 3 字符"/>
    <w:link w:val="6"/>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3"/>
    <w:qFormat/>
    <w:uiPriority w:val="99"/>
    <w:rPr>
      <w:kern w:val="2"/>
      <w:sz w:val="21"/>
    </w:rPr>
  </w:style>
  <w:style w:type="character" w:customStyle="1" w:styleId="48">
    <w:name w:val="apple-converted-space"/>
    <w:basedOn w:val="33"/>
    <w:semiHidden/>
    <w:qFormat/>
    <w:uiPriority w:val="98"/>
  </w:style>
  <w:style w:type="character" w:customStyle="1" w:styleId="49">
    <w:name w:val="批注框文本 字符"/>
    <w:link w:val="18"/>
    <w:semiHidden/>
    <w:qFormat/>
    <w:uiPriority w:val="98"/>
    <w:rPr>
      <w:kern w:val="2"/>
      <w:sz w:val="18"/>
      <w:szCs w:val="18"/>
    </w:rPr>
  </w:style>
  <w:style w:type="character" w:customStyle="1" w:styleId="50">
    <w:name w:val="正文文本缩进 字符"/>
    <w:link w:val="3"/>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5"/>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0"/>
    <w:semiHidden/>
    <w:qFormat/>
    <w:uiPriority w:val="0"/>
    <w:rPr>
      <w:kern w:val="2"/>
      <w:sz w:val="18"/>
      <w:szCs w:val="18"/>
    </w:rPr>
  </w:style>
  <w:style w:type="character" w:customStyle="1" w:styleId="55">
    <w:name w:val="批注主题 字符"/>
    <w:link w:val="29"/>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3"/>
    <w:link w:val="4"/>
    <w:semiHidden/>
    <w:qFormat/>
    <w:uiPriority w:val="0"/>
    <w:rPr>
      <w:b/>
      <w:bCs/>
      <w:kern w:val="44"/>
      <w:sz w:val="44"/>
      <w:szCs w:val="44"/>
    </w:rPr>
  </w:style>
  <w:style w:type="paragraph" w:customStyle="1" w:styleId="69">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5"/>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7"/>
    <w:semiHidden/>
    <w:qFormat/>
    <w:uiPriority w:val="0"/>
    <w:rPr>
      <w:rFonts w:ascii="Arial" w:hAnsi="Arial"/>
      <w:b/>
      <w:bCs/>
      <w:kern w:val="2"/>
      <w:sz w:val="21"/>
      <w:szCs w:val="28"/>
    </w:rPr>
  </w:style>
  <w:style w:type="character" w:customStyle="1" w:styleId="79">
    <w:name w:val="标题 5 字符"/>
    <w:basedOn w:val="33"/>
    <w:link w:val="8"/>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link w:val="5"/>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2"/>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9"/>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character" w:customStyle="1" w:styleId="112">
    <w:name w:val="标题 3 Char"/>
    <w:link w:val="6"/>
    <w:qFormat/>
    <w:uiPriority w:val="0"/>
    <w:rPr>
      <w:b/>
      <w:sz w:val="32"/>
    </w:rPr>
  </w:style>
  <w:style w:type="paragraph" w:customStyle="1" w:styleId="113">
    <w:name w:val="Table Paragraph"/>
    <w:basedOn w:val="1"/>
    <w:qFormat/>
    <w:uiPriority w:val="1"/>
    <w:rPr>
      <w:rFonts w:ascii="宋体" w:hAnsi="宋体" w:eastAsia="宋体" w:cs="宋体"/>
    </w:rPr>
  </w:style>
  <w:style w:type="table" w:customStyle="1" w:styleId="114">
    <w:name w:val="Table Normal"/>
    <w:qFormat/>
    <w:uiPriority w:val="0"/>
    <w:tblPr>
      <w:tblCellMar>
        <w:top w:w="0" w:type="dxa"/>
        <w:left w:w="0" w:type="dxa"/>
        <w:bottom w:w="0" w:type="dxa"/>
        <w:right w:w="0" w:type="dxa"/>
      </w:tblCellMar>
    </w:tblPr>
  </w:style>
  <w:style w:type="paragraph" w:customStyle="1" w:styleId="115">
    <w:name w:val="Fließtext"/>
    <w:basedOn w:val="1"/>
    <w:qFormat/>
    <w:uiPriority w:val="99"/>
    <w:pPr>
      <w:widowControl/>
      <w:ind w:left="1134"/>
      <w:jc w:val="left"/>
    </w:pPr>
    <w:rPr>
      <w:rFonts w:ascii="Arial" w:hAnsi="Arial"/>
      <w:kern w:val="0"/>
      <w:szCs w:val="20"/>
      <w:lang w:val="de-DE" w:eastAsia="de-DE"/>
    </w:rPr>
  </w:style>
  <w:style w:type="paragraph" w:customStyle="1" w:styleId="116">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8.png"/><Relationship Id="rId4" Type="http://schemas.openxmlformats.org/officeDocument/2006/relationships/footer" Target="footer1.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75</Pages>
  <Words>5842</Words>
  <Characters>6100</Characters>
  <Lines>127</Lines>
  <Paragraphs>35</Paragraphs>
  <TotalTime>26</TotalTime>
  <ScaleCrop>false</ScaleCrop>
  <LinksUpToDate>false</LinksUpToDate>
  <CharactersWithSpaces>6143</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LYB</cp:lastModifiedBy>
  <cp:lastPrinted>2020-06-28T02:28:00Z</cp:lastPrinted>
  <dcterms:modified xsi:type="dcterms:W3CDTF">2026-03-03T02:10:50Z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5770AFE259C24926BC2DCE64DD7C2079</vt:lpwstr>
  </property>
  <property fmtid="{D5CDD505-2E9C-101B-9397-08002B2CF9AE}" pid="4" name="KSOTemplateDocerSaveRecord">
    <vt:lpwstr>eyJoZGlkIjoiOWNjM2RhOWFiYzZkZTE3YjU5Zjc5MWMwNTQ1NDBiMWQiLCJ1c2VySWQiOiI0MzkzNDMzOTAifQ==</vt:lpwstr>
  </property>
</Properties>
</file>