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济南车桥公司</w:t>
      </w:r>
    </w:p>
    <w:p>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rPr>
        <w:t>产能提升配套柔性吊项目</w:t>
      </w:r>
    </w:p>
    <w:p>
      <w:pPr>
        <w:ind w:right="280"/>
        <w:jc w:val="center"/>
        <w:rPr>
          <w:sz w:val="28"/>
          <w:szCs w:val="28"/>
          <w:highlight w:val="none"/>
        </w:rPr>
      </w:pPr>
    </w:p>
    <w:p>
      <w:pPr>
        <w:ind w:right="280"/>
        <w:jc w:val="center"/>
        <w:rPr>
          <w:sz w:val="28"/>
          <w:szCs w:val="28"/>
          <w:highlight w:val="none"/>
        </w:rPr>
      </w:pPr>
    </w:p>
    <w:p>
      <w:pPr>
        <w:jc w:val="center"/>
        <w:rPr>
          <w:rFonts w:ascii="宋体" w:hAnsi="宋体" w:cs="宋体"/>
          <w:sz w:val="72"/>
          <w:szCs w:val="72"/>
          <w:highlight w:val="none"/>
        </w:rPr>
      </w:pPr>
      <w:r>
        <w:rPr>
          <w:rFonts w:hint="eastAsia" w:ascii="宋体" w:hAnsi="宋体" w:cs="宋体"/>
          <w:sz w:val="72"/>
          <w:szCs w:val="72"/>
          <w:highlight w:val="none"/>
        </w:rPr>
        <w:t>招标文件</w:t>
      </w: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ZBGL2026020031</w:t>
      </w:r>
    </w:p>
    <w:p>
      <w:pPr>
        <w:jc w:val="center"/>
        <w:rPr>
          <w:rFonts w:ascii="宋体" w:hAnsi="宋体"/>
          <w:sz w:val="48"/>
          <w:szCs w:val="48"/>
          <w:highlight w:val="none"/>
        </w:rPr>
      </w:pPr>
    </w:p>
    <w:p>
      <w:pPr>
        <w:jc w:val="center"/>
        <w:rPr>
          <w:rFonts w:ascii="宋体" w:hAnsi="宋体"/>
          <w:sz w:val="48"/>
          <w:szCs w:val="48"/>
          <w:highlight w:val="none"/>
        </w:rPr>
      </w:pPr>
    </w:p>
    <w:p>
      <w:pPr>
        <w:jc w:val="center"/>
        <w:rPr>
          <w:rFonts w:ascii="宋体" w:hAnsi="宋体"/>
          <w:sz w:val="28"/>
          <w:szCs w:val="28"/>
          <w:highlight w:val="none"/>
        </w:rPr>
      </w:pPr>
    </w:p>
    <w:p>
      <w:pPr>
        <w:jc w:val="center"/>
        <w:rPr>
          <w:rFonts w:ascii="宋体" w:hAnsi="宋体"/>
          <w:sz w:val="28"/>
          <w:szCs w:val="28"/>
          <w:highlight w:val="none"/>
        </w:rPr>
      </w:pPr>
    </w:p>
    <w:p>
      <w:pPr>
        <w:jc w:val="center"/>
        <w:rPr>
          <w:rFonts w:hint="eastAsia" w:ascii="宋体" w:hAnsi="宋体" w:eastAsia="宋体"/>
          <w:sz w:val="28"/>
          <w:szCs w:val="28"/>
          <w:highlight w:val="cyan"/>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重汽（济南）车桥有限公司</w:t>
      </w:r>
    </w:p>
    <w:p>
      <w:pPr>
        <w:jc w:val="center"/>
        <w:rPr>
          <w:rFonts w:ascii="宋体" w:hAnsi="宋体"/>
          <w:sz w:val="28"/>
          <w:szCs w:val="28"/>
          <w:highlight w:val="none"/>
        </w:rPr>
      </w:pPr>
    </w:p>
    <w:p>
      <w:pPr>
        <w:spacing w:line="480" w:lineRule="auto"/>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2月</w:t>
      </w:r>
    </w:p>
    <w:p>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pPr>
            <w:pStyle w:val="6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pPr>
            <w:pStyle w:val="21"/>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_Toc16839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_Toc16839 \h </w:instrText>
          </w:r>
          <w:r>
            <w:fldChar w:fldCharType="separate"/>
          </w:r>
          <w:r>
            <w:t>13</w:t>
          </w:r>
          <w:r>
            <w:fldChar w:fldCharType="end"/>
          </w:r>
          <w:r>
            <w:rPr>
              <w:rFonts w:hint="eastAsia" w:ascii="Calibri" w:hAnsi="Calibri" w:eastAsia="宋体" w:cs="Times New Roman"/>
              <w:bCs/>
              <w:kern w:val="44"/>
              <w:szCs w:val="44"/>
            </w:rPr>
            <w:fldChar w:fldCharType="end"/>
          </w:r>
        </w:p>
        <w:p>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_Toc8030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_Toc8030 \h </w:instrText>
          </w:r>
          <w:r>
            <w:fldChar w:fldCharType="separate"/>
          </w:r>
          <w:r>
            <w:t>14</w:t>
          </w:r>
          <w:r>
            <w:fldChar w:fldCharType="end"/>
          </w:r>
          <w:r>
            <w:rPr>
              <w:rFonts w:hint="eastAsia" w:ascii="Calibri" w:hAnsi="Calibri" w:eastAsia="宋体" w:cs="Times New Roman"/>
              <w:bCs/>
              <w:kern w:val="44"/>
              <w:szCs w:val="44"/>
            </w:rPr>
            <w:fldChar w:fldCharType="end"/>
          </w:r>
        </w:p>
        <w:p>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_Toc16500 \h </w:instrText>
          </w:r>
          <w:r>
            <w:fldChar w:fldCharType="separate"/>
          </w:r>
          <w:r>
            <w:t>15</w:t>
          </w:r>
          <w:r>
            <w:fldChar w:fldCharType="end"/>
          </w:r>
          <w:r>
            <w:rPr>
              <w:rFonts w:hint="eastAsia" w:ascii="Calibri" w:hAnsi="Calibri" w:eastAsia="宋体" w:cs="Times New Roman"/>
              <w:bCs/>
              <w:kern w:val="44"/>
              <w:szCs w:val="44"/>
            </w:rPr>
            <w:fldChar w:fldCharType="end"/>
          </w:r>
        </w:p>
        <w:p>
          <w:pPr>
            <w:pStyle w:val="21"/>
          </w:pPr>
          <w:r>
            <w:rPr>
              <w:rFonts w:hint="eastAsia" w:ascii="Calibri" w:hAnsi="Calibri" w:eastAsia="宋体" w:cs="Times New Roman"/>
              <w:bCs/>
              <w:kern w:val="44"/>
              <w:szCs w:val="44"/>
            </w:rPr>
            <w:fldChar w:fldCharType="end"/>
          </w:r>
        </w:p>
      </w:sdtContent>
    </w:sdt>
    <w:p>
      <w:pPr>
        <w:pStyle w:val="15"/>
        <w:tabs>
          <w:tab w:val="left" w:pos="2940"/>
        </w:tabs>
        <w:spacing w:line="360" w:lineRule="auto"/>
      </w:pPr>
      <w:r>
        <w:tab/>
      </w:r>
    </w:p>
    <w:p>
      <w:pPr>
        <w:pStyle w:val="15"/>
        <w:spacing w:line="360" w:lineRule="auto"/>
        <w:jc w:val="center"/>
      </w:pPr>
    </w:p>
    <w:p>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pPr>
        <w:pStyle w:val="72"/>
      </w:pPr>
      <w:bookmarkStart w:id="0" w:name="_Toc47976595"/>
      <w:bookmarkStart w:id="1" w:name="_Toc23927"/>
      <w:r>
        <w:rPr>
          <w:rFonts w:hint="eastAsia"/>
        </w:rPr>
        <w:t>第一部分  投标人须知</w:t>
      </w:r>
      <w:bookmarkEnd w:id="0"/>
      <w:bookmarkEnd w:id="1"/>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rPr>
        <w:t>项目名称：</w:t>
      </w:r>
      <w:r>
        <w:rPr>
          <w:rFonts w:hint="eastAsia"/>
          <w:highlight w:val="none"/>
          <w:lang w:val="en-US" w:eastAsia="zh-CN"/>
        </w:rPr>
        <w:t>济南车桥公</w:t>
      </w:r>
      <w:r>
        <w:rPr>
          <w:rFonts w:hint="eastAsia" w:ascii="宋体" w:eastAsia="宋体" w:cs="Times New Roman"/>
          <w:highlight w:val="none"/>
          <w:lang w:val="en-US" w:eastAsia="zh-CN"/>
        </w:rPr>
        <w:t>司产能提升配套柔性吊项目</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项目编号：</w:t>
      </w:r>
      <w:r>
        <w:rPr>
          <w:rFonts w:hint="eastAsia"/>
          <w:highlight w:val="none"/>
          <w:lang w:val="en-US" w:eastAsia="zh-CN"/>
        </w:rPr>
        <w:t>ZBGL2026020031</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招标形式：</w:t>
      </w:r>
      <w:bookmarkStart w:id="3" w:name="_Toc47112482"/>
      <w:r>
        <w:rPr>
          <w:rFonts w:hint="eastAsia"/>
          <w:highlight w:val="none"/>
          <w:lang w:val="en-US" w:eastAsia="zh-CN"/>
        </w:rPr>
        <w:t>公开招标</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ascii="宋体" w:hAnsi="Courier New" w:eastAsia="宋体" w:cs="Times New Roman"/>
          <w:highlight w:val="none"/>
          <w:lang w:val="en-US" w:eastAsia="zh-CN"/>
        </w:rPr>
      </w:pPr>
      <w:r>
        <w:rPr>
          <w:rFonts w:hint="eastAsia"/>
          <w:highlight w:val="none"/>
          <w:lang w:val="en-US" w:eastAsia="zh-CN"/>
        </w:rPr>
        <w:t>项目概况：产能提升配套柔性吊项目</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u w:val="none"/>
          <w:lang w:val="en-US" w:eastAsia="zh-CN"/>
        </w:rPr>
      </w:pPr>
      <w:r>
        <w:rPr>
          <w:rFonts w:hint="eastAsia"/>
          <w:lang w:val="en-US" w:eastAsia="zh-CN"/>
        </w:rPr>
        <w:t>报价：</w:t>
      </w:r>
    </w:p>
    <w:p>
      <w:pPr>
        <w:pStyle w:val="77"/>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pPr>
        <w:pStyle w:val="77"/>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shd w:val="clear" w:fill="FFFFFF"/>
        </w:rPr>
        <w:t>投标限价</w:t>
      </w:r>
      <w:r>
        <w:rPr>
          <w:rFonts w:hint="eastAsia" w:hAnsi="宋体" w:cs="宋体"/>
          <w:i w:val="0"/>
          <w:iCs w:val="0"/>
          <w:caps w:val="0"/>
          <w:color w:val="0F1115"/>
          <w:spacing w:val="0"/>
          <w:sz w:val="21"/>
          <w:szCs w:val="21"/>
          <w:shd w:val="clear" w:fill="FFFFFF"/>
          <w:lang w:eastAsia="zh-CN"/>
        </w:rPr>
        <w:t>：</w:t>
      </w:r>
      <w:r>
        <w:rPr>
          <w:rFonts w:hint="eastAsia" w:hAnsi="宋体" w:cs="宋体"/>
          <w:i w:val="0"/>
          <w:iCs w:val="0"/>
          <w:caps w:val="0"/>
          <w:color w:val="0F1115"/>
          <w:spacing w:val="0"/>
          <w:sz w:val="21"/>
          <w:szCs w:val="21"/>
          <w:shd w:val="clear" w:fill="FFFFFF"/>
          <w:lang w:val="en-US" w:eastAsia="zh-CN"/>
        </w:rPr>
        <w:t>无限价</w:t>
      </w:r>
      <w:r>
        <w:rPr>
          <w:rFonts w:hint="eastAsia" w:ascii="宋体" w:hAnsi="宋体" w:eastAsia="宋体" w:cs="宋体"/>
          <w:i w:val="0"/>
          <w:iCs w:val="0"/>
          <w:caps w:val="0"/>
          <w:color w:val="0F1115"/>
          <w:spacing w:val="0"/>
          <w:sz w:val="21"/>
          <w:szCs w:val="21"/>
          <w:highlight w:val="none"/>
          <w:shd w:val="clear" w:fill="FFFFFF"/>
        </w:rPr>
        <w:t>。</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eastAsia="宋体" w:cs="Times New Roman"/>
          <w:highlight w:val="none"/>
          <w:u w:val="none"/>
          <w:lang w:val="en-US" w:eastAsia="zh-CN"/>
        </w:rPr>
      </w:pPr>
      <w:r>
        <w:rPr>
          <w:rFonts w:hint="eastAsia" w:ascii="Times New Roman" w:hAnsi="Times New Roman" w:cs="Times New Roman"/>
          <w:color w:val="000000"/>
          <w:sz w:val="24"/>
          <w:szCs w:val="24"/>
          <w:highlight w:val="none"/>
          <w:lang w:val="en-US" w:eastAsia="zh-CN"/>
        </w:rPr>
        <w:t>注：</w:t>
      </w:r>
      <w:r>
        <w:rPr>
          <w:rFonts w:hint="default" w:ascii="Times New Roman" w:hAnsi="Times New Roman" w:eastAsia="宋体" w:cs="Times New Roman"/>
          <w:color w:val="000000"/>
          <w:sz w:val="24"/>
          <w:szCs w:val="24"/>
          <w:highlight w:val="none"/>
        </w:rPr>
        <w:t>投标人自行勘察现场，进行合理报价。投标总报价应包括设备费、原厂服务费及相关配件、随机资料、保险、税费、运杂、安装调试、与其他专业配合及可预见的风险以及其它不可预见等全部费用。</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lang w:val="en-US" w:eastAsia="zh-CN"/>
        </w:rPr>
      </w:pPr>
      <w:r>
        <w:rPr>
          <w:rFonts w:hint="default" w:cs="Times New Roman"/>
          <w:lang w:val="en-US" w:eastAsia="zh-CN"/>
        </w:rPr>
        <w:t>资金来源：企业自筹，已落实。</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招标人名称：重汽（济南）车桥有限公司 </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招标人地址：济南市高新区世纪大道757号车桥公司 </w:t>
      </w:r>
    </w:p>
    <w:p>
      <w:pPr>
        <w:keepNext w:val="0"/>
        <w:keepLines w:val="0"/>
        <w:pageBreakBefore w:val="0"/>
        <w:widowControl w:val="0"/>
        <w:kinsoku/>
        <w:wordWrap/>
        <w:overflowPunct/>
        <w:topLinePunct w:val="0"/>
        <w:autoSpaceDE/>
        <w:autoSpaceDN/>
        <w:bidi w:val="0"/>
        <w:adjustRightInd/>
        <w:snapToGrid/>
        <w:spacing w:line="400" w:lineRule="exact"/>
        <w:ind w:left="0" w:firstLine="422"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b/>
          <w:bCs/>
          <w:kern w:val="2"/>
          <w:sz w:val="21"/>
          <w:lang w:val="en-US" w:eastAsia="zh-CN" w:bidi="ar-SA"/>
        </w:rPr>
        <w:t>商务联系人：</w:t>
      </w:r>
      <w:r>
        <w:rPr>
          <w:rFonts w:hint="eastAsia" w:ascii="宋体" w:hAnsi="Courier New" w:cs="Times New Roman"/>
          <w:kern w:val="2"/>
          <w:sz w:val="21"/>
          <w:lang w:val="en-US" w:eastAsia="zh-CN" w:bidi="ar-SA"/>
        </w:rPr>
        <w:t>李月兵</w:t>
      </w:r>
    </w:p>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2093</w:t>
      </w:r>
    </w:p>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highlight w:val="none"/>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highlight w:val="none"/>
          <w:lang w:val="en-US" w:eastAsia="zh-CN" w:bidi="ar-SA"/>
        </w:rPr>
        <w:fldChar w:fldCharType="begin"/>
      </w:r>
      <w:r>
        <w:rPr>
          <w:rFonts w:hint="eastAsia" w:ascii="宋体" w:hAnsi="Courier New" w:eastAsia="宋体" w:cs="Times New Roman"/>
          <w:color w:val="auto"/>
          <w:kern w:val="2"/>
          <w:sz w:val="21"/>
          <w:highlight w:val="none"/>
          <w:lang w:val="en-US" w:eastAsia="zh-CN" w:bidi="ar-SA"/>
        </w:rPr>
        <w:instrText xml:space="preserve"> HYPERLINK "mailto:lvyidi@sinotruk.com" </w:instrText>
      </w:r>
      <w:r>
        <w:rPr>
          <w:rFonts w:hint="eastAsia" w:ascii="宋体" w:hAnsi="Courier New" w:eastAsia="宋体" w:cs="Times New Roman"/>
          <w:color w:val="auto"/>
          <w:kern w:val="2"/>
          <w:sz w:val="21"/>
          <w:highlight w:val="none"/>
          <w:lang w:val="en-US" w:eastAsia="zh-CN" w:bidi="ar-SA"/>
        </w:rPr>
        <w:fldChar w:fldCharType="separate"/>
      </w:r>
      <w:r>
        <w:rPr>
          <w:rStyle w:val="38"/>
          <w:rFonts w:hint="eastAsia" w:ascii="宋体" w:hAnsi="Courier New" w:cs="Times New Roman"/>
          <w:color w:val="auto"/>
          <w:kern w:val="2"/>
          <w:sz w:val="21"/>
          <w:highlight w:val="none"/>
          <w:lang w:val="en-US" w:eastAsia="zh-CN" w:bidi="ar-SA"/>
        </w:rPr>
        <w:t>liyuebing</w:t>
      </w:r>
      <w:r>
        <w:rPr>
          <w:rStyle w:val="38"/>
          <w:rFonts w:hint="eastAsia" w:ascii="宋体" w:hAnsi="Courier New" w:eastAsia="宋体" w:cs="Times New Roman"/>
          <w:color w:val="auto"/>
          <w:kern w:val="2"/>
          <w:sz w:val="21"/>
          <w:highlight w:val="none"/>
          <w:lang w:val="en-US" w:eastAsia="zh-CN" w:bidi="ar-SA"/>
        </w:rPr>
        <w:t>@sinotruk.com</w:t>
      </w:r>
      <w:r>
        <w:rPr>
          <w:rFonts w:hint="eastAsia" w:ascii="宋体" w:hAnsi="Courier New" w:eastAsia="宋体" w:cs="Times New Roman"/>
          <w:color w:val="auto"/>
          <w:kern w:val="2"/>
          <w:sz w:val="21"/>
          <w:highlight w:val="none"/>
          <w:lang w:val="en-US" w:eastAsia="zh-CN" w:bidi="ar-SA"/>
        </w:rPr>
        <w:fldChar w:fldCharType="end"/>
      </w:r>
    </w:p>
    <w:p>
      <w:pPr>
        <w:keepNext w:val="0"/>
        <w:keepLines w:val="0"/>
        <w:pageBreakBefore w:val="0"/>
        <w:widowControl w:val="0"/>
        <w:kinsoku/>
        <w:wordWrap/>
        <w:overflowPunct/>
        <w:topLinePunct w:val="0"/>
        <w:autoSpaceDE/>
        <w:autoSpaceDN/>
        <w:bidi w:val="0"/>
        <w:adjustRightInd/>
        <w:snapToGrid/>
        <w:spacing w:line="440" w:lineRule="exact"/>
        <w:ind w:left="0" w:firstLine="422" w:firstLineChars="200"/>
        <w:textAlignment w:val="auto"/>
        <w:rPr>
          <w:rFonts w:hint="default" w:ascii="宋体" w:hAnsi="Courier New" w:eastAsia="宋体" w:cs="Times New Roman"/>
          <w:kern w:val="2"/>
          <w:sz w:val="21"/>
          <w:highlight w:val="none"/>
          <w:lang w:val="en-US" w:eastAsia="zh-CN" w:bidi="ar-SA"/>
        </w:rPr>
      </w:pPr>
      <w:r>
        <w:rPr>
          <w:rFonts w:hint="eastAsia" w:ascii="宋体" w:hAnsi="Courier New" w:eastAsia="宋体" w:cs="Times New Roman"/>
          <w:b/>
          <w:bCs/>
          <w:kern w:val="2"/>
          <w:sz w:val="21"/>
          <w:highlight w:val="none"/>
          <w:lang w:val="en-US" w:eastAsia="zh-CN" w:bidi="ar-SA"/>
        </w:rPr>
        <w:t>技术联系人：</w:t>
      </w:r>
      <w:r>
        <w:rPr>
          <w:rFonts w:ascii="宋体" w:hAnsi="宋体" w:eastAsia="宋体" w:cs="宋体"/>
          <w:sz w:val="24"/>
          <w:szCs w:val="24"/>
        </w:rPr>
        <w:t>王宏宇</w:t>
      </w:r>
    </w:p>
    <w:bookmarkEnd w:id="3"/>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kern w:val="2"/>
          <w:sz w:val="21"/>
          <w:lang w:val="en-US" w:eastAsia="zh-CN" w:bidi="ar-SA"/>
        </w:rPr>
      </w:pPr>
      <w:bookmarkStart w:id="4" w:name="_Toc47976598"/>
      <w:r>
        <w:rPr>
          <w:rFonts w:hint="eastAsia" w:ascii="宋体" w:hAnsi="Courier New" w:eastAsia="宋体" w:cs="Times New Roman"/>
          <w:kern w:val="2"/>
          <w:sz w:val="21"/>
          <w:lang w:val="en-US" w:eastAsia="zh-CN" w:bidi="ar-SA"/>
        </w:rPr>
        <w:t>电话：17853167811</w:t>
      </w:r>
    </w:p>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邮箱：wanghongyu@sinotruk.com</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rPr>
        <w:t>合格的投标人</w:t>
      </w:r>
      <w:bookmarkEnd w:id="4"/>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拟投标人必须是在中华人民共和国境内注册的独立法人机构，具有独立承担民事责任能力；注册资金不少于</w:t>
      </w:r>
      <w:r>
        <w:rPr>
          <w:rFonts w:hint="eastAsia" w:ascii="Times New Roman" w:hAnsi="Times New Roman" w:cs="Times New Roman"/>
          <w:b w:val="0"/>
          <w:bCs/>
          <w:strike w:val="0"/>
          <w:dstrike w:val="0"/>
          <w:highlight w:val="none"/>
          <w:lang w:val="en-US" w:eastAsia="zh-CN"/>
        </w:rPr>
        <w:t>100</w:t>
      </w:r>
      <w:r>
        <w:rPr>
          <w:rFonts w:hint="eastAsia" w:ascii="Times New Roman" w:hAnsi="Times New Roman" w:cs="Times New Roman"/>
          <w:b w:val="0"/>
          <w:bCs/>
          <w:strike w:val="0"/>
          <w:dstrike w:val="0"/>
          <w:highlight w:val="none"/>
        </w:rPr>
        <w:t>万人民币（或等值其他货币）；公司成立三年以上（以营业执照成立日期到开标当日满三年为准），且经营范围满足招标人需求；并在人员、设备、资金等方面具有承担本项目的能力；</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拟投标人应提供营业执照副本原件和扫描件（需盖章）；</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拟投标人应提供法定代表人资格证明文件；</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在“国家企业信用信息公示系统”“中国执行信息公开网”“信用中国”“天眼查”“裁判文书网”等信息平台中，无行</w:t>
      </w:r>
      <w:r>
        <w:rPr>
          <w:rFonts w:hint="eastAsia" w:cs="Times New Roman"/>
          <w:b w:val="0"/>
          <w:bCs/>
          <w:strike w:val="0"/>
          <w:dstrike w:val="0"/>
          <w:highlight w:val="none"/>
          <w:lang w:val="en-US" w:eastAsia="zh-CN"/>
        </w:rPr>
        <w:t>相关</w:t>
      </w:r>
      <w:r>
        <w:rPr>
          <w:rFonts w:hint="eastAsia" w:ascii="Times New Roman" w:hAnsi="Times New Roman" w:cs="Times New Roman"/>
          <w:b w:val="0"/>
          <w:bCs/>
          <w:strike w:val="0"/>
          <w:dstrike w:val="0"/>
          <w:highlight w:val="none"/>
        </w:rPr>
        <w:t>政处罚及失信记录等信息；</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拟投标人不存在严重违规或被列入招标人“黑名单”的声明；</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拟投标人有与本次招标内容相同或类似项目业绩，且近3年内无因服务不当而造成重大事故；</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拟投标人近三年内在经营活动中无与本项目有关的违法及重大违规情况；</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拟投标人须认可招标人的工作指令，包括节、假日能正常开展工作的要求；</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拟投标人财务状况良好，最近半年纳税正常；</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拟投标人信用证明材料（征信中心出具的信用报告）未显示异常；</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拟投标人的直接或间接股东、法定代表人、董事、监事、高管非重汽员工及其亲属；</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lang w:val="en-US" w:eastAsia="zh-CN"/>
        </w:rPr>
        <w:t>投标单位需为设备制造单位</w:t>
      </w:r>
      <w:r>
        <w:rPr>
          <w:rFonts w:hint="eastAsia" w:ascii="Times New Roman" w:hAnsi="Times New Roman" w:cs="Times New Roman"/>
          <w:b w:val="0"/>
          <w:bCs/>
          <w:strike w:val="0"/>
          <w:dstrike w:val="0"/>
          <w:highlight w:val="none"/>
        </w:rPr>
        <w:t>；</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本项目不接受联合体投标，拟投标人必须是最终投标单位和签订合同单位，不得以任何理由将已中标项目以任何形式分包或转包给其他单位；</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无招标违规、谎报年度报告信息、提供虚假资质资料等行为或其他行政处罚记录。</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b w:val="0"/>
          <w:bCs/>
          <w:strike w:val="0"/>
          <w:dstrike w:val="0"/>
          <w:highlight w:val="none"/>
        </w:rPr>
      </w:pPr>
      <w:r>
        <w:rPr>
          <w:rFonts w:hint="eastAsia" w:cs="Times New Roman"/>
          <w:b w:val="0"/>
          <w:bCs/>
          <w:strike w:val="0"/>
          <w:dstrike w:val="0"/>
          <w:highlight w:val="none"/>
        </w:rPr>
        <w:t>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r>
        <w:rPr>
          <w:rFonts w:hint="eastAsia"/>
          <w:b w:val="0"/>
          <w:bCs/>
          <w:strike w:val="0"/>
          <w:dstrike w:val="0"/>
          <w:highlight w:val="none"/>
          <w:lang w:eastAsia="zh-CN"/>
        </w:rPr>
        <w:t>；</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pPr>
        <w:pStyle w:val="77"/>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26</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2</w:t>
      </w:r>
      <w:r>
        <w:rPr>
          <w:rFonts w:hint="eastAsia" w:ascii="宋体" w:hAnsi="Courier New" w:eastAsia="宋体" w:cs="Times New Roman"/>
          <w:highlight w:val="yellow"/>
          <w:u w:val="single"/>
          <w:lang w:val="en-US" w:eastAsia="zh-CN"/>
        </w:rPr>
        <w:t>月</w:t>
      </w:r>
      <w:r>
        <w:rPr>
          <w:rFonts w:hint="eastAsia" w:cs="Times New Roman"/>
          <w:highlight w:val="yellow"/>
          <w:u w:val="single"/>
          <w:lang w:val="en-US" w:eastAsia="zh-CN"/>
        </w:rPr>
        <w:t>24</w:t>
      </w:r>
      <w:r>
        <w:rPr>
          <w:rFonts w:hint="eastAsia" w:ascii="宋体" w:hAnsi="Courier New" w:eastAsia="宋体" w:cs="Times New Roman"/>
          <w:highlight w:val="yellow"/>
          <w:u w:val="single"/>
          <w:lang w:val="en-US" w:eastAsia="zh-CN"/>
        </w:rPr>
        <w:t>日</w:t>
      </w:r>
      <w:r>
        <w:rPr>
          <w:rFonts w:hint="eastAsia" w:cs="Times New Roman"/>
          <w:highlight w:val="yellow"/>
          <w:u w:val="single"/>
          <w:lang w:val="en-US" w:eastAsia="zh-CN"/>
        </w:rPr>
        <w:t>；</w:t>
      </w:r>
    </w:p>
    <w:p>
      <w:pPr>
        <w:pStyle w:val="77"/>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pPr>
        <w:pStyle w:val="77"/>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3</w:t>
      </w:r>
      <w:r>
        <w:rPr>
          <w:rFonts w:hint="eastAsia" w:eastAsia="宋体" w:cs="宋体"/>
          <w:highlight w:val="yellow"/>
          <w:u w:val="single"/>
        </w:rPr>
        <w:t>月</w:t>
      </w:r>
      <w:r>
        <w:rPr>
          <w:rFonts w:hint="eastAsia" w:cs="宋体"/>
          <w:highlight w:val="yellow"/>
          <w:u w:val="single"/>
          <w:lang w:val="en-US" w:eastAsia="zh-CN"/>
        </w:rPr>
        <w:t>9</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none"/>
          <w:u w:val="single"/>
          <w:lang w:val="en-US" w:eastAsia="zh-CN"/>
        </w:rPr>
        <w:t>；</w:t>
      </w:r>
      <w:bookmarkStart w:id="1435" w:name="_GoBack"/>
      <w:bookmarkEnd w:id="1435"/>
    </w:p>
    <w:p>
      <w:pPr>
        <w:pStyle w:val="77"/>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w:t>
      </w:r>
    </w:p>
    <w:p>
      <w:pPr>
        <w:pStyle w:val="77"/>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pPr>
        <w:pStyle w:val="77"/>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3</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8</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pPr>
        <w:pStyle w:val="77"/>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pPr>
        <w:pStyle w:val="77"/>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pPr>
        <w:pStyle w:val="77"/>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26</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3月8日</w:t>
      </w:r>
      <w:r>
        <w:rPr>
          <w:rFonts w:hint="default" w:ascii="宋体" w:hAnsi="Courier New" w:eastAsia="宋体" w:cs="Times New Roman"/>
          <w:highlight w:val="yellow"/>
          <w:u w:val="single"/>
          <w:lang w:val="en-US" w:eastAsia="zh-CN"/>
        </w:rPr>
        <w:t>17:00</w:t>
      </w:r>
      <w:r>
        <w:rPr>
          <w:rFonts w:hint="eastAsia" w:ascii="宋体" w:hAnsi="Courier New" w:eastAsia="宋体" w:cs="Times New Roman"/>
          <w:highlight w:val="yellow"/>
          <w:u w:val="single"/>
          <w:lang w:val="en-US" w:eastAsia="zh-CN"/>
        </w:rPr>
        <w:t>前</w:t>
      </w:r>
      <w:r>
        <w:rPr>
          <w:rFonts w:hint="eastAsia" w:cs="Times New Roman"/>
          <w:highlight w:val="yellow"/>
          <w:u w:val="single"/>
          <w:lang w:val="en-US" w:eastAsia="zh-CN"/>
        </w:rPr>
        <w:t>；</w:t>
      </w:r>
    </w:p>
    <w:p>
      <w:pPr>
        <w:pStyle w:val="77"/>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pPr>
        <w:pStyle w:val="73"/>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pPr>
        <w:pStyle w:val="77"/>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w:t>
      </w:r>
      <w:r>
        <w:rPr>
          <w:rFonts w:hint="eastAsia"/>
          <w:highlight w:val="none"/>
          <w:lang w:val="en-US" w:eastAsia="zh-CN"/>
        </w:rPr>
        <w:t>《投标文件（技术标）》和《投标文件（商务标）》文件组成，共计3个文件。所</w:t>
      </w:r>
      <w:r>
        <w:rPr>
          <w:rFonts w:hint="eastAsia"/>
          <w:lang w:val="en-US" w:eastAsia="zh-CN"/>
        </w:rPr>
        <w:t>有文件应按“公司简称+文件名称”格式命名，并编制目录。</w:t>
      </w:r>
    </w:p>
    <w:p>
      <w:pPr>
        <w:pStyle w:val="77"/>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r>
        <w:rPr>
          <w:rFonts w:hint="eastAsia" w:ascii="黑体" w:hAnsi="黑体" w:eastAsia="黑体" w:cs="黑体"/>
          <w:b w:val="0"/>
          <w:bCs/>
          <w:sz w:val="21"/>
          <w:szCs w:val="21"/>
          <w:highlight w:val="none"/>
          <w:lang w:val="en-US" w:eastAsia="zh-CN"/>
        </w:rPr>
        <w:t xml:space="preserve"> </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营业执照副本原件</w:t>
      </w:r>
      <w:r>
        <w:rPr>
          <w:rFonts w:hint="eastAsia" w:ascii="Times New Roman" w:hAnsi="Times New Roman" w:cs="Times New Roman"/>
          <w:color w:val="auto"/>
          <w:lang w:val="en-US" w:eastAsia="zh-CN"/>
        </w:rPr>
        <w:t>或复印件</w:t>
      </w:r>
      <w:r>
        <w:rPr>
          <w:rFonts w:hint="default" w:ascii="Times New Roman" w:hAnsi="Times New Roman" w:cs="Times New Roman"/>
          <w:color w:val="auto"/>
        </w:rPr>
        <w:t>（需加盖公章）</w:t>
      </w:r>
      <w:r>
        <w:rPr>
          <w:rFonts w:hint="eastAsia" w:ascii="Times New Roman" w:hAnsi="Times New Roman" w:cs="Times New Roman"/>
          <w:color w:val="auto"/>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default" w:ascii="Times New Roman" w:hAnsi="Times New Roman" w:cs="Times New Roman"/>
          <w:color w:val="auto"/>
        </w:rPr>
        <w:t>法</w:t>
      </w:r>
      <w:r>
        <w:rPr>
          <w:rFonts w:hint="default" w:ascii="Times New Roman" w:hAnsi="Times New Roman" w:cs="Times New Roman"/>
          <w:color w:val="auto"/>
          <w:highlight w:val="none"/>
        </w:rPr>
        <w:t>定代表人授权书（附件</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rPr>
        <w:t>）；法定代表人参加投标的，提供法人身份证明文件即可；被授权人参加投标的，需提供法定代表人授权委托书（含法人身份证和被授权人身份证正反面复印件）</w:t>
      </w:r>
      <w:r>
        <w:rPr>
          <w:rFonts w:hint="default" w:ascii="Times New Roman" w:hAnsi="Times New Roman" w:cs="Times New Roman"/>
          <w:color w:val="auto"/>
          <w:highlight w:val="none"/>
          <w:lang w:val="en-US" w:eastAsia="zh-CN"/>
        </w:rPr>
        <w:t>和</w:t>
      </w:r>
      <w:r>
        <w:rPr>
          <w:rFonts w:hint="default" w:ascii="Times New Roman" w:hAnsi="Times New Roman" w:cs="Times New Roman"/>
          <w:color w:val="auto"/>
          <w:highlight w:val="none"/>
        </w:rPr>
        <w:t>被授权人近</w:t>
      </w:r>
      <w:r>
        <w:rPr>
          <w:rFonts w:hint="default" w:ascii="Times New Roman" w:hAnsi="Times New Roman" w:cs="Times New Roman"/>
          <w:color w:val="auto"/>
          <w:highlight w:val="none"/>
          <w:lang w:val="en-US" w:eastAsia="zh-CN"/>
        </w:rPr>
        <w:t>6</w:t>
      </w:r>
      <w:r>
        <w:rPr>
          <w:rFonts w:hint="default" w:ascii="Times New Roman" w:hAnsi="Times New Roman" w:cs="Times New Roman"/>
          <w:color w:val="auto"/>
          <w:highlight w:val="none"/>
        </w:rPr>
        <w:t>个月</w:t>
      </w:r>
      <w:r>
        <w:rPr>
          <w:rFonts w:hint="default" w:ascii="Times New Roman" w:hAnsi="Times New Roman" w:cs="Times New Roman"/>
          <w:color w:val="auto"/>
          <w:highlight w:val="none"/>
          <w:lang w:val="en-US" w:eastAsia="zh-CN"/>
        </w:rPr>
        <w:t>及以上在授权单位的社保</w:t>
      </w:r>
      <w:r>
        <w:rPr>
          <w:rFonts w:hint="default" w:ascii="Times New Roman" w:hAnsi="Times New Roman" w:cs="Times New Roman"/>
          <w:color w:val="auto"/>
          <w:highlight w:val="none"/>
        </w:rPr>
        <w:t>缴纳证明</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lang w:val="en-US" w:eastAsia="zh-CN"/>
        </w:rPr>
        <w:t>需加盖公章</w:t>
      </w:r>
      <w:r>
        <w:rPr>
          <w:rFonts w:hint="eastAsia" w:ascii="Times New Roman" w:hAnsi="Times New Roman" w:cs="Times New Roman"/>
          <w:color w:val="auto"/>
          <w:highlight w:val="none"/>
          <w:lang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cs="Times New Roman"/>
          <w:b w:val="0"/>
          <w:bCs/>
          <w:strike w:val="0"/>
          <w:dstrike w:val="0"/>
          <w:highlight w:val="none"/>
        </w:rPr>
        <w:t>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r>
        <w:rPr>
          <w:rFonts w:hint="eastAsia" w:ascii="宋体" w:hAnsi="宋体" w:eastAsia="宋体" w:cs="Times New Roman"/>
          <w:b w:val="0"/>
          <w:bCs/>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企业最近半年完税证明、信用证明材料（征信报告）；</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年度纳税信用评价信息（可从电子税务局查询截图，需加盖公章）；</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企业对外担保说明（写明贵单位对外有无对外担保和质押业务，需加盖公章）；</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保密承诺函（附件</w:t>
      </w:r>
      <w:r>
        <w:rPr>
          <w:rFonts w:hint="eastAsia" w:ascii="Times New Roman" w:hAnsi="Times New Roman" w:cs="Times New Roman"/>
          <w:color w:val="auto"/>
          <w:highlight w:val="none"/>
          <w:lang w:val="en-US" w:eastAsia="zh-CN"/>
        </w:rPr>
        <w:t>2</w:t>
      </w:r>
      <w:r>
        <w:rPr>
          <w:rFonts w:hint="default" w:ascii="Times New Roman" w:hAnsi="Times New Roman" w:cs="Times New Roman"/>
          <w:color w:val="auto"/>
          <w:highlight w:val="none"/>
          <w:lang w:val="en-US" w:eastAsia="zh-CN"/>
        </w:rPr>
        <w:t>，需盖章）</w:t>
      </w:r>
      <w:r>
        <w:rPr>
          <w:rFonts w:hint="eastAsia" w:ascii="Times New Roman" w:hAnsi="Times New Roman" w:cs="Times New Roman"/>
          <w:color w:val="auto"/>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lang w:val="en-US" w:eastAsia="zh-CN"/>
        </w:rPr>
      </w:pPr>
      <w:r>
        <w:rPr>
          <w:rFonts w:hint="eastAsia" w:cs="Times New Roman"/>
          <w:b w:val="0"/>
          <w:bCs/>
          <w:strike w:val="0"/>
          <w:dstrike w:val="0"/>
          <w:highlight w:val="none"/>
        </w:rPr>
        <w:t>与本次招标内容相同或类似项目业绩，近3年内无因服务不当而造成重大事故</w:t>
      </w:r>
      <w:r>
        <w:rPr>
          <w:rFonts w:hint="eastAsia" w:cs="Times New Roman"/>
          <w:b w:val="0"/>
          <w:bCs/>
          <w:strike w:val="0"/>
          <w:dstrike w:val="0"/>
          <w:highlight w:val="none"/>
          <w:lang w:val="en-US" w:eastAsia="zh-CN"/>
        </w:rPr>
        <w:t>的声明；</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投标保证金缴纳凭证，同时正文描述付款账号、户名、开户行名称、开户行行号、保证金金额。</w:t>
      </w:r>
    </w:p>
    <w:p>
      <w:pPr>
        <w:pStyle w:val="77"/>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pPr>
        <w:pStyle w:val="77"/>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rPr>
      </w:pPr>
      <w:r>
        <w:rPr>
          <w:rFonts w:hint="eastAsia" w:ascii="黑体" w:hAnsi="黑体" w:eastAsia="黑体" w:cs="黑体"/>
          <w:b w:val="0"/>
          <w:bCs/>
          <w:sz w:val="21"/>
          <w:szCs w:val="21"/>
          <w:highlight w:val="none"/>
          <w:lang w:val="en-US" w:eastAsia="zh-CN"/>
        </w:rPr>
        <w:t>技术标</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技术配置对比表。</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投标设备配置明细表，列明项目设备分项配置规格型号、品牌等信息（要求与附件8 分项报价表完全对应），但注意：</w:t>
      </w:r>
      <w:r>
        <w:rPr>
          <w:rFonts w:hint="eastAsia" w:cs="Times New Roman"/>
          <w:b/>
          <w:bCs/>
          <w:highlight w:val="none"/>
          <w:lang w:val="en-US" w:eastAsia="zh-CN"/>
        </w:rPr>
        <w:t>此表在技术标书中，禁止出现任何分项价格及项目总价</w:t>
      </w:r>
      <w:r>
        <w:rPr>
          <w:rFonts w:hint="eastAsia" w:cs="Times New Roman"/>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技术规格偏离表（附件3）；</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 xml:space="preserve">技术性能、参数的描述； </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 xml:space="preserve">备品备件工具材料明细表； </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rPr>
        <w:t>技术标书</w:t>
      </w:r>
      <w:r>
        <w:rPr>
          <w:rFonts w:hint="eastAsia" w:cs="Times New Roman"/>
          <w:highlight w:val="none"/>
          <w:lang w:val="en-US" w:eastAsia="zh-CN"/>
        </w:rPr>
        <w:t>要求的其他内容。</w:t>
      </w:r>
    </w:p>
    <w:p>
      <w:pPr>
        <w:pStyle w:val="77"/>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开标一览表（附件4）</w:t>
      </w:r>
      <w:r>
        <w:rPr>
          <w:rFonts w:hint="eastAsia" w:cs="Times New Roman"/>
          <w:highlight w:val="none"/>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投标函（附件</w:t>
      </w:r>
      <w:r>
        <w:rPr>
          <w:rFonts w:hint="eastAsia" w:cs="Times New Roman"/>
          <w:highlight w:val="none"/>
          <w:lang w:val="en-US" w:eastAsia="zh-CN"/>
        </w:rPr>
        <w:t>5</w:t>
      </w:r>
      <w:r>
        <w:rPr>
          <w:rFonts w:hint="eastAsia" w:cs="Times New Roman"/>
          <w:highlight w:val="none"/>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服务承诺函（附件6），</w:t>
      </w:r>
      <w:r>
        <w:rPr>
          <w:rFonts w:hint="eastAsia" w:cs="Times New Roman"/>
          <w:b w:val="0"/>
          <w:bCs/>
          <w:strike w:val="0"/>
          <w:dstrike w:val="0"/>
          <w:highlight w:val="none"/>
        </w:rPr>
        <w:t>认可招标人的工作指令，包括节、假日能正常开展工作的要求</w:t>
      </w:r>
      <w:r>
        <w:rPr>
          <w:rFonts w:hint="eastAsia" w:cs="Times New Roman"/>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商务条款偏离表（附件</w:t>
      </w:r>
      <w:r>
        <w:rPr>
          <w:rFonts w:hint="eastAsia" w:cs="Times New Roman"/>
          <w:highlight w:val="none"/>
          <w:lang w:val="en-US" w:eastAsia="zh-CN"/>
        </w:rPr>
        <w:t>7</w:t>
      </w:r>
      <w:r>
        <w:rPr>
          <w:rFonts w:hint="eastAsia" w:cs="Times New Roman"/>
          <w:highlight w:val="none"/>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rPr>
        <w:t>分项报价表（附件</w:t>
      </w:r>
      <w:r>
        <w:rPr>
          <w:rFonts w:hint="eastAsia" w:cs="Times New Roman"/>
          <w:highlight w:val="none"/>
          <w:lang w:val="en-US" w:eastAsia="zh-CN"/>
        </w:rPr>
        <w:t>8</w:t>
      </w:r>
      <w:r>
        <w:rPr>
          <w:rFonts w:hint="eastAsia" w:cs="Times New Roman"/>
          <w:highlight w:val="none"/>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rPr>
        <w:t>备配件目录价格及折扣报价表</w:t>
      </w:r>
      <w:r>
        <w:rPr>
          <w:rFonts w:hint="eastAsia" w:cs="Times New Roman"/>
          <w:highlight w:val="none"/>
          <w:lang w:eastAsia="zh-CN"/>
        </w:rPr>
        <w:t>；</w:t>
      </w:r>
    </w:p>
    <w:p>
      <w:pPr>
        <w:pStyle w:val="77"/>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商务报价注意内容：报价单位为万元（含税）</w:t>
      </w:r>
      <w:r>
        <w:rPr>
          <w:rFonts w:hint="eastAsia" w:cs="Times New Roman"/>
          <w:b w:val="0"/>
          <w:bCs w:val="0"/>
          <w:highlight w:val="none"/>
        </w:rPr>
        <w:t>。</w:t>
      </w:r>
    </w:p>
    <w:p>
      <w:pPr>
        <w:pStyle w:val="73"/>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pPr>
        <w:pStyle w:val="77"/>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630" w:firstLineChars="300"/>
        <w:textAlignment w:val="auto"/>
        <w:outlineLvl w:val="3"/>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本项目投标文件分为纸质版投标文件和电子版投标文件，均由《投标文件（资质标）》、《投标文件（技术标）》、《投标文件（商务标）》（需要包含开标一览表）文件组成，共计3个文件。</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3"/>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《投标文件（资质标）》一个文件（里面是全部资质投标书），投标文件（技术标）》一个文件（里面是全部技术投标书），《投标文件（商务标）》（开标一览表）一个文件（里面是全部商务投标书），</w:t>
      </w:r>
      <w:r>
        <w:rPr>
          <w:rFonts w:hint="default" w:ascii="Times New Roman" w:hAnsi="Times New Roman" w:cs="Times New Roman"/>
          <w:color w:val="auto"/>
          <w:highlight w:val="yellow"/>
          <w:lang w:val="en-US" w:eastAsia="zh-CN"/>
        </w:rPr>
        <w:t>具体组成等详细要求见招标文件第三部分投标文件编制第三条。</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3"/>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 xml:space="preserve">      </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b/>
          <w:bCs/>
          <w:color w:val="auto"/>
          <w:lang w:val="en-US" w:eastAsia="zh-CN"/>
        </w:rPr>
      </w:pPr>
      <w:r>
        <w:rPr>
          <w:rFonts w:hint="eastAsia" w:ascii="Times New Roman" w:hAnsi="Times New Roman" w:cs="Times New Roman"/>
          <w:color w:val="auto"/>
          <w:lang w:val="en-US" w:eastAsia="zh-CN"/>
        </w:rPr>
        <w:t>投递盖章扫描版电子标书（包含资质标书、</w:t>
      </w:r>
      <w:r>
        <w:rPr>
          <w:rFonts w:hint="eastAsia" w:ascii="Times New Roman" w:hAnsi="Times New Roman" w:cs="Times New Roman"/>
          <w:color w:val="auto"/>
          <w:highlight w:val="none"/>
          <w:lang w:val="en-US" w:eastAsia="zh-CN"/>
        </w:rPr>
        <w:t>技术标书、</w:t>
      </w:r>
      <w:r>
        <w:rPr>
          <w:rFonts w:hint="eastAsia" w:ascii="Times New Roman" w:hAnsi="Times New Roman" w:cs="Times New Roman"/>
          <w:color w:val="auto"/>
          <w:lang w:val="en-US" w:eastAsia="zh-CN"/>
        </w:rPr>
        <w:t>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若逾期未在中国重汽e采通平台上传电子标书，即便递交了纸质版投标文件，一律视为无效投标。</w:t>
      </w:r>
    </w:p>
    <w:p>
      <w:pPr>
        <w:ind w:firstLine="422" w:firstLineChars="200"/>
        <w:rPr>
          <w:rFonts w:hint="eastAsia" w:ascii="Times New Roman" w:hAnsi="Times New Roman" w:eastAsia="宋体" w:cs="Times New Roman"/>
          <w:b/>
          <w:bCs/>
          <w:color w:val="auto"/>
          <w:kern w:val="2"/>
          <w:sz w:val="21"/>
          <w:lang w:val="en-US" w:eastAsia="zh-CN" w:bidi="ar-SA"/>
        </w:rPr>
      </w:pPr>
      <w:r>
        <w:rPr>
          <w:rFonts w:hint="eastAsia" w:ascii="Times New Roman" w:hAnsi="Times New Roman" w:eastAsia="宋体" w:cs="Times New Roman"/>
          <w:b/>
          <w:bCs/>
          <w:color w:val="auto"/>
          <w:kern w:val="2"/>
          <w:sz w:val="21"/>
          <w:lang w:val="en-US" w:eastAsia="zh-CN" w:bidi="ar-SA"/>
        </w:rPr>
        <w:t>纸质标书的份数要求为一式五份，正本一份，副本四份，同类文件封装在一个包封里，包封表面按照附件9标注文件信息；共计三个包封。</w:t>
      </w:r>
    </w:p>
    <w:p>
      <w:pPr>
        <w:pStyle w:val="15"/>
        <w:ind w:firstLine="422" w:firstLineChars="200"/>
        <w:rPr>
          <w:rFonts w:hint="eastAsia" w:ascii="Times New Roman" w:hAnsi="Times New Roman" w:eastAsia="宋体" w:cs="Times New Roman"/>
          <w:b/>
          <w:bCs/>
          <w:color w:val="auto"/>
          <w:kern w:val="2"/>
          <w:sz w:val="21"/>
          <w:lang w:val="en-US" w:eastAsia="zh-CN" w:bidi="ar-SA"/>
        </w:rPr>
      </w:pPr>
      <w:r>
        <w:rPr>
          <w:rFonts w:hint="eastAsia" w:ascii="Times New Roman" w:hAnsi="Times New Roman" w:eastAsia="宋体" w:cs="Times New Roman"/>
          <w:b/>
          <w:bCs/>
          <w:color w:val="auto"/>
          <w:kern w:val="2"/>
          <w:sz w:val="21"/>
          <w:lang w:val="en-US" w:eastAsia="zh-CN" w:bidi="ar-SA"/>
        </w:rPr>
        <w:t>投标需自行携带纸质投标文件至开标地点。</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textAlignment w:val="auto"/>
        <w:rPr>
          <w:rFonts w:hint="eastAsia" w:ascii="Times New Roman" w:hAnsi="Times New Roman" w:cs="Times New Roman"/>
          <w:b/>
          <w:bCs/>
          <w:color w:val="auto"/>
          <w:lang w:val="en-US" w:eastAsia="zh-CN"/>
        </w:rPr>
      </w:pPr>
    </w:p>
    <w:p>
      <w:pPr>
        <w:pStyle w:val="77"/>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highlight w:val="yellow"/>
          <w:u w:val="single"/>
          <w:lang w:val="en-US" w:eastAsia="zh-CN"/>
        </w:rPr>
        <w:t>2026年3月16日9:00:00</w:t>
      </w:r>
      <w:r>
        <w:rPr>
          <w:rFonts w:hint="default"/>
          <w:highlight w:val="yellow"/>
          <w:u w:val="single"/>
          <w:lang w:val="en-US" w:eastAsia="zh-CN"/>
        </w:rPr>
        <w:t>（</w:t>
      </w:r>
      <w:r>
        <w:rPr>
          <w:rFonts w:hint="default" w:ascii="宋体" w:hAnsi="Courier New" w:eastAsia="宋体" w:cs="Times New Roman"/>
          <w:highlight w:val="yellow"/>
          <w:u w:val="single"/>
          <w:lang w:val="en-US" w:eastAsia="zh-CN"/>
        </w:rPr>
        <w:t>北京时间）</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pPr>
        <w:pStyle w:val="73"/>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pPr>
        <w:pStyle w:val="77"/>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pPr>
        <w:pStyle w:val="77"/>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pPr>
        <w:pStyle w:val="77"/>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pPr>
        <w:pStyle w:val="77"/>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5000</w:t>
      </w:r>
      <w:r>
        <w:rPr>
          <w:rFonts w:hint="eastAsia"/>
          <w:highlight w:val="none"/>
        </w:rPr>
        <w:t>元</w:t>
      </w:r>
    </w:p>
    <w:p>
      <w:pPr>
        <w:pStyle w:val="77"/>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pPr>
        <w:pStyle w:val="77"/>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422" w:firstLineChars="200"/>
        <w:textAlignment w:val="auto"/>
        <w:rPr>
          <w:rFonts w:hint="eastAsia"/>
          <w:b/>
          <w:bCs/>
          <w:lang w:val="en-US" w:eastAsia="zh-CN"/>
        </w:rPr>
      </w:pPr>
      <w:r>
        <w:rPr>
          <w:rFonts w:hint="eastAsia"/>
          <w:b/>
          <w:bCs/>
          <w:lang w:val="en-US" w:eastAsia="zh-CN"/>
        </w:rPr>
        <w:t>转账附言：公司名称+项目名称+投标保证金。</w:t>
      </w:r>
    </w:p>
    <w:p>
      <w:pPr>
        <w:pStyle w:val="77"/>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时间：202</w:t>
      </w:r>
      <w:r>
        <w:rPr>
          <w:rFonts w:hint="eastAsia" w:hAnsi="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3</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9</w:t>
      </w:r>
      <w:r>
        <w:rPr>
          <w:rFonts w:hint="eastAsia" w:ascii="宋体" w:hAnsi="宋体" w:eastAsia="宋体" w:cs="宋体"/>
          <w:b w:val="0"/>
          <w:bCs w:val="0"/>
          <w:sz w:val="21"/>
          <w:szCs w:val="21"/>
          <w:highlight w:val="none"/>
        </w:rPr>
        <w:t>日</w:t>
      </w:r>
      <w:r>
        <w:rPr>
          <w:rFonts w:hint="eastAsia" w:hAnsi="宋体" w:cs="宋体"/>
          <w:b w:val="0"/>
          <w:bCs w:val="0"/>
          <w:sz w:val="21"/>
          <w:szCs w:val="21"/>
          <w:highlight w:val="none"/>
          <w:lang w:val="en-US" w:eastAsia="zh-CN"/>
        </w:rPr>
        <w:t>17</w:t>
      </w:r>
      <w:r>
        <w:rPr>
          <w:rFonts w:hint="eastAsia"/>
          <w:u w:val="none"/>
          <w:lang w:val="en-US" w:eastAsia="zh-CN"/>
        </w:rPr>
        <w:t>:00:00</w:t>
      </w:r>
      <w:r>
        <w:rPr>
          <w:rFonts w:hint="default" w:ascii="宋体" w:hAnsi="Courier New" w:eastAsia="宋体" w:cs="Times New Roman"/>
          <w:highlight w:val="none"/>
          <w:u w:val="none"/>
          <w:lang w:val="en-US" w:eastAsia="zh-CN"/>
        </w:rPr>
        <w:t>（北京时间）</w:t>
      </w:r>
    </w:p>
    <w:p>
      <w:pPr>
        <w:pStyle w:val="73"/>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原路返还（无息）。</w:t>
      </w:r>
    </w:p>
    <w:p>
      <w:pPr>
        <w:pStyle w:val="73"/>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pPr>
        <w:pStyle w:val="73"/>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pPr>
        <w:pStyle w:val="77"/>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yellow"/>
          <w:lang w:val="en-US" w:eastAsia="zh-CN"/>
        </w:rPr>
        <w:t>2026年3月16</w:t>
      </w:r>
      <w:r>
        <w:rPr>
          <w:rFonts w:hint="eastAsia" w:ascii="宋体" w:hAnsi="宋体" w:eastAsia="宋体" w:cs="宋体"/>
          <w:b w:val="0"/>
          <w:bCs w:val="0"/>
          <w:sz w:val="21"/>
          <w:szCs w:val="21"/>
          <w:highlight w:val="yellow"/>
          <w:lang w:val="en-US" w:eastAsia="zh-CN"/>
        </w:rPr>
        <w:t>日</w:t>
      </w:r>
      <w:r>
        <w:rPr>
          <w:rFonts w:hint="default" w:ascii="宋体" w:hAnsi="宋体" w:eastAsia="宋体" w:cs="宋体"/>
          <w:b w:val="0"/>
          <w:bCs w:val="0"/>
          <w:sz w:val="21"/>
          <w:szCs w:val="21"/>
          <w:highlight w:val="yellow"/>
          <w:lang w:val="en-US" w:eastAsia="zh-CN"/>
        </w:rPr>
        <w:t>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pPr>
        <w:pStyle w:val="77"/>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ascii="宋体" w:hAnsi="Courier New" w:eastAsia="宋体" w:cs="Times New Roman"/>
          <w:kern w:val="2"/>
          <w:sz w:val="21"/>
          <w:lang w:val="en-US" w:eastAsia="zh-CN" w:bidi="ar-SA"/>
        </w:rPr>
        <w:t>济南市高新区</w:t>
      </w:r>
      <w:r>
        <w:rPr>
          <w:rFonts w:hint="eastAsia" w:cs="Times New Roman"/>
          <w:kern w:val="2"/>
          <w:sz w:val="21"/>
          <w:lang w:val="en-US" w:eastAsia="zh-CN" w:bidi="ar-SA"/>
        </w:rPr>
        <w:t>世纪大道757号车桥公司第二会议室</w:t>
      </w:r>
      <w:r>
        <w:rPr>
          <w:rFonts w:hint="eastAsia" w:ascii="宋体" w:hAnsi="宋体" w:eastAsia="宋体" w:cs="宋体"/>
          <w:b w:val="0"/>
          <w:bCs w:val="0"/>
          <w:sz w:val="21"/>
          <w:szCs w:val="21"/>
          <w:highlight w:val="none"/>
          <w:lang w:val="en-US" w:eastAsia="zh-CN"/>
        </w:rPr>
        <w:t xml:space="preserve"> </w:t>
      </w:r>
    </w:p>
    <w:p>
      <w:pPr>
        <w:pStyle w:val="77"/>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none"/>
          <w:lang w:val="en-US" w:eastAsia="zh-CN"/>
        </w:rPr>
        <w:t>开标方式：</w:t>
      </w:r>
      <w:r>
        <w:rPr>
          <w:rFonts w:hint="eastAsia" w:cs="Times New Roman"/>
          <w:b/>
          <w:bCs w:val="0"/>
          <w:color w:val="auto"/>
          <w:kern w:val="2"/>
          <w:sz w:val="21"/>
          <w:highlight w:val="none"/>
          <w:u w:val="none"/>
          <w:lang w:val="en-US" w:eastAsia="zh-CN" w:bidi="ar-SA"/>
        </w:rPr>
        <w:t>现场</w:t>
      </w:r>
      <w:r>
        <w:rPr>
          <w:rFonts w:hint="eastAsia" w:cs="Times New Roman"/>
          <w:b/>
          <w:bCs w:val="0"/>
          <w:color w:val="auto"/>
          <w:highlight w:val="none"/>
          <w:u w:val="none"/>
          <w:lang w:val="en-US" w:eastAsia="zh-CN"/>
        </w:rPr>
        <w:t>招标。</w:t>
      </w:r>
    </w:p>
    <w:p>
      <w:pPr>
        <w:pStyle w:val="73"/>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pPr>
        <w:pStyle w:val="73"/>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pPr>
        <w:pStyle w:val="7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本次招标采用综合评分法评标，即在最大限度地满足招标文件实质性要求的前提下，按照评分标准中规定的评分因素和评分细则进行综合评价、评分。</w:t>
      </w:r>
    </w:p>
    <w:p>
      <w:pPr>
        <w:pStyle w:val="7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评标委员会各成员独立对每一份有效投标文件进行评价并对除报价以外的评分项目进行评分，报价得分由工作人员通过计算得出。</w:t>
      </w:r>
    </w:p>
    <w:p>
      <w:pPr>
        <w:pStyle w:val="7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highlight w:val="yellow"/>
          <w:u w:val="none"/>
          <w:lang w:val="en-US" w:eastAsia="zh-CN"/>
        </w:rPr>
      </w:pPr>
      <w:r>
        <w:rPr>
          <w:rFonts w:hint="eastAsia" w:ascii="宋体" w:hAnsi="宋体" w:eastAsia="宋体" w:cs="宋体"/>
          <w:b w:val="0"/>
          <w:bCs w:val="0"/>
          <w:sz w:val="21"/>
          <w:szCs w:val="21"/>
          <w:highlight w:val="yellow"/>
          <w:u w:val="none"/>
          <w:lang w:val="en-US" w:eastAsia="zh-CN"/>
        </w:rPr>
        <w:t>综合得分=技术分×40%＋商务标得分×60%</w:t>
      </w:r>
    </w:p>
    <w:p>
      <w:pPr>
        <w:pStyle w:val="73"/>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cs="宋体"/>
          <w:b w:val="0"/>
          <w:bCs/>
          <w:color w:val="000000"/>
          <w:sz w:val="21"/>
          <w:szCs w:val="21"/>
          <w:highlight w:val="none"/>
          <w:lang w:val="en-US" w:eastAsia="zh-CN"/>
        </w:rPr>
        <w:t>招标公告</w:t>
      </w:r>
      <w:r>
        <w:rPr>
          <w:rFonts w:hint="eastAsia" w:ascii="宋体" w:hAnsi="宋体" w:eastAsia="宋体" w:cs="宋体"/>
          <w:b w:val="0"/>
          <w:bCs/>
          <w:color w:val="000000"/>
          <w:sz w:val="21"/>
          <w:szCs w:val="21"/>
          <w:highlight w:val="none"/>
          <w:lang w:val="en-US" w:eastAsia="zh-CN"/>
        </w:rPr>
        <w:t>编制</w:t>
      </w:r>
      <w:r>
        <w:rPr>
          <w:rFonts w:hint="eastAsia" w:ascii="宋体" w:hAnsi="宋体" w:eastAsia="宋体" w:cs="宋体"/>
          <w:b w:val="0"/>
          <w:bCs/>
          <w:color w:val="000000"/>
          <w:sz w:val="21"/>
          <w:szCs w:val="21"/>
          <w:highlight w:val="none"/>
        </w:rPr>
        <w:t>资料，上传完毕后，等待审核；</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附件9</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”，在重汽e采通平台投递电子标书（包含资质标、技术标、商务标）；没有通过应标资质审查的单位不能进入投标环节；</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w:t>
      </w:r>
      <w:r>
        <w:rPr>
          <w:rFonts w:hint="eastAsia" w:ascii="宋体" w:hAnsi="宋体" w:eastAsia="宋体" w:cs="宋体"/>
          <w:b w:val="0"/>
          <w:bCs/>
          <w:color w:val="000000"/>
          <w:sz w:val="21"/>
          <w:szCs w:val="21"/>
          <w:highlight w:val="none"/>
          <w:lang w:val="en-US" w:eastAsia="zh-CN"/>
        </w:rPr>
        <w:t>；采用多轮商务谈判评审，</w:t>
      </w:r>
      <w:r>
        <w:rPr>
          <w:rFonts w:hint="eastAsia" w:ascii="宋体" w:hAnsi="宋体" w:eastAsia="宋体" w:cs="宋体"/>
          <w:b w:val="0"/>
          <w:bCs/>
          <w:color w:val="000000"/>
          <w:sz w:val="21"/>
          <w:szCs w:val="21"/>
          <w:highlight w:val="none"/>
        </w:rPr>
        <w:t>期间产生的商务价格澄清均由投标人在重汽e采通平台限时内完成提交；</w:t>
      </w:r>
    </w:p>
    <w:p>
      <w:pPr>
        <w:pStyle w:val="77"/>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pPr>
        <w:pStyle w:val="73"/>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tbl>
      <w:tblPr>
        <w:tblStyle w:val="31"/>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880"/>
        <w:gridCol w:w="1765"/>
        <w:gridCol w:w="1350"/>
        <w:gridCol w:w="429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评标因素</w:t>
            </w:r>
          </w:p>
        </w:tc>
        <w:tc>
          <w:tcPr>
            <w:tcW w:w="88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总分</w:t>
            </w:r>
          </w:p>
        </w:tc>
        <w:tc>
          <w:tcPr>
            <w:tcW w:w="176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rFonts w:hint="eastAsia" w:eastAsia="宋体"/>
                <w:b/>
                <w:szCs w:val="21"/>
                <w:lang w:eastAsia="zh-CN"/>
              </w:rPr>
            </w:pPr>
            <w:r>
              <w:rPr>
                <w:rFonts w:hint="eastAsia"/>
                <w:b/>
              </w:rPr>
              <w:t>评审内容</w:t>
            </w:r>
          </w:p>
        </w:tc>
        <w:tc>
          <w:tcPr>
            <w:tcW w:w="135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最高</w:t>
            </w:r>
          </w:p>
          <w:p>
            <w:pPr>
              <w:spacing w:line="320" w:lineRule="exact"/>
              <w:ind w:right="34" w:rightChars="16"/>
              <w:jc w:val="center"/>
              <w:rPr>
                <w:b/>
                <w:szCs w:val="21"/>
              </w:rPr>
            </w:pPr>
            <w:r>
              <w:rPr>
                <w:rFonts w:hint="eastAsia"/>
                <w:b/>
              </w:rPr>
              <w:t>得分</w:t>
            </w:r>
          </w:p>
        </w:tc>
        <w:tc>
          <w:tcPr>
            <w:tcW w:w="4298"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eastAsia" w:ascii="宋体" w:eastAsia="宋体"/>
                <w:lang w:eastAsia="zh-CN"/>
              </w:rPr>
            </w:pPr>
            <w:r>
              <w:rPr>
                <w:rFonts w:hint="eastAsia" w:ascii="宋体"/>
              </w:rPr>
              <w:t>技术标</w:t>
            </w:r>
          </w:p>
        </w:tc>
        <w:tc>
          <w:tcPr>
            <w:tcW w:w="880" w:type="dxa"/>
            <w:vMerge w:val="restart"/>
            <w:tcBorders>
              <w:top w:val="single" w:color="auto" w:sz="4" w:space="0"/>
              <w:left w:val="single" w:color="auto" w:sz="4" w:space="0"/>
              <w:right w:val="single" w:color="auto" w:sz="4" w:space="0"/>
            </w:tcBorders>
            <w:vAlign w:val="center"/>
          </w:tcPr>
          <w:p>
            <w:pPr>
              <w:spacing w:line="440" w:lineRule="exact"/>
              <w:jc w:val="center"/>
              <w:rPr>
                <w:rFonts w:hint="default" w:ascii="宋体" w:eastAsia="宋体"/>
                <w:lang w:val="en-US" w:eastAsia="zh-CN"/>
              </w:rPr>
            </w:pPr>
            <w:r>
              <w:rPr>
                <w:rFonts w:hint="eastAsia" w:ascii="宋体"/>
                <w:lang w:val="en-US" w:eastAsia="zh-CN"/>
              </w:rPr>
              <w:t>100</w:t>
            </w:r>
          </w:p>
        </w:tc>
        <w:tc>
          <w:tcPr>
            <w:tcW w:w="1765" w:type="dxa"/>
            <w:tcBorders>
              <w:top w:val="single" w:color="auto" w:sz="4" w:space="0"/>
              <w:left w:val="single" w:color="auto" w:sz="4" w:space="0"/>
              <w:right w:val="single" w:color="auto" w:sz="4" w:space="0"/>
            </w:tcBorders>
            <w:vAlign w:val="center"/>
          </w:tcPr>
          <w:p>
            <w:pPr>
              <w:spacing w:line="420" w:lineRule="exact"/>
              <w:rPr>
                <w:rFonts w:ascii="宋体"/>
              </w:rPr>
            </w:pPr>
            <w:r>
              <w:rPr>
                <w:rFonts w:hint="eastAsia" w:ascii="宋体" w:hAnsi="宋体"/>
                <w:bCs/>
              </w:rPr>
              <w:t>设备制造商装备制造能力、生产设备、加工工艺、完善程度</w:t>
            </w:r>
          </w:p>
        </w:tc>
        <w:tc>
          <w:tcPr>
            <w:tcW w:w="1350" w:type="dxa"/>
            <w:tcBorders>
              <w:top w:val="single" w:color="auto" w:sz="4" w:space="0"/>
              <w:left w:val="single" w:color="auto" w:sz="4" w:space="0"/>
              <w:bottom w:val="single" w:color="auto" w:sz="4" w:space="0"/>
              <w:right w:val="single" w:color="auto" w:sz="4" w:space="0"/>
            </w:tcBorders>
            <w:vAlign w:val="center"/>
          </w:tcPr>
          <w:p>
            <w:pPr>
              <w:spacing w:line="420" w:lineRule="exact"/>
              <w:jc w:val="center"/>
              <w:rPr>
                <w:rFonts w:hint="default" w:ascii="宋体" w:eastAsia="宋体"/>
                <w:szCs w:val="21"/>
                <w:lang w:val="en-US" w:eastAsia="zh-CN"/>
              </w:rPr>
            </w:pPr>
            <w:r>
              <w:rPr>
                <w:rFonts w:hint="eastAsia" w:ascii="宋体" w:hAnsi="宋体" w:eastAsia="宋体"/>
                <w:lang w:val="en-US" w:eastAsia="zh-CN"/>
              </w:rPr>
              <w:t>10</w:t>
            </w:r>
          </w:p>
        </w:tc>
        <w:tc>
          <w:tcPr>
            <w:tcW w:w="4298" w:type="dxa"/>
            <w:tcBorders>
              <w:top w:val="single" w:color="auto" w:sz="4" w:space="0"/>
              <w:left w:val="single" w:color="auto" w:sz="4" w:space="0"/>
              <w:bottom w:val="single" w:color="auto" w:sz="4" w:space="0"/>
              <w:right w:val="single" w:color="auto" w:sz="4" w:space="0"/>
            </w:tcBorders>
            <w:vAlign w:val="center"/>
          </w:tcPr>
          <w:p>
            <w:pPr>
              <w:spacing w:line="420" w:lineRule="exact"/>
            </w:pPr>
            <w:r>
              <w:rPr>
                <w:rFonts w:hint="eastAsia" w:ascii="宋体" w:hAnsi="宋体"/>
                <w:bCs/>
              </w:rPr>
              <w:t>投标人的装备制造能力、生产设备、加工工艺先进、完善程度，视情况得0-</w:t>
            </w:r>
            <w:r>
              <w:rPr>
                <w:rFonts w:hint="eastAsia" w:ascii="宋体" w:hAnsi="宋体"/>
                <w:bCs/>
                <w:lang w:val="en-US" w:eastAsia="zh-CN"/>
              </w:rPr>
              <w:t>10分。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ascii="宋体"/>
                <w:szCs w:val="21"/>
              </w:rPr>
            </w:pPr>
            <w:r>
              <w:rPr>
                <w:rFonts w:hint="eastAsia" w:ascii="宋体" w:hAnsi="宋体"/>
                <w:bCs/>
              </w:rPr>
              <w:t>产品方案技术先进、各系统完善、性能可靠，设备主要核心部件，具备自身技术优势</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ascii="宋体"/>
                <w:szCs w:val="21"/>
              </w:rPr>
            </w:pPr>
            <w:r>
              <w:rPr>
                <w:rFonts w:hint="eastAsia" w:ascii="宋体" w:hAnsi="宋体" w:eastAsia="宋体"/>
                <w:lang w:val="en-US" w:eastAsia="zh-CN"/>
              </w:rPr>
              <w:t>50</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产品方案技术先进、各系统完善、性能可靠，设备主要核心部件，具备自身技术优势，节能环保，</w:t>
            </w:r>
            <w:r>
              <w:rPr>
                <w:rFonts w:hint="eastAsia" w:ascii="宋体" w:hAnsi="宋体"/>
                <w:bCs/>
                <w:lang w:val="en-US" w:eastAsia="zh-CN"/>
              </w:rPr>
              <w:t>具备可靠的安全、防坠落措施，</w:t>
            </w:r>
            <w:r>
              <w:rPr>
                <w:rFonts w:hint="eastAsia" w:ascii="宋体" w:hAnsi="宋体"/>
                <w:bCs/>
              </w:rPr>
              <w:t>视情况得0-</w:t>
            </w:r>
            <w:r>
              <w:rPr>
                <w:rFonts w:hint="eastAsia" w:ascii="宋体" w:hAnsi="宋体"/>
                <w:bCs/>
                <w:lang w:val="en-US" w:eastAsia="zh-CN"/>
              </w:rPr>
              <w:t>50分。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ascii="宋体"/>
                <w:szCs w:val="21"/>
              </w:rPr>
            </w:pPr>
            <w:r>
              <w:rPr>
                <w:rFonts w:hint="eastAsia" w:ascii="宋体" w:hAnsi="宋体"/>
                <w:bCs/>
              </w:rPr>
              <w:t>产品维保</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ascii="宋体"/>
                <w:szCs w:val="21"/>
              </w:rPr>
            </w:pPr>
            <w:r>
              <w:rPr>
                <w:rFonts w:hint="eastAsia" w:ascii="宋体" w:hAnsi="宋体" w:eastAsia="宋体"/>
                <w:lang w:val="en-US" w:eastAsia="zh-CN"/>
              </w:rPr>
              <w:t>10</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易于维修、操作方便，产品附件配置齐全，质量可靠，设备在使用期内的维护费用，视情况得0-5</w:t>
            </w:r>
            <w:r>
              <w:rPr>
                <w:rFonts w:hint="eastAsia" w:ascii="宋体" w:hAnsi="宋体"/>
                <w:bCs/>
                <w:lang w:val="en-US" w:eastAsia="zh-CN"/>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pPr>
            <w:r>
              <w:rPr>
                <w:rFonts w:hint="eastAsia" w:ascii="宋体" w:hAnsi="宋体"/>
              </w:rPr>
              <w:t>计划控制</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pPr>
            <w:r>
              <w:rPr>
                <w:rFonts w:hint="eastAsia" w:ascii="宋体" w:hAnsi="宋体"/>
                <w:bCs/>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有详细可行的行动计划能保证项目进度，有风险管理。综合评审，自主赋分。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hint="default" w:eastAsia="宋体"/>
                <w:lang w:val="en-US" w:eastAsia="zh-CN"/>
              </w:rPr>
            </w:pPr>
            <w:r>
              <w:rPr>
                <w:rFonts w:hint="eastAsia" w:ascii="宋体" w:hAnsi="宋体"/>
              </w:rPr>
              <w:t>业绩</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hint="eastAsia" w:ascii="宋体"/>
                <w:lang w:val="en-US" w:eastAsia="zh-CN"/>
              </w:rPr>
            </w:pPr>
            <w:r>
              <w:rPr>
                <w:rFonts w:hint="eastAsia" w:ascii="宋体" w:hAnsi="宋体"/>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最近连续三年有国内或国外知名</w:t>
            </w:r>
            <w:r>
              <w:rPr>
                <w:rFonts w:hint="eastAsia" w:ascii="宋体" w:hAnsi="宋体"/>
                <w:bCs/>
                <w:lang w:val="en-US" w:eastAsia="zh-CN"/>
              </w:rPr>
              <w:t>厂家</w:t>
            </w:r>
            <w:r>
              <w:rPr>
                <w:rFonts w:hint="eastAsia" w:ascii="宋体" w:hAnsi="宋体"/>
                <w:bCs/>
              </w:rPr>
              <w:t>供货经历或其他大型供货经历</w:t>
            </w:r>
            <w:r>
              <w:rPr>
                <w:rFonts w:hint="eastAsia" w:ascii="宋体" w:hAnsi="宋体"/>
                <w:bCs/>
                <w:lang w:eastAsia="zh-CN"/>
              </w:rPr>
              <w:t>、</w:t>
            </w:r>
            <w:r>
              <w:rPr>
                <w:rFonts w:hint="eastAsia" w:ascii="宋体" w:hAnsi="宋体"/>
                <w:bCs/>
                <w:lang w:val="en-US" w:eastAsia="zh-CN"/>
              </w:rPr>
              <w:t>安装施工经验，并提供从调试完毕后截至目前实际正常运行时间证明，</w:t>
            </w:r>
            <w:r>
              <w:rPr>
                <w:rFonts w:hint="eastAsia" w:ascii="宋体" w:hAnsi="宋体"/>
                <w:bCs/>
              </w:rPr>
              <w:t>提供3份以上投标同类产品开发合同证明材料，得5分；提供3份得4分；提供2份得3分；提供1份证明材料的，得2分；无证明材料的，不得分。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hint="eastAsia"/>
                <w:b/>
                <w:bCs/>
                <w:lang w:val="en-US" w:eastAsia="zh-CN"/>
              </w:rPr>
            </w:pPr>
            <w:r>
              <w:rPr>
                <w:rFonts w:hint="eastAsia" w:ascii="宋体" w:hAnsi="宋体"/>
              </w:rPr>
              <w:t>质量保证</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hint="eastAsia" w:ascii="宋体"/>
                <w:lang w:val="en-US" w:eastAsia="zh-CN"/>
              </w:rPr>
            </w:pPr>
            <w:r>
              <w:rPr>
                <w:rFonts w:hint="eastAsia" w:ascii="宋体" w:hAnsi="宋体"/>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具有良好的质量管理体系和完备的检测体系，保证设备造质量符合要求（提供相应证明材料）。根据提供的资料综合评审，自主赋分。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hint="eastAsia"/>
                <w:b/>
                <w:bCs/>
                <w:lang w:val="en-US" w:eastAsia="zh-CN"/>
              </w:rPr>
            </w:pPr>
            <w:r>
              <w:rPr>
                <w:rFonts w:hint="eastAsia"/>
                <w:szCs w:val="21"/>
                <w:highlight w:val="none"/>
                <w:lang w:val="en-US" w:eastAsia="zh-CN"/>
              </w:rPr>
              <w:t>技术偏离</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hint="eastAsia" w:ascii="宋体"/>
                <w:lang w:val="en-US" w:eastAsia="zh-CN"/>
              </w:rPr>
            </w:pPr>
            <w:r>
              <w:rPr>
                <w:rFonts w:hint="eastAsia" w:ascii="宋体" w:hAnsi="宋体"/>
                <w:lang w:val="en-US" w:eastAsia="zh-CN"/>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rPr>
                <w:rFonts w:hint="eastAsia"/>
                <w:szCs w:val="21"/>
                <w:lang w:val="en-US" w:eastAsia="zh-CN"/>
              </w:rPr>
            </w:pPr>
            <w:r>
              <w:rPr>
                <w:rFonts w:hint="eastAsia"/>
                <w:szCs w:val="21"/>
                <w:lang w:val="en-US" w:eastAsia="zh-CN"/>
              </w:rPr>
              <w:t>技术方案优于招标要求的视情况加1-5分；</w:t>
            </w:r>
          </w:p>
          <w:p>
            <w:pPr>
              <w:spacing w:line="420" w:lineRule="exact"/>
            </w:pPr>
            <w:r>
              <w:rPr>
                <w:rFonts w:hint="eastAsia"/>
                <w:szCs w:val="21"/>
                <w:lang w:val="en-US" w:eastAsia="zh-CN"/>
              </w:rPr>
              <w:t>不满足招标要求的视情况减1-5分。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hint="eastAsia"/>
                <w:b/>
                <w:bCs/>
                <w:lang w:val="en-US" w:eastAsia="zh-CN"/>
              </w:rPr>
            </w:pPr>
            <w:r>
              <w:rPr>
                <w:rFonts w:hint="eastAsia" w:ascii="宋体" w:hAnsi="宋体" w:eastAsia="宋体"/>
                <w:lang w:val="en-US" w:eastAsia="zh-CN"/>
              </w:rPr>
              <w:t>项目交期</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hint="eastAsia" w:ascii="宋体"/>
                <w:lang w:val="en-US" w:eastAsia="zh-CN"/>
              </w:rPr>
            </w:pPr>
            <w:r>
              <w:rPr>
                <w:rFonts w:hint="eastAsia" w:ascii="宋体" w:hAnsi="宋体" w:eastAsia="宋体"/>
                <w:lang w:val="en-US" w:eastAsia="zh-CN"/>
              </w:rPr>
              <w:t>10</w:t>
            </w:r>
          </w:p>
        </w:tc>
        <w:tc>
          <w:tcPr>
            <w:tcW w:w="4298" w:type="dxa"/>
            <w:tcBorders>
              <w:top w:val="single" w:color="auto" w:sz="4" w:space="0"/>
              <w:left w:val="single" w:color="auto" w:sz="4" w:space="0"/>
              <w:bottom w:val="nil"/>
              <w:right w:val="single" w:color="auto" w:sz="4" w:space="0"/>
            </w:tcBorders>
            <w:vAlign w:val="center"/>
          </w:tcPr>
          <w:p>
            <w:pPr>
              <w:tabs>
                <w:tab w:val="left" w:pos="7854"/>
              </w:tabs>
            </w:pPr>
            <w:r>
              <w:rPr>
                <w:rFonts w:hint="eastAsia"/>
                <w:szCs w:val="21"/>
              </w:rPr>
              <w:t>可以提前完成项目交货，视情况得</w:t>
            </w:r>
            <w:r>
              <w:rPr>
                <w:szCs w:val="21"/>
              </w:rPr>
              <w:t>0-</w:t>
            </w:r>
            <w:r>
              <w:rPr>
                <w:rFonts w:hint="eastAsia"/>
                <w:szCs w:val="21"/>
                <w:lang w:val="en-US" w:eastAsia="zh-CN"/>
              </w:rPr>
              <w:t>10分。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880" w:type="dxa"/>
            <w:tcBorders>
              <w:top w:val="single" w:color="auto" w:sz="4" w:space="0"/>
              <w:left w:val="single" w:color="auto" w:sz="4" w:space="0"/>
              <w:bottom w:val="single" w:color="auto" w:sz="4" w:space="0"/>
              <w:right w:val="single" w:color="auto" w:sz="4" w:space="0"/>
            </w:tcBorders>
            <w:vAlign w:val="center"/>
          </w:tcPr>
          <w:p>
            <w:pPr>
              <w:jc w:val="center"/>
              <w:rPr>
                <w:rFonts w:ascii="宋体"/>
                <w:b/>
                <w:szCs w:val="21"/>
                <w:highlight w:val="none"/>
              </w:rPr>
            </w:pPr>
            <w:r>
              <w:rPr>
                <w:rFonts w:hint="eastAsia" w:ascii="宋体"/>
                <w:lang w:val="en-US" w:eastAsia="zh-CN"/>
              </w:rPr>
              <w:t>100</w:t>
            </w:r>
          </w:p>
        </w:tc>
        <w:tc>
          <w:tcPr>
            <w:tcW w:w="1765" w:type="dxa"/>
            <w:tcBorders>
              <w:top w:val="single" w:color="auto" w:sz="4" w:space="0"/>
              <w:left w:val="single" w:color="auto" w:sz="4" w:space="0"/>
              <w:bottom w:val="single" w:color="auto" w:sz="4" w:space="0"/>
              <w:right w:val="single" w:color="auto" w:sz="4" w:space="0"/>
            </w:tcBorders>
            <w:vAlign w:val="center"/>
          </w:tcPr>
          <w:p>
            <w:pPr>
              <w:jc w:val="center"/>
              <w:rPr>
                <w:rFonts w:ascii="宋体"/>
                <w:b/>
                <w:szCs w:val="21"/>
                <w:highlight w:val="none"/>
              </w:rPr>
            </w:pPr>
            <w:r>
              <w:rPr>
                <w:rFonts w:hint="eastAsia" w:ascii="宋体" w:hAnsi="宋体"/>
                <w:highlight w:val="none"/>
              </w:rPr>
              <w:t>投标报价</w:t>
            </w:r>
          </w:p>
        </w:tc>
        <w:tc>
          <w:tcPr>
            <w:tcW w:w="1350" w:type="dxa"/>
            <w:tcBorders>
              <w:top w:val="single" w:color="auto" w:sz="4" w:space="0"/>
              <w:left w:val="single" w:color="auto" w:sz="4" w:space="0"/>
              <w:bottom w:val="nil"/>
              <w:right w:val="single" w:color="auto" w:sz="4" w:space="0"/>
            </w:tcBorders>
            <w:vAlign w:val="center"/>
          </w:tcPr>
          <w:p>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100</w:t>
            </w:r>
          </w:p>
        </w:tc>
        <w:tc>
          <w:tcPr>
            <w:tcW w:w="4298" w:type="dxa"/>
            <w:tcBorders>
              <w:top w:val="single" w:color="auto" w:sz="4" w:space="0"/>
              <w:left w:val="single" w:color="auto" w:sz="4" w:space="0"/>
              <w:bottom w:val="nil"/>
              <w:right w:val="single" w:color="auto" w:sz="4" w:space="0"/>
            </w:tcBorders>
            <w:vAlign w:val="center"/>
          </w:tcPr>
          <w:p>
            <w:pPr>
              <w:spacing w:line="420" w:lineRule="exact"/>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 xml:space="preserve">评标基准价： </w:t>
            </w:r>
          </w:p>
          <w:p>
            <w:pPr>
              <w:spacing w:line="420" w:lineRule="exact"/>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1、评标基准价为所有合理有效的最终投标报价的最低价。</w:t>
            </w:r>
          </w:p>
          <w:p>
            <w:pPr>
              <w:spacing w:line="420" w:lineRule="exact"/>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2、有效的评标基准价得100分；其他投标人的价格得分按下列公式计算：投标价格得分=100×（评标基准价/投标报价）。</w:t>
            </w:r>
          </w:p>
          <w:p>
            <w:pPr>
              <w:spacing w:line="420" w:lineRule="exact"/>
              <w:rPr>
                <w:highlight w:val="yellow"/>
              </w:rPr>
            </w:pPr>
            <w:r>
              <w:rPr>
                <w:rFonts w:hint="eastAsia" w:ascii="Times New Roman" w:hAnsi="Times New Roman" w:cs="Times New Roman"/>
                <w:szCs w:val="21"/>
                <w:lang w:val="en-US" w:eastAsia="zh-CN"/>
              </w:rPr>
              <w:t>注：得分值取小数点后两位，不足一个百分点的，按照四舍五入法计算。</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pPr>
              <w:rPr>
                <w:rFonts w:ascii="宋体"/>
                <w:szCs w:val="21"/>
              </w:rPr>
            </w:pPr>
            <w:r>
              <w:rPr>
                <w:rFonts w:hint="eastAsia" w:ascii="宋体" w:hAnsi="宋体"/>
              </w:rPr>
              <w:t>备注：</w:t>
            </w:r>
          </w:p>
          <w:p>
            <w:pPr>
              <w:rPr>
                <w:rFonts w:ascii="宋体"/>
              </w:rPr>
            </w:pPr>
            <w:r>
              <w:rPr>
                <w:rFonts w:hint="eastAsia" w:ascii="宋体" w:hAnsi="宋体"/>
              </w:rPr>
              <w:t>1、通过初审者为有效投标。</w:t>
            </w:r>
          </w:p>
          <w:p>
            <w:pPr>
              <w:rPr>
                <w:rFonts w:hint="eastAsia" w:ascii="宋体" w:eastAsia="宋体"/>
                <w:b/>
                <w:bCs/>
                <w:color w:val="FF0000"/>
                <w:sz w:val="18"/>
                <w:szCs w:val="18"/>
                <w:lang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pPr>
              <w:rPr>
                <w:rFonts w:hint="eastAsia" w:ascii="宋体" w:hAnsi="宋体"/>
              </w:rPr>
            </w:pPr>
            <w:r>
              <w:rPr>
                <w:rFonts w:hint="eastAsia" w:ascii="宋体" w:hAnsi="宋体"/>
              </w:rPr>
              <w:t>3、评委打分超过得分界限或未按本方法赋分时，该评委的打分按废票处理。</w:t>
            </w:r>
          </w:p>
          <w:p>
            <w:pPr>
              <w:rPr>
                <w:rFonts w:hint="eastAsia" w:ascii="宋体" w:hAnsi="宋体"/>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r>
              <w:rPr>
                <w:rFonts w:hint="eastAsia" w:ascii="宋体" w:hAnsi="宋体" w:cs="Times New Roman"/>
                <w:lang w:val="en-US" w:eastAsia="zh-CN"/>
              </w:rPr>
              <w:t>5、综合得分=技术分×40%＋商务标得分×60%</w:t>
            </w:r>
          </w:p>
        </w:tc>
      </w:tr>
    </w:tbl>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pPr>
        <w:pStyle w:val="77"/>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本项目只产生</w:t>
      </w:r>
      <w:r>
        <w:rPr>
          <w:rFonts w:hint="eastAsia"/>
          <w:lang w:val="en-US" w:eastAsia="zh-CN"/>
        </w:rPr>
        <w:t>1</w:t>
      </w:r>
      <w:r>
        <w:rPr>
          <w:rFonts w:hint="eastAsia"/>
        </w:rPr>
        <w:t>个中标人。中标人签订合同前须进行最终审查。最终审查的对象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pPr>
        <w:pStyle w:val="73"/>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pPr>
        <w:pStyle w:val="73"/>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7"/>
      <w:bookmarkStart w:id="7" w:name="OLE_LINK29"/>
      <w:bookmarkStart w:id="8" w:name="OLE_LINK28"/>
      <w:bookmarkStart w:id="9" w:name="OLE_LINK26"/>
      <w:bookmarkStart w:id="10" w:name="OLE_LINK25"/>
      <w:r>
        <w:rPr>
          <w:rFonts w:hint="eastAsia" w:ascii="宋体" w:hAnsi="宋体" w:eastAsia="宋体" w:cs="宋体"/>
          <w:sz w:val="21"/>
          <w:szCs w:val="21"/>
          <w:highlight w:val="none"/>
        </w:rPr>
        <w:t>；</w:t>
      </w:r>
      <w:bookmarkEnd w:id="6"/>
      <w:bookmarkEnd w:id="7"/>
      <w:bookmarkEnd w:id="8"/>
      <w:bookmarkEnd w:id="9"/>
      <w:bookmarkEnd w:id="10"/>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pPr>
        <w:pStyle w:val="73"/>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pPr>
      <w:r>
        <w:rPr>
          <w:rFonts w:hint="eastAsia" w:ascii="宋体" w:hAnsi="宋体" w:cs="宋体"/>
          <w:b w:val="0"/>
          <w:bCs w:val="0"/>
          <w:color w:val="000000"/>
          <w:sz w:val="21"/>
          <w:szCs w:val="21"/>
        </w:rPr>
        <w:t>招标人有权指定招标人的关联单位作为合同签订人，与中标人签署相关合同，且具体权利义务以中标人与招标人的关联公司最终签署的合同为准</w:t>
      </w:r>
      <w:r>
        <w:rPr>
          <w:rFonts w:hint="eastAsia" w:ascii="宋体" w:hAnsi="宋体" w:cs="宋体"/>
          <w:b w:val="0"/>
          <w:bCs w:val="0"/>
          <w:color w:val="000000"/>
          <w:sz w:val="21"/>
          <w:szCs w:val="21"/>
          <w:lang w:eastAsia="zh-CN"/>
        </w:rPr>
        <w:t>。</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中标人由于履行义务的能力或信用有严重缺陷，招标人有权取消其中标资格，招标人将从中标候选单位中依序重新确定中标人，或重新组织招标；</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合同以双方最终签署的版本为准。</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eastAsia" w:cs="Times New Roman"/>
          <w:lang w:val="en-US" w:eastAsia="zh-CN"/>
        </w:rPr>
      </w:pPr>
      <w:r>
        <w:rPr>
          <w:rFonts w:hint="eastAsia" w:cs="Times New Roman"/>
          <w:lang w:val="en-US" w:eastAsia="zh-CN"/>
        </w:rPr>
        <w:t>交货时间：</w:t>
      </w:r>
    </w:p>
    <w:p>
      <w:pPr>
        <w:pStyle w:val="77"/>
        <w:keepNext w:val="0"/>
        <w:keepLines w:val="0"/>
        <w:pageBreakBefore w:val="0"/>
        <w:widowControl w:val="0"/>
        <w:numPr>
          <w:ilvl w:val="1"/>
          <w:numId w:val="28"/>
        </w:numPr>
        <w:kinsoku/>
        <w:wordWrap/>
        <w:overflowPunct/>
        <w:topLinePunct w:val="0"/>
        <w:autoSpaceDE/>
        <w:autoSpaceDN/>
        <w:bidi w:val="0"/>
        <w:adjustRightInd/>
        <w:snapToGrid/>
        <w:spacing w:line="440" w:lineRule="exact"/>
        <w:ind w:left="840" w:leftChars="0" w:hanging="420" w:firstLineChars="0"/>
        <w:textAlignment w:val="auto"/>
        <w:rPr>
          <w:rFonts w:hint="eastAsia" w:cs="Times New Roman"/>
          <w:lang w:val="en-US" w:eastAsia="zh-CN"/>
        </w:rPr>
      </w:pPr>
      <w:r>
        <w:rPr>
          <w:rFonts w:hint="eastAsia" w:cs="Times New Roman"/>
          <w:lang w:val="en-US" w:eastAsia="zh-CN"/>
        </w:rPr>
        <w:t>投标方应自合同签定之日起，20个日历日之内交货至供货地点；</w:t>
      </w:r>
    </w:p>
    <w:p>
      <w:pPr>
        <w:pStyle w:val="77"/>
        <w:keepNext w:val="0"/>
        <w:keepLines w:val="0"/>
        <w:pageBreakBefore w:val="0"/>
        <w:widowControl w:val="0"/>
        <w:numPr>
          <w:ilvl w:val="1"/>
          <w:numId w:val="28"/>
        </w:numPr>
        <w:kinsoku/>
        <w:wordWrap/>
        <w:overflowPunct/>
        <w:topLinePunct w:val="0"/>
        <w:autoSpaceDE/>
        <w:autoSpaceDN/>
        <w:bidi w:val="0"/>
        <w:adjustRightInd/>
        <w:snapToGrid/>
        <w:spacing w:line="440" w:lineRule="exact"/>
        <w:ind w:left="840" w:leftChars="0" w:hanging="420" w:firstLineChars="0"/>
        <w:textAlignment w:val="auto"/>
        <w:rPr>
          <w:rFonts w:hint="eastAsia" w:cs="Times New Roman"/>
          <w:lang w:val="en-US" w:eastAsia="zh-CN"/>
        </w:rPr>
      </w:pPr>
      <w:r>
        <w:rPr>
          <w:rFonts w:hint="eastAsia" w:cs="Times New Roman"/>
          <w:lang w:val="en-US" w:eastAsia="zh-CN"/>
        </w:rPr>
        <w:t>接续5 个日历日之内安装调试完毕；</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eastAsia" w:cs="Times New Roman"/>
          <w:lang w:val="en-US" w:eastAsia="zh-CN"/>
        </w:rPr>
      </w:pPr>
      <w:r>
        <w:rPr>
          <w:rFonts w:hint="eastAsia" w:cs="Times New Roman"/>
          <w:highlight w:val="none"/>
          <w:lang w:val="en-US" w:eastAsia="zh-CN"/>
        </w:rPr>
        <w:t>质保期：</w:t>
      </w:r>
      <w:r>
        <w:rPr>
          <w:rFonts w:hint="eastAsia" w:cs="Times New Roman"/>
          <w:lang w:val="en-US" w:eastAsia="zh-CN"/>
        </w:rPr>
        <w:t>自终验收签字生效之日起  12 个月。</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eastAsia" w:cs="Times New Roman"/>
          <w:lang w:val="en-US" w:eastAsia="zh-CN"/>
        </w:rPr>
      </w:pPr>
      <w:r>
        <w:rPr>
          <w:rFonts w:hint="eastAsia" w:cs="Times New Roman"/>
          <w:lang w:val="en-US" w:eastAsia="zh-CN"/>
        </w:rPr>
        <w:t>付款方式：半年期商业汇票（包括银行承兑汇票和商业承兑汇票）</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eastAsia" w:cs="Times New Roman"/>
          <w:lang w:val="en-US" w:eastAsia="zh-CN"/>
        </w:rPr>
      </w:pPr>
      <w:r>
        <w:rPr>
          <w:rFonts w:hint="eastAsia" w:cs="Times New Roman"/>
          <w:lang w:val="en-US" w:eastAsia="zh-CN"/>
        </w:rPr>
        <w:t>付款节点：</w:t>
      </w:r>
    </w:p>
    <w:p>
      <w:pPr>
        <w:ind w:firstLine="480" w:firstLineChars="200"/>
        <w:rPr>
          <w:rFonts w:ascii="宋体" w:hAnsi="宋体" w:eastAsia="宋体" w:cs="宋体"/>
          <w:sz w:val="24"/>
          <w:szCs w:val="24"/>
        </w:rPr>
      </w:pPr>
      <w:r>
        <w:rPr>
          <w:rFonts w:ascii="宋体" w:hAnsi="宋体" w:eastAsia="宋体" w:cs="宋体"/>
          <w:sz w:val="24"/>
          <w:szCs w:val="24"/>
        </w:rPr>
        <w:t>1.合同生效设备全部到齐无质量问题通过买方初步验收并到货后，卖方开具金额为该合同设备价格30%的增值税专用发票带30%的收据（含复印件二份），经买方依照财务制度审核无误后支付合同价款的30%。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2.设备全部到齐，经现场安装、调试、验收合格交付使用后，卖方提交金额为合同价款60%的收据并附带下列单据，经买方依照财务制度审核无误后支付合同价款的60%。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a.金额为该合同设备价格70%的增值税专用发票（含复印件二份），具体开票信息详见发票信息表，根据表中所列分别开具增值税发票。</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b.该套设备最终验收报告的原件及其复印件两份。</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3.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default" w:cs="Times New Roman"/>
          <w:lang w:val="en-US" w:eastAsia="zh-CN"/>
        </w:rPr>
      </w:pPr>
      <w:r>
        <w:rPr>
          <w:rFonts w:hint="eastAsia" w:cs="Times New Roman"/>
          <w:lang w:val="en-US" w:eastAsia="zh-CN"/>
        </w:rPr>
        <w:t>付款方式和付款比例不允许偏离</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w:t>
      </w:r>
      <w:r>
        <w:rPr>
          <w:rFonts w:hint="eastAsia"/>
          <w:highlight w:val="none"/>
          <w:lang w:val="en-US" w:eastAsia="zh-CN"/>
        </w:rPr>
        <w:t>重汽（济南）车桥有限公司</w:t>
      </w:r>
      <w:r>
        <w:rPr>
          <w:rFonts w:hint="eastAsia"/>
          <w:lang w:val="en-US" w:eastAsia="zh-CN"/>
        </w:rPr>
        <w:t>。</w:t>
      </w:r>
    </w:p>
    <w:p>
      <w:pPr>
        <w:pStyle w:val="77"/>
        <w:bidi w:val="0"/>
      </w:pPr>
    </w:p>
    <w:p>
      <w:pPr>
        <w:pStyle w:val="77"/>
        <w:bidi w:val="0"/>
        <w:rPr>
          <w:rFonts w:hint="eastAsia"/>
        </w:rPr>
      </w:pPr>
      <w:bookmarkStart w:id="11" w:name="_Toc47976607"/>
    </w:p>
    <w:p>
      <w:pPr>
        <w:pStyle w:val="77"/>
        <w:bidi w:val="0"/>
        <w:rPr>
          <w:rFonts w:hint="eastAsia"/>
        </w:rPr>
      </w:pPr>
    </w:p>
    <w:p>
      <w:pPr>
        <w:pStyle w:val="77"/>
        <w:bidi w:val="0"/>
        <w:rPr>
          <w:rFonts w:hint="eastAsia"/>
        </w:rPr>
      </w:pPr>
    </w:p>
    <w:p>
      <w:pPr>
        <w:pStyle w:val="77"/>
        <w:bidi w:val="0"/>
        <w:rPr>
          <w:rFonts w:hint="eastAsia"/>
        </w:rPr>
      </w:pPr>
    </w:p>
    <w:p>
      <w:pPr>
        <w:rPr>
          <w:rFonts w:hint="eastAsia"/>
        </w:rPr>
      </w:pPr>
      <w:r>
        <w:rPr>
          <w:rFonts w:hint="eastAsia"/>
        </w:rPr>
        <w:br w:type="page"/>
      </w:r>
    </w:p>
    <w:p>
      <w:pPr>
        <w:pStyle w:val="72"/>
        <w:jc w:val="center"/>
        <w:rPr>
          <w:b w:val="0"/>
          <w:bCs w:val="0"/>
        </w:rPr>
      </w:pPr>
      <w:bookmarkStart w:id="12" w:name="_Toc16839"/>
      <w:r>
        <w:rPr>
          <w:rFonts w:hint="eastAsia"/>
        </w:rPr>
        <w:t>第二部分　</w:t>
      </w:r>
      <w:bookmarkEnd w:id="11"/>
      <w:r>
        <w:rPr>
          <w:rFonts w:hint="eastAsia"/>
          <w:lang w:val="en-US" w:eastAsia="zh-CN"/>
        </w:rPr>
        <w:t>技术标书</w:t>
      </w:r>
      <w:bookmarkEnd w:id="12"/>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仿宋" w:hAnsi="仿宋" w:eastAsia="仿宋" w:cs="仿宋"/>
          <w:b/>
          <w:bCs/>
          <w:color w:val="000000" w:themeColor="text1"/>
          <w14:textFill>
            <w14:solidFill>
              <w14:schemeClr w14:val="tx1"/>
            </w14:solidFill>
          </w14:textFill>
        </w:rPr>
      </w:pPr>
      <w:bookmarkStart w:id="13" w:name="_Toc2174"/>
      <w:bookmarkStart w:id="14" w:name="_Toc19570"/>
      <w:bookmarkStart w:id="15" w:name="_Toc31266"/>
      <w:bookmarkStart w:id="16" w:name="_Toc6957"/>
      <w:bookmarkStart w:id="17" w:name="_Toc4029"/>
      <w:bookmarkStart w:id="18" w:name="_Toc17455"/>
      <w:bookmarkStart w:id="19" w:name="_Toc20272"/>
      <w:bookmarkStart w:id="20" w:name="_Toc2042"/>
      <w:bookmarkStart w:id="21" w:name="_Toc23274"/>
      <w:bookmarkStart w:id="22" w:name="_Toc73112396"/>
      <w:bookmarkStart w:id="23" w:name="_Toc7975"/>
      <w:bookmarkStart w:id="24" w:name="_Toc19716"/>
      <w:r>
        <w:rPr>
          <w:rFonts w:hint="eastAsia" w:ascii="仿宋" w:hAnsi="仿宋" w:eastAsia="仿宋" w:cs="仿宋"/>
          <w:b/>
          <w:bCs/>
          <w:color w:val="000000" w:themeColor="text1"/>
          <w:lang w:val="en-US" w:eastAsia="zh-CN"/>
          <w14:textFill>
            <w14:solidFill>
              <w14:schemeClr w14:val="tx1"/>
            </w14:solidFill>
          </w14:textFill>
        </w:rPr>
        <w:t>第</w:t>
      </w:r>
      <w:r>
        <w:rPr>
          <w:rFonts w:hint="eastAsia" w:ascii="仿宋" w:hAnsi="仿宋" w:eastAsia="仿宋" w:cs="仿宋"/>
          <w:b/>
          <w:bCs/>
          <w:color w:val="000000" w:themeColor="text1"/>
          <w14:textFill>
            <w14:solidFill>
              <w14:schemeClr w14:val="tx1"/>
            </w14:solidFill>
          </w14:textFill>
        </w:rPr>
        <w:t>一章采购货物概况</w:t>
      </w:r>
      <w:bookmarkEnd w:id="13"/>
      <w:bookmarkEnd w:id="14"/>
      <w:bookmarkEnd w:id="15"/>
      <w:bookmarkEnd w:id="16"/>
      <w:bookmarkEnd w:id="17"/>
      <w:bookmarkEnd w:id="18"/>
      <w:bookmarkEnd w:id="19"/>
      <w:bookmarkEnd w:id="20"/>
      <w:bookmarkEnd w:id="21"/>
      <w:bookmarkEnd w:id="22"/>
      <w:bookmarkEnd w:id="23"/>
      <w:bookmarkEnd w:id="24"/>
      <w:bookmarkStart w:id="25" w:name="_Toc133783967"/>
    </w:p>
    <w:p>
      <w:pPr>
        <w:adjustRightInd w:val="0"/>
        <w:snapToGrid w:val="0"/>
        <w:spacing w:line="360" w:lineRule="auto"/>
        <w:jc w:val="center"/>
        <w:outlineLvl w:val="1"/>
        <w:rPr>
          <w:rFonts w:ascii="仿宋" w:hAnsi="仿宋" w:eastAsia="仿宋" w:cs="仿宋"/>
          <w:b/>
          <w:bCs/>
          <w:color w:val="000000" w:themeColor="text1"/>
          <w14:textFill>
            <w14:solidFill>
              <w14:schemeClr w14:val="tx1"/>
            </w14:solidFill>
          </w14:textFill>
        </w:rPr>
      </w:pPr>
      <w:bookmarkStart w:id="26" w:name="_Toc23180"/>
      <w:bookmarkStart w:id="27" w:name="_Toc24689"/>
      <w:bookmarkStart w:id="28" w:name="_Toc864"/>
      <w:bookmarkStart w:id="29" w:name="_Toc30245"/>
      <w:bookmarkStart w:id="30" w:name="_Toc31000"/>
      <w:bookmarkStart w:id="31" w:name="_Toc28361"/>
      <w:bookmarkStart w:id="32" w:name="_Toc30808"/>
      <w:bookmarkStart w:id="33" w:name="_Toc29927"/>
      <w:bookmarkStart w:id="34" w:name="_Toc5400"/>
      <w:bookmarkStart w:id="35" w:name="_Toc7333"/>
      <w:bookmarkStart w:id="36" w:name="_Toc2152"/>
      <w:bookmarkStart w:id="37" w:name="_Toc25011"/>
      <w:bookmarkStart w:id="38" w:name="_Toc8362"/>
      <w:bookmarkStart w:id="39" w:name="_Toc16714"/>
      <w:bookmarkStart w:id="40" w:name="_Toc21756"/>
      <w:bookmarkStart w:id="41" w:name="_Toc2996"/>
      <w:bookmarkStart w:id="42" w:name="_Toc17474"/>
      <w:bookmarkStart w:id="43" w:name="_Toc2940"/>
      <w:bookmarkStart w:id="44" w:name="_Toc30246"/>
      <w:bookmarkStart w:id="45" w:name="_Toc5826"/>
      <w:bookmarkStart w:id="46" w:name="_Toc5983"/>
      <w:bookmarkStart w:id="47" w:name="_Toc19070"/>
      <w:bookmarkStart w:id="48" w:name="_Toc11763"/>
      <w:bookmarkStart w:id="49" w:name="_Toc7515"/>
      <w:bookmarkStart w:id="50" w:name="_Toc6606"/>
      <w:bookmarkStart w:id="51" w:name="_Toc22942"/>
      <w:bookmarkStart w:id="52" w:name="_Toc4004"/>
      <w:bookmarkStart w:id="53" w:name="_Toc29605"/>
      <w:bookmarkStart w:id="54" w:name="_Toc10612"/>
      <w:bookmarkStart w:id="55" w:name="_Toc5172"/>
      <w:bookmarkStart w:id="56" w:name="_Toc5420"/>
      <w:bookmarkStart w:id="57" w:name="_Toc11411"/>
      <w:bookmarkStart w:id="58" w:name="_Toc6436"/>
      <w:bookmarkStart w:id="59" w:name="_Toc21892"/>
      <w:bookmarkStart w:id="60" w:name="_Toc6498"/>
      <w:bookmarkStart w:id="61" w:name="_Toc9983"/>
      <w:bookmarkStart w:id="62" w:name="_Toc29157"/>
      <w:bookmarkStart w:id="63" w:name="_Toc2554"/>
      <w:bookmarkStart w:id="64" w:name="_Toc73112397"/>
      <w:bookmarkStart w:id="65" w:name="_Toc5609"/>
      <w:bookmarkStart w:id="66" w:name="_Toc27214"/>
      <w:bookmarkStart w:id="67" w:name="_Toc7159"/>
      <w:bookmarkStart w:id="68" w:name="_Toc22424"/>
      <w:bookmarkStart w:id="69" w:name="_Toc27040"/>
      <w:bookmarkStart w:id="70" w:name="_Toc892"/>
      <w:r>
        <w:rPr>
          <w:rFonts w:hint="eastAsia" w:ascii="仿宋" w:hAnsi="仿宋" w:eastAsia="仿宋" w:cs="仿宋"/>
          <w:b/>
          <w:bCs/>
          <w:color w:val="000000" w:themeColor="text1"/>
          <w14:textFill>
            <w14:solidFill>
              <w14:schemeClr w14:val="tx1"/>
            </w14:solidFill>
          </w14:textFill>
        </w:rPr>
        <w:t>第一节使用环境</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pPr>
        <w:pStyle w:val="17"/>
        <w:tabs>
          <w:tab w:val="left" w:pos="0"/>
        </w:tabs>
        <w:snapToGrid w:val="0"/>
        <w:spacing w:line="360" w:lineRule="auto"/>
        <w:ind w:firstLine="480" w:firstLineChars="200"/>
        <w:rPr>
          <w:rFonts w:hint="default" w:ascii="仿宋" w:hAnsi="仿宋" w:eastAsia="仿宋" w:cs="仿宋"/>
          <w:color w:val="000000" w:themeColor="text1"/>
          <w:shd w:val="pct10" w:color="auto" w:fill="FFFFFF"/>
          <w:lang w:val="en-US" w:eastAsia="zh-CN"/>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1项目名称：</w:t>
      </w:r>
      <w:r>
        <w:rPr>
          <w:rFonts w:hint="eastAsia" w:ascii="仿宋" w:hAnsi="仿宋" w:eastAsia="仿宋" w:cs="仿宋"/>
          <w:color w:val="000000" w:themeColor="text1"/>
          <w:shd w:val="pct10" w:color="auto" w:fill="FFFFFF"/>
          <w:lang w:val="en-US" w:eastAsia="zh-CN"/>
          <w14:textFill>
            <w14:solidFill>
              <w14:schemeClr w14:val="tx1"/>
            </w14:solidFill>
          </w14:textFill>
        </w:rPr>
        <w:t>主减总成产能提升技改项目、轮毂总成装配产能提升技改项目、电驱桥总成齿轮油定量加注技改项目配套柔性吊</w:t>
      </w:r>
    </w:p>
    <w:p>
      <w:pPr>
        <w:pStyle w:val="17"/>
        <w:snapToGrid w:val="0"/>
        <w:spacing w:line="360" w:lineRule="auto"/>
        <w:ind w:firstLine="480" w:firstLineChars="200"/>
        <w:rPr>
          <w:rFonts w:ascii="仿宋" w:hAnsi="仿宋" w:eastAsia="仿宋" w:cs="仿宋"/>
          <w:color w:val="000000" w:themeColor="text1"/>
          <w:shd w:val="pct10" w:color="auto" w:fill="FFFFFF"/>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2建设地点：</w:t>
      </w:r>
      <w:r>
        <w:rPr>
          <w:rFonts w:hint="eastAsia" w:ascii="仿宋" w:hAnsi="仿宋" w:eastAsia="仿宋" w:cs="仿宋"/>
          <w:color w:val="000000" w:themeColor="text1"/>
          <w:shd w:val="pct10" w:color="auto" w:fill="FFFFFF"/>
          <w14:textFill>
            <w14:solidFill>
              <w14:schemeClr w14:val="tx1"/>
            </w14:solidFill>
          </w14:textFill>
        </w:rPr>
        <w:t>重汽(济南)车桥有限公司</w:t>
      </w:r>
      <w:r>
        <w:rPr>
          <w:rFonts w:hint="eastAsia" w:ascii="仿宋" w:hAnsi="仿宋" w:eastAsia="仿宋" w:cs="仿宋"/>
          <w:color w:val="000000" w:themeColor="text1"/>
          <w14:textFill>
            <w14:solidFill>
              <w14:schemeClr w14:val="tx1"/>
            </w14:solidFill>
          </w14:textFill>
        </w:rPr>
        <w:t>（工地）</w:t>
      </w:r>
    </w:p>
    <w:p>
      <w:pPr>
        <w:pStyle w:val="17"/>
        <w:snapToGrid w:val="0"/>
        <w:spacing w:line="360" w:lineRule="auto"/>
        <w:ind w:firstLine="480" w:firstLineChars="200"/>
        <w:rPr>
          <w:rFonts w:ascii="仿宋" w:hAnsi="仿宋" w:eastAsia="仿宋" w:cs="仿宋"/>
          <w:color w:val="000000" w:themeColor="text1"/>
          <w:shd w:val="pct10" w:color="auto" w:fill="FFFFFF"/>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3使用地点：</w:t>
      </w:r>
      <w:r>
        <w:rPr>
          <w:rFonts w:hint="eastAsia" w:ascii="仿宋" w:hAnsi="仿宋" w:eastAsia="仿宋" w:cs="仿宋"/>
          <w:color w:val="000000" w:themeColor="text1"/>
          <w:shd w:val="pct10" w:color="auto" w:fill="FFFFFF"/>
          <w14:textFill>
            <w14:solidFill>
              <w14:schemeClr w14:val="tx1"/>
            </w14:solidFill>
          </w14:textFill>
        </w:rPr>
        <w:t>车桥公司</w:t>
      </w:r>
      <w:r>
        <w:rPr>
          <w:rFonts w:hint="eastAsia" w:ascii="仿宋" w:hAnsi="仿宋" w:eastAsia="仿宋" w:cs="仿宋"/>
          <w:color w:val="000000" w:themeColor="text1"/>
          <w:shd w:val="pct10" w:color="auto" w:fill="FFFFFF"/>
          <w:lang w:val="en-US" w:eastAsia="zh-CN"/>
          <w14:textFill>
            <w14:solidFill>
              <w14:schemeClr w14:val="tx1"/>
            </w14:solidFill>
          </w14:textFill>
        </w:rPr>
        <w:t>主减速器部、零部件加工、驱动桥部</w:t>
      </w:r>
      <w:r>
        <w:rPr>
          <w:rFonts w:hint="eastAsia" w:ascii="仿宋" w:hAnsi="仿宋" w:eastAsia="仿宋" w:cs="仿宋"/>
          <w:color w:val="000000" w:themeColor="text1"/>
          <w14:textFill>
            <w14:solidFill>
              <w14:schemeClr w14:val="tx1"/>
            </w14:solidFill>
          </w14:textFill>
        </w:rPr>
        <w:t>（室内）</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4工作制度：全年工作</w:t>
      </w:r>
      <w:r>
        <w:rPr>
          <w:rFonts w:hint="eastAsia" w:ascii="仿宋" w:hAnsi="仿宋" w:eastAsia="仿宋" w:cs="仿宋"/>
          <w:color w:val="000000" w:themeColor="text1"/>
          <w:shd w:val="pct10" w:color="auto" w:fill="FFFFFF"/>
          <w14:textFill>
            <w14:solidFill>
              <w14:schemeClr w14:val="tx1"/>
            </w14:solidFill>
          </w14:textFill>
        </w:rPr>
        <w:t>300</w:t>
      </w:r>
      <w:r>
        <w:rPr>
          <w:rFonts w:hint="eastAsia" w:ascii="仿宋" w:hAnsi="仿宋" w:eastAsia="仿宋" w:cs="仿宋"/>
          <w:color w:val="000000" w:themeColor="text1"/>
          <w14:textFill>
            <w14:solidFill>
              <w14:schemeClr w14:val="tx1"/>
            </w14:solidFill>
          </w14:textFill>
        </w:rPr>
        <w:t>天、</w:t>
      </w:r>
      <w:r>
        <w:rPr>
          <w:rFonts w:hint="eastAsia" w:ascii="仿宋" w:hAnsi="仿宋" w:eastAsia="仿宋" w:cs="仿宋"/>
          <w:color w:val="000000" w:themeColor="text1"/>
          <w:shd w:val="pct10" w:color="auto" w:fill="FFFFFF"/>
          <w14:textFill>
            <w14:solidFill>
              <w14:schemeClr w14:val="tx1"/>
            </w14:solidFill>
          </w14:textFill>
        </w:rPr>
        <w:t>3</w:t>
      </w:r>
      <w:r>
        <w:rPr>
          <w:rFonts w:hint="eastAsia" w:ascii="仿宋" w:hAnsi="仿宋" w:eastAsia="仿宋" w:cs="仿宋"/>
          <w:color w:val="000000" w:themeColor="text1"/>
          <w14:textFill>
            <w14:solidFill>
              <w14:schemeClr w14:val="tx1"/>
            </w14:solidFill>
          </w14:textFill>
        </w:rPr>
        <w:t xml:space="preserve">班制、设备年时基数 </w:t>
      </w:r>
      <w:r>
        <w:rPr>
          <w:rFonts w:hint="eastAsia" w:ascii="仿宋" w:hAnsi="仿宋" w:eastAsia="仿宋" w:cs="仿宋"/>
          <w:color w:val="000000" w:themeColor="text1"/>
          <w:shd w:val="pct10" w:color="auto" w:fill="FFFFFF"/>
          <w14:textFill>
            <w14:solidFill>
              <w14:schemeClr w14:val="tx1"/>
            </w14:solidFill>
          </w14:textFill>
        </w:rPr>
        <w:t>7200</w:t>
      </w:r>
      <w:r>
        <w:rPr>
          <w:rFonts w:hint="eastAsia" w:ascii="仿宋" w:hAnsi="仿宋" w:eastAsia="仿宋" w:cs="仿宋"/>
          <w:color w:val="000000" w:themeColor="text1"/>
          <w14:textFill>
            <w14:solidFill>
              <w14:schemeClr w14:val="tx1"/>
            </w14:solidFill>
          </w14:textFill>
        </w:rPr>
        <w:t xml:space="preserve"> 小时</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5使用地点区域自然环境：</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5.1海拨高度：1000m以下。</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5.2环境温度：室外极端最低温度-19.7℃、极端最高温度42℃，昼夜最大温差25℃；室内温度5～40℃。</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5.3相对湿度：年平均59%，最大95%、最小15%。</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5.4 地震裂度：七度。</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6能源环境：</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6.1电力：中国制式，供电电压</w:t>
      </w:r>
      <w:r>
        <w:rPr>
          <w:rFonts w:hint="eastAsia" w:ascii="仿宋" w:hAnsi="仿宋" w:eastAsia="仿宋" w:cs="仿宋"/>
          <w:color w:val="000000" w:themeColor="text1"/>
          <w:u w:val="single"/>
          <w:shd w:val="pct10" w:color="auto" w:fill="FFFFFF"/>
          <w14:textFill>
            <w14:solidFill>
              <w14:schemeClr w14:val="tx1"/>
            </w14:solidFill>
          </w14:textFill>
        </w:rPr>
        <w:t>380V±15%/220V±15%</w:t>
      </w:r>
      <w:r>
        <w:rPr>
          <w:rFonts w:hint="eastAsia" w:ascii="仿宋" w:hAnsi="仿宋" w:eastAsia="仿宋" w:cs="仿宋"/>
          <w:color w:val="000000" w:themeColor="text1"/>
          <w14:textFill>
            <w14:solidFill>
              <w14:schemeClr w14:val="tx1"/>
            </w14:solidFill>
          </w14:textFill>
        </w:rPr>
        <w:t>，供电频率50Hz±2%。</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6.2 </w:t>
      </w:r>
      <w:r>
        <w:rPr>
          <w:rFonts w:hint="eastAsia" w:ascii="仿宋" w:hAnsi="仿宋" w:eastAsia="仿宋" w:cs="仿宋"/>
          <w:color w:val="000000" w:themeColor="text1"/>
          <w:kern w:val="0"/>
          <w14:textFill>
            <w14:solidFill>
              <w14:schemeClr w14:val="tx1"/>
            </w14:solidFill>
          </w14:textFill>
        </w:rPr>
        <w:t>给水：市政自来水</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6.3压缩空气：自备空压机自产压缩空气，压力范围</w:t>
      </w:r>
      <w:r>
        <w:rPr>
          <w:rFonts w:hint="eastAsia" w:ascii="仿宋" w:hAnsi="仿宋" w:eastAsia="仿宋" w:cs="仿宋"/>
          <w:color w:val="000000" w:themeColor="text1"/>
          <w:u w:val="single"/>
          <w:shd w:val="pct10" w:color="auto" w:fill="FFFFFF"/>
          <w14:textFill>
            <w14:solidFill>
              <w14:schemeClr w14:val="tx1"/>
            </w14:solidFill>
          </w14:textFill>
        </w:rPr>
        <w:t>0.5 ±0.1MPa</w:t>
      </w:r>
      <w:r>
        <w:rPr>
          <w:rFonts w:hint="eastAsia" w:ascii="仿宋" w:hAnsi="仿宋" w:eastAsia="仿宋" w:cs="仿宋"/>
          <w:color w:val="000000" w:themeColor="text1"/>
          <w14:textFill>
            <w14:solidFill>
              <w14:schemeClr w14:val="tx1"/>
            </w14:solidFill>
          </w14:textFill>
        </w:rPr>
        <w:t>。</w:t>
      </w:r>
      <w:bookmarkStart w:id="71" w:name="_Toc8740"/>
      <w:bookmarkStart w:id="72" w:name="_Toc5374"/>
      <w:bookmarkStart w:id="73" w:name="_Toc15369"/>
      <w:bookmarkStart w:id="74" w:name="_Toc9784"/>
      <w:bookmarkStart w:id="75" w:name="_Toc6636"/>
      <w:bookmarkStart w:id="76" w:name="_Toc17682"/>
      <w:bookmarkStart w:id="77" w:name="_Toc17543"/>
      <w:bookmarkStart w:id="78" w:name="_Toc429"/>
      <w:bookmarkStart w:id="79" w:name="_Toc24481"/>
      <w:bookmarkStart w:id="80" w:name="_Toc18569"/>
      <w:bookmarkStart w:id="81" w:name="_Toc21616"/>
      <w:bookmarkStart w:id="82" w:name="_Toc24563"/>
      <w:bookmarkStart w:id="83" w:name="_Toc11744"/>
      <w:bookmarkStart w:id="84" w:name="_Toc22983"/>
      <w:bookmarkStart w:id="85" w:name="_Toc17605"/>
      <w:bookmarkStart w:id="86" w:name="_Toc12401"/>
      <w:bookmarkStart w:id="87" w:name="_Toc27857"/>
      <w:bookmarkStart w:id="88" w:name="_Toc29019"/>
      <w:bookmarkStart w:id="89" w:name="_Toc133783968"/>
      <w:bookmarkStart w:id="90" w:name="_Toc8728"/>
      <w:bookmarkStart w:id="91" w:name="_Toc4175"/>
      <w:bookmarkStart w:id="92" w:name="_Toc5282"/>
      <w:bookmarkStart w:id="93" w:name="_Toc6433"/>
      <w:bookmarkStart w:id="94" w:name="_Toc9561"/>
      <w:bookmarkStart w:id="95" w:name="_Toc30431"/>
      <w:bookmarkStart w:id="96" w:name="_Toc31241"/>
      <w:bookmarkStart w:id="97" w:name="_Toc29333"/>
      <w:bookmarkStart w:id="98" w:name="_Toc9143"/>
      <w:bookmarkStart w:id="99" w:name="_Toc5421"/>
      <w:bookmarkStart w:id="100" w:name="_Toc13324"/>
      <w:bookmarkStart w:id="101" w:name="_Toc23473"/>
      <w:bookmarkStart w:id="102" w:name="_Toc27449"/>
      <w:bookmarkStart w:id="103" w:name="_Toc9671"/>
    </w:p>
    <w:p>
      <w:pPr>
        <w:adjustRightInd w:val="0"/>
        <w:snapToGrid w:val="0"/>
        <w:spacing w:line="360" w:lineRule="auto"/>
        <w:jc w:val="center"/>
        <w:outlineLvl w:val="1"/>
        <w:rPr>
          <w:rFonts w:ascii="仿宋" w:hAnsi="仿宋" w:eastAsia="仿宋" w:cs="仿宋"/>
          <w:color w:val="000000" w:themeColor="text1"/>
          <w14:textFill>
            <w14:solidFill>
              <w14:schemeClr w14:val="tx1"/>
            </w14:solidFill>
          </w14:textFill>
        </w:rPr>
      </w:pPr>
      <w:bookmarkStart w:id="104" w:name="_Toc32599"/>
      <w:bookmarkStart w:id="105" w:name="_Toc10013"/>
      <w:bookmarkStart w:id="106" w:name="_Toc29190"/>
      <w:bookmarkStart w:id="107" w:name="_Toc21130"/>
      <w:bookmarkStart w:id="108" w:name="_Toc1523"/>
      <w:bookmarkStart w:id="109" w:name="_Toc13544"/>
      <w:bookmarkStart w:id="110" w:name="_Toc18032"/>
      <w:bookmarkStart w:id="111" w:name="_Toc21302"/>
      <w:bookmarkStart w:id="112" w:name="_Toc21957"/>
      <w:bookmarkStart w:id="113" w:name="_Toc20734"/>
      <w:bookmarkStart w:id="114" w:name="_Toc18778"/>
      <w:bookmarkStart w:id="115" w:name="_Toc24559"/>
      <w:bookmarkStart w:id="116" w:name="_Toc1424"/>
      <w:bookmarkStart w:id="117" w:name="_Toc8560"/>
      <w:bookmarkStart w:id="118" w:name="_Toc24624"/>
      <w:bookmarkStart w:id="119" w:name="_Toc73112398"/>
      <w:bookmarkStart w:id="120" w:name="_Toc17750"/>
      <w:r>
        <w:rPr>
          <w:rFonts w:hint="eastAsia" w:ascii="仿宋" w:hAnsi="仿宋" w:eastAsia="仿宋" w:cs="仿宋"/>
          <w:b/>
          <w:bCs/>
          <w:color w:val="000000" w:themeColor="text1"/>
          <w14:textFill>
            <w14:solidFill>
              <w14:schemeClr w14:val="tx1"/>
            </w14:solidFill>
          </w14:textFill>
        </w:rPr>
        <w:t>第二节采购货物概况</w:t>
      </w:r>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1货物：</w:t>
      </w:r>
      <w:r>
        <w:rPr>
          <w:rFonts w:hint="eastAsia" w:ascii="仿宋" w:hAnsi="仿宋" w:eastAsia="仿宋" w:cs="仿宋"/>
          <w:color w:val="auto"/>
          <w:highlight w:val="none"/>
          <w:u w:val="single"/>
          <w:lang w:val="en-US" w:eastAsia="zh-CN"/>
        </w:rPr>
        <w:t>柔性吊</w:t>
      </w:r>
      <w:r>
        <w:rPr>
          <w:rFonts w:hint="eastAsia" w:ascii="仿宋" w:hAnsi="仿宋" w:eastAsia="仿宋" w:cs="仿宋"/>
          <w:color w:val="000000" w:themeColor="text1"/>
          <w14:textFill>
            <w14:solidFill>
              <w14:schemeClr w14:val="tx1"/>
            </w14:solidFill>
          </w14:textFill>
        </w:rPr>
        <w:t>（详见下表）</w:t>
      </w:r>
    </w:p>
    <w:p>
      <w:pPr>
        <w:pStyle w:val="17"/>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2货物数量：</w:t>
      </w:r>
      <w:r>
        <w:rPr>
          <w:rFonts w:hint="eastAsia" w:ascii="仿宋" w:hAnsi="仿宋" w:eastAsia="仿宋" w:cs="仿宋"/>
          <w:color w:val="auto"/>
          <w:highlight w:val="none"/>
          <w:u w:val="single"/>
          <w:lang w:val="en-US" w:eastAsia="zh-CN"/>
        </w:rPr>
        <w:t>18套</w:t>
      </w:r>
      <w:r>
        <w:rPr>
          <w:rFonts w:hint="eastAsia" w:ascii="仿宋" w:hAnsi="仿宋" w:eastAsia="仿宋" w:cs="仿宋"/>
          <w:color w:val="auto"/>
          <w:highlight w:val="none"/>
        </w:rPr>
        <w:t>（详见下表）</w:t>
      </w:r>
    </w:p>
    <w:p>
      <w:pPr>
        <w:pStyle w:val="17"/>
        <w:snapToGrid w:val="0"/>
        <w:spacing w:line="360" w:lineRule="auto"/>
        <w:ind w:firstLine="480" w:firstLineChars="200"/>
        <w:jc w:val="center"/>
        <w:rPr>
          <w:rFonts w:ascii="仿宋" w:hAnsi="仿宋" w:eastAsia="仿宋" w:cs="仿宋"/>
          <w:color w:val="auto"/>
          <w:highlight w:val="none"/>
        </w:rPr>
      </w:pPr>
      <w:r>
        <w:rPr>
          <w:rFonts w:hint="eastAsia" w:ascii="仿宋" w:hAnsi="仿宋" w:eastAsia="仿宋" w:cs="仿宋"/>
          <w:color w:val="auto"/>
          <w:highlight w:val="none"/>
        </w:rPr>
        <w:t>采购货物主要构成一览表</w:t>
      </w:r>
    </w:p>
    <w:tbl>
      <w:tblPr>
        <w:tblStyle w:val="31"/>
        <w:tblW w:w="8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080"/>
        <w:gridCol w:w="1080"/>
        <w:gridCol w:w="1080"/>
        <w:gridCol w:w="1080"/>
        <w:gridCol w:w="1080"/>
        <w:gridCol w:w="1080"/>
        <w:gridCol w:w="1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序号</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货物名称</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型号</w:t>
            </w:r>
            <w:r>
              <w:rPr>
                <w:rFonts w:hint="eastAsia" w:ascii="仿宋" w:hAnsi="仿宋" w:eastAsia="仿宋" w:cs="仿宋"/>
                <w:i w:val="0"/>
                <w:iCs w:val="0"/>
                <w:color w:val="000000"/>
                <w:kern w:val="0"/>
                <w:sz w:val="21"/>
                <w:szCs w:val="21"/>
                <w:u w:val="none"/>
                <w:lang w:val="en-US" w:eastAsia="zh-CN" w:bidi="ar"/>
              </w:rPr>
              <w:br w:type="textWrapping"/>
            </w:r>
            <w:r>
              <w:rPr>
                <w:rFonts w:hint="eastAsia" w:ascii="仿宋" w:hAnsi="仿宋" w:eastAsia="仿宋" w:cs="仿宋"/>
                <w:i w:val="0"/>
                <w:iCs w:val="0"/>
                <w:color w:val="000000"/>
                <w:kern w:val="0"/>
                <w:sz w:val="21"/>
                <w:szCs w:val="21"/>
                <w:u w:val="none"/>
                <w:lang w:val="en-US" w:eastAsia="zh-CN" w:bidi="ar"/>
              </w:rPr>
              <w:t>规格</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单位</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数量</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安装地点/ 服务对象</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供货方式</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对应项目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柔性吊</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250kg</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主减速器部</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交钥匙</w:t>
            </w:r>
          </w:p>
        </w:tc>
        <w:tc>
          <w:tcPr>
            <w:tcW w:w="1080" w:type="dxa"/>
            <w:vMerge w:val="restart"/>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主减总成产能提升技改项目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柔性吊</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500Kg</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主减速器部</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交钥匙</w:t>
            </w: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5"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柔性吊</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250kg</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零部件加工部</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交钥匙</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轮毂总成装配产能提升技改项目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柔性吊</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1.5T</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驱动桥部</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交钥匙</w:t>
            </w:r>
          </w:p>
        </w:tc>
        <w:tc>
          <w:tcPr>
            <w:tcW w:w="108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电驱桥总成齿轮油定量加注技改项目</w:t>
            </w:r>
          </w:p>
        </w:tc>
      </w:tr>
    </w:tbl>
    <w:p>
      <w:pPr>
        <w:pStyle w:val="17"/>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备注：①本表所列采购货物仅为货物的主要构成部分，应配套供货以及招标方所列其它货物（或设备）和服务，请投标方认真阅读“供货范围”。若有异议，不管是多么微小，都应在投标文件“商务偏离”章节中予以详细说明。②本表“供货方式”指：交钥匙方式——包括制造、运输、定点卸货、安装、调试和验收以及培训等。</w:t>
      </w:r>
    </w:p>
    <w:p>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pPr>
        <w:jc w:val="center"/>
        <w:outlineLvl w:val="0"/>
        <w:rPr>
          <w:rFonts w:ascii="仿宋" w:hAnsi="仿宋" w:eastAsia="仿宋" w:cs="仿宋"/>
          <w:b/>
          <w:bCs/>
          <w:color w:val="000000" w:themeColor="text1"/>
          <w14:textFill>
            <w14:solidFill>
              <w14:schemeClr w14:val="tx1"/>
            </w14:solidFill>
          </w14:textFill>
        </w:rPr>
      </w:pPr>
      <w:bookmarkStart w:id="121" w:name="_Toc30487"/>
      <w:bookmarkStart w:id="122" w:name="_Toc8780"/>
      <w:bookmarkStart w:id="123" w:name="_Toc31734"/>
      <w:bookmarkStart w:id="124" w:name="_Toc4881"/>
      <w:bookmarkStart w:id="125" w:name="_Toc20034"/>
      <w:bookmarkStart w:id="126" w:name="_Toc28168"/>
      <w:bookmarkStart w:id="127" w:name="_Toc73112399"/>
      <w:bookmarkStart w:id="128" w:name="_Toc30429"/>
      <w:bookmarkStart w:id="129" w:name="_Toc7805"/>
      <w:bookmarkStart w:id="130" w:name="_Toc19793"/>
      <w:bookmarkStart w:id="131" w:name="_Toc22658"/>
      <w:bookmarkStart w:id="132" w:name="_Toc7813"/>
      <w:bookmarkStart w:id="133" w:name="_Toc26470"/>
      <w:bookmarkStart w:id="134" w:name="_Toc27638"/>
      <w:bookmarkStart w:id="135" w:name="_Toc4488"/>
      <w:bookmarkStart w:id="136" w:name="_Toc32524"/>
      <w:bookmarkStart w:id="137" w:name="_Toc13878"/>
      <w:bookmarkStart w:id="138" w:name="_Toc4743"/>
      <w:bookmarkStart w:id="139" w:name="_Toc2875"/>
      <w:bookmarkStart w:id="140" w:name="_Toc7739"/>
      <w:bookmarkStart w:id="141" w:name="_Toc10441"/>
      <w:bookmarkStart w:id="142" w:name="_Toc133783969"/>
      <w:bookmarkStart w:id="143" w:name="_Toc7338"/>
      <w:bookmarkStart w:id="144" w:name="_Toc22689"/>
      <w:bookmarkStart w:id="145" w:name="_Toc8565"/>
      <w:bookmarkStart w:id="146" w:name="_Toc442"/>
      <w:bookmarkStart w:id="147" w:name="_Toc29174"/>
      <w:bookmarkStart w:id="148" w:name="_Toc23603"/>
      <w:bookmarkStart w:id="149" w:name="_Toc6687"/>
      <w:bookmarkStart w:id="150" w:name="_Toc498"/>
      <w:bookmarkStart w:id="151" w:name="_Toc11605"/>
      <w:bookmarkStart w:id="152" w:name="_Toc24992"/>
      <w:bookmarkStart w:id="153" w:name="_Toc18970"/>
      <w:bookmarkStart w:id="154" w:name="_Toc15180"/>
      <w:bookmarkStart w:id="155" w:name="_Toc26149"/>
      <w:bookmarkStart w:id="156" w:name="_Toc18120"/>
      <w:bookmarkStart w:id="157" w:name="_Toc2018"/>
      <w:bookmarkStart w:id="158" w:name="_Toc32616"/>
      <w:bookmarkStart w:id="159" w:name="_Toc1621"/>
      <w:bookmarkStart w:id="160" w:name="_Toc17465"/>
      <w:bookmarkStart w:id="161" w:name="_Toc761"/>
      <w:bookmarkStart w:id="162" w:name="_Toc25811"/>
      <w:bookmarkStart w:id="163" w:name="_Toc10580"/>
      <w:bookmarkStart w:id="164" w:name="_Toc19015"/>
      <w:bookmarkStart w:id="165" w:name="_Toc24597"/>
      <w:bookmarkStart w:id="166" w:name="_Toc16387"/>
      <w:bookmarkStart w:id="167" w:name="_Toc12377"/>
      <w:r>
        <w:rPr>
          <w:rFonts w:hint="eastAsia" w:ascii="仿宋" w:hAnsi="仿宋" w:eastAsia="仿宋" w:cs="仿宋"/>
          <w:b/>
          <w:bCs/>
          <w:color w:val="000000" w:themeColor="text1"/>
          <w14:textFill>
            <w14:solidFill>
              <w14:schemeClr w14:val="tx1"/>
            </w14:solidFill>
          </w14:textFill>
        </w:rPr>
        <w:t>第二章技术要求</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168" w:name="_Toc20792"/>
      <w:bookmarkStart w:id="169" w:name="_Toc11056"/>
      <w:bookmarkStart w:id="170" w:name="_Toc26827"/>
      <w:bookmarkStart w:id="171" w:name="_Toc23337"/>
      <w:bookmarkStart w:id="172" w:name="_Toc20402"/>
      <w:bookmarkStart w:id="173" w:name="_Toc5804"/>
      <w:bookmarkStart w:id="174" w:name="_Toc7141"/>
      <w:bookmarkStart w:id="175" w:name="_Toc27930"/>
      <w:bookmarkStart w:id="176" w:name="_Toc15995"/>
      <w:bookmarkStart w:id="177" w:name="_Toc27282"/>
      <w:bookmarkStart w:id="178" w:name="_Toc73112400"/>
      <w:bookmarkStart w:id="179" w:name="_Toc18792"/>
      <w:bookmarkStart w:id="180" w:name="_Toc29489"/>
      <w:bookmarkStart w:id="181" w:name="_Toc39"/>
      <w:bookmarkStart w:id="182" w:name="_Toc5450"/>
      <w:bookmarkStart w:id="183" w:name="_Toc21559"/>
      <w:bookmarkStart w:id="184" w:name="_Toc477"/>
      <w:bookmarkStart w:id="185" w:name="_Toc11621"/>
      <w:bookmarkStart w:id="186" w:name="_Toc6003"/>
      <w:bookmarkStart w:id="187" w:name="_Toc29354"/>
      <w:bookmarkStart w:id="188" w:name="_Toc1111"/>
      <w:bookmarkStart w:id="189" w:name="_Toc16063"/>
      <w:bookmarkStart w:id="190" w:name="_Toc15747"/>
      <w:bookmarkStart w:id="191" w:name="_Toc23050"/>
      <w:bookmarkStart w:id="192" w:name="_Toc5110"/>
      <w:bookmarkStart w:id="193" w:name="_Toc25950"/>
      <w:bookmarkStart w:id="194" w:name="_Toc31434"/>
      <w:bookmarkStart w:id="195" w:name="_Toc28751"/>
      <w:bookmarkStart w:id="196" w:name="_Toc9894"/>
      <w:bookmarkStart w:id="197" w:name="_Toc15744"/>
      <w:bookmarkStart w:id="198" w:name="_Toc31691"/>
      <w:bookmarkStart w:id="199" w:name="_Toc16822"/>
      <w:bookmarkStart w:id="200" w:name="_Toc22422"/>
      <w:bookmarkStart w:id="201" w:name="_Toc5876"/>
      <w:bookmarkStart w:id="202" w:name="_Toc13195"/>
      <w:bookmarkStart w:id="203" w:name="_Toc9134"/>
      <w:bookmarkStart w:id="204" w:name="_Toc1968"/>
      <w:bookmarkStart w:id="205" w:name="_Toc31246"/>
      <w:bookmarkStart w:id="206" w:name="_Toc380"/>
      <w:bookmarkStart w:id="207" w:name="_Toc5714"/>
      <w:bookmarkStart w:id="208" w:name="_Toc2473"/>
      <w:bookmarkStart w:id="209" w:name="_Toc4126"/>
      <w:bookmarkStart w:id="210" w:name="_Toc17019"/>
      <w:bookmarkStart w:id="211" w:name="_Toc5469"/>
      <w:r>
        <w:rPr>
          <w:rFonts w:hint="eastAsia" w:ascii="仿宋" w:hAnsi="仿宋" w:eastAsia="仿宋" w:cs="仿宋"/>
          <w:b/>
          <w:bCs/>
          <w:color w:val="000000" w:themeColor="text1"/>
          <w14:textFill>
            <w14:solidFill>
              <w14:schemeClr w14:val="tx1"/>
            </w14:solidFill>
          </w14:textFill>
        </w:rPr>
        <w:t>1基本要求</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1.1投标方所供的货物，必须符合中国最新版的法律、法规和相关标准、规范的要求，符合项目所在地政府有关特殊要求。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1.2投标方所供货物涉及的、招标方有权使用的专利权技术以及知识产权保护的其它技术等，应保证招标方不因此受到任何侵权指控以及实际损失。</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1.3投标方应保证所供货物的先进性、可靠性、经济性和实用性，并为全新货物（或设备）。</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 投标方应满足招标方提出的各项技术要求，必要时应当免费提供技术承诺或担保。</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★1.5投标方应保证所供货物为中国公布的非淘汰货物，并为中国指定或规定的主管部门认可的环保型和节能型货物；招标的中标货物不接受试验品（提供证据），还应是原产地的货物。</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1.6投标方保证所供货物的完整性和成套性，能保证货物的正常运行、使用。</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1.7投标方对招标方招标货物所涉及的技术、能力等信息负有保密义务，特殊项目应当无条件签署保密协议。</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投标方应保证所供货物，必须符合《机械制造企业安全生产标准化》各项要求。确保货物在使用管理过程中满足《职业健康安全管理体系》、《环境管理体系》等方面的规范及国家标准要求；必须提供所供货物相应的安全操作规程。</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1.9设备用能设计基本要求：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1.9.1 任何用能设备均应遵循《能源管理体系要求》（GB/T23331-2012）的相关规定，并在《能源管理体系要求》下开展设备的采购、维护、保养、淘汰更换等工作。</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1.9.2 为方便用能设备的计量统计，新增采购设备应在《用能单位能源计量器具配备和管理通则》（GB17167-2006）指导下配备符合相应要求的能源计量器具。</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1.9.3 供方应确保各类机电设备（产品）无《高耗能机电设备（产品）淘汰目录（第一批）》、《高耗能机电设备（产品）淘汰目录（第二 批）》、《高耗能机电设备（产品）淘汰目录（第三批）》所罗列的各类淘汰机电设备（产品）。</w:t>
      </w:r>
    </w:p>
    <w:p>
      <w:pPr>
        <w:widowControl w:val="0"/>
        <w:snapToGrid w:val="0"/>
        <w:spacing w:line="360" w:lineRule="auto"/>
        <w:ind w:firstLine="420" w:firstLineChars="200"/>
        <w:jc w:val="both"/>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1.9.4 </w:t>
      </w:r>
      <w:r>
        <w:rPr>
          <w:rFonts w:hint="eastAsia" w:ascii="仿宋" w:hAnsi="仿宋" w:eastAsia="仿宋" w:cs="仿宋"/>
          <w:kern w:val="0"/>
          <w:sz w:val="24"/>
          <w:szCs w:val="24"/>
          <w:highlight w:val="none"/>
          <w:lang w:val="en-US" w:eastAsia="zh-CN" w:bidi="ar-SA"/>
        </w:rPr>
        <w:t>在各类机电设备（产品）的采购过程中应优先选用符合《节能机电设备（产品）推荐目录（第七批）》的机电设备（产品）。原则上，电机功率≥7.5kW，必须选用一级能效。电机功率&lt;7.5kw，优先选用一级能效;其中对于能源供应类设备及年运行时间≥2000h 工艺设备的电机必须选用一级能效。杜绝选用三级及以下能效。空调必须选用一级能效，变压器最低选用二级能效，对于特殊场景、特殊用途其他设备结合性价比综合考虑、充分论证。</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1.9.5 供方应确保设备的附属各类机电设备、设施（如：电机、风机、电器控制系统、润滑、保温隔热、照明、湿度等等）符合国家现行的相关专项标准要求。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★1.10设备使用仪表和自控设备要求：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1.10.1设备使用仪表通用技术要求: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1.10.1.1投标人及供货商应保证所提供的仪表和自控设备，完全符合或高于本文通用技术要求及相应产品技术规范的要求，并应保证其供应产品在本工程指明的环境条件下能够长期安全、正常地运行。 </w:t>
      </w:r>
    </w:p>
    <w:p>
      <w:pPr>
        <w:widowControl w:val="0"/>
        <w:snapToGrid w:val="0"/>
        <w:spacing w:line="360" w:lineRule="auto"/>
        <w:ind w:firstLine="420" w:firstLineChars="200"/>
        <w:jc w:val="both"/>
        <w:rPr>
          <w:rFonts w:ascii="仿宋" w:hAnsi="仿宋" w:eastAsia="仿宋" w:cs="仿宋"/>
          <w:kern w:val="0"/>
          <w:sz w:val="24"/>
          <w:szCs w:val="24"/>
          <w:highlight w:val="none"/>
          <w:lang w:val="en-US" w:eastAsia="zh-CN" w:bidi="ar-SA"/>
        </w:rPr>
      </w:pPr>
      <w:r>
        <w:rPr>
          <w:rFonts w:hint="eastAsia" w:ascii="仿宋" w:hAnsi="仿宋" w:eastAsia="仿宋" w:cs="仿宋"/>
          <w:color w:val="000000" w:themeColor="text1"/>
          <w14:textFill>
            <w14:solidFill>
              <w14:schemeClr w14:val="tx1"/>
            </w14:solidFill>
          </w14:textFill>
        </w:rPr>
        <w:t>1.10.1.2</w:t>
      </w:r>
      <w:r>
        <w:rPr>
          <w:rFonts w:hint="eastAsia" w:ascii="仿宋" w:hAnsi="仿宋" w:eastAsia="仿宋" w:cs="仿宋"/>
          <w:kern w:val="0"/>
          <w:sz w:val="24"/>
          <w:szCs w:val="24"/>
          <w:highlight w:val="none"/>
          <w:lang w:val="en-US" w:eastAsia="zh-CN" w:bidi="ar-SA"/>
        </w:rPr>
        <w:t>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1.10.1.3</w:t>
      </w:r>
      <w:r>
        <w:rPr>
          <w:rFonts w:hint="eastAsia" w:ascii="仿宋" w:hAnsi="仿宋" w:eastAsia="仿宋" w:cs="仿宋"/>
          <w:kern w:val="0"/>
          <w:sz w:val="24"/>
          <w:szCs w:val="24"/>
          <w:highlight w:val="none"/>
          <w:lang w:val="en-US" w:eastAsia="zh-CN" w:bidi="ar-SA"/>
        </w:rPr>
        <w:t>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r>
        <w:rPr>
          <w:rFonts w:hint="eastAsia" w:ascii="仿宋" w:hAnsi="仿宋" w:eastAsia="仿宋" w:cs="仿宋"/>
          <w:color w:val="000000" w:themeColor="text1"/>
          <w14:textFill>
            <w14:solidFill>
              <w14:schemeClr w14:val="tx1"/>
            </w14:solidFill>
          </w14:textFill>
        </w:rPr>
        <w:t> </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1.10.2准确度要求: </w:t>
      </w:r>
    </w:p>
    <w:p>
      <w:pPr>
        <w:widowControl w:val="0"/>
        <w:snapToGrid w:val="0"/>
        <w:spacing w:line="360" w:lineRule="auto"/>
        <w:ind w:firstLine="420" w:firstLineChars="200"/>
        <w:jc w:val="both"/>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1.10.2.1</w:t>
      </w:r>
      <w:r>
        <w:rPr>
          <w:rFonts w:hint="eastAsia" w:ascii="仿宋" w:hAnsi="仿宋" w:eastAsia="仿宋" w:cs="仿宋"/>
          <w:kern w:val="0"/>
          <w:sz w:val="24"/>
          <w:szCs w:val="24"/>
          <w:highlight w:val="none"/>
          <w:lang w:val="en-US" w:eastAsia="zh-CN" w:bidi="ar-SA"/>
        </w:rPr>
        <w:t>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1.10.2.2仪表和自控设备的准确度应不受周围环境和安装位置的影响，任何生产过程中存在的正常振动，不应造成测量准确度的变化。仪表和自控设备的零点和重复性应非常稳定，并符合各专用技术规格书中的有关技术要求。 </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1.10.3材质要求: </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投标人及供货商应保证所提供的仪表和自控设备在材料的使用方面无任何设计问题，能够满足或高于实际操作和使用过程中的要求，如压力、温度、粘度、组份等的要求。应保证所有零部件的材质必须符合环境条件如湿度、温度以及防爆的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★1.11投标方所供设备应按“交钥匙工程”要求。</w:t>
      </w:r>
    </w:p>
    <w:p>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12" w:name="_Toc6699"/>
      <w:bookmarkStart w:id="213" w:name="_Toc718"/>
      <w:bookmarkStart w:id="214" w:name="_Toc18994"/>
      <w:bookmarkStart w:id="215" w:name="_Hlk69924518"/>
      <w:r>
        <w:rPr>
          <w:rFonts w:hint="eastAsia" w:ascii="仿宋" w:hAnsi="仿宋" w:eastAsia="仿宋" w:cs="仿宋"/>
          <w:b/>
          <w:bCs/>
          <w:color w:val="000000" w:themeColor="text1"/>
          <w14:textFill>
            <w14:solidFill>
              <w14:schemeClr w14:val="tx1"/>
            </w14:solidFill>
          </w14:textFill>
        </w:rPr>
        <w:t>2 执行标准</w:t>
      </w:r>
      <w:bookmarkEnd w:id="212"/>
      <w:bookmarkEnd w:id="213"/>
      <w:bookmarkEnd w:id="214"/>
    </w:p>
    <w:bookmarkEnd w:id="215"/>
    <w:p>
      <w:pPr>
        <w:spacing w:line="480" w:lineRule="exact"/>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2.1 招标方此处所列标准仅为涉及的主要标准，而且不保证其为最新版执行标准；投标方应当在投标文件中予以补充和完善。</w:t>
      </w:r>
    </w:p>
    <w:p>
      <w:pPr>
        <w:spacing w:line="480" w:lineRule="exact"/>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2.2 投标方需要执行的标准，应当以所供设备通过招标方将来组织的最终验收之日后需要执行的标准。</w:t>
      </w:r>
    </w:p>
    <w:p>
      <w:pPr>
        <w:spacing w:line="480" w:lineRule="exact"/>
        <w:ind w:firstLine="420" w:firstLineChars="200"/>
        <w:rPr>
          <w:rFonts w:hint="eastAsia" w:ascii="仿宋" w:hAnsi="仿宋" w:eastAsia="仿宋" w:cs="仿宋"/>
          <w:color w:val="000000" w:themeColor="text1"/>
          <w:lang w:bidi="ar"/>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2.3 涉及的主要标准表（包含但不限于）</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8"/>
        <w:gridCol w:w="4984"/>
        <w:gridCol w:w="2116"/>
        <w:gridCol w:w="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序号</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标准名称</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标准编号</w:t>
            </w:r>
          </w:p>
        </w:tc>
        <w:tc>
          <w:tcPr>
            <w:tcW w:w="6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r>
              <w:rPr>
                <w:rFonts w:hint="eastAsia" w:ascii="仿宋" w:hAnsi="仿宋" w:eastAsia="仿宋" w:cs="仿宋"/>
                <w:sz w:val="21"/>
                <w:szCs w:val="21"/>
                <w:highlight w:val="none"/>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电工成套装置中的导线颜色</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GB/T2681-81</w:t>
            </w:r>
          </w:p>
        </w:tc>
        <w:tc>
          <w:tcPr>
            <w:tcW w:w="670" w:type="dxa"/>
            <w:vMerge w:val="restart"/>
            <w:tcBorders>
              <w:top w:val="single" w:color="auto" w:sz="4" w:space="0"/>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color w:val="FF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电工成套装置中的指示灯和按钮的颜色</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GB/T2682-81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电能质量公用电网谐波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GB/T14549-93</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防止上下肢触及危险区的安全距离</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GB/T23821-2022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双手操纵装置 设计和选择原则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GB/T19671-2022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安全防护的实施准则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GB/T30574-2021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接近机械的固定设施 </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17888-2020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《工业企业设计卫生标准》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 1-2002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《工业企业噪声控制设计规范》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GB/T50087-2013</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《工业企业噪声测量规范》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GBJ122-88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GBZ/T189.1-2007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高耗能落后机电设备（产品）淘汰目录（第二批）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高耗能落后机电设备（产品）淘汰目录（第三批）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高耗能落后机电设备（产品）淘汰目录（第一批）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高耗能落后机电设备（产品）淘汰目录（第四批）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节能机电设备（产品）推荐目录</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用能单位能源计量器具配备和管理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GB17167-2006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《工作场所物理因素测量》第8部分噪声</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GBZ/T189.8-2007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钢结构防火涂料通用技术条件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GB/T14907-94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建筑机械与设备涂装通用技术条件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GB/T5011.12-92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接近机械的固定设施</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17888-2020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环链电动葫芦技术条件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JB/T5317.2-1991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柔性组合式悬挂起重机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 10381-2002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起重机械超载保护装置安全技术规范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GB12602-90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起重机试验规范和程序</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5905-2011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GB/T3811-2008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起重机安全规程第1部分总则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GB/T6067.1-2010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起重机安全规程第5部分桥式和门式起重机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GB/T6067.5-2014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通用桥式起重机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GB/T14405-2011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机械电气安全机械电气设备第32部分；起重机械技术条件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GB/T5223.32-2017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起重机司机室第1部分总则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GB/T20303.1-2016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起重机司机室第5部分桥式和门式起重机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GB/T20303.5-2006</w:t>
            </w:r>
          </w:p>
        </w:tc>
        <w:tc>
          <w:tcPr>
            <w:tcW w:w="670" w:type="dxa"/>
            <w:vMerge w:val="restart"/>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起重机载荷与载荷组合的设计原则 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22437.1-2018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起重吊具分类</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35975-2018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起重机和动芦绳、和滑轮的选择</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GB/T34029-2017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起重机用钢丝绳</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GM/T3418-2017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起重机钢丝绳保养、维护、检验和报废</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5972-2016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起重机检查第1部分；总则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GB/T23723.1-2016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 第7部分；杆起重机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20303.1-2016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起重机械检查与维护规程第10部分；轻小型起重设备</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20303.1-2016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GB/T31052.10-2016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工作和非工作状态下的锚定装置第1部分；总则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31052.1-2014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起重机械用电力驱动起升机构能效测试方法</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31051.1-2014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起重机械用电动机能效测试方法第3部分；锥形转子三相异步电动机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29562.3-2013</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通道及安全防护设施第1部分；总则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24818.1-2009</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通道及安全防护设施第5部分；桥式和门式起重机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24818.5-2009</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载荷与载荷组合的设计原则第5部分；桥式和门式起重机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GB/T22437.5-2008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分级第5部分；桥式和门式起重机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20863.5-2007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桥式和门式起重机 制造及轨道安装公差</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10183-2005</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备件手册</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18875-2002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维护手册第1部分；总则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18453-2001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起重机和起重机械 技术性能和验收文件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17908-1999</w:t>
            </w:r>
          </w:p>
        </w:tc>
        <w:tc>
          <w:tcPr>
            <w:tcW w:w="670" w:type="dxa"/>
            <w:vMerge w:val="restart"/>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电动桥式起重机跨度和起升高度系列</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790-1995</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电气设备安全设计导则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GB/T25295-2010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val="en-US" w:eastAsia="zh-CN" w:bidi="ar"/>
                <w14:textFill>
                  <w14:solidFill>
                    <w14:schemeClr w14:val="tx1"/>
                  </w14:solidFill>
                </w14:textFill>
              </w:rPr>
              <w:t>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bidi="ar"/>
                <w14:textFill>
                  <w14:solidFill>
                    <w14:schemeClr w14:val="tx1"/>
                  </w14:solidFill>
                </w14:textFill>
              </w:rPr>
              <w:t>《起重机安全起重吊具》</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bidi="ar"/>
                <w14:textFill>
                  <w14:solidFill>
                    <w14:schemeClr w14:val="tx1"/>
                  </w14:solidFill>
                </w14:textFill>
              </w:rPr>
              <w:t>GB/T 41098-2021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起重机械安全监控管理系统</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GB/T28264-2017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气焊、手工焊及气保焊焊缝坡口基本形式与尺寸</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GB986-1998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旋转电机整体结构的防护等级</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GB/T4942.1-2006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供配电系统设计规范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GB50052-2016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低压配电设计规范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GB50054-2011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优质碳素结构钢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GB699-88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碳素结构钢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GB700-88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起重机车轮</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JB/T6392-2008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重要用途钢丝绳</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GB8918-2006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低合金结构钢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GB1348-88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一般工程用铸造碳钢件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GB11352-89</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起重机用三合一减速器检验标准与规范(3)</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J8/T9003-2004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trike w:val="0"/>
                <w:dstrike w:val="0"/>
                <w:sz w:val="21"/>
                <w:szCs w:val="21"/>
                <w:highlight w:val="none"/>
                <w:lang w:bidi="ar"/>
              </w:rPr>
              <w:t>68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钢熔化焊对接头射线照相和质量分级</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GB/T3323-2005</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焊缝无损检测技术、检测等级和评定</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GB11345-2013</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涂覆涂料前钢材表面处理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GB/T8923.2-2008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起重设备安装工程施工及验收规范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GB50278-2010</w:t>
            </w:r>
          </w:p>
        </w:tc>
        <w:tc>
          <w:tcPr>
            <w:tcW w:w="670" w:type="dxa"/>
            <w:vMerge w:val="restart"/>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电气装置安装工程起重机电气装置施工及验收规范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GB50256-2014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吊车轨道联结及车挡</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05G525</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bl>
    <w:p>
      <w:pPr>
        <w:spacing w:line="360" w:lineRule="exact"/>
        <w:rPr>
          <w:rFonts w:ascii="仿宋" w:hAnsi="仿宋" w:eastAsia="仿宋" w:cs="仿宋"/>
          <w:color w:val="000000" w:themeColor="text1"/>
          <w:sz w:val="21"/>
          <w14:textFill>
            <w14:solidFill>
              <w14:schemeClr w14:val="tx1"/>
            </w14:solidFill>
          </w14:textFill>
        </w:rPr>
      </w:pPr>
      <w:r>
        <w:rPr>
          <w:rFonts w:hint="eastAsia" w:ascii="仿宋" w:hAnsi="仿宋" w:eastAsia="仿宋" w:cs="仿宋"/>
          <w:color w:val="000000" w:themeColor="text1"/>
          <w:sz w:val="21"/>
          <w:lang w:bidi="ar"/>
          <w14:textFill>
            <w14:solidFill>
              <w14:schemeClr w14:val="tx1"/>
            </w14:solidFill>
          </w14:textFill>
        </w:rPr>
        <w:t>备注：1、如果有采用国际标准的货物，其执行标准由投标方提供、招标方确认。</w:t>
      </w:r>
    </w:p>
    <w:p>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16" w:name="_Toc31630"/>
      <w:bookmarkStart w:id="217" w:name="_Toc13423"/>
      <w:bookmarkStart w:id="218" w:name="_Toc21638"/>
      <w:bookmarkStart w:id="219" w:name="_Toc7895"/>
      <w:bookmarkStart w:id="220" w:name="_Toc20016"/>
      <w:bookmarkStart w:id="221" w:name="_Toc13103"/>
      <w:bookmarkStart w:id="222" w:name="_Toc27157"/>
      <w:bookmarkStart w:id="223" w:name="_Toc29779"/>
      <w:bookmarkStart w:id="224" w:name="_Toc29247"/>
      <w:bookmarkStart w:id="225" w:name="_Toc6412"/>
      <w:bookmarkStart w:id="226" w:name="_Toc19476"/>
      <w:bookmarkStart w:id="227" w:name="_Toc4470"/>
      <w:bookmarkStart w:id="228" w:name="_Toc32758"/>
      <w:bookmarkStart w:id="229" w:name="_Toc1883"/>
      <w:bookmarkStart w:id="230" w:name="_Toc26387"/>
      <w:bookmarkStart w:id="231" w:name="_Toc20964"/>
      <w:bookmarkStart w:id="232" w:name="_Toc17980"/>
      <w:bookmarkStart w:id="233" w:name="_Toc4217"/>
      <w:bookmarkStart w:id="234" w:name="_Toc11599"/>
      <w:bookmarkStart w:id="235" w:name="_Toc6030"/>
      <w:bookmarkStart w:id="236" w:name="_Toc23967"/>
      <w:bookmarkStart w:id="237" w:name="_Toc17231"/>
      <w:bookmarkStart w:id="238" w:name="_Toc5402"/>
      <w:bookmarkStart w:id="239" w:name="_Toc30383"/>
      <w:bookmarkStart w:id="240" w:name="_Toc19250"/>
      <w:bookmarkStart w:id="241" w:name="_Toc1411"/>
      <w:bookmarkStart w:id="242" w:name="_Toc27027"/>
      <w:bookmarkStart w:id="243" w:name="_Toc7623"/>
      <w:bookmarkStart w:id="244" w:name="_Toc26406"/>
      <w:bookmarkStart w:id="245" w:name="_Toc73112401"/>
      <w:bookmarkStart w:id="246" w:name="_Toc3292"/>
      <w:bookmarkStart w:id="247" w:name="_Toc14059"/>
      <w:bookmarkStart w:id="248" w:name="_Toc32006"/>
      <w:bookmarkStart w:id="249" w:name="_Toc12179"/>
      <w:bookmarkStart w:id="250" w:name="_Toc7786"/>
      <w:bookmarkStart w:id="251" w:name="_Toc19638"/>
      <w:bookmarkStart w:id="252" w:name="_Toc16137"/>
      <w:bookmarkStart w:id="253" w:name="_Toc5212"/>
      <w:bookmarkStart w:id="254" w:name="_Toc5441"/>
      <w:bookmarkStart w:id="255" w:name="_Toc12125"/>
      <w:bookmarkStart w:id="256" w:name="_Toc22289"/>
      <w:bookmarkStart w:id="257" w:name="_Toc8461"/>
      <w:bookmarkStart w:id="258" w:name="_Toc7648"/>
      <w:bookmarkStart w:id="259" w:name="_Toc1676"/>
      <w:r>
        <w:rPr>
          <w:rFonts w:hint="eastAsia" w:ascii="仿宋" w:hAnsi="仿宋" w:eastAsia="仿宋" w:cs="仿宋"/>
          <w:b/>
          <w:bCs/>
          <w:color w:val="000000" w:themeColor="text1"/>
          <w14:textFill>
            <w14:solidFill>
              <w14:schemeClr w14:val="tx1"/>
            </w14:solidFill>
          </w14:textFill>
        </w:rPr>
        <w:t>3技术规范</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在基本要求和执行标准基础上，本技术标书对所采购的货物的技术及使用等方面作出如下要求：</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w:t>
      </w:r>
      <w:r>
        <w:rPr>
          <w:rFonts w:hint="eastAsia" w:ascii="仿宋" w:hAnsi="仿宋" w:eastAsia="仿宋" w:cs="仿宋"/>
          <w:color w:val="000000" w:themeColor="text1"/>
          <w:lang w:val="en-US" w:eastAsia="zh-CN"/>
          <w14:textFill>
            <w14:solidFill>
              <w14:schemeClr w14:val="tx1"/>
            </w14:solidFill>
          </w14:textFill>
        </w:rPr>
        <w:t>建设位置及</w:t>
      </w:r>
      <w:r>
        <w:rPr>
          <w:rFonts w:hint="eastAsia" w:ascii="仿宋" w:hAnsi="仿宋" w:eastAsia="仿宋" w:cs="仿宋"/>
          <w:color w:val="000000" w:themeColor="text1"/>
          <w14:textFill>
            <w14:solidFill>
              <w14:schemeClr w14:val="tx1"/>
            </w14:solidFill>
          </w14:textFill>
        </w:rPr>
        <w:t>功能用途：</w:t>
      </w:r>
    </w:p>
    <w:p>
      <w:pPr>
        <w:pStyle w:val="17"/>
        <w:snapToGrid w:val="0"/>
        <w:spacing w:line="360" w:lineRule="auto"/>
        <w:ind w:firstLine="480" w:firstLineChars="200"/>
        <w:rPr>
          <w:rFonts w:hint="default"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3.1.1 主减总成产能提升技改项目用柔性吊</w:t>
      </w:r>
    </w:p>
    <w:p>
      <w:pPr>
        <w:pStyle w:val="17"/>
        <w:snapToGrid w:val="0"/>
        <w:spacing w:line="360" w:lineRule="auto"/>
        <w:ind w:firstLine="480" w:firstLineChars="200"/>
        <w:rPr>
          <w:rFonts w:hint="eastAsia" w:ascii="仿宋" w:hAnsi="仿宋" w:eastAsia="仿宋" w:cs="仿宋"/>
          <w:color w:val="000000" w:themeColor="text1"/>
          <w:lang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（1）主减速器部新建线主环差环线头，合环线头，合环线尾</w:t>
      </w:r>
      <w:r>
        <w:rPr>
          <w:rFonts w:hint="eastAsia" w:ascii="仿宋" w:hAnsi="仿宋" w:eastAsia="仿宋" w:cs="仿宋"/>
          <w:color w:val="000000" w:themeColor="text1"/>
          <w14:textFill>
            <w14:solidFill>
              <w14:schemeClr w14:val="tx1"/>
            </w14:solidFill>
          </w14:textFill>
        </w:rPr>
        <w:t>柔性吊</w:t>
      </w:r>
      <w:r>
        <w:rPr>
          <w:rFonts w:hint="eastAsia" w:ascii="仿宋" w:hAnsi="仿宋" w:eastAsia="仿宋" w:cs="仿宋"/>
          <w:color w:val="000000" w:themeColor="text1"/>
          <w:lang w:eastAsia="zh-CN"/>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东西</w:t>
      </w:r>
      <w:r>
        <w:rPr>
          <w:rFonts w:hint="eastAsia" w:ascii="仿宋" w:hAnsi="仿宋" w:eastAsia="仿宋" w:cs="仿宋"/>
          <w:color w:val="000000" w:themeColor="text1"/>
          <w14:textFill>
            <w14:solidFill>
              <w14:schemeClr w14:val="tx1"/>
            </w14:solidFill>
          </w14:textFill>
        </w:rPr>
        <w:t>方向排列，横</w:t>
      </w:r>
      <w:r>
        <w:rPr>
          <w:rFonts w:hint="eastAsia" w:ascii="仿宋" w:hAnsi="仿宋" w:eastAsia="仿宋" w:cs="仿宋"/>
          <w:color w:val="000000" w:themeColor="text1"/>
          <w:lang w:val="en-US" w:eastAsia="zh-CN"/>
          <w14:textFill>
            <w14:solidFill>
              <w14:schemeClr w14:val="tx1"/>
            </w14:solidFill>
          </w14:textFill>
        </w:rPr>
        <w:t>轨南北</w:t>
      </w:r>
      <w:r>
        <w:rPr>
          <w:rFonts w:hint="eastAsia" w:ascii="仿宋" w:hAnsi="仿宋" w:eastAsia="仿宋" w:cs="仿宋"/>
          <w:color w:val="000000" w:themeColor="text1"/>
          <w14:textFill>
            <w14:solidFill>
              <w14:schemeClr w14:val="tx1"/>
            </w14:solidFill>
          </w14:textFill>
        </w:rPr>
        <w:t>方向排列。</w:t>
      </w:r>
      <w:r>
        <w:rPr>
          <w:rFonts w:hint="eastAsia" w:ascii="仿宋" w:hAnsi="仿宋" w:eastAsia="仿宋" w:cs="仿宋"/>
          <w:color w:val="000000" w:themeColor="text1"/>
          <w:lang w:val="en-US" w:eastAsia="zh-CN"/>
          <w14:textFill>
            <w14:solidFill>
              <w14:schemeClr w14:val="tx1"/>
            </w14:solidFill>
          </w14:textFill>
        </w:rPr>
        <w:t>合环线两侧</w:t>
      </w:r>
      <w:r>
        <w:rPr>
          <w:rFonts w:hint="eastAsia" w:ascii="仿宋" w:hAnsi="仿宋" w:eastAsia="仿宋" w:cs="仿宋"/>
          <w:color w:val="000000" w:themeColor="text1"/>
          <w14:textFill>
            <w14:solidFill>
              <w14:schemeClr w14:val="tx1"/>
            </w14:solidFill>
          </w14:textFill>
        </w:rPr>
        <w:t>柔性吊</w:t>
      </w:r>
      <w:r>
        <w:rPr>
          <w:rFonts w:hint="eastAsia" w:ascii="仿宋" w:hAnsi="仿宋" w:eastAsia="仿宋" w:cs="仿宋"/>
          <w:color w:val="000000" w:themeColor="text1"/>
          <w:lang w:eastAsia="zh-CN"/>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南北</w:t>
      </w:r>
      <w:r>
        <w:rPr>
          <w:rFonts w:hint="eastAsia" w:ascii="仿宋" w:hAnsi="仿宋" w:eastAsia="仿宋" w:cs="仿宋"/>
          <w:color w:val="000000" w:themeColor="text1"/>
          <w14:textFill>
            <w14:solidFill>
              <w14:schemeClr w14:val="tx1"/>
            </w14:solidFill>
          </w14:textFill>
        </w:rPr>
        <w:t>方向排列，横梁</w:t>
      </w:r>
      <w:r>
        <w:rPr>
          <w:rFonts w:hint="eastAsia" w:ascii="仿宋" w:hAnsi="仿宋" w:eastAsia="仿宋" w:cs="仿宋"/>
          <w:color w:val="000000" w:themeColor="text1"/>
          <w:lang w:val="en-US" w:eastAsia="zh-CN"/>
          <w14:textFill>
            <w14:solidFill>
              <w14:schemeClr w14:val="tx1"/>
            </w14:solidFill>
          </w14:textFill>
        </w:rPr>
        <w:t>东西</w:t>
      </w:r>
      <w:r>
        <w:rPr>
          <w:rFonts w:hint="eastAsia" w:ascii="仿宋" w:hAnsi="仿宋" w:eastAsia="仿宋" w:cs="仿宋"/>
          <w:color w:val="000000" w:themeColor="text1"/>
          <w14:textFill>
            <w14:solidFill>
              <w14:schemeClr w14:val="tx1"/>
            </w14:solidFill>
          </w14:textFill>
        </w:rPr>
        <w:t>方向排列。用于</w:t>
      </w:r>
      <w:r>
        <w:rPr>
          <w:rFonts w:hint="eastAsia" w:ascii="仿宋" w:hAnsi="仿宋" w:eastAsia="仿宋" w:cs="仿宋"/>
          <w:color w:val="000000" w:themeColor="text1"/>
          <w:lang w:val="en-US" w:eastAsia="zh-CN"/>
          <w14:textFill>
            <w14:solidFill>
              <w14:schemeClr w14:val="tx1"/>
            </w14:solidFill>
          </w14:textFill>
        </w:rPr>
        <w:t>主减速器总成及装配零部件</w:t>
      </w:r>
      <w:r>
        <w:rPr>
          <w:rFonts w:hint="eastAsia" w:ascii="仿宋" w:hAnsi="仿宋" w:eastAsia="仿宋" w:cs="仿宋"/>
          <w:color w:val="000000" w:themeColor="text1"/>
          <w14:textFill>
            <w14:solidFill>
              <w14:schemeClr w14:val="tx1"/>
            </w14:solidFill>
          </w14:textFill>
        </w:rPr>
        <w:t>的</w:t>
      </w:r>
      <w:r>
        <w:rPr>
          <w:rFonts w:hint="eastAsia" w:ascii="仿宋" w:hAnsi="仿宋" w:eastAsia="仿宋" w:cs="仿宋"/>
          <w:color w:val="000000" w:themeColor="text1"/>
          <w:lang w:val="en-US" w:eastAsia="zh-CN"/>
          <w14:textFill>
            <w14:solidFill>
              <w14:schemeClr w14:val="tx1"/>
            </w14:solidFill>
          </w14:textFill>
        </w:rPr>
        <w:t>上下料</w:t>
      </w:r>
      <w:r>
        <w:rPr>
          <w:rFonts w:hint="eastAsia" w:ascii="仿宋" w:hAnsi="仿宋" w:eastAsia="仿宋" w:cs="仿宋"/>
          <w:color w:val="000000" w:themeColor="text1"/>
          <w14:textFill>
            <w14:solidFill>
              <w14:schemeClr w14:val="tx1"/>
            </w14:solidFill>
          </w14:textFill>
        </w:rPr>
        <w:t>吊运</w:t>
      </w:r>
      <w:r>
        <w:rPr>
          <w:rFonts w:hint="eastAsia" w:ascii="仿宋" w:hAnsi="仿宋" w:eastAsia="仿宋" w:cs="仿宋"/>
          <w:color w:val="000000" w:themeColor="text1"/>
          <w:lang w:eastAsia="zh-CN"/>
          <w14:textFill>
            <w14:solidFill>
              <w14:schemeClr w14:val="tx1"/>
            </w14:solidFill>
          </w14:textFill>
        </w:rPr>
        <w:t>。</w:t>
      </w:r>
    </w:p>
    <w:p>
      <w:pPr>
        <w:pStyle w:val="17"/>
        <w:snapToGrid w:val="0"/>
        <w:spacing w:line="360" w:lineRule="auto"/>
        <w:ind w:firstLine="480" w:firstLineChars="200"/>
        <w:rPr>
          <w:rFonts w:hint="eastAsia"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lang w:val="en-US" w:eastAsia="zh-CN"/>
          <w14:textFill>
            <w14:solidFill>
              <w14:schemeClr w14:val="tx1"/>
            </w14:solidFill>
          </w14:textFill>
        </w:rPr>
        <w:t>在主减装配新建生产线合环线临北方向KBK轨道处安装三台500KG级别的柔性吊葫芦，在合环线东二台，西二台，南三台以及主环差环线头三台，共计十台均为250KG级别柔性吊葫芦。</w:t>
      </w:r>
    </w:p>
    <w:p>
      <w:pPr>
        <w:pStyle w:val="17"/>
        <w:snapToGrid w:val="0"/>
        <w:spacing w:line="360" w:lineRule="auto"/>
        <w:ind w:firstLine="480" w:firstLineChars="200"/>
        <w:jc w:val="center"/>
      </w:pPr>
      <w:r>
        <w:drawing>
          <wp:inline distT="0" distB="0" distL="114300" distR="114300">
            <wp:extent cx="2982595" cy="4385945"/>
            <wp:effectExtent l="9525" t="9525" r="17780" b="2413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24"/>
                    <a:stretch>
                      <a:fillRect/>
                    </a:stretch>
                  </pic:blipFill>
                  <pic:spPr>
                    <a:xfrm>
                      <a:off x="0" y="0"/>
                      <a:ext cx="2982595" cy="4385945"/>
                    </a:xfrm>
                    <a:prstGeom prst="rect">
                      <a:avLst/>
                    </a:prstGeom>
                    <a:noFill/>
                    <a:ln>
                      <a:solidFill>
                        <a:schemeClr val="tx1"/>
                      </a:solidFill>
                    </a:ln>
                  </pic:spPr>
                </pic:pic>
              </a:graphicData>
            </a:graphic>
          </wp:inline>
        </w:drawing>
      </w:r>
    </w:p>
    <w:p>
      <w:pPr>
        <w:pStyle w:val="17"/>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（2）建设方案要求：</w:t>
      </w:r>
    </w:p>
    <w:p>
      <w:pPr>
        <w:pStyle w:val="17"/>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主环线差环线线头（南侧）：KBK轨道安装两列12M的纵梁，三列4.5米横梁，三列横梁上加装三台0.25T环链电动葫芦以及滑车、集电器、限位、支架等柔性吊必需附件；</w:t>
      </w:r>
    </w:p>
    <w:p>
      <w:pPr>
        <w:pStyle w:val="17"/>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合环线线头（南侧）：KBK轨道安装两列12M的纵梁，三列4.5米横梁，三列横梁上加装三台0.25T环链电动葫芦以及滑车、集电器、限位、支架等柔性吊必需附件；纵轨固定在线体上方钢结构上；</w:t>
      </w:r>
    </w:p>
    <w:p>
      <w:pPr>
        <w:pStyle w:val="17"/>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合环线线尾（北侧）：KBK轨道安装两列12M的纵梁，三列4.5米横梁，三列横梁上加装三台0.5T环链电动葫芦以及滑车、集电器、限位、支架等柔性吊必需附件；</w:t>
      </w:r>
    </w:p>
    <w:p>
      <w:pPr>
        <w:pStyle w:val="17"/>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合环线东西两侧：KBK轨道安装共计安装四列10M的纵梁，四列4.5米横梁，四列横梁上加装四台0.25T环链电动葫芦以及滑车、集电器、限位、支架等柔性吊必需附件。</w:t>
      </w:r>
    </w:p>
    <w:tbl>
      <w:tblPr>
        <w:tblStyle w:val="31"/>
        <w:tblW w:w="76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95"/>
        <w:gridCol w:w="1066"/>
        <w:gridCol w:w="5"/>
        <w:gridCol w:w="1016"/>
        <w:gridCol w:w="5"/>
        <w:gridCol w:w="893"/>
        <w:gridCol w:w="1040"/>
        <w:gridCol w:w="1132"/>
        <w:gridCol w:w="10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安装位置</w:t>
            </w:r>
          </w:p>
        </w:tc>
        <w:tc>
          <w:tcPr>
            <w:tcW w:w="10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规格</w:t>
            </w:r>
          </w:p>
        </w:tc>
        <w:tc>
          <w:tcPr>
            <w:tcW w:w="1919"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纵轨</w:t>
            </w:r>
          </w:p>
        </w:tc>
        <w:tc>
          <w:tcPr>
            <w:tcW w:w="21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横轨</w:t>
            </w:r>
          </w:p>
        </w:tc>
        <w:tc>
          <w:tcPr>
            <w:tcW w:w="1063"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环链</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吊葫芦</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0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02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长度/m</w:t>
            </w:r>
          </w:p>
        </w:tc>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跨距/m</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数量/根</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w:t>
            </w:r>
            <w:r>
              <w:rPr>
                <w:rFonts w:hint="eastAsia" w:ascii="仿宋" w:hAnsi="仿宋" w:eastAsia="仿宋" w:cs="仿宋"/>
                <w:color w:val="000000"/>
                <w:sz w:val="21"/>
                <w:szCs w:val="21"/>
                <w:lang w:val="en-US" w:eastAsia="zh-CN"/>
              </w:rPr>
              <w:t>：</w:t>
            </w:r>
            <w:r>
              <w:rPr>
                <w:rFonts w:hint="eastAsia" w:ascii="仿宋" w:hAnsi="仿宋" w:eastAsia="仿宋" w:cs="仿宋"/>
                <w:color w:val="000000"/>
                <w:sz w:val="21"/>
                <w:szCs w:val="21"/>
              </w:rPr>
              <w:t>m/根</w:t>
            </w:r>
          </w:p>
        </w:tc>
        <w:tc>
          <w:tcPr>
            <w:tcW w:w="1063"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themeColor="text1"/>
                <w:sz w:val="21"/>
                <w:szCs w:val="21"/>
                <w:lang w:val="en-US" w:eastAsia="zh-CN"/>
                <w14:textFill>
                  <w14:solidFill>
                    <w14:schemeClr w14:val="tx1"/>
                  </w14:solidFill>
                </w14:textFill>
              </w:rPr>
              <w:t>主环线差环线线头（南侧）</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102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12</w:t>
            </w:r>
          </w:p>
        </w:tc>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highlight w:val="none"/>
                <w:lang w:eastAsia="zh-CN"/>
              </w:rPr>
            </w:pPr>
            <w:r>
              <w:rPr>
                <w:rFonts w:hint="eastAsia" w:ascii="仿宋" w:hAnsi="仿宋" w:eastAsia="仿宋" w:cs="仿宋"/>
                <w:color w:val="000000"/>
                <w:sz w:val="21"/>
                <w:szCs w:val="21"/>
                <w:highlight w:val="none"/>
                <w:lang w:val="en-US" w:eastAsia="zh-CN"/>
              </w:rPr>
              <w:t>4</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highlight w:val="none"/>
                <w:lang w:eastAsia="zh-CN"/>
              </w:rPr>
            </w:pPr>
            <w:r>
              <w:rPr>
                <w:rFonts w:hint="eastAsia" w:ascii="仿宋" w:hAnsi="仿宋" w:eastAsia="仿宋" w:cs="仿宋"/>
                <w:color w:val="000000"/>
                <w:sz w:val="21"/>
                <w:szCs w:val="21"/>
                <w:highlight w:val="none"/>
                <w:lang w:val="en-US" w:eastAsia="zh-CN"/>
              </w:rPr>
              <w:t>3</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color w:val="000000"/>
                <w:sz w:val="21"/>
                <w:szCs w:val="21"/>
                <w:highlight w:val="none"/>
                <w:lang w:val="en-US" w:eastAsia="zh-CN"/>
              </w:rPr>
              <w:t>4.5</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themeColor="text1"/>
                <w:lang w:val="en-US" w:eastAsia="zh-CN"/>
                <w14:textFill>
                  <w14:solidFill>
                    <w14:schemeClr w14:val="tx1"/>
                  </w14:solidFill>
                </w14:textFill>
              </w:rPr>
              <w:t>合环线线头（南侧）</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102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12</w:t>
            </w:r>
          </w:p>
        </w:tc>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highlight w:val="none"/>
                <w:lang w:eastAsia="zh-CN"/>
              </w:rPr>
            </w:pPr>
            <w:r>
              <w:rPr>
                <w:rFonts w:hint="eastAsia" w:ascii="仿宋" w:hAnsi="仿宋" w:eastAsia="仿宋" w:cs="仿宋"/>
                <w:color w:val="000000"/>
                <w:sz w:val="21"/>
                <w:szCs w:val="21"/>
                <w:highlight w:val="none"/>
                <w:lang w:val="en-US" w:eastAsia="zh-CN"/>
              </w:rPr>
              <w:t>4</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3</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4.5</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000000" w:themeColor="text1"/>
                <w:sz w:val="21"/>
                <w:szCs w:val="2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合环线线尾（北侧）</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500kg</w:t>
            </w:r>
          </w:p>
        </w:tc>
        <w:tc>
          <w:tcPr>
            <w:tcW w:w="102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12</w:t>
            </w:r>
          </w:p>
        </w:tc>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highlight w:val="none"/>
                <w:lang w:val="en-US" w:eastAsia="zh-CN" w:bidi="ar"/>
              </w:rPr>
            </w:pPr>
            <w:r>
              <w:rPr>
                <w:rFonts w:hint="eastAsia" w:ascii="仿宋" w:hAnsi="仿宋" w:eastAsia="仿宋" w:cs="仿宋"/>
                <w:color w:val="000000"/>
                <w:sz w:val="21"/>
                <w:szCs w:val="21"/>
                <w:highlight w:val="none"/>
                <w:lang w:val="en-US" w:eastAsia="zh-CN"/>
              </w:rPr>
              <w:t>4</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highlight w:val="none"/>
                <w:lang w:val="en-US" w:eastAsia="zh-CN" w:bidi="ar"/>
              </w:rPr>
            </w:pPr>
            <w:r>
              <w:rPr>
                <w:rFonts w:hint="eastAsia" w:ascii="仿宋" w:hAnsi="仿宋" w:eastAsia="仿宋" w:cs="仿宋"/>
                <w:color w:val="000000"/>
                <w:sz w:val="21"/>
                <w:szCs w:val="21"/>
                <w:highlight w:val="none"/>
                <w:lang w:val="en-US" w:eastAsia="zh-CN"/>
              </w:rPr>
              <w:t>3</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highlight w:val="none"/>
                <w:lang w:val="en-US" w:eastAsia="zh-CN" w:bidi="ar"/>
              </w:rPr>
            </w:pPr>
            <w:r>
              <w:rPr>
                <w:rFonts w:hint="eastAsia" w:ascii="仿宋" w:hAnsi="仿宋" w:eastAsia="仿宋" w:cs="仿宋"/>
                <w:color w:val="000000"/>
                <w:sz w:val="21"/>
                <w:szCs w:val="21"/>
                <w:highlight w:val="none"/>
                <w:lang w:val="en-US" w:eastAsia="zh-CN"/>
              </w:rPr>
              <w:t>4.5</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合环线东西两侧</w:t>
            </w:r>
          </w:p>
        </w:tc>
        <w:tc>
          <w:tcPr>
            <w:tcW w:w="1066" w:type="dxa"/>
            <w:tcBorders>
              <w:top w:val="single" w:color="000000" w:sz="4" w:space="0"/>
              <w:left w:val="single" w:color="000000" w:sz="4" w:space="0"/>
              <w:bottom w:val="single" w:color="000000" w:sz="4" w:space="0"/>
              <w:right w:val="single" w:color="auto"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rPr>
              <w:t>250Kg</w:t>
            </w:r>
          </w:p>
        </w:tc>
        <w:tc>
          <w:tcPr>
            <w:tcW w:w="1021" w:type="dxa"/>
            <w:gridSpan w:val="2"/>
            <w:tcBorders>
              <w:top w:val="single" w:color="000000" w:sz="4" w:space="0"/>
              <w:left w:val="single" w:color="auto" w:sz="4" w:space="0"/>
              <w:bottom w:val="single" w:color="000000" w:sz="4" w:space="0"/>
              <w:right w:val="single" w:color="auto"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default" w:ascii="仿宋" w:hAnsi="仿宋" w:eastAsia="仿宋" w:cs="仿宋"/>
                <w:kern w:val="0"/>
                <w:sz w:val="21"/>
                <w:szCs w:val="21"/>
                <w:lang w:val="en-US" w:eastAsia="zh-CN" w:bidi="ar"/>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10×2</w:t>
            </w:r>
          </w:p>
        </w:tc>
        <w:tc>
          <w:tcPr>
            <w:tcW w:w="898" w:type="dxa"/>
            <w:gridSpan w:val="2"/>
            <w:tcBorders>
              <w:top w:val="single" w:color="000000" w:sz="4" w:space="0"/>
              <w:left w:val="single" w:color="auto"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default" w:ascii="仿宋" w:hAnsi="仿宋" w:eastAsia="仿宋" w:cs="仿宋"/>
                <w:kern w:val="0"/>
                <w:sz w:val="21"/>
                <w:szCs w:val="21"/>
                <w:highlight w:val="none"/>
                <w:lang w:val="en-US" w:eastAsia="zh-CN" w:bidi="ar"/>
              </w:rPr>
            </w:pPr>
            <w:r>
              <w:rPr>
                <w:rFonts w:hint="eastAsia" w:ascii="仿宋" w:hAnsi="仿宋" w:eastAsia="仿宋" w:cs="仿宋"/>
                <w:kern w:val="0"/>
                <w:sz w:val="21"/>
                <w:szCs w:val="21"/>
                <w:highlight w:val="none"/>
                <w:lang w:val="en-US" w:eastAsia="zh-CN" w:bidi="ar"/>
              </w:rPr>
              <w:t>4</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lang w:val="en-US" w:eastAsia="zh-CN"/>
              </w:rPr>
              <w:t>4</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default" w:ascii="仿宋" w:hAnsi="仿宋" w:eastAsia="仿宋" w:cs="仿宋"/>
                <w:kern w:val="0"/>
                <w:sz w:val="21"/>
                <w:szCs w:val="21"/>
                <w:lang w:val="en-US" w:eastAsia="zh-CN" w:bidi="ar"/>
              </w:rPr>
            </w:pPr>
            <w:r>
              <w:rPr>
                <w:rFonts w:hint="eastAsia" w:ascii="仿宋" w:hAnsi="仿宋" w:eastAsia="仿宋" w:cs="仿宋"/>
                <w:kern w:val="0"/>
                <w:sz w:val="21"/>
                <w:szCs w:val="21"/>
                <w:lang w:val="en-US" w:eastAsia="zh-CN" w:bidi="ar"/>
              </w:rPr>
              <w:t>4.5</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仿宋" w:hAnsi="仿宋" w:eastAsia="仿宋" w:cs="仿宋"/>
                <w:kern w:val="0"/>
                <w:sz w:val="21"/>
                <w:szCs w:val="21"/>
                <w:lang w:val="en-US" w:eastAsia="zh-CN" w:bidi="ar"/>
              </w:rPr>
            </w:pPr>
            <w:r>
              <w:rPr>
                <w:rFonts w:hint="eastAsia" w:ascii="仿宋" w:hAnsi="仿宋" w:eastAsia="仿宋" w:cs="仿宋"/>
                <w:color w:val="000000"/>
                <w:sz w:val="21"/>
                <w:szCs w:val="21"/>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2466" w:type="dxa"/>
            <w:gridSpan w:val="3"/>
            <w:tcBorders>
              <w:top w:val="single" w:color="000000" w:sz="4" w:space="0"/>
              <w:left w:val="single" w:color="000000" w:sz="4" w:space="0"/>
              <w:bottom w:val="single" w:color="000000" w:sz="4" w:space="0"/>
              <w:right w:val="single" w:color="auto"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合计</w:t>
            </w:r>
          </w:p>
        </w:tc>
        <w:tc>
          <w:tcPr>
            <w:tcW w:w="1021" w:type="dxa"/>
            <w:gridSpan w:val="2"/>
            <w:tcBorders>
              <w:top w:val="single" w:color="000000" w:sz="4" w:space="0"/>
              <w:left w:val="single" w:color="auto" w:sz="4" w:space="0"/>
              <w:bottom w:val="single" w:color="000000" w:sz="4" w:space="0"/>
              <w:right w:val="single" w:color="auto"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112</w:t>
            </w:r>
          </w:p>
        </w:tc>
        <w:tc>
          <w:tcPr>
            <w:tcW w:w="893" w:type="dxa"/>
            <w:tcBorders>
              <w:top w:val="single" w:color="000000" w:sz="4" w:space="0"/>
              <w:left w:val="single" w:color="auto"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000000"/>
                <w:sz w:val="21"/>
                <w:szCs w:val="21"/>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13</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58.3</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7615" w:type="dxa"/>
            <w:gridSpan w:val="9"/>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left"/>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注：采用II型结构，高度约4M。</w:t>
            </w:r>
          </w:p>
        </w:tc>
      </w:tr>
    </w:tbl>
    <w:p>
      <w:pPr>
        <w:pStyle w:val="17"/>
        <w:snapToGrid w:val="0"/>
        <w:spacing w:line="360" w:lineRule="auto"/>
        <w:ind w:firstLine="480" w:firstLineChars="200"/>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3.1.2 轮毂总成装配产能提升技改项目</w:t>
      </w:r>
    </w:p>
    <w:p>
      <w:pPr>
        <w:pStyle w:val="17"/>
        <w:snapToGrid w:val="0"/>
        <w:spacing w:line="360" w:lineRule="auto"/>
        <w:ind w:firstLine="480" w:firstLineChars="200"/>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（1）轮毂总成装配线</w:t>
      </w:r>
      <w:r>
        <w:rPr>
          <w:rFonts w:hint="eastAsia" w:ascii="仿宋" w:hAnsi="仿宋" w:eastAsia="仿宋" w:cs="仿宋"/>
          <w:color w:val="auto"/>
          <w:highlight w:val="none"/>
        </w:rPr>
        <w:t>柔性吊</w:t>
      </w:r>
      <w:r>
        <w:rPr>
          <w:rFonts w:hint="eastAsia" w:ascii="仿宋" w:hAnsi="仿宋" w:eastAsia="仿宋" w:cs="仿宋"/>
          <w:color w:val="auto"/>
          <w:highlight w:val="none"/>
          <w:lang w:eastAsia="zh-CN"/>
        </w:rPr>
        <w:t>纵轨</w:t>
      </w:r>
      <w:r>
        <w:rPr>
          <w:rFonts w:hint="eastAsia" w:ascii="仿宋" w:hAnsi="仿宋" w:eastAsia="仿宋" w:cs="仿宋"/>
          <w:color w:val="auto"/>
          <w:highlight w:val="none"/>
          <w:lang w:val="en-US" w:eastAsia="zh-CN"/>
        </w:rPr>
        <w:t>东西</w:t>
      </w:r>
      <w:r>
        <w:rPr>
          <w:rFonts w:hint="eastAsia" w:ascii="仿宋" w:hAnsi="仿宋" w:eastAsia="仿宋" w:cs="仿宋"/>
          <w:color w:val="auto"/>
          <w:highlight w:val="none"/>
        </w:rPr>
        <w:t>方向排列，横</w:t>
      </w:r>
      <w:r>
        <w:rPr>
          <w:rFonts w:hint="eastAsia" w:ascii="仿宋" w:hAnsi="仿宋" w:eastAsia="仿宋" w:cs="仿宋"/>
          <w:color w:val="auto"/>
          <w:highlight w:val="none"/>
          <w:lang w:val="en-US" w:eastAsia="zh-CN"/>
        </w:rPr>
        <w:t>轨南北</w:t>
      </w:r>
      <w:r>
        <w:rPr>
          <w:rFonts w:hint="eastAsia" w:ascii="仿宋" w:hAnsi="仿宋" w:eastAsia="仿宋" w:cs="仿宋"/>
          <w:color w:val="auto"/>
          <w:highlight w:val="none"/>
        </w:rPr>
        <w:t>方向排列。</w:t>
      </w:r>
      <w:r>
        <w:rPr>
          <w:rFonts w:hint="eastAsia" w:ascii="仿宋" w:hAnsi="仿宋" w:eastAsia="仿宋" w:cs="仿宋"/>
          <w:color w:val="auto"/>
          <w:highlight w:val="none"/>
          <w:lang w:val="en-US" w:eastAsia="zh-CN"/>
        </w:rPr>
        <w:t>加装4套柔性吊</w:t>
      </w:r>
      <w:r>
        <w:rPr>
          <w:rFonts w:hint="eastAsia" w:ascii="仿宋" w:hAnsi="仿宋" w:eastAsia="仿宋" w:cs="仿宋"/>
          <w:color w:val="auto"/>
          <w:highlight w:val="none"/>
        </w:rPr>
        <w:t>用于</w:t>
      </w:r>
      <w:r>
        <w:rPr>
          <w:rFonts w:hint="eastAsia" w:ascii="仿宋" w:hAnsi="仿宋" w:eastAsia="仿宋" w:cs="仿宋"/>
          <w:color w:val="auto"/>
          <w:highlight w:val="none"/>
          <w:lang w:val="en-US" w:eastAsia="zh-CN"/>
        </w:rPr>
        <w:t>轮毂上线及轮毂总成下线</w:t>
      </w:r>
      <w:r>
        <w:rPr>
          <w:rFonts w:hint="eastAsia" w:ascii="仿宋" w:hAnsi="仿宋" w:eastAsia="仿宋" w:cs="仿宋"/>
          <w:color w:val="auto"/>
          <w:highlight w:val="none"/>
        </w:rPr>
        <w:t>的吊运；</w:t>
      </w:r>
    </w:p>
    <w:p>
      <w:pPr>
        <w:pStyle w:val="17"/>
        <w:snapToGrid w:val="0"/>
        <w:spacing w:line="360" w:lineRule="auto"/>
        <w:ind w:left="0" w:leftChars="0" w:firstLine="0" w:firstLineChars="0"/>
        <w:jc w:val="center"/>
        <w:rPr>
          <w:rFonts w:hint="eastAsia" w:ascii="仿宋" w:hAnsi="仿宋" w:eastAsia="仿宋" w:cs="仿宋"/>
          <w:color w:val="auto"/>
          <w:highlight w:val="none"/>
        </w:rPr>
      </w:pPr>
      <w:r>
        <w:rPr>
          <w:rFonts w:hint="eastAsia" w:eastAsia="宋体"/>
          <w:color w:val="auto"/>
          <w:highlight w:val="none"/>
          <w:lang w:eastAsia="zh-CN"/>
        </w:rPr>
        <w:drawing>
          <wp:inline distT="0" distB="0" distL="114300" distR="114300">
            <wp:extent cx="1858645" cy="4437380"/>
            <wp:effectExtent l="0" t="0" r="1270" b="8255"/>
            <wp:docPr id="6" name="图片 6" descr="022662e3-747a-472a-9478-8f3f08f1b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22662e3-747a-472a-9478-8f3f08f1b307"/>
                    <pic:cNvPicPr>
                      <a:picLocks noChangeAspect="1"/>
                    </pic:cNvPicPr>
                  </pic:nvPicPr>
                  <pic:blipFill>
                    <a:blip r:embed="rId25"/>
                    <a:srcRect l="15782" r="11545"/>
                    <a:stretch>
                      <a:fillRect/>
                    </a:stretch>
                  </pic:blipFill>
                  <pic:spPr>
                    <a:xfrm rot="5400000">
                      <a:off x="0" y="0"/>
                      <a:ext cx="1858645" cy="4437380"/>
                    </a:xfrm>
                    <a:prstGeom prst="rect">
                      <a:avLst/>
                    </a:prstGeom>
                  </pic:spPr>
                </pic:pic>
              </a:graphicData>
            </a:graphic>
          </wp:inline>
        </w:drawing>
      </w:r>
    </w:p>
    <w:p>
      <w:pPr>
        <w:pStyle w:val="17"/>
        <w:snapToGrid w:val="0"/>
        <w:spacing w:line="360" w:lineRule="auto"/>
        <w:ind w:firstLine="480" w:firstLineChars="200"/>
        <w:rPr>
          <w:rFonts w:hint="eastAsia" w:eastAsia="宋体"/>
          <w:color w:val="auto"/>
          <w:highlight w:val="none"/>
          <w:lang w:eastAsia="zh-CN"/>
        </w:rPr>
      </w:pPr>
    </w:p>
    <w:p>
      <w:pPr>
        <w:pStyle w:val="17"/>
        <w:snapToGrid w:val="0"/>
        <w:spacing w:line="360" w:lineRule="auto"/>
        <w:ind w:firstLine="480" w:firstLineChars="200"/>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（2）建设方案要求</w:t>
      </w:r>
    </w:p>
    <w:p>
      <w:pPr>
        <w:pStyle w:val="17"/>
        <w:snapToGrid w:val="0"/>
        <w:spacing w:line="360" w:lineRule="auto"/>
        <w:ind w:firstLine="480" w:firstLineChars="200"/>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轮毂总成装配线：加装柔性吊纵轨、滑线，横轨4根每根长度6.5米，起升高度不低于3.8米；纵轨四根，两根长度20米，两根长度8米，跨度6米；新增4套250kg柔性吊（含横轨）及相应集电器及支架等柔性吊必需附件。纵轨固定在线体上方钢结构上</w:t>
      </w:r>
    </w:p>
    <w:p>
      <w:pPr>
        <w:pStyle w:val="17"/>
        <w:snapToGrid w:val="0"/>
        <w:spacing w:line="360" w:lineRule="auto"/>
        <w:ind w:firstLine="480" w:firstLineChars="200"/>
        <w:rPr>
          <w:rFonts w:hint="eastAsia" w:ascii="仿宋" w:hAnsi="仿宋" w:eastAsia="仿宋" w:cs="仿宋"/>
          <w:color w:val="auto"/>
          <w:highlight w:val="none"/>
        </w:rPr>
      </w:pPr>
      <w:r>
        <w:rPr>
          <w:rFonts w:hint="eastAsia" w:ascii="仿宋" w:hAnsi="仿宋" w:eastAsia="仿宋" w:cs="仿宋"/>
          <w:color w:val="auto"/>
          <w:highlight w:val="none"/>
        </w:rPr>
        <w:t>柔性吊具体</w:t>
      </w:r>
      <w:r>
        <w:rPr>
          <w:rFonts w:hint="eastAsia" w:ascii="仿宋" w:hAnsi="仿宋" w:eastAsia="仿宋" w:cs="仿宋"/>
          <w:color w:val="auto"/>
          <w:highlight w:val="none"/>
          <w:lang w:val="en-US" w:eastAsia="zh-CN"/>
        </w:rPr>
        <w:t>数量归纳</w:t>
      </w:r>
      <w:r>
        <w:rPr>
          <w:rFonts w:hint="eastAsia" w:ascii="仿宋" w:hAnsi="仿宋" w:eastAsia="仿宋" w:cs="仿宋"/>
          <w:color w:val="auto"/>
          <w:highlight w:val="none"/>
        </w:rPr>
        <w:t>如下：</w:t>
      </w:r>
    </w:p>
    <w:tbl>
      <w:tblPr>
        <w:tblStyle w:val="31"/>
        <w:tblW w:w="81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566"/>
        <w:gridCol w:w="976"/>
        <w:gridCol w:w="1056"/>
        <w:gridCol w:w="926"/>
        <w:gridCol w:w="1075"/>
        <w:gridCol w:w="1169"/>
        <w:gridCol w:w="13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56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安装位置</w:t>
            </w:r>
          </w:p>
        </w:tc>
        <w:tc>
          <w:tcPr>
            <w:tcW w:w="97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规格</w:t>
            </w:r>
          </w:p>
        </w:tc>
        <w:tc>
          <w:tcPr>
            <w:tcW w:w="19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纵轨</w:t>
            </w:r>
          </w:p>
        </w:tc>
        <w:tc>
          <w:tcPr>
            <w:tcW w:w="22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横轨</w:t>
            </w:r>
          </w:p>
        </w:tc>
        <w:tc>
          <w:tcPr>
            <w:tcW w:w="1390"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环链</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吊葫芦</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5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p>
        </w:tc>
        <w:tc>
          <w:tcPr>
            <w:tcW w:w="9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长度/m</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跨距/m</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数量/根</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长</w:t>
            </w: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rPr>
              <w:t>m/根</w:t>
            </w:r>
          </w:p>
        </w:tc>
        <w:tc>
          <w:tcPr>
            <w:tcW w:w="1390"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5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前轮毂上线工位</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250Kg</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2×</w:t>
            </w:r>
            <w:r>
              <w:rPr>
                <w:rFonts w:hint="eastAsia" w:ascii="仿宋" w:hAnsi="仿宋" w:eastAsia="仿宋" w:cs="仿宋"/>
                <w:color w:val="auto"/>
                <w:sz w:val="21"/>
                <w:szCs w:val="21"/>
                <w:highlight w:val="none"/>
                <w:lang w:val="en-US" w:eastAsia="zh-CN"/>
              </w:rPr>
              <w:t>20</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8</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6</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4</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6.5</w:t>
            </w:r>
          </w:p>
        </w:tc>
        <w:tc>
          <w:tcPr>
            <w:tcW w:w="1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254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合计</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56</w:t>
            </w:r>
            <w:r>
              <w:rPr>
                <w:rFonts w:hint="eastAsia" w:ascii="仿宋" w:hAnsi="仿宋" w:eastAsia="仿宋" w:cs="仿宋"/>
                <w:color w:val="auto"/>
                <w:sz w:val="21"/>
                <w:szCs w:val="21"/>
                <w:highlight w:val="none"/>
              </w:rPr>
              <w:t>米</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rPr>
            </w:pP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4</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26</w:t>
            </w:r>
          </w:p>
        </w:tc>
        <w:tc>
          <w:tcPr>
            <w:tcW w:w="1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8158"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left"/>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注：采用II型结构，高度约5M。</w:t>
            </w:r>
          </w:p>
        </w:tc>
      </w:tr>
    </w:tbl>
    <w:p>
      <w:pPr>
        <w:pStyle w:val="17"/>
        <w:snapToGrid w:val="0"/>
        <w:spacing w:line="360" w:lineRule="auto"/>
        <w:ind w:firstLine="480" w:firstLineChars="200"/>
        <w:jc w:val="center"/>
      </w:pPr>
    </w:p>
    <w:p>
      <w:pPr>
        <w:pStyle w:val="17"/>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3.1.3 电驱桥总成齿轮油定量加注技改项目</w:t>
      </w:r>
    </w:p>
    <w:p>
      <w:pPr>
        <w:pStyle w:val="17"/>
        <w:snapToGrid w:val="0"/>
        <w:spacing w:line="360" w:lineRule="auto"/>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（1）驱动桥桥库发交区</w:t>
      </w:r>
      <w:r>
        <w:rPr>
          <w:rFonts w:hint="eastAsia" w:ascii="仿宋" w:hAnsi="仿宋" w:eastAsia="仿宋" w:cs="仿宋"/>
          <w:color w:val="000000"/>
          <w:sz w:val="24"/>
          <w:szCs w:val="24"/>
        </w:rPr>
        <w:t>柔性吊</w:t>
      </w:r>
      <w:r>
        <w:rPr>
          <w:rFonts w:hint="eastAsia" w:ascii="仿宋" w:hAnsi="仿宋" w:eastAsia="仿宋" w:cs="仿宋"/>
          <w:color w:val="000000"/>
          <w:sz w:val="24"/>
          <w:szCs w:val="24"/>
          <w:lang w:eastAsia="zh-CN"/>
        </w:rPr>
        <w:t>纵轨</w:t>
      </w:r>
      <w:r>
        <w:rPr>
          <w:rFonts w:hint="eastAsia" w:ascii="仿宋" w:hAnsi="仿宋" w:eastAsia="仿宋" w:cs="仿宋"/>
          <w:color w:val="000000"/>
          <w:sz w:val="24"/>
          <w:szCs w:val="24"/>
        </w:rPr>
        <w:t>南北方向排列，横</w:t>
      </w:r>
      <w:r>
        <w:rPr>
          <w:rFonts w:hint="eastAsia" w:ascii="仿宋" w:hAnsi="仿宋" w:eastAsia="仿宋" w:cs="仿宋"/>
          <w:color w:val="000000"/>
          <w:sz w:val="24"/>
          <w:szCs w:val="24"/>
          <w:lang w:val="en-US" w:eastAsia="zh-CN"/>
        </w:rPr>
        <w:t>轨</w:t>
      </w:r>
      <w:r>
        <w:rPr>
          <w:rFonts w:hint="eastAsia" w:ascii="仿宋" w:hAnsi="仿宋" w:eastAsia="仿宋" w:cs="仿宋"/>
          <w:color w:val="000000"/>
          <w:sz w:val="24"/>
          <w:szCs w:val="24"/>
        </w:rPr>
        <w:t>东西方向排列</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用于</w:t>
      </w:r>
      <w:r>
        <w:rPr>
          <w:rFonts w:hint="eastAsia" w:ascii="仿宋" w:hAnsi="仿宋" w:eastAsia="仿宋" w:cs="仿宋"/>
          <w:color w:val="000000"/>
          <w:sz w:val="24"/>
          <w:szCs w:val="24"/>
          <w:lang w:val="en-US" w:eastAsia="zh-CN"/>
        </w:rPr>
        <w:t>桥总成的转运、翻转，位置见下图</w:t>
      </w:r>
      <w:r>
        <w:rPr>
          <w:rFonts w:hint="eastAsia" w:ascii="仿宋" w:hAnsi="仿宋" w:eastAsia="仿宋" w:cs="仿宋"/>
          <w:color w:val="000000"/>
          <w:sz w:val="24"/>
          <w:szCs w:val="24"/>
        </w:rPr>
        <w:t>；</w:t>
      </w:r>
    </w:p>
    <w:p>
      <w:pPr>
        <w:pStyle w:val="17"/>
        <w:snapToGrid w:val="0"/>
        <w:spacing w:line="360" w:lineRule="auto"/>
        <w:ind w:left="0" w:leftChars="0" w:firstLine="0" w:firstLineChars="0"/>
        <w:jc w:val="center"/>
        <w:rPr>
          <w:rFonts w:hint="eastAsia" w:ascii="仿宋" w:hAnsi="仿宋" w:eastAsia="仿宋" w:cs="仿宋"/>
          <w:color w:val="000000"/>
          <w:sz w:val="24"/>
          <w:szCs w:val="24"/>
        </w:rPr>
      </w:pPr>
      <w:r>
        <w:drawing>
          <wp:inline distT="0" distB="0" distL="114300" distR="114300">
            <wp:extent cx="3250565" cy="3526790"/>
            <wp:effectExtent l="0" t="0" r="6985" b="1651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26"/>
                    <a:stretch>
                      <a:fillRect/>
                    </a:stretch>
                  </pic:blipFill>
                  <pic:spPr>
                    <a:xfrm>
                      <a:off x="0" y="0"/>
                      <a:ext cx="3250565" cy="3526790"/>
                    </a:xfrm>
                    <a:prstGeom prst="rect">
                      <a:avLst/>
                    </a:prstGeom>
                    <a:noFill/>
                    <a:ln>
                      <a:noFill/>
                    </a:ln>
                  </pic:spPr>
                </pic:pic>
              </a:graphicData>
            </a:graphic>
          </wp:inline>
        </w:drawing>
      </w:r>
    </w:p>
    <w:p>
      <w:pPr>
        <w:pStyle w:val="17"/>
        <w:snapToGrid w:val="0"/>
        <w:spacing w:line="360" w:lineRule="auto"/>
        <w:ind w:left="0" w:leftChars="0" w:firstLine="0" w:firstLineChars="0"/>
        <w:rPr>
          <w:rFonts w:hint="eastAsia" w:ascii="仿宋" w:hAnsi="仿宋" w:eastAsia="仿宋" w:cs="仿宋"/>
          <w:color w:val="000000"/>
          <w:highlight w:val="yellow"/>
        </w:rPr>
      </w:pPr>
    </w:p>
    <w:p>
      <w:pPr>
        <w:pStyle w:val="17"/>
        <w:numPr>
          <w:ilvl w:val="0"/>
          <w:numId w:val="29"/>
        </w:numPr>
        <w:snapToGrid w:val="0"/>
        <w:spacing w:line="360" w:lineRule="auto"/>
        <w:ind w:firstLine="480" w:firstLineChars="200"/>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建设方案要求</w:t>
      </w:r>
    </w:p>
    <w:p>
      <w:pPr>
        <w:spacing w:line="360" w:lineRule="auto"/>
        <w:ind w:firstLine="480" w:firstLineChars="200"/>
        <w:jc w:val="left"/>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增加柔性吊</w:t>
      </w:r>
      <w:r>
        <w:rPr>
          <w:rFonts w:hint="eastAsia" w:ascii="仿宋" w:hAnsi="仿宋" w:eastAsia="仿宋" w:cs="仿宋"/>
          <w:color w:val="000000"/>
          <w:sz w:val="24"/>
          <w:szCs w:val="24"/>
          <w:highlight w:val="none"/>
        </w:rPr>
        <w:t>纵轨、滑线，横轨长度8米，起升高度不低于</w:t>
      </w:r>
      <w:r>
        <w:rPr>
          <w:rFonts w:hint="eastAsia" w:ascii="仿宋" w:hAnsi="仿宋" w:eastAsia="仿宋" w:cs="仿宋"/>
          <w:color w:val="000000"/>
          <w:sz w:val="24"/>
          <w:szCs w:val="24"/>
          <w:highlight w:val="none"/>
          <w:lang w:val="en-US" w:eastAsia="zh-CN"/>
        </w:rPr>
        <w:t>4</w:t>
      </w:r>
      <w:r>
        <w:rPr>
          <w:rFonts w:hint="eastAsia" w:ascii="仿宋" w:hAnsi="仿宋" w:eastAsia="仿宋" w:cs="仿宋"/>
          <w:color w:val="000000"/>
          <w:sz w:val="24"/>
          <w:szCs w:val="24"/>
          <w:highlight w:val="none"/>
        </w:rPr>
        <w:t>米</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纵轨</w:t>
      </w:r>
      <w:r>
        <w:rPr>
          <w:rFonts w:hint="eastAsia" w:ascii="仿宋" w:hAnsi="仿宋" w:eastAsia="仿宋" w:cs="仿宋"/>
          <w:color w:val="000000"/>
          <w:sz w:val="24"/>
          <w:szCs w:val="24"/>
          <w:highlight w:val="none"/>
          <w:lang w:val="en-US" w:eastAsia="zh-CN"/>
        </w:rPr>
        <w:t>两根，每根11米</w:t>
      </w:r>
      <w:r>
        <w:rPr>
          <w:rFonts w:hint="eastAsia" w:ascii="仿宋" w:hAnsi="仿宋" w:eastAsia="仿宋" w:cs="仿宋"/>
          <w:color w:val="000000"/>
          <w:sz w:val="24"/>
          <w:szCs w:val="24"/>
          <w:highlight w:val="none"/>
        </w:rPr>
        <w:t>，安装在现有钢结构上；</w:t>
      </w:r>
      <w:r>
        <w:rPr>
          <w:rFonts w:hint="eastAsia" w:ascii="仿宋" w:hAnsi="仿宋" w:eastAsia="仿宋" w:cs="仿宋"/>
          <w:color w:val="000000"/>
          <w:sz w:val="24"/>
          <w:szCs w:val="24"/>
          <w:highlight w:val="none"/>
          <w:lang w:val="en-US" w:eastAsia="zh-CN"/>
        </w:rPr>
        <w:t>增加1.5T柔性吊1台</w:t>
      </w:r>
      <w:r>
        <w:rPr>
          <w:rFonts w:hint="eastAsia" w:ascii="仿宋" w:hAnsi="仿宋" w:eastAsia="仿宋" w:cs="仿宋"/>
          <w:color w:val="000000"/>
          <w:sz w:val="24"/>
          <w:szCs w:val="24"/>
          <w:highlight w:val="none"/>
        </w:rPr>
        <w:t>，</w:t>
      </w:r>
      <w:r>
        <w:rPr>
          <w:rFonts w:hint="eastAsia" w:ascii="仿宋" w:hAnsi="仿宋" w:eastAsia="仿宋" w:cs="仿宋"/>
          <w:color w:val="000000"/>
          <w:sz w:val="24"/>
          <w:szCs w:val="24"/>
          <w:highlight w:val="none"/>
          <w:lang w:val="en-US" w:eastAsia="zh-CN"/>
        </w:rPr>
        <w:t>并配套</w:t>
      </w:r>
      <w:r>
        <w:rPr>
          <w:rFonts w:hint="eastAsia" w:ascii="仿宋" w:hAnsi="仿宋" w:eastAsia="仿宋" w:cs="仿宋"/>
          <w:color w:val="000000"/>
          <w:sz w:val="24"/>
          <w:szCs w:val="24"/>
          <w:highlight w:val="none"/>
        </w:rPr>
        <w:t>相应集电器及支架。</w:t>
      </w:r>
      <w:r>
        <w:rPr>
          <w:rFonts w:hint="eastAsia" w:ascii="仿宋" w:hAnsi="仿宋" w:eastAsia="仿宋" w:cs="仿宋"/>
          <w:color w:val="000000"/>
          <w:sz w:val="24"/>
          <w:szCs w:val="24"/>
          <w:highlight w:val="none"/>
          <w:lang w:val="en-US" w:eastAsia="zh-CN"/>
        </w:rPr>
        <w:t>左右、前后移动控制方式为电动控制，具备手柄和遥控两种控制方式。</w:t>
      </w:r>
    </w:p>
    <w:tbl>
      <w:tblPr>
        <w:tblStyle w:val="31"/>
        <w:tblW w:w="81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41"/>
        <w:gridCol w:w="1101"/>
        <w:gridCol w:w="1056"/>
        <w:gridCol w:w="926"/>
        <w:gridCol w:w="1075"/>
        <w:gridCol w:w="1169"/>
        <w:gridCol w:w="13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144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lang w:val="en-US" w:eastAsia="zh-CN"/>
              </w:rPr>
              <w:t>安装位置</w:t>
            </w: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规格</w:t>
            </w:r>
          </w:p>
        </w:tc>
        <w:tc>
          <w:tcPr>
            <w:tcW w:w="19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纵轨</w:t>
            </w:r>
          </w:p>
        </w:tc>
        <w:tc>
          <w:tcPr>
            <w:tcW w:w="22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横轨</w:t>
            </w:r>
          </w:p>
        </w:tc>
        <w:tc>
          <w:tcPr>
            <w:tcW w:w="1390"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环链</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吊葫芦</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trPr>
        <w:tc>
          <w:tcPr>
            <w:tcW w:w="14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长度/m</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跨距/m</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数量/根</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w:t>
            </w:r>
            <w:r>
              <w:rPr>
                <w:rFonts w:hint="eastAsia" w:ascii="仿宋" w:hAnsi="仿宋" w:eastAsia="仿宋" w:cs="仿宋"/>
                <w:color w:val="000000"/>
                <w:sz w:val="21"/>
                <w:szCs w:val="21"/>
                <w:lang w:val="en-US" w:eastAsia="zh-CN"/>
              </w:rPr>
              <w:t>：</w:t>
            </w:r>
            <w:r>
              <w:rPr>
                <w:rFonts w:hint="eastAsia" w:ascii="仿宋" w:hAnsi="仿宋" w:eastAsia="仿宋" w:cs="仿宋"/>
                <w:color w:val="000000"/>
                <w:sz w:val="21"/>
                <w:szCs w:val="21"/>
              </w:rPr>
              <w:t>m/根</w:t>
            </w:r>
          </w:p>
        </w:tc>
        <w:tc>
          <w:tcPr>
            <w:tcW w:w="1390"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144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color w:val="000000"/>
                <w:sz w:val="21"/>
                <w:szCs w:val="21"/>
                <w:lang w:val="en-US" w:eastAsia="zh-CN"/>
              </w:rPr>
              <w:t>驱动桥桥库发交区</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1.5T</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rPr>
              <w:t>2×</w:t>
            </w:r>
            <w:r>
              <w:rPr>
                <w:rFonts w:hint="eastAsia" w:ascii="仿宋" w:hAnsi="仿宋" w:eastAsia="仿宋" w:cs="仿宋"/>
                <w:color w:val="000000"/>
                <w:sz w:val="21"/>
                <w:szCs w:val="21"/>
                <w:lang w:val="en-US" w:eastAsia="zh-CN"/>
              </w:rPr>
              <w:t>11</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7.5</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1</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tabs>
                <w:tab w:val="left" w:pos="381"/>
                <w:tab w:val="center" w:pos="632"/>
              </w:tabs>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color w:val="000000"/>
                <w:sz w:val="21"/>
                <w:szCs w:val="21"/>
                <w:highlight w:val="none"/>
                <w:lang w:val="en-US" w:eastAsia="zh-CN"/>
              </w:rPr>
              <w:t>8</w:t>
            </w:r>
          </w:p>
        </w:tc>
        <w:tc>
          <w:tcPr>
            <w:tcW w:w="1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254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合计</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22</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rPr>
            </w:pP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1</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13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trPr>
        <w:tc>
          <w:tcPr>
            <w:tcW w:w="8158"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jc w:val="left"/>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注：采用II型结构，高度不低于4M。</w:t>
            </w:r>
          </w:p>
        </w:tc>
      </w:tr>
    </w:tbl>
    <w:p>
      <w:pPr>
        <w:pStyle w:val="17"/>
        <w:keepNext w:val="0"/>
        <w:keepLines w:val="0"/>
        <w:pageBreakBefore w:val="0"/>
        <w:widowControl w:val="0"/>
        <w:numPr>
          <w:ilvl w:val="0"/>
          <w:numId w:val="0"/>
        </w:numPr>
        <w:kinsoku/>
        <w:wordWrap/>
        <w:overflowPunct/>
        <w:topLinePunct w:val="0"/>
        <w:autoSpaceDE/>
        <w:autoSpaceDN/>
        <w:bidi w:val="0"/>
        <w:adjustRightInd/>
        <w:snapToGrid w:val="0"/>
        <w:spacing w:before="164" w:beforeLines="50" w:line="360" w:lineRule="auto"/>
        <w:ind w:firstLine="480" w:firstLineChars="200"/>
        <w:jc w:val="both"/>
        <w:textAlignment w:val="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3.2技术性能参数：</w:t>
      </w:r>
    </w:p>
    <w:p>
      <w:pPr>
        <w:pStyle w:val="17"/>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3.2.1起升高度和跨度：（见</w:t>
      </w:r>
      <w:r>
        <w:rPr>
          <w:rFonts w:hint="eastAsia" w:ascii="仿宋" w:hAnsi="仿宋" w:eastAsia="仿宋" w:cs="仿宋"/>
          <w:color w:val="000000" w:themeColor="text1"/>
          <w:lang w:val="en-US" w:eastAsia="zh-CN"/>
          <w14:textFill>
            <w14:solidFill>
              <w14:schemeClr w14:val="tx1"/>
            </w14:solidFill>
          </w14:textFill>
        </w:rPr>
        <w:t>3.1</w:t>
      </w:r>
      <w:r>
        <w:rPr>
          <w:rFonts w:hint="eastAsia" w:ascii="仿宋" w:hAnsi="仿宋" w:eastAsia="仿宋" w:cs="仿宋"/>
          <w:color w:val="000000" w:themeColor="text1"/>
          <w14:textFill>
            <w14:solidFill>
              <w14:schemeClr w14:val="tx1"/>
            </w14:solidFill>
          </w14:textFill>
        </w:rPr>
        <w:t>，仅供参考，以实际</w:t>
      </w:r>
      <w:r>
        <w:rPr>
          <w:rFonts w:hint="eastAsia" w:ascii="仿宋" w:hAnsi="仿宋" w:eastAsia="仿宋" w:cs="仿宋"/>
          <w:color w:val="000000" w:themeColor="text1"/>
          <w:highlight w:val="none"/>
          <w14:textFill>
            <w14:solidFill>
              <w14:schemeClr w14:val="tx1"/>
            </w14:solidFill>
          </w14:textFill>
        </w:rPr>
        <w:t>提升高度和跨度为准）</w:t>
      </w:r>
    </w:p>
    <w:p>
      <w:pPr>
        <w:pStyle w:val="17"/>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★3.2.2 起升速度：环链葫芦＞8-2m/min。</w:t>
      </w:r>
    </w:p>
    <w:p>
      <w:pPr>
        <w:pStyle w:val="17"/>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★3.2.3 吊具配置双速电机；高低速控制手柄。</w:t>
      </w:r>
      <w:r>
        <w:rPr>
          <w:rFonts w:hint="eastAsia" w:ascii="仿宋" w:hAnsi="仿宋" w:eastAsia="仿宋" w:cs="仿宋"/>
          <w:color w:val="000000" w:themeColor="text1"/>
          <w:highlight w:val="none"/>
          <w:lang w:val="en-US" w:eastAsia="zh-CN"/>
          <w14:textFill>
            <w14:solidFill>
              <w14:schemeClr w14:val="tx1"/>
            </w14:solidFill>
          </w14:textFill>
        </w:rPr>
        <w:t>控制手柄上的按钮需注明中文名称。</w:t>
      </w:r>
    </w:p>
    <w:p>
      <w:pPr>
        <w:pStyle w:val="17"/>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3.2.4 安装：柔性吊安装在买方的钢结构上，导轨吊点间</w:t>
      </w:r>
      <w:r>
        <w:rPr>
          <w:rFonts w:hint="eastAsia" w:ascii="仿宋" w:hAnsi="仿宋" w:eastAsia="仿宋" w:cs="仿宋"/>
          <w:color w:val="auto"/>
          <w:highlight w:val="none"/>
        </w:rPr>
        <w:t>距小于1.2m，</w:t>
      </w:r>
      <w:r>
        <w:rPr>
          <w:rFonts w:hint="eastAsia" w:ascii="仿宋" w:hAnsi="仿宋" w:eastAsia="仿宋" w:cs="仿宋"/>
          <w:color w:val="000000" w:themeColor="text1"/>
          <w:highlight w:val="none"/>
          <w14:textFill>
            <w14:solidFill>
              <w14:schemeClr w14:val="tx1"/>
            </w14:solidFill>
          </w14:textFill>
        </w:rPr>
        <w:t>密度均布。</w:t>
      </w:r>
      <w:r>
        <w:rPr>
          <w:rFonts w:hint="eastAsia" w:ascii="仿宋" w:hAnsi="仿宋" w:eastAsia="仿宋" w:cs="仿宋"/>
          <w:color w:val="000000" w:themeColor="text1"/>
          <w:highlight w:val="none"/>
          <w:lang w:val="en-US" w:eastAsia="zh-CN"/>
          <w14:textFill>
            <w14:solidFill>
              <w14:schemeClr w14:val="tx1"/>
            </w14:solidFill>
          </w14:textFill>
        </w:rPr>
        <w:t>导轨与工字钢之间需安装防坠落装置。</w:t>
      </w:r>
    </w:p>
    <w:p>
      <w:pPr>
        <w:pStyle w:val="17"/>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3.2.5 送电方式：大车采用安全外置滑触线；小车采用拖缆。</w:t>
      </w:r>
    </w:p>
    <w:p>
      <w:pPr>
        <w:pStyle w:val="17"/>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3.2.6滑动小车：采用双轮结构，使用连接板、螺母及开口销进行固定</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lang w:val="en-US" w:eastAsia="zh-CN"/>
          <w14:textFill>
            <w14:solidFill>
              <w14:schemeClr w14:val="tx1"/>
            </w14:solidFill>
          </w14:textFill>
        </w:rPr>
        <w:t>开口销捆绑红色扎带；相邻柔性吊之间安装防撞措施，避免电源开关箱相互碰撞。</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3.2.7外置安全滑触线：使用螺栓连接到导轨吊点，不允许焊接固定，每条外置安全滑触线在末端配备一个电源三色灯。</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3.2.8 电动葫芦在满载运行过程中，不得有爬行、抖动、卡死等现象；</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3.2.9 电动葫芦在满载运行过程中的噪声不大于</w:t>
      </w:r>
      <w:r>
        <w:rPr>
          <w:rFonts w:hint="eastAsia" w:ascii="仿宋" w:hAnsi="仿宋" w:eastAsia="仿宋" w:cs="仿宋"/>
          <w:color w:val="000000" w:themeColor="text1"/>
          <w:lang w:val="en-US" w:eastAsia="zh-CN"/>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0dB；</w:t>
      </w:r>
    </w:p>
    <w:p>
      <w:pPr>
        <w:pStyle w:val="17"/>
        <w:snapToGrid w:val="0"/>
        <w:spacing w:line="360" w:lineRule="auto"/>
        <w:ind w:firstLine="480" w:firstLineChars="200"/>
        <w:rPr>
          <w:rFonts w:hint="eastAsia"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3.2.10电动葫芦应有防撞装置，以防两台葫芦相遇时产生危险；电动葫芦应有机械式防冲顶装置，</w:t>
      </w:r>
      <w:r>
        <w:rPr>
          <w:rFonts w:hint="eastAsia" w:ascii="仿宋" w:hAnsi="仿宋" w:eastAsia="仿宋" w:cs="仿宋"/>
          <w:color w:val="000000" w:themeColor="text1"/>
          <w:highlight w:val="none"/>
          <w14:textFill>
            <w14:solidFill>
              <w14:schemeClr w14:val="tx1"/>
            </w14:solidFill>
          </w14:textFill>
        </w:rPr>
        <w:t>且电动葫芦与横梁</w:t>
      </w:r>
      <w:r>
        <w:rPr>
          <w:rFonts w:hint="eastAsia" w:ascii="仿宋" w:hAnsi="仿宋" w:eastAsia="仿宋" w:cs="仿宋"/>
          <w:color w:val="000000" w:themeColor="text1"/>
          <w:highlight w:val="none"/>
          <w:lang w:val="en-US" w:eastAsia="zh-CN"/>
          <w14:textFill>
            <w14:solidFill>
              <w14:schemeClr w14:val="tx1"/>
            </w14:solidFill>
          </w14:textFill>
        </w:rPr>
        <w:t>之间</w:t>
      </w:r>
      <w:r>
        <w:rPr>
          <w:rFonts w:hint="eastAsia" w:ascii="仿宋" w:hAnsi="仿宋" w:eastAsia="仿宋" w:cs="仿宋"/>
          <w:color w:val="000000" w:themeColor="text1"/>
          <w:highlight w:val="none"/>
          <w14:textFill>
            <w14:solidFill>
              <w14:schemeClr w14:val="tx1"/>
            </w14:solidFill>
          </w14:textFill>
        </w:rPr>
        <w:t>需安装防坠落装置。</w:t>
      </w:r>
    </w:p>
    <w:p>
      <w:pPr>
        <w:pStyle w:val="17"/>
        <w:snapToGrid w:val="0"/>
        <w:spacing w:line="360" w:lineRule="auto"/>
        <w:ind w:firstLine="480" w:firstLineChars="200"/>
        <w:rPr>
          <w:rFonts w:hint="eastAsia" w:ascii="仿宋" w:hAnsi="仿宋" w:eastAsia="仿宋" w:cs="仿宋"/>
          <w:color w:val="000000" w:themeColor="text1"/>
          <w:lang w:eastAsia="zh-CN"/>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3.2.11电动葫芦链盒防坠落；链条防脱落；吊钩使用重力式防脱止推片，吊钩上方设置弹簧式缓冲结构；操作手柄使用36V安全电压控制</w:t>
      </w:r>
      <w:r>
        <w:rPr>
          <w:rFonts w:hint="eastAsia" w:ascii="仿宋" w:hAnsi="仿宋" w:eastAsia="仿宋" w:cs="仿宋"/>
          <w:color w:val="000000" w:themeColor="text1"/>
          <w:lang w:eastAsia="zh-CN"/>
          <w14:textFill>
            <w14:solidFill>
              <w14:schemeClr w14:val="tx1"/>
            </w14:solidFill>
          </w14:textFill>
        </w:rPr>
        <w:t>。</w:t>
      </w:r>
    </w:p>
    <w:p>
      <w:pPr>
        <w:pStyle w:val="17"/>
        <w:snapToGrid w:val="0"/>
        <w:spacing w:line="360" w:lineRule="auto"/>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3.2.12每台柔性吊单独配备一个电源开关箱</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lang w:val="en-US" w:eastAsia="zh-CN"/>
          <w14:textFill>
            <w14:solidFill>
              <w14:schemeClr w14:val="tx1"/>
            </w14:solidFill>
          </w14:textFill>
        </w:rPr>
        <w:t>横梁与导轨之间</w:t>
      </w:r>
      <w:r>
        <w:rPr>
          <w:rFonts w:hint="eastAsia" w:ascii="仿宋" w:hAnsi="仿宋" w:eastAsia="仿宋" w:cs="仿宋"/>
          <w:color w:val="000000" w:themeColor="text1"/>
          <w:highlight w:val="none"/>
          <w14:textFill>
            <w14:solidFill>
              <w14:schemeClr w14:val="tx1"/>
            </w14:solidFill>
          </w14:textFill>
        </w:rPr>
        <w:t>需安装防坠落装置。</w:t>
      </w:r>
    </w:p>
    <w:p>
      <w:pPr>
        <w:pStyle w:val="17"/>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3.2.13导轨喷涂长度及限载标识</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14:textFill>
            <w14:solidFill>
              <w14:schemeClr w14:val="tx1"/>
            </w14:solidFill>
          </w14:textFill>
        </w:rPr>
        <w:t>吊钩</w:t>
      </w:r>
      <w:r>
        <w:rPr>
          <w:rFonts w:hint="eastAsia" w:ascii="仿宋" w:hAnsi="仿宋" w:eastAsia="仿宋" w:cs="仿宋"/>
          <w:color w:val="000000" w:themeColor="text1"/>
          <w:highlight w:val="none"/>
          <w:lang w:val="en-US" w:eastAsia="zh-CN"/>
          <w14:textFill>
            <w14:solidFill>
              <w14:schemeClr w14:val="tx1"/>
            </w14:solidFill>
          </w14:textFill>
        </w:rPr>
        <w:t>需标注</w:t>
      </w:r>
      <w:r>
        <w:rPr>
          <w:rFonts w:hint="eastAsia" w:ascii="仿宋" w:hAnsi="仿宋" w:eastAsia="仿宋" w:cs="仿宋"/>
          <w:color w:val="000000" w:themeColor="text1"/>
          <w:highlight w:val="none"/>
          <w14:textFill>
            <w14:solidFill>
              <w14:schemeClr w14:val="tx1"/>
            </w14:solidFill>
          </w14:textFill>
        </w:rPr>
        <w:t>限载标识</w:t>
      </w:r>
    </w:p>
    <w:p>
      <w:pPr>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3.2.14主要元器件、零部件的选用和配置要求：电动葫芦、供电拖缆、滑触线应选用国内名牌产品；</w:t>
      </w:r>
      <w:r>
        <w:rPr>
          <w:rFonts w:hint="eastAsia" w:ascii="仿宋" w:hAnsi="仿宋" w:eastAsia="仿宋" w:cs="仿宋"/>
          <w:color w:val="000000" w:themeColor="text1"/>
          <w:lang w:val="en-US" w:eastAsia="zh-CN"/>
          <w14:textFill>
            <w14:solidFill>
              <w14:schemeClr w14:val="tx1"/>
            </w14:solidFill>
          </w14:textFill>
        </w:rPr>
        <w:t>1.5T电动</w:t>
      </w:r>
      <w:r>
        <w:rPr>
          <w:rFonts w:hint="eastAsia" w:ascii="仿宋" w:hAnsi="仿宋" w:eastAsia="仿宋" w:cs="仿宋"/>
          <w:color w:val="000000"/>
          <w:sz w:val="24"/>
          <w:szCs w:val="24"/>
          <w:highlight w:val="none"/>
          <w:lang w:val="en-US" w:eastAsia="zh-CN"/>
        </w:rPr>
        <w:t>吊葫芦选用德玛格、高博等同级别品牌。</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3.2.15要求检修、维修、使用方便；</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3.2.16使用寿命大于10年；</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3.2.17大车、小车运行轻快。</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3.2.18导轨与目前招标方现场使用的通用。</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3.2.19系统颜色与目前招标方现场使用的相同。</w:t>
      </w:r>
    </w:p>
    <w:p>
      <w:pPr>
        <w:pStyle w:val="17"/>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3.2.20所有传感器检测功能和精度需配备对应的传感器校验方式，并配备使用说明和检测工具，并提供工具检定证书。</w:t>
      </w:r>
    </w:p>
    <w:p>
      <w:pPr>
        <w:pStyle w:val="17"/>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3.2.21电器柜前需铺设符合要求的绝缘地垫。</w:t>
      </w:r>
    </w:p>
    <w:p>
      <w:pPr>
        <w:pStyle w:val="17"/>
        <w:snapToGrid w:val="0"/>
        <w:spacing w:line="360" w:lineRule="auto"/>
        <w:ind w:firstLine="480" w:firstLineChars="200"/>
        <w:rPr>
          <w:rFonts w:hint="default"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3.2.22柔性吊控制器需设置急停按钮，并需标注中文标识；上下运行键需有对应标识</w:t>
      </w:r>
    </w:p>
    <w:p>
      <w:pPr>
        <w:pStyle w:val="17"/>
        <w:snapToGrid w:val="0"/>
        <w:spacing w:line="360" w:lineRule="auto"/>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color w:val="000000" w:themeColor="text1"/>
          <w:lang w:val="en-US" w:eastAsia="zh-CN"/>
          <w14:textFill>
            <w14:solidFill>
              <w14:schemeClr w14:val="tx1"/>
            </w14:solidFill>
          </w14:textFill>
        </w:rPr>
        <w:t>3.3</w:t>
      </w:r>
      <w:r>
        <w:rPr>
          <w:rFonts w:hint="eastAsia" w:ascii="仿宋" w:hAnsi="仿宋" w:eastAsia="仿宋" w:cs="仿宋"/>
          <w:kern w:val="0"/>
          <w:sz w:val="24"/>
          <w:szCs w:val="24"/>
          <w:highlight w:val="none"/>
          <w:lang w:val="en-US" w:eastAsia="zh-CN" w:bidi="ar-SA"/>
        </w:rPr>
        <w:t>安全及环保要求</w:t>
      </w:r>
    </w:p>
    <w:p>
      <w:pPr>
        <w:pStyle w:val="17"/>
        <w:snapToGrid w:val="0"/>
        <w:spacing w:line="360" w:lineRule="auto"/>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3.3.1投标方所供的货物（或生产线），必须符合中国最新版的安全、环保、消防及职业健康的法律、法规要求，符合行业安全标准及项目所在地政府有关特殊要求。</w:t>
      </w:r>
    </w:p>
    <w:p>
      <w:pPr>
        <w:numPr>
          <w:ilvl w:val="0"/>
          <w:numId w:val="0"/>
        </w:numPr>
        <w:adjustRightInd w:val="0"/>
        <w:snapToGrid w:val="0"/>
        <w:spacing w:line="360" w:lineRule="auto"/>
        <w:ind w:leftChars="0" w:firstLine="480" w:firstLineChars="200"/>
        <w:rPr>
          <w:rFonts w:ascii="仿宋" w:hAnsi="仿宋" w:eastAsia="仿宋" w:cs="仿宋"/>
          <w:sz w:val="24"/>
          <w:szCs w:val="24"/>
          <w:highlight w:val="none"/>
        </w:rPr>
      </w:pPr>
      <w:r>
        <w:rPr>
          <w:rFonts w:hint="eastAsia" w:ascii="仿宋" w:hAnsi="仿宋" w:eastAsia="仿宋" w:cs="仿宋"/>
          <w:kern w:val="0"/>
          <w:sz w:val="24"/>
          <w:szCs w:val="24"/>
          <w:highlight w:val="none"/>
          <w:lang w:val="en-US" w:eastAsia="zh-CN" w:bidi="ar-SA"/>
        </w:rPr>
        <w:t>3.3.2</w:t>
      </w:r>
      <w:r>
        <w:rPr>
          <w:rFonts w:hint="eastAsia" w:ascii="仿宋" w:hAnsi="仿宋" w:eastAsia="仿宋" w:cs="仿宋"/>
          <w:sz w:val="24"/>
          <w:szCs w:val="24"/>
          <w:highlight w:val="none"/>
        </w:rPr>
        <w:t>货物（或生产线）应完整且所有的零部件应该安装安全、牢固，外观无损伤，所有的焊缝饱满、无残渣等缺陷且符合国家及行业相关标准。</w:t>
      </w:r>
    </w:p>
    <w:p>
      <w:pPr>
        <w:numPr>
          <w:ilvl w:val="0"/>
          <w:numId w:val="0"/>
        </w:numPr>
        <w:snapToGrid w:val="0"/>
        <w:spacing w:line="360" w:lineRule="auto"/>
        <w:ind w:firstLine="480" w:firstLineChars="200"/>
        <w:jc w:val="left"/>
        <w:rPr>
          <w:rFonts w:hint="eastAsia" w:ascii="仿宋" w:hAnsi="仿宋" w:eastAsia="仿宋" w:cs="仿宋"/>
          <w:sz w:val="24"/>
          <w:szCs w:val="24"/>
          <w:highlight w:val="none"/>
        </w:rPr>
      </w:pPr>
      <w:r>
        <w:rPr>
          <w:rFonts w:hint="eastAsia" w:ascii="仿宋" w:hAnsi="仿宋" w:eastAsia="仿宋" w:cs="仿宋"/>
          <w:kern w:val="0"/>
          <w:sz w:val="24"/>
          <w:szCs w:val="24"/>
          <w:highlight w:val="none"/>
          <w:lang w:val="en-US" w:eastAsia="zh-CN" w:bidi="ar-SA"/>
        </w:rPr>
        <w:t>3.3.3</w:t>
      </w:r>
      <w:r>
        <w:rPr>
          <w:rFonts w:hint="eastAsia" w:ascii="仿宋" w:hAnsi="仿宋" w:eastAsia="仿宋" w:cs="仿宋"/>
          <w:sz w:val="24"/>
          <w:szCs w:val="24"/>
          <w:highlight w:val="none"/>
        </w:rPr>
        <w:t>生产线存在安全风险的工位必须采取安全措施，如：线体防护板、高温防护、光栅等。</w:t>
      </w:r>
    </w:p>
    <w:p>
      <w:pPr>
        <w:numPr>
          <w:ilvl w:val="0"/>
          <w:numId w:val="0"/>
        </w:numPr>
        <w:snapToGrid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3.3.4</w:t>
      </w:r>
      <w:r>
        <w:rPr>
          <w:rFonts w:hint="eastAsia" w:ascii="仿宋" w:hAnsi="仿宋" w:eastAsia="仿宋" w:cs="仿宋"/>
          <w:sz w:val="24"/>
          <w:szCs w:val="24"/>
          <w:highlight w:val="none"/>
        </w:rPr>
        <w:t>从安全生产的角度考虑各单元及工位应设有急停按钮，并有明显标识。</w:t>
      </w:r>
    </w:p>
    <w:p>
      <w:pPr>
        <w:pStyle w:val="2"/>
        <w:ind w:left="420" w:leftChars="200"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3.3.5</w:t>
      </w:r>
      <w:r>
        <w:rPr>
          <w:rFonts w:hint="eastAsia" w:ascii="仿宋" w:hAnsi="仿宋" w:eastAsia="仿宋" w:cs="仿宋"/>
          <w:sz w:val="24"/>
          <w:szCs w:val="24"/>
          <w:highlight w:val="none"/>
        </w:rPr>
        <w:t>单元操作面板上有上电按钮和急停按钮，上电后可对系统进行操作。</w:t>
      </w:r>
    </w:p>
    <w:p>
      <w:pPr>
        <w:widowControl w:val="0"/>
        <w:numPr>
          <w:ilvl w:val="0"/>
          <w:numId w:val="0"/>
        </w:numPr>
        <w:snapToGrid w:val="0"/>
        <w:spacing w:line="360" w:lineRule="auto"/>
        <w:ind w:left="0" w:leftChars="0" w:firstLine="480" w:firstLineChars="200"/>
        <w:jc w:val="both"/>
        <w:rPr>
          <w:rFonts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3.3.6所有电气安装和施工均应符合我国现行行业标准（规范），电器柜需张贴当心触电警示标识。</w:t>
      </w:r>
    </w:p>
    <w:p>
      <w:pPr>
        <w:numPr>
          <w:ilvl w:val="0"/>
          <w:numId w:val="0"/>
        </w:numPr>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3.3.7</w:t>
      </w:r>
      <w:r>
        <w:rPr>
          <w:rFonts w:hint="eastAsia" w:ascii="仿宋" w:hAnsi="仿宋" w:eastAsia="仿宋" w:cs="仿宋"/>
          <w:sz w:val="24"/>
          <w:szCs w:val="24"/>
          <w:highlight w:val="none"/>
        </w:rPr>
        <w:t>投标方必须提供所供设备相应的安全操作规程和安全事项的说明书，危险化学品“一书一签”；负责对招标方相关人员开展“四新”安全培训。</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3.3.8</w:t>
      </w:r>
      <w:r>
        <w:rPr>
          <w:rFonts w:hint="eastAsia" w:ascii="仿宋" w:hAnsi="仿宋" w:eastAsia="仿宋" w:cs="仿宋"/>
          <w:sz w:val="24"/>
          <w:szCs w:val="24"/>
          <w:highlight w:val="none"/>
        </w:rPr>
        <w:t>货物（或生产线）应运行稳定、可靠、安全，无非正常变形，非正常振动，无异常声音；无漏水、漏液、漏气（汽）、漏电等现象。</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3.3.9</w:t>
      </w:r>
      <w:r>
        <w:rPr>
          <w:rFonts w:hint="eastAsia" w:ascii="仿宋" w:hAnsi="仿宋" w:eastAsia="仿宋" w:cs="仿宋"/>
          <w:sz w:val="24"/>
          <w:szCs w:val="24"/>
          <w:highlight w:val="none"/>
        </w:rPr>
        <w:t>所有的管路和线缆等，接头应完全正确、可靠地联接；应排列有序（正确、牢固、整齐），有必要的防护，无皱褶、收缩和裂缝等不良现象。</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3.3.10</w:t>
      </w:r>
      <w:r>
        <w:rPr>
          <w:rFonts w:hint="eastAsia" w:ascii="仿宋" w:hAnsi="仿宋" w:eastAsia="仿宋" w:cs="仿宋"/>
          <w:sz w:val="24"/>
          <w:szCs w:val="24"/>
          <w:highlight w:val="none"/>
        </w:rPr>
        <w:t>地线联接和地极符合国际（ISO/IEC）标准规范，电器柜需张贴当心触电警示标识。</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3.3.11</w:t>
      </w:r>
      <w:r>
        <w:rPr>
          <w:rFonts w:hint="eastAsia" w:ascii="仿宋" w:hAnsi="仿宋" w:eastAsia="仿宋" w:cs="仿宋"/>
          <w:sz w:val="24"/>
          <w:szCs w:val="24"/>
          <w:highlight w:val="none"/>
        </w:rPr>
        <w:t>货物（或生产线）正常运行时，噪声等环境影响因素满足国家（《工作场所物理因素测量 噪声》GBZ/T 189.8-2007. 噪音≤80dB(A)（距设备一米处测量））和当地环保主管部门规定。项目验收时，投标方须提供</w:t>
      </w:r>
      <w:r>
        <w:rPr>
          <w:rFonts w:hint="eastAsia" w:ascii="仿宋_GB2312" w:hAnsi="宋体" w:eastAsia="仿宋_GB2312" w:cs="宋体"/>
          <w:sz w:val="24"/>
          <w:szCs w:val="24"/>
          <w:highlight w:val="none"/>
          <w:lang w:bidi="ar"/>
        </w:rPr>
        <w:t>由第三方监测机构出具的噪音合格监测报告。</w:t>
      </w:r>
    </w:p>
    <w:p>
      <w:pPr>
        <w:numPr>
          <w:ilvl w:val="0"/>
          <w:numId w:val="0"/>
        </w:numPr>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3.3.12</w:t>
      </w:r>
      <w:r>
        <w:rPr>
          <w:rFonts w:hint="eastAsia" w:ascii="仿宋" w:hAnsi="仿宋" w:eastAsia="仿宋" w:cs="仿宋"/>
          <w:sz w:val="24"/>
          <w:szCs w:val="24"/>
          <w:highlight w:val="none"/>
        </w:rPr>
        <w:t>可附有投标方认为能够证明其所供货物（或生产线）安全性水平、节能性水平、环保性水平等相关的其它证明文件或资料、报告等，如电气开关柜等电气设备的内部故障电弧效应试验报告、噪声较大设备的噪声检验报告等。</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3.3.13</w:t>
      </w:r>
      <w:r>
        <w:rPr>
          <w:rFonts w:hint="eastAsia" w:ascii="仿宋" w:hAnsi="仿宋" w:eastAsia="仿宋" w:cs="仿宋"/>
          <w:sz w:val="24"/>
          <w:szCs w:val="24"/>
          <w:highlight w:val="none"/>
        </w:rPr>
        <w:t>涉及需要进行环保、职业卫生强制检测的项目（设备、设施），应由中标方提供权威第三方检测机构出具的完工检测报告。</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3.3.14</w:t>
      </w:r>
      <w:r>
        <w:rPr>
          <w:rFonts w:hint="eastAsia" w:ascii="仿宋" w:hAnsi="仿宋" w:eastAsia="仿宋" w:cs="仿宋"/>
          <w:sz w:val="24"/>
          <w:szCs w:val="24"/>
          <w:highlight w:val="none"/>
        </w:rPr>
        <w:t>特种设备应提供济南市特种设备检验研究院出具的首次检验报告，招标方协助中标方办理相关注册登记手续。</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3.3.15</w:t>
      </w:r>
      <w:r>
        <w:rPr>
          <w:rFonts w:hint="eastAsia" w:ascii="仿宋" w:hAnsi="仿宋" w:eastAsia="仿宋" w:cs="仿宋"/>
          <w:sz w:val="24"/>
          <w:szCs w:val="24"/>
          <w:highlight w:val="none"/>
        </w:rPr>
        <w:t>机器人作业区域安全防护。机器人作业区域需安装安全防护隔离，安全防护隔离形式：采用型钢材质整体式设计，由方管焊接框架结构和金属网格组成，防护栏立柱和防护栏采用螺栓连接；安全门采用门联锁进行安全防护。门联锁必须保证，只有当安全门处于完全关闭状态时，才容许机器人自动运行，当安全门打开时机器人须立即停止运行。</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3.3.16</w:t>
      </w:r>
      <w:r>
        <w:rPr>
          <w:rFonts w:hint="eastAsia" w:ascii="仿宋" w:hAnsi="仿宋" w:eastAsia="仿宋" w:cs="仿宋"/>
          <w:sz w:val="24"/>
          <w:szCs w:val="24"/>
          <w:highlight w:val="none"/>
        </w:rPr>
        <w:t>投标方所投货物外观颜色标准按招标方提供的标准《Q/ZZ 30070—</w:t>
      </w:r>
      <w:r>
        <w:rPr>
          <w:rFonts w:hint="eastAsia" w:ascii="仿宋" w:hAnsi="仿宋" w:eastAsia="仿宋" w:cs="仿宋"/>
          <w:sz w:val="24"/>
          <w:szCs w:val="24"/>
          <w:highlight w:val="none"/>
          <w:lang w:val="en-US" w:eastAsia="zh-CN"/>
        </w:rPr>
        <w:t>2020》或双方书面约定的标准执行。</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3.3.17</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施工前须提供安全施工技术方案（含危险源辨识与风险控制措施内容）及详细的安全施工措施并经</w:t>
      </w:r>
      <w:r>
        <w:rPr>
          <w:rFonts w:hint="eastAsia" w:ascii="仿宋" w:hAnsi="仿宋" w:eastAsia="仿宋" w:cs="仿宋"/>
          <w:sz w:val="24"/>
          <w:szCs w:val="24"/>
          <w:highlight w:val="none"/>
        </w:rPr>
        <w:t>招标方</w:t>
      </w:r>
      <w:r>
        <w:rPr>
          <w:rFonts w:hint="eastAsia" w:ascii="仿宋" w:hAnsi="仿宋" w:eastAsia="仿宋" w:cs="仿宋"/>
          <w:sz w:val="24"/>
          <w:szCs w:val="24"/>
          <w:highlight w:val="none"/>
          <w:lang w:val="en-US" w:eastAsia="zh-CN"/>
        </w:rPr>
        <w:t>认可，并签订《安全协议》。</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3.3.18</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在整个项目过程中必须严格执行</w:t>
      </w:r>
      <w:r>
        <w:rPr>
          <w:rFonts w:hint="eastAsia" w:ascii="仿宋" w:hAnsi="仿宋" w:eastAsia="仿宋" w:cs="仿宋"/>
          <w:sz w:val="24"/>
          <w:szCs w:val="24"/>
          <w:highlight w:val="none"/>
        </w:rPr>
        <w:t>招标方</w:t>
      </w:r>
      <w:r>
        <w:rPr>
          <w:rFonts w:hint="eastAsia" w:ascii="仿宋" w:hAnsi="仿宋" w:eastAsia="仿宋" w:cs="仿宋"/>
          <w:sz w:val="24"/>
          <w:szCs w:val="24"/>
          <w:highlight w:val="none"/>
          <w:lang w:val="en-US" w:eastAsia="zh-CN"/>
        </w:rPr>
        <w:t>要求及国家相关安全、消防、环保等法律、法规。</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3.3.21进入现场所有的特殊工种的操作人员必须持有相应的操作资格证（如电工、焊工、高空、叉车证等）；进入现场所有设备必须符合国家标准。</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3.3.22</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需采用隔栏或围栏的形式将施工区域与生产区域隔开，不能影响生产。</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3.3.23在没有正式的书面批准和现场的化学制品核准情况下，所有的化学制品不允许进入施工现场，现场不允许储藏化学制品、油漆、燃料等，严禁</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带过量、超期的气瓶（氧气/乙炔）到现场(保证安全附件完好)，替换钢瓶前，</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必须搬出空瓶。</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3.3.24设备的主机、附件及附属设施应具有安全防护措施，以避免操作者身体与设备的危险区域接触。</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3.3.25所有进入现场的人员必须穿戴合适的劳保用品，例如劳保鞋、安全帽、带侧面保护的眼镜等，并对现场施工做安全标识、警示标识。</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3.3.26所有的安全说明书及安全标志须符合国家标准，或用中文标识，在设备装运时，所有安全标志须由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贴好。</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3.3.27高处作业施工人员，严禁投掷物料，并做安全标识，做好防高处坠落、物体打击、防触电、防机械伤害的各项安全防护工作。</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3.3.28现场的各种安全防护设施，未经招标方批准，任何人不准随意拆改；</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3.3.29施工现场临时用电执行招标方要求及国家相关规定。</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3.3.30进入现场，需按要求办理出入证件，招标方协助相关证件的办理；</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3.3.31设备的安全与环保要求必须符合国家标准，在运转过程中应保证安全、可靠，无漏电、漏气现象。</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3.3.32</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在安装现场施工时，必须严格遵守招标方制定的安全、防火规定和其它规章制度，遵守国家各项安全制度，并制订安全预案，文明施工，如因</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施工不遵守规章制度而造成的各种损失由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负全责。</w:t>
      </w:r>
    </w:p>
    <w:p>
      <w:pPr>
        <w:keepNext w:val="0"/>
        <w:keepLines w:val="0"/>
        <w:pageBreakBefore w:val="0"/>
        <w:widowControl w:val="0"/>
        <w:numPr>
          <w:ilvl w:val="0"/>
          <w:numId w:val="3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应保证设备安装现场的环境卫生，在设备及材料运进工厂时应确保不损坏车间地表面和厂房内设施并按招标方规定位置存放，不得在施工现场进行打磨、除锈。现场材料和设备要堆放整齐，生产、生活垃圾必须及时清理干净，为保证整个安装及调试过程中现场和设备内部的清洁，</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应采取切实可行的措施，最终的深度清洁由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负责。</w:t>
      </w:r>
    </w:p>
    <w:p>
      <w:pPr>
        <w:keepNext w:val="0"/>
        <w:keepLines w:val="0"/>
        <w:pageBreakBefore w:val="0"/>
        <w:widowControl w:val="0"/>
        <w:numPr>
          <w:ilvl w:val="0"/>
          <w:numId w:val="3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在整个项目施工期间，所有设备、零部件、制成品、工具、材料等均由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看管、保护，损坏及丢失招标方一概不负责任，招标方只负责提供场所。</w:t>
      </w:r>
    </w:p>
    <w:p>
      <w:pPr>
        <w:keepNext w:val="0"/>
        <w:keepLines w:val="0"/>
        <w:pageBreakBefore w:val="0"/>
        <w:widowControl w:val="0"/>
        <w:numPr>
          <w:ilvl w:val="0"/>
          <w:numId w:val="3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所有主要的有可能做的材料（支吊架、连杆等）的表面清洁、切割、打磨、焊接和总体制作、底漆涂刷等工作必须在安装场地以外进行；任何需在现场制作、管子切割、焊接、攻丝等工作必须在指定的区域进行；</w:t>
      </w:r>
    </w:p>
    <w:p>
      <w:pPr>
        <w:keepNext w:val="0"/>
        <w:keepLines w:val="0"/>
        <w:pageBreakBefore w:val="0"/>
        <w:widowControl w:val="0"/>
        <w:numPr>
          <w:ilvl w:val="0"/>
          <w:numId w:val="3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在开工前须提供系统设计安全方案，设备安装调试阶段的高风险项目安全预案，预案中要体现安全措施费用及人员配置。</w:t>
      </w:r>
    </w:p>
    <w:p>
      <w:pPr>
        <w:keepNext w:val="0"/>
        <w:keepLines w:val="0"/>
        <w:pageBreakBefore w:val="0"/>
        <w:widowControl w:val="0"/>
        <w:numPr>
          <w:ilvl w:val="0"/>
          <w:numId w:val="30"/>
        </w:numPr>
        <w:kinsoku/>
        <w:wordWrap/>
        <w:overflowPunct/>
        <w:topLinePunct w:val="0"/>
        <w:autoSpaceDE/>
        <w:autoSpaceDN/>
        <w:bidi w:val="0"/>
        <w:adjustRightInd w:val="0"/>
        <w:snapToGrid w:val="0"/>
        <w:spacing w:line="360" w:lineRule="auto"/>
        <w:ind w:left="0" w:leftChars="0" w:firstLine="480" w:firstLineChars="200"/>
        <w:textAlignment w:val="auto"/>
        <w:rPr>
          <w:rFonts w:hint="default"/>
          <w:lang w:val="en-US" w:eastAsia="zh-CN"/>
        </w:rPr>
      </w:pPr>
      <w:r>
        <w:rPr>
          <w:rFonts w:hint="eastAsia" w:ascii="仿宋" w:hAnsi="仿宋" w:eastAsia="仿宋" w:cs="仿宋"/>
          <w:sz w:val="24"/>
          <w:szCs w:val="24"/>
          <w:highlight w:val="none"/>
          <w:lang w:val="en-US" w:eastAsia="zh-CN"/>
        </w:rPr>
        <w:t>设备安装调试过程中，</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须听从招标方指挥。</w:t>
      </w:r>
    </w:p>
    <w:p>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60" w:name="_Toc2761"/>
      <w:bookmarkStart w:id="261" w:name="_Toc293"/>
      <w:bookmarkStart w:id="262" w:name="_Toc466"/>
      <w:bookmarkStart w:id="263" w:name="_Toc17206"/>
      <w:bookmarkStart w:id="264" w:name="_Toc14715"/>
      <w:bookmarkStart w:id="265" w:name="_Toc14754"/>
      <w:bookmarkStart w:id="266" w:name="_Toc16458"/>
      <w:bookmarkStart w:id="267" w:name="_Toc3721"/>
      <w:bookmarkStart w:id="268" w:name="_Toc16595"/>
      <w:bookmarkStart w:id="269" w:name="_Toc31046"/>
      <w:bookmarkStart w:id="270" w:name="_Toc30526"/>
      <w:bookmarkStart w:id="271" w:name="_Toc28651"/>
      <w:bookmarkStart w:id="272" w:name="_Toc8256"/>
      <w:bookmarkStart w:id="273" w:name="_Toc963"/>
      <w:bookmarkStart w:id="274" w:name="_Toc31509"/>
      <w:bookmarkStart w:id="275" w:name="_Toc16723"/>
      <w:bookmarkStart w:id="276" w:name="_Toc12980"/>
      <w:bookmarkStart w:id="277" w:name="_Toc6116"/>
      <w:bookmarkStart w:id="278" w:name="_Toc11655"/>
      <w:bookmarkStart w:id="279" w:name="_Toc24239"/>
      <w:bookmarkStart w:id="280" w:name="_Toc3096"/>
      <w:bookmarkStart w:id="281" w:name="_Toc25096"/>
      <w:bookmarkStart w:id="282" w:name="_Toc11448"/>
      <w:bookmarkStart w:id="283" w:name="_Toc73112402"/>
      <w:bookmarkStart w:id="284" w:name="_Toc14086"/>
      <w:bookmarkStart w:id="285" w:name="_Toc31832"/>
      <w:bookmarkStart w:id="286" w:name="_Toc4932"/>
      <w:bookmarkStart w:id="287" w:name="_Toc13730"/>
      <w:bookmarkStart w:id="288" w:name="_Toc15063"/>
      <w:bookmarkStart w:id="289" w:name="_Toc12383"/>
      <w:bookmarkStart w:id="290" w:name="_Toc10224"/>
      <w:bookmarkStart w:id="291" w:name="_Toc24311"/>
      <w:bookmarkStart w:id="292" w:name="_Toc73"/>
      <w:bookmarkStart w:id="293" w:name="_Toc14191"/>
      <w:bookmarkStart w:id="294" w:name="_Toc28302"/>
      <w:bookmarkStart w:id="295" w:name="_Toc1717"/>
      <w:bookmarkStart w:id="296" w:name="_Toc900"/>
      <w:bookmarkStart w:id="297" w:name="_Toc28134"/>
      <w:bookmarkStart w:id="298" w:name="_Toc20271"/>
      <w:bookmarkStart w:id="299" w:name="_Toc24970"/>
      <w:bookmarkStart w:id="300" w:name="_Toc2382"/>
      <w:bookmarkStart w:id="301" w:name="_Toc8333"/>
      <w:bookmarkStart w:id="302" w:name="_Toc11582"/>
      <w:bookmarkStart w:id="303" w:name="_Toc10838"/>
      <w:bookmarkStart w:id="304" w:name="_Toc11237"/>
      <w:r>
        <w:rPr>
          <w:rFonts w:hint="eastAsia" w:ascii="仿宋" w:hAnsi="仿宋" w:eastAsia="仿宋" w:cs="仿宋"/>
          <w:b/>
          <w:bCs/>
          <w:color w:val="000000" w:themeColor="text1"/>
          <w14:textFill>
            <w14:solidFill>
              <w14:schemeClr w14:val="tx1"/>
            </w14:solidFill>
          </w14:textFill>
        </w:rPr>
        <w:t>4特别提示</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本技术要求，仅对功能、设计、结构、性能、安装和试验等方面，提出了最低和一般性的技术要求；并未对一切技术细节作出规定，未充分引述有关标准和规范的条文。投标方应保证提供的货物是符合本技术标书和国家最新的有关标准、规范的优质产品。若有异议，不管是多么微小，都应在投标文件“技术偏离”中予以详细说明。</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4.2本技术要求所使用的标准、规范等，如与投标方所执行的标准、规范不一致时，应按高于本技术要求所列的标准、规范执行，并在投标文件“技术偏离”中予以说明。</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4.3投标方认为所供货物必需由招标方配备、解决或提供的其它要求，如设备基础隔振和减振设施、软化水、洁净气源等，均应在投标文件“技术偏离”中予以充分说明。</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4.4投标方须负责在终验收前，在招标方设备现场对投标设备实施电能质量和公用电网谐波检测并出具检测报告。检测工作由投标方负责安排第三方实施（第三方的资质须由招标方认可）。</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4.5投标文件中，针对“特别提示”条款所做的回应，将作为投标方能否中标的重要依据之一。</w:t>
      </w:r>
      <w:bookmarkStart w:id="305" w:name="_Toc133783970"/>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4.6投标方所投货物外观颜色标准按招标方提供的标准或双方书面约定的标准执行。</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306" w:name="_Toc26551"/>
      <w:bookmarkStart w:id="307" w:name="_Toc4641"/>
      <w:bookmarkStart w:id="308" w:name="_Toc25915"/>
      <w:bookmarkStart w:id="309" w:name="_Toc20841"/>
      <w:bookmarkStart w:id="310" w:name="_Toc11725"/>
      <w:bookmarkStart w:id="311" w:name="_Toc22516"/>
      <w:bookmarkStart w:id="312" w:name="_Toc30892"/>
      <w:bookmarkStart w:id="313" w:name="_Toc20994"/>
      <w:bookmarkStart w:id="314" w:name="_Toc17909"/>
      <w:bookmarkStart w:id="315" w:name="_Toc31816"/>
      <w:bookmarkStart w:id="316" w:name="_Toc1171"/>
      <w:bookmarkStart w:id="317" w:name="_Toc73112403"/>
      <w:bookmarkStart w:id="318" w:name="_Toc27327"/>
      <w:bookmarkStart w:id="319" w:name="_Toc28398"/>
      <w:bookmarkStart w:id="320" w:name="_Toc21086"/>
      <w:bookmarkStart w:id="321" w:name="_Toc24173"/>
      <w:bookmarkStart w:id="322" w:name="_Toc29006"/>
      <w:bookmarkStart w:id="323" w:name="_Toc26601"/>
      <w:bookmarkStart w:id="324" w:name="_Toc22710"/>
      <w:bookmarkStart w:id="325" w:name="_Toc13783"/>
      <w:bookmarkStart w:id="326" w:name="_Toc20260"/>
      <w:bookmarkStart w:id="327" w:name="_Toc20329"/>
      <w:bookmarkStart w:id="328" w:name="_Toc16317"/>
      <w:bookmarkStart w:id="329" w:name="_Toc19081"/>
      <w:bookmarkStart w:id="330" w:name="_Toc3808"/>
      <w:bookmarkStart w:id="331" w:name="_Toc22156"/>
      <w:bookmarkStart w:id="332" w:name="_Toc22662"/>
      <w:bookmarkStart w:id="333" w:name="_Toc32382"/>
      <w:bookmarkStart w:id="334" w:name="_Toc14583"/>
      <w:bookmarkStart w:id="335" w:name="_Toc8892"/>
      <w:bookmarkStart w:id="336" w:name="_Toc31361"/>
      <w:bookmarkStart w:id="337" w:name="_Toc19022"/>
      <w:bookmarkStart w:id="338" w:name="_Toc6352"/>
      <w:bookmarkStart w:id="339" w:name="_Toc28745"/>
      <w:bookmarkStart w:id="340" w:name="_Toc19805"/>
      <w:bookmarkStart w:id="341" w:name="_Toc19812"/>
      <w:bookmarkStart w:id="342" w:name="_Toc29222"/>
      <w:bookmarkStart w:id="343" w:name="_Toc16352"/>
      <w:bookmarkStart w:id="344" w:name="_Toc11390"/>
      <w:bookmarkStart w:id="345" w:name="_Toc7258"/>
      <w:bookmarkStart w:id="346" w:name="_Toc22347"/>
      <w:bookmarkStart w:id="347" w:name="_Toc1909"/>
      <w:bookmarkStart w:id="348" w:name="_Toc16316"/>
      <w:bookmarkStart w:id="349" w:name="_Toc13526"/>
      <w:bookmarkStart w:id="350" w:name="_Toc1962"/>
      <w:bookmarkStart w:id="351" w:name="_Toc10828"/>
      <w:r>
        <w:rPr>
          <w:rFonts w:hint="eastAsia" w:ascii="仿宋" w:hAnsi="仿宋" w:eastAsia="仿宋" w:cs="仿宋"/>
          <w:b/>
          <w:bCs/>
          <w:color w:val="000000" w:themeColor="text1"/>
          <w14:textFill>
            <w14:solidFill>
              <w14:schemeClr w14:val="tx1"/>
            </w14:solidFill>
          </w14:textFill>
        </w:rPr>
        <w:t>第三章供货范围及供货方式</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p>
      <w:pPr>
        <w:pStyle w:val="5"/>
        <w:snapToGrid w:val="0"/>
        <w:spacing w:before="0" w:after="0" w:line="360" w:lineRule="auto"/>
        <w:ind w:left="6" w:firstLine="474"/>
        <w:jc w:val="center"/>
        <w:rPr>
          <w:rFonts w:ascii="仿宋" w:hAnsi="仿宋" w:eastAsia="仿宋" w:cs="仿宋"/>
          <w:b/>
          <w:bCs/>
          <w:color w:val="000000" w:themeColor="text1"/>
          <w:sz w:val="24"/>
          <w:szCs w:val="24"/>
          <w14:textFill>
            <w14:solidFill>
              <w14:schemeClr w14:val="tx1"/>
            </w14:solidFill>
          </w14:textFill>
        </w:rPr>
      </w:pPr>
      <w:bookmarkStart w:id="352" w:name="_Toc19860"/>
      <w:bookmarkStart w:id="353" w:name="_Toc14383"/>
      <w:bookmarkStart w:id="354" w:name="_Toc9580"/>
      <w:bookmarkStart w:id="355" w:name="_Toc133783971"/>
      <w:bookmarkStart w:id="356" w:name="_Toc2127"/>
      <w:bookmarkStart w:id="357" w:name="_Toc13960"/>
      <w:bookmarkStart w:id="358" w:name="_Toc18238"/>
      <w:bookmarkStart w:id="359" w:name="_Toc29751"/>
      <w:bookmarkStart w:id="360" w:name="_Toc4896"/>
      <w:bookmarkStart w:id="361" w:name="_Toc19111"/>
      <w:bookmarkStart w:id="362" w:name="_Toc2288"/>
      <w:bookmarkStart w:id="363" w:name="_Toc9994"/>
      <w:bookmarkStart w:id="364" w:name="_Toc969"/>
      <w:bookmarkStart w:id="365" w:name="_Toc27567"/>
      <w:bookmarkStart w:id="366" w:name="_Toc32542"/>
      <w:bookmarkStart w:id="367" w:name="_Toc28344"/>
      <w:bookmarkStart w:id="368" w:name="_Toc32716"/>
      <w:bookmarkStart w:id="369" w:name="_Toc12581"/>
      <w:bookmarkStart w:id="370" w:name="_Toc6219"/>
      <w:bookmarkStart w:id="371" w:name="_Toc11979"/>
      <w:bookmarkStart w:id="372" w:name="_Toc10323"/>
      <w:bookmarkStart w:id="373" w:name="_Toc8963"/>
      <w:bookmarkStart w:id="374" w:name="_Toc16027"/>
      <w:bookmarkStart w:id="375" w:name="_Toc680"/>
      <w:bookmarkStart w:id="376" w:name="_Toc31722"/>
      <w:bookmarkStart w:id="377" w:name="_Toc5131"/>
      <w:bookmarkStart w:id="378" w:name="_Toc32286"/>
      <w:bookmarkStart w:id="379" w:name="_Toc73112404"/>
      <w:bookmarkStart w:id="380" w:name="_Toc8238"/>
      <w:bookmarkStart w:id="381" w:name="_Toc20301"/>
      <w:bookmarkStart w:id="382" w:name="_Toc32741"/>
      <w:bookmarkStart w:id="383" w:name="_Toc19908"/>
      <w:bookmarkStart w:id="384" w:name="_Toc3358"/>
      <w:bookmarkStart w:id="385" w:name="_Toc5032"/>
      <w:bookmarkStart w:id="386" w:name="_Toc4032"/>
      <w:bookmarkStart w:id="387" w:name="_Toc20066"/>
      <w:bookmarkStart w:id="388" w:name="_Toc11227"/>
      <w:bookmarkStart w:id="389" w:name="_Toc32750"/>
      <w:bookmarkStart w:id="390" w:name="_Toc9571"/>
      <w:bookmarkStart w:id="391" w:name="_Toc19155"/>
      <w:bookmarkStart w:id="392" w:name="_Toc6629"/>
      <w:bookmarkStart w:id="393" w:name="_Toc3639"/>
      <w:bookmarkStart w:id="394" w:name="_Toc20721"/>
      <w:bookmarkStart w:id="395" w:name="_Toc17404"/>
      <w:bookmarkStart w:id="396" w:name="_Toc27831"/>
      <w:bookmarkStart w:id="397" w:name="_Toc6864"/>
      <w:bookmarkStart w:id="398" w:name="_Toc26946"/>
      <w:bookmarkStart w:id="399" w:name="_Toc5052"/>
      <w:bookmarkStart w:id="400" w:name="_Toc25354"/>
      <w:bookmarkStart w:id="401" w:name="_Toc13578"/>
      <w:r>
        <w:rPr>
          <w:rFonts w:hint="eastAsia" w:ascii="仿宋" w:hAnsi="仿宋" w:eastAsia="仿宋" w:cs="仿宋"/>
          <w:b/>
          <w:bCs/>
          <w:color w:val="000000" w:themeColor="text1"/>
          <w:sz w:val="24"/>
          <w:szCs w:val="24"/>
          <w14:textFill>
            <w14:solidFill>
              <w14:schemeClr w14:val="tx1"/>
            </w14:solidFill>
          </w14:textFill>
        </w:rPr>
        <w:t>第一节供货范围</w:t>
      </w:r>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02" w:name="_Toc13760"/>
      <w:bookmarkStart w:id="403" w:name="_Toc17029"/>
      <w:bookmarkStart w:id="404" w:name="_Toc17608"/>
      <w:bookmarkStart w:id="405" w:name="_Toc4815"/>
      <w:bookmarkStart w:id="406" w:name="_Toc6385"/>
      <w:bookmarkStart w:id="407" w:name="_Toc73112405"/>
      <w:bookmarkStart w:id="408" w:name="_Toc17678"/>
      <w:bookmarkStart w:id="409" w:name="_Toc4850"/>
      <w:bookmarkStart w:id="410" w:name="_Toc25761"/>
      <w:bookmarkStart w:id="411" w:name="_Toc272"/>
      <w:bookmarkStart w:id="412" w:name="_Toc21071"/>
      <w:bookmarkStart w:id="413" w:name="_Toc28468"/>
      <w:bookmarkStart w:id="414" w:name="_Toc15878"/>
      <w:bookmarkStart w:id="415" w:name="_Toc18305"/>
      <w:bookmarkStart w:id="416" w:name="_Toc9769"/>
      <w:bookmarkStart w:id="417" w:name="_Toc14280"/>
      <w:bookmarkStart w:id="418" w:name="_Toc18228"/>
      <w:bookmarkStart w:id="419" w:name="_Toc5149"/>
      <w:bookmarkStart w:id="420" w:name="_Toc14137"/>
      <w:bookmarkStart w:id="421" w:name="_Toc29417"/>
      <w:r>
        <w:rPr>
          <w:rFonts w:hint="eastAsia" w:ascii="仿宋" w:hAnsi="仿宋" w:eastAsia="仿宋" w:cs="仿宋"/>
          <w:b/>
          <w:bCs/>
          <w:color w:val="000000" w:themeColor="text1"/>
          <w14:textFill>
            <w14:solidFill>
              <w14:schemeClr w14:val="tx1"/>
            </w14:solidFill>
          </w14:textFill>
        </w:rPr>
        <w:t>1主要供货范围</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1.1招标方只提供所需厂房、货物的基本砼基础，如不满足项目需求，由投标方负责进行建设。</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1.2招标方只负责提供符合本技术标书中“采购货物概况”和“使用环境”章节所列明品质的电力、自来水、压缩空气、蒸汽、天然气（或煤气）管线至车间接口,投标方负责从车间接口到项目系统的对接。</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1.3投标方应提供包括货物正常运行所必需的全套连线设备、材料等；如：联接法兰外端面（含联接螺栓）之内的、电气系统接口压线板（插座等）之内的设备、材料等；</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投标方应提供包括货物正常运行、使用所必需的过桥、护栏、防护网、盖板等辅助设施。标书中有要求的，按标书要求提供；标书中无具体要求而投标方认为必须具备的，在投标文件报价明细中，单独报价（但不计入税费等其它费用的计算基数）。</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投标方应提供包括为达到环保、消防和职业健康等国家法律、法规和标准、规范要求的除尘系统、通风系统以及近距离照明系统等配套的设备、材料等。如投标方难以提供或无优势提供，则应当在投标文件的技术偏离条款中，予以详细说明并注明投标报价未包含该部分的货值。</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1.6投标方应提供包括为保证货物自身正常运行所必需的、适应使用地点条件的通风、冷却、降温系统等。</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应提供包括为保证货物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1.8投标方应提供货物维修所必需的专用工具，并在投标报价部分说明数量。</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22" w:name="_Toc10027"/>
      <w:bookmarkStart w:id="423" w:name="_Toc30004"/>
      <w:bookmarkStart w:id="424" w:name="_Toc31723"/>
      <w:bookmarkStart w:id="425" w:name="_Toc31685"/>
      <w:bookmarkStart w:id="426" w:name="_Toc19187"/>
      <w:bookmarkStart w:id="427" w:name="_Toc30087"/>
      <w:bookmarkStart w:id="428" w:name="_Toc73112406"/>
      <w:bookmarkStart w:id="429" w:name="_Toc20059"/>
      <w:bookmarkStart w:id="430" w:name="_Toc6916"/>
      <w:bookmarkStart w:id="431" w:name="_Toc29389"/>
      <w:bookmarkStart w:id="432" w:name="_Toc31074"/>
      <w:bookmarkStart w:id="433" w:name="_Toc25570"/>
      <w:bookmarkStart w:id="434" w:name="_Toc5521"/>
      <w:bookmarkStart w:id="435" w:name="_Toc2744"/>
      <w:bookmarkStart w:id="436" w:name="_Toc10211"/>
      <w:bookmarkStart w:id="437" w:name="_Toc3726"/>
      <w:bookmarkStart w:id="438" w:name="_Toc434"/>
      <w:bookmarkStart w:id="439" w:name="_Toc18018"/>
      <w:bookmarkStart w:id="440" w:name="_Toc11531"/>
      <w:bookmarkStart w:id="441" w:name="_Toc8330"/>
      <w:r>
        <w:rPr>
          <w:rFonts w:hint="eastAsia" w:ascii="仿宋" w:hAnsi="仿宋" w:eastAsia="仿宋" w:cs="仿宋"/>
          <w:b/>
          <w:bCs/>
          <w:color w:val="000000" w:themeColor="text1"/>
          <w14:textFill>
            <w14:solidFill>
              <w14:schemeClr w14:val="tx1"/>
            </w14:solidFill>
          </w14:textFill>
        </w:rPr>
        <w:t>2备品备件、易损件和专用耗材供货范围</w:t>
      </w:r>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2.1招标方招标文件所指备品备件、易损件和专用耗材，是招标方为保证货物质保期之后正常运行一年所自备自用的备品备件、易损件和专用耗材。</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2.2投标方按照招标文件要求提供、或投标方认为招标方应当储备的备品备件、易损件和专用耗材，投标方应当在投标报价部分分别说明所列备品备件、易损件和专用耗材的使用时间。</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2.3投标方应提供易损件和专用耗材的制造图纸及其技术要求等资料。</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投标文件中，应当有备品备件、易损件和专用耗材的详细清单（内容包括名称、型号、规格、单位、数量、生产厂家、单价、总价等）。机床和机器人的主要参数、配置表、关键件和进口外购明细表、随机附明细表、技术文件明细表等。</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2.5备品备件、易损件和专用耗材的费用应分类单列，并计入投标总报价之内。</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42" w:name="_Toc27176"/>
      <w:bookmarkStart w:id="443" w:name="_Toc21438"/>
      <w:bookmarkStart w:id="444" w:name="_Toc30185"/>
      <w:bookmarkStart w:id="445" w:name="_Toc11396"/>
      <w:bookmarkStart w:id="446" w:name="_Toc73112407"/>
      <w:bookmarkStart w:id="447" w:name="_Toc13573"/>
      <w:bookmarkStart w:id="448" w:name="_Toc30333"/>
      <w:bookmarkStart w:id="449" w:name="_Toc23668"/>
      <w:bookmarkStart w:id="450" w:name="_Toc30460"/>
      <w:bookmarkStart w:id="451" w:name="_Toc26974"/>
      <w:bookmarkStart w:id="452" w:name="_Toc8994"/>
      <w:bookmarkStart w:id="453" w:name="_Toc29526"/>
      <w:bookmarkStart w:id="454" w:name="_Toc253"/>
      <w:bookmarkStart w:id="455" w:name="_Toc8769"/>
      <w:bookmarkStart w:id="456" w:name="_Toc14387"/>
      <w:bookmarkStart w:id="457" w:name="_Toc29028"/>
      <w:bookmarkStart w:id="458" w:name="_Toc19082"/>
      <w:bookmarkStart w:id="459" w:name="_Toc6474"/>
      <w:bookmarkStart w:id="460" w:name="_Toc20956"/>
      <w:bookmarkStart w:id="461" w:name="_Toc29622"/>
      <w:r>
        <w:rPr>
          <w:rFonts w:hint="eastAsia" w:ascii="仿宋" w:hAnsi="仿宋" w:eastAsia="仿宋" w:cs="仿宋"/>
          <w:b/>
          <w:bCs/>
          <w:color w:val="000000" w:themeColor="text1"/>
          <w14:textFill>
            <w14:solidFill>
              <w14:schemeClr w14:val="tx1"/>
            </w14:solidFill>
          </w14:textFill>
        </w:rPr>
        <w:t>3技术资料供货范围</w:t>
      </w:r>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bookmarkStart w:id="462" w:name="_Toc16689"/>
      <w:bookmarkStart w:id="463" w:name="_Toc17572"/>
      <w:bookmarkStart w:id="464" w:name="_Toc29107"/>
      <w:bookmarkStart w:id="465" w:name="_Toc11851"/>
      <w:bookmarkStart w:id="466" w:name="_Toc27960"/>
      <w:bookmarkStart w:id="467" w:name="_Toc21360"/>
      <w:bookmarkStart w:id="468" w:name="_Toc19194"/>
      <w:bookmarkStart w:id="469" w:name="_Toc22358"/>
      <w:bookmarkStart w:id="470" w:name="_Toc11837"/>
      <w:bookmarkStart w:id="471" w:name="_Toc4601"/>
      <w:bookmarkStart w:id="472" w:name="_Toc17660"/>
      <w:bookmarkStart w:id="473" w:name="_Toc13201"/>
      <w:bookmarkStart w:id="474" w:name="_Toc8309"/>
      <w:bookmarkStart w:id="475" w:name="_Toc12288"/>
      <w:bookmarkStart w:id="476" w:name="_Toc6313"/>
      <w:bookmarkStart w:id="477" w:name="_Toc4183"/>
      <w:bookmarkStart w:id="478" w:name="_Toc17613"/>
      <w:bookmarkStart w:id="479" w:name="_Toc20754"/>
      <w:bookmarkStart w:id="480" w:name="_Toc10692"/>
      <w:bookmarkStart w:id="481" w:name="_Toc23856"/>
      <w:bookmarkStart w:id="482" w:name="_Toc1897"/>
      <w:bookmarkStart w:id="483" w:name="_Toc18492"/>
      <w:bookmarkStart w:id="484" w:name="_Toc30635"/>
      <w:bookmarkStart w:id="485" w:name="_Toc16163"/>
      <w:bookmarkStart w:id="486" w:name="_Toc29792"/>
      <w:bookmarkStart w:id="487" w:name="_Toc603"/>
      <w:bookmarkStart w:id="488" w:name="_Toc24898"/>
      <w:bookmarkStart w:id="489" w:name="_Toc4381"/>
      <w:bookmarkStart w:id="490" w:name="_Toc15671"/>
      <w:bookmarkStart w:id="491" w:name="_Toc3548"/>
      <w:bookmarkStart w:id="492" w:name="_Toc4676"/>
      <w:bookmarkStart w:id="493" w:name="_Toc1998"/>
      <w:bookmarkStart w:id="494" w:name="_Toc81"/>
      <w:bookmarkStart w:id="495" w:name="_Toc18839"/>
      <w:bookmarkStart w:id="496" w:name="_Toc133783972"/>
      <w:bookmarkStart w:id="497" w:name="_Toc15620"/>
      <w:bookmarkStart w:id="498" w:name="_Toc25983"/>
      <w:bookmarkStart w:id="499" w:name="_Toc3580"/>
      <w:bookmarkStart w:id="500" w:name="_Toc23025"/>
      <w:bookmarkStart w:id="501" w:name="_Toc73112408"/>
      <w:bookmarkStart w:id="502" w:name="_Toc5634"/>
      <w:bookmarkStart w:id="503" w:name="_Toc18118"/>
      <w:bookmarkStart w:id="504" w:name="_Toc27636"/>
      <w:r>
        <w:rPr>
          <w:rFonts w:hint="eastAsia" w:ascii="仿宋" w:hAnsi="仿宋" w:eastAsia="仿宋" w:cs="仿宋"/>
          <w:color w:val="000000" w:themeColor="text1"/>
          <w14:textFill>
            <w14:solidFill>
              <w14:schemeClr w14:val="tx1"/>
            </w14:solidFill>
          </w14:textFill>
        </w:rPr>
        <w:t xml:space="preserve">3.1投标方须负责在被通知中标之日起 </w:t>
      </w:r>
      <w:r>
        <w:rPr>
          <w:rFonts w:hint="eastAsia" w:ascii="仿宋" w:hAnsi="仿宋" w:eastAsia="仿宋" w:cs="仿宋"/>
          <w:u w:val="single"/>
          <w:shd w:val="pct10" w:color="auto" w:fill="FFFFFF"/>
        </w:rPr>
        <w:t xml:space="preserve">  30   </w:t>
      </w:r>
      <w:r>
        <w:rPr>
          <w:rFonts w:hint="eastAsia" w:ascii="仿宋" w:hAnsi="仿宋" w:eastAsia="仿宋" w:cs="仿宋"/>
          <w:color w:val="000000" w:themeColor="text1"/>
          <w14:textFill>
            <w14:solidFill>
              <w14:schemeClr w14:val="tx1"/>
            </w14:solidFill>
          </w14:textFill>
        </w:rPr>
        <w:t>个日历日内，提供货物基础及相关的设计、制作所需的纸质及电子版资料；电子版文件应当能够使用常用</w:t>
      </w:r>
      <w:r>
        <w:rPr>
          <w:rFonts w:ascii="宋体" w:hAnsi="宋体"/>
          <w:u w:val="single"/>
          <w:shd w:val="pct10" w:color="auto" w:fill="FFFFFF"/>
        </w:rPr>
        <w:t xml:space="preserve">  </w:t>
      </w:r>
      <w:r>
        <w:rPr>
          <w:rFonts w:hint="eastAsia" w:ascii="仿宋" w:hAnsi="仿宋" w:eastAsia="仿宋" w:cs="仿宋"/>
          <w:color w:val="000000" w:themeColor="text1"/>
          <w14:textFill>
            <w14:solidFill>
              <w14:schemeClr w14:val="tx1"/>
            </w14:solidFill>
          </w14:textFill>
        </w:rPr>
        <w:t>版本软件可以阅读甚至使用，进口货物、设备应有中外文对照。</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3.2投标方应同时提出对厂房、基础、公用设施、消防、环保、职业危害等超出招标文件、投标文件、答疑文件、技术交流文件、技术协议书和合同等规定的、有特殊需要的解释、说明和要求。</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3.3投标方须负责在预验收前，提供货物各部分的功能描述文件、图片、影像等资料（进口、设备应有中外文对照）。</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3.4投标方须负责在终验收前，提供招标方为保证货物正常运行所需后续自制的工装、吊（挂）具明细及其图纸、具体技术要求等资料（如果供货范围包含该部分实物）。</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3.5投标方须负责在交货之前，提供确定的而且质保期之后招标方维修所需要的、可以自行采购的外购件、外协件、电气元件及主要原材料的供货厂家明细表。</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3.6投标方须负责在终验收前，提供包括货物的备品备件、易损件和专用耗材规定的图纸及技术参数、技术要求等资料。</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3.7投标方须负责在终验收前，提供关于采购货物的操作维护手册、保养维修手册、安全注意事项等的使用说明书、仪器仪表检定和使用维修说明书、合格证、产品样本等技术资料（含图片和影像等资料）；对于进口设备，应有中外文资料说明。</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3.8外购部件提供正规装配图及零件明细;标准件提供明细（包括型号、规格、部位、数量、制造厂家）并与装配图一一对应总装配图和主要部件的装配图，全部自制或非标设计零件正规图纸，提供机床所有零件的明细表，零件号与装配图应一一对应，且能方便地查找零件在装配图上的位置；提供关键件、易损件零件图。</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3.9提供关键件，易损件明细;提供所有电气元件，液压元件，气动元件，润滑元件明细表（包括型号、规格、部位、数量、制造厂家）；</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3.8 主要外购装置、外购件、系统的使用指导说明书。</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3.9主要零部件、元器件，由投标方负责检验，并提供检验报告。</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3.10 应提供设备出厂所必须的精度检验证书、性能测试记录和报告。</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 提供设备消耗水、电、气的详细资料。</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3.12 保证设备正常运行、维护和保养必需的其他参数和资料。</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3.13 投标方须负责在合同签订后</w:t>
      </w:r>
      <w:r>
        <w:rPr>
          <w:rFonts w:hint="eastAsia" w:ascii="仿宋" w:hAnsi="仿宋" w:eastAsia="仿宋" w:cs="仿宋"/>
          <w:u w:val="single"/>
          <w:shd w:val="pct10" w:color="auto" w:fill="FFFFFF"/>
        </w:rPr>
        <w:t xml:space="preserve">  30  </w:t>
      </w:r>
      <w:r>
        <w:rPr>
          <w:rFonts w:hint="eastAsia" w:ascii="仿宋" w:hAnsi="仿宋" w:eastAsia="仿宋" w:cs="仿宋"/>
          <w:color w:val="000000" w:themeColor="text1"/>
          <w14:textFill>
            <w14:solidFill>
              <w14:schemeClr w14:val="tx1"/>
            </w14:solidFill>
          </w14:textFill>
        </w:rPr>
        <w:t>日内，提供设备基础及相关的安装、设计资料，并提供电子版资料文件，文件格式为：.doc,.dwg或.dxf；（进口货物、设备应有中外文对照）；并同时提出对厂房、基础、公用设施、消防、环保、职业危害等不超出招标文件、投标文件、答疑文件、技术交流文件、技术协议书和合同等规定的、有特殊要求的解释、说明和要求。</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3.14投标方须负责在设备到达招标方工厂时，与设备一并提供包括设备的设计总图、装配图（包括零部件件号、名称、型号规格、数量等）、设备全线布置图、电气资料（包括接线图、原理图、布线图、梯形图等）、液压（气动）原理图和系统图、安装基础图、维修图等有关的资料、图片、影像等资料(对于进口设备，应有中外文资料说明)，设备外形三维图纸和二维图纸。</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3.15 本“技术资料范围”所列三维图纸能够用PROE或SOLIDWORKS等常用软件阅览和编辑，二维图纸能够用AUTOCAD、CAXA等常用软件阅览和编辑。</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3.16本“技术资料范围”所列的技术资料、图片、影像等，投标方应各提供5套，其中2套为电子版光盘；每份技术文件应装有目录清单。</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3.17本“技术资料范围”所列要求，如招标方认为投标方提供的资料不能满足要求时，有权要求投标方补充或增加。</w:t>
      </w:r>
    </w:p>
    <w:p>
      <w:pPr>
        <w:pStyle w:val="17"/>
        <w:snapToGrid w:val="0"/>
        <w:spacing w:line="360" w:lineRule="auto"/>
        <w:ind w:left="6" w:firstLine="474" w:firstLineChars="0"/>
        <w:jc w:val="center"/>
        <w:rPr>
          <w:rFonts w:ascii="仿宋" w:hAnsi="仿宋" w:eastAsia="仿宋" w:cs="仿宋"/>
          <w:b/>
          <w:bCs/>
          <w:color w:val="000000" w:themeColor="text1"/>
          <w14:textFill>
            <w14:solidFill>
              <w14:schemeClr w14:val="tx1"/>
            </w14:solidFill>
          </w14:textFill>
        </w:rPr>
      </w:pPr>
      <w:r>
        <w:rPr>
          <w:rFonts w:hint="eastAsia" w:ascii="仿宋" w:hAnsi="仿宋" w:eastAsia="仿宋" w:cs="仿宋"/>
          <w:b/>
          <w:bCs/>
          <w:color w:val="000000" w:themeColor="text1"/>
          <w14:textFill>
            <w14:solidFill>
              <w14:schemeClr w14:val="tx1"/>
            </w14:solidFill>
          </w14:textFill>
        </w:rPr>
        <w:t>第二节供货方式</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05" w:name="_Toc3032"/>
      <w:bookmarkStart w:id="506" w:name="_Toc18282"/>
      <w:bookmarkStart w:id="507" w:name="_Toc28962"/>
      <w:bookmarkStart w:id="508" w:name="_Toc20263"/>
      <w:bookmarkStart w:id="509" w:name="_Toc14135"/>
      <w:bookmarkStart w:id="510" w:name="_Toc73112409"/>
      <w:bookmarkStart w:id="511" w:name="_Toc28759"/>
      <w:bookmarkStart w:id="512" w:name="_Toc22679"/>
      <w:bookmarkStart w:id="513" w:name="_Toc1116"/>
      <w:bookmarkStart w:id="514" w:name="_Toc10286"/>
      <w:bookmarkStart w:id="515" w:name="_Toc27005"/>
      <w:bookmarkStart w:id="516" w:name="_Toc28534"/>
      <w:bookmarkStart w:id="517" w:name="_Toc1474"/>
      <w:bookmarkStart w:id="518" w:name="_Toc19237"/>
      <w:bookmarkStart w:id="519" w:name="_Toc4344"/>
      <w:bookmarkStart w:id="520" w:name="_Toc32491"/>
      <w:bookmarkStart w:id="521" w:name="_Toc11533"/>
      <w:bookmarkStart w:id="522" w:name="_Toc28360"/>
      <w:bookmarkStart w:id="523" w:name="_Toc24179"/>
      <w:bookmarkStart w:id="524" w:name="_Toc28222"/>
      <w:r>
        <w:rPr>
          <w:rFonts w:hint="eastAsia" w:ascii="仿宋" w:hAnsi="仿宋" w:eastAsia="仿宋" w:cs="仿宋"/>
          <w:b/>
          <w:bCs/>
          <w:color w:val="000000" w:themeColor="text1"/>
          <w14:textFill>
            <w14:solidFill>
              <w14:schemeClr w14:val="tx1"/>
            </w14:solidFill>
          </w14:textFill>
        </w:rPr>
        <w:t>1供货地点</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本项目建设工地。</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25" w:name="_Toc6707"/>
      <w:bookmarkStart w:id="526" w:name="_Toc5862"/>
      <w:bookmarkStart w:id="527" w:name="_Toc31657"/>
      <w:bookmarkStart w:id="528" w:name="_Toc20257"/>
      <w:bookmarkStart w:id="529" w:name="_Toc11152"/>
      <w:bookmarkStart w:id="530" w:name="_Toc21521"/>
      <w:bookmarkStart w:id="531" w:name="_Toc531"/>
      <w:bookmarkStart w:id="532" w:name="_Toc8043"/>
      <w:bookmarkStart w:id="533" w:name="_Toc26178"/>
      <w:bookmarkStart w:id="534" w:name="_Toc9856"/>
      <w:bookmarkStart w:id="535" w:name="_Toc2280"/>
      <w:bookmarkStart w:id="536" w:name="_Toc30858"/>
      <w:bookmarkStart w:id="537" w:name="_Toc22044"/>
      <w:bookmarkStart w:id="538" w:name="_Toc6963"/>
      <w:bookmarkStart w:id="539" w:name="_Toc27558"/>
      <w:bookmarkStart w:id="540" w:name="_Toc27724"/>
      <w:bookmarkStart w:id="541" w:name="_Toc26611"/>
      <w:bookmarkStart w:id="542" w:name="_Toc4215"/>
      <w:bookmarkStart w:id="543" w:name="_Toc73112410"/>
      <w:bookmarkStart w:id="544" w:name="_Toc11086"/>
      <w:r>
        <w:rPr>
          <w:rFonts w:hint="eastAsia" w:ascii="仿宋" w:hAnsi="仿宋" w:eastAsia="仿宋" w:cs="仿宋"/>
          <w:b/>
          <w:bCs/>
          <w:color w:val="000000" w:themeColor="text1"/>
          <w14:textFill>
            <w14:solidFill>
              <w14:schemeClr w14:val="tx1"/>
            </w14:solidFill>
          </w14:textFill>
        </w:rPr>
        <w:t>2供货时间</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pPr>
        <w:snapToGrid w:val="0"/>
        <w:spacing w:line="360" w:lineRule="auto"/>
        <w:ind w:firstLine="420" w:firstLineChars="200"/>
        <w:jc w:val="left"/>
        <w:rPr>
          <w:rFonts w:ascii="仿宋" w:hAnsi="仿宋" w:eastAsia="仿宋" w:cs="仿宋"/>
          <w:strike/>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2.1投标方应自</w:t>
      </w:r>
      <w:r>
        <w:rPr>
          <w:rFonts w:hint="eastAsia" w:ascii="仿宋" w:hAnsi="仿宋" w:eastAsia="仿宋" w:cs="仿宋"/>
          <w:color w:val="000000" w:themeColor="text1"/>
          <w:lang w:val="en-US" w:eastAsia="zh-CN"/>
          <w14:textFill>
            <w14:solidFill>
              <w14:schemeClr w14:val="tx1"/>
            </w14:solidFill>
          </w14:textFill>
        </w:rPr>
        <w:t>签订合同之日起</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日历日之内交货至供货地点。</w:t>
      </w:r>
    </w:p>
    <w:p>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2.2连续</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5</w:t>
      </w:r>
      <w:r>
        <w:rPr>
          <w:rFonts w:hint="eastAsia" w:ascii="仿宋" w:hAnsi="仿宋" w:eastAsia="仿宋" w:cs="仿宋"/>
          <w:color w:val="000000" w:themeColor="text1"/>
          <w14:textFill>
            <w14:solidFill>
              <w14:schemeClr w14:val="tx1"/>
            </w14:solidFill>
          </w14:textFill>
        </w:rPr>
        <w:t>个日历日之内安装调试完毕；</w:t>
      </w:r>
    </w:p>
    <w:p>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2.3连续</w:t>
      </w:r>
      <w:r>
        <w:rPr>
          <w:rFonts w:hint="eastAsia" w:ascii="仿宋" w:hAnsi="仿宋" w:eastAsia="仿宋" w:cs="仿宋"/>
          <w:color w:val="000000" w:themeColor="text1"/>
          <w:u w:val="single"/>
          <w:shd w:val="pct10" w:color="auto" w:fill="FFFFFF"/>
          <w14:textFill>
            <w14:solidFill>
              <w14:schemeClr w14:val="tx1"/>
            </w14:solidFill>
          </w14:textFill>
        </w:rPr>
        <w:t xml:space="preserve"> </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30</w:t>
      </w:r>
      <w:r>
        <w:rPr>
          <w:rFonts w:hint="eastAsia" w:ascii="仿宋" w:hAnsi="仿宋" w:eastAsia="仿宋" w:cs="仿宋"/>
          <w:color w:val="000000" w:themeColor="text1"/>
          <w14:textFill>
            <w14:solidFill>
              <w14:schemeClr w14:val="tx1"/>
            </w14:solidFill>
          </w14:textFill>
        </w:rPr>
        <w:t>个日历日之内完成终验收。</w:t>
      </w:r>
    </w:p>
    <w:p>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2.4必要时，投标方应当提供详细的工期计划。</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45" w:name="_Toc5288"/>
      <w:bookmarkStart w:id="546" w:name="_Toc8419"/>
      <w:bookmarkStart w:id="547" w:name="_Toc17351"/>
      <w:bookmarkStart w:id="548" w:name="_Toc31485"/>
      <w:bookmarkStart w:id="549" w:name="_Toc11749"/>
      <w:bookmarkStart w:id="550" w:name="_Toc29786"/>
      <w:bookmarkStart w:id="551" w:name="_Toc18845"/>
      <w:bookmarkStart w:id="552" w:name="_Toc9507"/>
      <w:bookmarkStart w:id="553" w:name="_Toc17489"/>
      <w:bookmarkStart w:id="554" w:name="_Toc8193"/>
      <w:bookmarkStart w:id="555" w:name="_Toc16960"/>
      <w:bookmarkStart w:id="556" w:name="_Toc22394"/>
      <w:bookmarkStart w:id="557" w:name="_Toc30983"/>
      <w:bookmarkStart w:id="558" w:name="_Toc22617"/>
      <w:bookmarkStart w:id="559" w:name="_Toc22968"/>
      <w:bookmarkStart w:id="560" w:name="_Toc23122"/>
      <w:bookmarkStart w:id="561" w:name="_Toc18153"/>
      <w:bookmarkStart w:id="562" w:name="_Toc24587"/>
      <w:bookmarkStart w:id="563" w:name="_Toc4431"/>
      <w:bookmarkStart w:id="564" w:name="_Toc73112411"/>
      <w:r>
        <w:rPr>
          <w:rFonts w:hint="eastAsia" w:ascii="仿宋" w:hAnsi="仿宋" w:eastAsia="仿宋" w:cs="仿宋"/>
          <w:b/>
          <w:bCs/>
          <w:color w:val="000000" w:themeColor="text1"/>
          <w14:textFill>
            <w14:solidFill>
              <w14:schemeClr w14:val="tx1"/>
            </w14:solidFill>
          </w14:textFill>
        </w:rPr>
        <w:t>3质保期</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3.1投标方所提供货物涉及的全部供货范围内的设备、材料、零配件和工器具等，除合同特别约定外，其质保期均自终验收签字生效之日起</w:t>
      </w:r>
      <w:r>
        <w:rPr>
          <w:rFonts w:hint="eastAsia" w:ascii="仿宋" w:hAnsi="仿宋" w:eastAsia="仿宋" w:cs="仿宋"/>
          <w:color w:val="000000" w:themeColor="text1"/>
          <w:u w:val="single"/>
          <w:shd w:val="pct10" w:color="auto" w:fill="FFFFFF"/>
          <w14:textFill>
            <w14:solidFill>
              <w14:schemeClr w14:val="tx1"/>
            </w14:solidFill>
          </w14:textFill>
        </w:rPr>
        <w:t>12</w:t>
      </w:r>
      <w:r>
        <w:rPr>
          <w:rFonts w:hint="eastAsia" w:ascii="仿宋" w:hAnsi="仿宋" w:eastAsia="仿宋" w:cs="仿宋"/>
          <w:color w:val="000000" w:themeColor="text1"/>
          <w14:textFill>
            <w14:solidFill>
              <w14:schemeClr w14:val="tx1"/>
            </w14:solidFill>
          </w14:textFill>
        </w:rPr>
        <w:t>个月。数控系统、伺服单元、电源模块、各轴电机及显示器等部分</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14:textFill>
            <w14:solidFill>
              <w14:schemeClr w14:val="tx1"/>
            </w14:solidFill>
          </w14:textFill>
        </w:rPr>
        <w:t>月以内。</w:t>
      </w:r>
    </w:p>
    <w:p>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3.2质保期之内，如果货物出现关键设备、总成、零部件或者多处一般设备、总成、零部件的更换或维修行为，则质保期自更换或维修行为结束、货物能够正常运行使用之日起重新计算。</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65" w:name="_Toc16381"/>
      <w:bookmarkStart w:id="566" w:name="_Toc29090"/>
      <w:bookmarkStart w:id="567" w:name="_Toc17320"/>
      <w:bookmarkStart w:id="568" w:name="_Toc26040"/>
      <w:bookmarkStart w:id="569" w:name="_Toc73112412"/>
      <w:bookmarkStart w:id="570" w:name="_Toc19011"/>
      <w:bookmarkStart w:id="571" w:name="_Toc20248"/>
      <w:bookmarkStart w:id="572" w:name="_Toc27729"/>
      <w:bookmarkStart w:id="573" w:name="_Toc16664"/>
      <w:bookmarkStart w:id="574" w:name="_Toc12791"/>
      <w:bookmarkStart w:id="575" w:name="_Toc28907"/>
      <w:bookmarkStart w:id="576" w:name="_Toc21924"/>
      <w:bookmarkStart w:id="577" w:name="_Toc20400"/>
      <w:bookmarkStart w:id="578" w:name="_Toc426"/>
      <w:bookmarkStart w:id="579" w:name="_Toc27377"/>
      <w:bookmarkStart w:id="580" w:name="_Toc14622"/>
      <w:bookmarkStart w:id="581" w:name="_Toc21555"/>
      <w:bookmarkStart w:id="582" w:name="_Toc5126"/>
      <w:bookmarkStart w:id="583" w:name="_Toc27080"/>
      <w:bookmarkStart w:id="584" w:name="_Toc10272"/>
      <w:r>
        <w:rPr>
          <w:rFonts w:hint="eastAsia" w:ascii="仿宋" w:hAnsi="仿宋" w:eastAsia="仿宋" w:cs="仿宋"/>
          <w:b/>
          <w:bCs/>
          <w:color w:val="000000" w:themeColor="text1"/>
          <w14:textFill>
            <w14:solidFill>
              <w14:schemeClr w14:val="tx1"/>
            </w14:solidFill>
          </w14:textFill>
        </w:rPr>
        <w:t>4包装</w:t>
      </w:r>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4.1投标方所提供货物（或设备）的包装，应遵照国家标准和有关包装、包皮的技术条件，或按照最好的商业惯例进行包装。</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4.2包装应能满足所需要采取的运输方式（船运、汽运或铁路运输）、多次吊装卸装、卸货以及长期露天堆放要求，应能防止雨淋、受潮、生锈、腐蚀、受振、受磁以及机械和化学因素等引起的损坏。</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4.3投标方所提供货物（或设备）的包装，应能防止其一般性被窃或受外力破坏；一般不得采用有大缝隙的板条包装。</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4.4投标方应对包装件做必要的加固和固定等防护措施，以防止运输可能造成的损坏。</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4.5每个包装件应有装箱单，并至少标明名称、型号规格、数量、净重和毛重、投标方（或供货商）名称和制造日期等相关内容。</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4.6每个包装箱应有明显标志，并具有中文书写的合同号、装运标志、发货和到货地点名称、发货人和收货人名称、货物名称和项目号、箱号和外型尺寸等内容。</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4.7投标方还应按照不同的装运要求在包装箱上标明“小心轻放”、“箭头向上”、“防潮”、“防磁”、“不准平放”等标志，以及其它适用的国标通用标志。</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4.8包装箱应连续编号，不应出现重复编号。</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4.9在不受到外界破坏情况下，包装应保证自交货日起一年内货物（或设备）完好无损。</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85" w:name="_Toc21308"/>
      <w:bookmarkStart w:id="586" w:name="_Toc22949"/>
      <w:bookmarkStart w:id="587" w:name="_Toc22992"/>
      <w:bookmarkStart w:id="588" w:name="_Toc25305"/>
      <w:bookmarkStart w:id="589" w:name="_Toc4346"/>
      <w:bookmarkStart w:id="590" w:name="_Toc73112413"/>
      <w:bookmarkStart w:id="591" w:name="_Toc17990"/>
      <w:bookmarkStart w:id="592" w:name="_Toc7046"/>
      <w:bookmarkStart w:id="593" w:name="_Toc22792"/>
      <w:bookmarkStart w:id="594" w:name="_Toc32266"/>
      <w:bookmarkStart w:id="595" w:name="_Toc17881"/>
      <w:bookmarkStart w:id="596" w:name="_Toc8"/>
      <w:bookmarkStart w:id="597" w:name="_Toc7889"/>
      <w:bookmarkStart w:id="598" w:name="_Toc21886"/>
      <w:bookmarkStart w:id="599" w:name="_Toc31538"/>
      <w:bookmarkStart w:id="600" w:name="_Toc5373"/>
      <w:bookmarkStart w:id="601" w:name="_Toc1857"/>
      <w:bookmarkStart w:id="602" w:name="_Toc23221"/>
      <w:bookmarkStart w:id="603" w:name="_Toc26302"/>
      <w:bookmarkStart w:id="604" w:name="_Toc20536"/>
      <w:r>
        <w:rPr>
          <w:rFonts w:hint="eastAsia" w:ascii="仿宋" w:hAnsi="仿宋" w:eastAsia="仿宋" w:cs="仿宋"/>
          <w:b/>
          <w:bCs/>
          <w:color w:val="000000" w:themeColor="text1"/>
          <w14:textFill>
            <w14:solidFill>
              <w14:schemeClr w14:val="tx1"/>
            </w14:solidFill>
          </w14:textFill>
        </w:rPr>
        <w:t>5运输</w:t>
      </w:r>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5.1投标方应负责将货物（或设备）运到目的地，并必须做到货物（或设备）在任何运输过程中不受损坏和遗失</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5.2同批货物（或设备）应统一包装、编号运输。</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5.3一般情况下，经由铁路、公路运输的包装件尺寸和重量不应超过国家所规定的尺寸限制。特殊情况应予以说明。</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5.4在每批货物（或设备）发出后，投标方应立即通知招标方；通知中应指明：合同号、货运单号、件数、重量和货物（或设备）发出日期等相关内容。</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5.5货物（或设备）运抵招标方现场后，投标方应负责货物（或设备）的卸货、搬运、保管等事宜；或按照合同约定。</w:t>
      </w:r>
      <w:bookmarkStart w:id="605" w:name="_Toc133783973"/>
    </w:p>
    <w:p>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606" w:name="_Toc14916"/>
      <w:bookmarkStart w:id="607" w:name="_Toc28164"/>
      <w:bookmarkStart w:id="608" w:name="_Toc29063"/>
      <w:bookmarkStart w:id="609" w:name="_Toc10676"/>
      <w:bookmarkStart w:id="610" w:name="_Toc28211"/>
      <w:bookmarkStart w:id="611" w:name="_Toc16036"/>
      <w:bookmarkStart w:id="612" w:name="_Toc27085"/>
      <w:bookmarkStart w:id="613" w:name="_Toc24978"/>
      <w:bookmarkStart w:id="614" w:name="_Toc18423"/>
      <w:bookmarkStart w:id="615" w:name="_Toc12021"/>
      <w:bookmarkStart w:id="616" w:name="_Toc2668"/>
      <w:bookmarkStart w:id="617" w:name="_Toc14862"/>
      <w:bookmarkStart w:id="618" w:name="_Toc7501"/>
      <w:bookmarkStart w:id="619" w:name="_Toc7672"/>
      <w:bookmarkStart w:id="620" w:name="_Toc19133"/>
      <w:bookmarkStart w:id="621" w:name="_Toc20251"/>
      <w:bookmarkStart w:id="622" w:name="_Toc26651"/>
      <w:bookmarkStart w:id="623" w:name="_Toc14023"/>
      <w:bookmarkStart w:id="624" w:name="_Toc27169"/>
      <w:bookmarkStart w:id="625" w:name="_Toc25292"/>
      <w:bookmarkStart w:id="626" w:name="_Toc24397"/>
      <w:bookmarkStart w:id="627" w:name="_Toc10894"/>
      <w:bookmarkStart w:id="628" w:name="_Toc3739"/>
      <w:bookmarkStart w:id="629" w:name="_Toc12994"/>
      <w:bookmarkStart w:id="630" w:name="_Toc24415"/>
      <w:bookmarkStart w:id="631" w:name="_Toc1740"/>
      <w:bookmarkStart w:id="632" w:name="_Toc23255"/>
      <w:bookmarkStart w:id="633" w:name="_Toc26671"/>
      <w:bookmarkStart w:id="634" w:name="_Toc22680"/>
      <w:bookmarkStart w:id="635" w:name="_Toc32280"/>
      <w:bookmarkStart w:id="636" w:name="_Toc19986"/>
      <w:bookmarkStart w:id="637" w:name="_Toc13927"/>
      <w:bookmarkStart w:id="638" w:name="_Toc2250"/>
      <w:bookmarkStart w:id="639" w:name="_Toc15153"/>
      <w:bookmarkStart w:id="640" w:name="_Toc25780"/>
      <w:bookmarkStart w:id="641" w:name="_Toc14414"/>
      <w:bookmarkStart w:id="642" w:name="_Toc9059"/>
      <w:bookmarkStart w:id="643" w:name="_Toc14171"/>
      <w:bookmarkStart w:id="644" w:name="_Toc11027"/>
      <w:bookmarkStart w:id="645" w:name="_Toc25044"/>
      <w:bookmarkStart w:id="646" w:name="_Toc31301"/>
      <w:bookmarkStart w:id="647" w:name="_Toc73112414"/>
      <w:bookmarkStart w:id="648" w:name="_Toc12478"/>
      <w:bookmarkStart w:id="649" w:name="_Toc10275"/>
      <w:bookmarkStart w:id="650" w:name="_Toc8515"/>
      <w:bookmarkStart w:id="651" w:name="_Toc14229"/>
      <w:r>
        <w:rPr>
          <w:rFonts w:hint="eastAsia" w:ascii="仿宋" w:hAnsi="仿宋" w:eastAsia="仿宋" w:cs="仿宋"/>
          <w:b/>
          <w:bCs/>
          <w:color w:val="000000" w:themeColor="text1"/>
          <w14:textFill>
            <w14:solidFill>
              <w14:schemeClr w14:val="tx1"/>
            </w14:solidFill>
          </w14:textFill>
        </w:rPr>
        <w:t>第四章售中售后服务</w:t>
      </w:r>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652" w:name="_Toc9079"/>
      <w:bookmarkStart w:id="653" w:name="_Toc73112415"/>
      <w:bookmarkStart w:id="654" w:name="_Toc29262"/>
      <w:bookmarkStart w:id="655" w:name="_Toc9919"/>
      <w:bookmarkStart w:id="656" w:name="_Toc414"/>
      <w:bookmarkStart w:id="657" w:name="_Toc13786"/>
      <w:bookmarkStart w:id="658" w:name="_Toc19735"/>
      <w:bookmarkStart w:id="659" w:name="_Toc25505"/>
      <w:bookmarkStart w:id="660" w:name="_Toc4952"/>
      <w:bookmarkStart w:id="661" w:name="_Toc14968"/>
      <w:bookmarkStart w:id="662" w:name="_Toc30399"/>
      <w:bookmarkStart w:id="663" w:name="_Toc2564"/>
      <w:bookmarkStart w:id="664" w:name="_Toc24654"/>
      <w:bookmarkStart w:id="665" w:name="_Toc18522"/>
      <w:bookmarkStart w:id="666" w:name="_Toc20772"/>
      <w:bookmarkStart w:id="667" w:name="_Toc10542"/>
      <w:bookmarkStart w:id="668" w:name="_Toc8465"/>
      <w:bookmarkStart w:id="669" w:name="_Toc27811"/>
      <w:bookmarkStart w:id="670" w:name="_Toc14199"/>
      <w:bookmarkStart w:id="671" w:name="_Toc17645"/>
      <w:bookmarkStart w:id="672" w:name="_Toc217"/>
      <w:bookmarkStart w:id="673" w:name="_Toc28487"/>
      <w:bookmarkStart w:id="674" w:name="_Toc19576"/>
      <w:bookmarkStart w:id="675" w:name="_Toc23892"/>
      <w:bookmarkStart w:id="676" w:name="_Toc788"/>
      <w:bookmarkStart w:id="677" w:name="_Toc2661"/>
      <w:bookmarkStart w:id="678" w:name="_Toc13551"/>
      <w:bookmarkStart w:id="679" w:name="_Toc8910"/>
      <w:bookmarkStart w:id="680" w:name="_Toc7723"/>
      <w:bookmarkStart w:id="681" w:name="_Toc10791"/>
      <w:bookmarkStart w:id="682" w:name="_Toc3697"/>
      <w:bookmarkStart w:id="683" w:name="_Toc10787"/>
      <w:bookmarkStart w:id="684" w:name="_Toc16066"/>
      <w:bookmarkStart w:id="685" w:name="_Toc23541"/>
      <w:bookmarkStart w:id="686" w:name="_Toc17832"/>
      <w:bookmarkStart w:id="687" w:name="_Toc344"/>
      <w:bookmarkStart w:id="688" w:name="_Toc23493"/>
      <w:bookmarkStart w:id="689" w:name="_Toc24344"/>
      <w:bookmarkStart w:id="690" w:name="_Toc4682"/>
      <w:bookmarkStart w:id="691" w:name="_Toc12793"/>
      <w:bookmarkStart w:id="692" w:name="_Toc3722"/>
      <w:bookmarkStart w:id="693" w:name="_Toc29321"/>
      <w:bookmarkStart w:id="694" w:name="_Toc7036"/>
      <w:bookmarkStart w:id="695" w:name="_Toc4180"/>
      <w:bookmarkStart w:id="696" w:name="_Toc20514"/>
      <w:r>
        <w:rPr>
          <w:rFonts w:hint="eastAsia" w:ascii="仿宋" w:hAnsi="仿宋" w:eastAsia="仿宋" w:cs="仿宋"/>
          <w:b/>
          <w:bCs/>
          <w:color w:val="000000" w:themeColor="text1"/>
          <w14:textFill>
            <w14:solidFill>
              <w14:schemeClr w14:val="tx1"/>
            </w14:solidFill>
          </w14:textFill>
        </w:rPr>
        <w:t>1技术及培训服务</w:t>
      </w:r>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1.1投标方应负责对招标方</w:t>
      </w:r>
      <w:r>
        <w:rPr>
          <w:rFonts w:hint="eastAsia" w:ascii="仿宋" w:hAnsi="仿宋" w:eastAsia="仿宋" w:cs="仿宋"/>
          <w:color w:val="000000" w:themeColor="text1"/>
          <w:u w:val="single"/>
          <w:shd w:val="pct10" w:color="auto" w:fill="FFFFFF"/>
          <w14:textFill>
            <w14:solidFill>
              <w14:schemeClr w14:val="tx1"/>
            </w14:solidFill>
          </w14:textFill>
        </w:rPr>
        <w:t xml:space="preserve"> 3-5</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名工程技术人员、维修人员和操作人员提供不少于</w:t>
      </w:r>
      <w:r>
        <w:rPr>
          <w:rFonts w:hint="eastAsia" w:ascii="仿宋" w:hAnsi="仿宋" w:eastAsia="仿宋" w:cs="仿宋"/>
          <w:color w:val="000000" w:themeColor="text1"/>
          <w:u w:val="single"/>
          <w:shd w:val="pct10" w:color="auto" w:fill="FFFFFF"/>
          <w14:textFill>
            <w14:solidFill>
              <w14:schemeClr w14:val="tx1"/>
            </w14:solidFill>
          </w14:textFill>
        </w:rPr>
        <w:t xml:space="preserve"> 7</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个日历日的免费的、生产制造现场的理论、技术和操作、维修、安全等方面的指导和培训，并为招标方受培训人员提供免费的培训地交通、食宿条件。</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1.2投标方应负责在招标方货物使用现场，进行</w:t>
      </w:r>
      <w:r>
        <w:rPr>
          <w:rFonts w:hint="eastAsia" w:ascii="仿宋" w:hAnsi="仿宋" w:eastAsia="仿宋" w:cs="仿宋"/>
          <w:color w:val="000000" w:themeColor="text1"/>
          <w:shd w:val="pct10" w:color="auto" w:fill="FFFFFF"/>
          <w14:textFill>
            <w14:solidFill>
              <w14:schemeClr w14:val="tx1"/>
            </w14:solidFill>
          </w14:textFill>
        </w:rPr>
        <w:t>2～3</w:t>
      </w:r>
      <w:r>
        <w:rPr>
          <w:rFonts w:hint="eastAsia" w:ascii="仿宋" w:hAnsi="仿宋" w:eastAsia="仿宋" w:cs="仿宋"/>
          <w:color w:val="000000" w:themeColor="text1"/>
          <w14:textFill>
            <w14:solidFill>
              <w14:schemeClr w14:val="tx1"/>
            </w14:solidFill>
          </w14:textFill>
        </w:rPr>
        <w:t>次免费的技术指导和培训，并接受招标方有关人员的技术咨询。</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1.3投标方应免费提供全套培训资料。所有设备均需要配备产品说明书，包括设备的内部结构、组成及保养、维护、调试等相关内容，便于生产人员及维修人员查阅。</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1.4投标方应按要求，免费积极协助和提供招标方以及招标方所委托的工程设计单位有关人员所需要的、与货物有关的工程设计资料、技术咨询等。</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1.5若投标方提供的货物涉及到外购外协货物、而且该货物的技术质量等较为关键时，凡招标方提出需求的，投标方应能得到配套厂家的技术支持，并免费为招标方提供技术服务及培训。</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697" w:name="_Toc11060"/>
      <w:bookmarkStart w:id="698" w:name="_Toc14504"/>
      <w:bookmarkStart w:id="699" w:name="_Toc21693"/>
      <w:bookmarkStart w:id="700" w:name="_Toc6394"/>
      <w:bookmarkStart w:id="701" w:name="_Toc26197"/>
      <w:bookmarkStart w:id="702" w:name="_Toc17865"/>
      <w:bookmarkStart w:id="703" w:name="_Toc1420"/>
      <w:bookmarkStart w:id="704" w:name="_Toc26880"/>
      <w:bookmarkStart w:id="705" w:name="_Toc15028"/>
      <w:bookmarkStart w:id="706" w:name="_Toc3892"/>
      <w:bookmarkStart w:id="707" w:name="_Toc15460"/>
      <w:bookmarkStart w:id="708" w:name="_Toc17516"/>
      <w:bookmarkStart w:id="709" w:name="_Toc25595"/>
      <w:bookmarkStart w:id="710" w:name="_Toc22719"/>
      <w:bookmarkStart w:id="711" w:name="_Toc9824"/>
      <w:bookmarkStart w:id="712" w:name="_Toc17849"/>
      <w:bookmarkStart w:id="713" w:name="_Toc1525"/>
      <w:bookmarkStart w:id="714" w:name="_Toc29691"/>
      <w:bookmarkStart w:id="715" w:name="_Toc25347"/>
      <w:bookmarkStart w:id="716" w:name="_Toc16493"/>
      <w:bookmarkStart w:id="717" w:name="_Toc1176"/>
      <w:bookmarkStart w:id="718" w:name="_Toc31039"/>
      <w:bookmarkStart w:id="719" w:name="_Toc22880"/>
      <w:bookmarkStart w:id="720" w:name="_Toc16259"/>
      <w:bookmarkStart w:id="721" w:name="_Toc5703"/>
      <w:bookmarkStart w:id="722" w:name="_Toc13235"/>
      <w:bookmarkStart w:id="723" w:name="_Toc16867"/>
      <w:bookmarkStart w:id="724" w:name="_Toc19866"/>
      <w:bookmarkStart w:id="725" w:name="_Toc32690"/>
      <w:bookmarkStart w:id="726" w:name="_Toc73112416"/>
      <w:bookmarkStart w:id="727" w:name="_Toc13864"/>
      <w:bookmarkStart w:id="728" w:name="_Toc22693"/>
      <w:bookmarkStart w:id="729" w:name="_Toc3042"/>
      <w:bookmarkStart w:id="730" w:name="_Toc11516"/>
      <w:bookmarkStart w:id="731" w:name="_Toc13970"/>
      <w:bookmarkStart w:id="732" w:name="_Toc30271"/>
      <w:bookmarkStart w:id="733" w:name="_Toc26430"/>
      <w:bookmarkStart w:id="734" w:name="_Toc25721"/>
      <w:bookmarkStart w:id="735" w:name="_Toc29981"/>
      <w:bookmarkStart w:id="736" w:name="_Toc3976"/>
      <w:bookmarkStart w:id="737" w:name="_Toc10782"/>
      <w:bookmarkStart w:id="738" w:name="_Toc3907"/>
      <w:bookmarkStart w:id="739" w:name="_Toc29413"/>
      <w:bookmarkStart w:id="740" w:name="_Toc16207"/>
      <w:bookmarkStart w:id="741" w:name="_Toc19800"/>
      <w:r>
        <w:rPr>
          <w:rFonts w:hint="eastAsia" w:ascii="仿宋" w:hAnsi="仿宋" w:eastAsia="仿宋" w:cs="仿宋"/>
          <w:b/>
          <w:bCs/>
          <w:color w:val="000000" w:themeColor="text1"/>
          <w14:textFill>
            <w14:solidFill>
              <w14:schemeClr w14:val="tx1"/>
            </w14:solidFill>
          </w14:textFill>
        </w:rPr>
        <w:t>2安装调试服务</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2.1根据货物的要求，调试可分空载和负载两个阶段进行；招标方将予以积极配合，协助投标方达到货物的各项技术指标和性能要求。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安装调试与验收期间，若投标方提供的货物涉及到外购外协货物、而且该货物的技术质量等较为关键时，凡招标方提出需求的，投标方应能得到配套厂家的技术支持，并免费为招标方提供安装使用现场的指导与协调。</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2.3投标方提供收费的或免费的、指导安装调试或负责安装调试，至少应在投标文件的报价章节中，予以明确说明。</w:t>
      </w:r>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742" w:name="_Toc19674"/>
      <w:bookmarkStart w:id="743" w:name="_Toc17427"/>
      <w:bookmarkStart w:id="744" w:name="_Toc29125"/>
      <w:bookmarkStart w:id="745" w:name="_Toc24615"/>
      <w:bookmarkStart w:id="746" w:name="_Toc29126"/>
      <w:bookmarkStart w:id="747" w:name="_Toc628"/>
      <w:bookmarkStart w:id="748" w:name="_Toc29245"/>
      <w:bookmarkStart w:id="749" w:name="_Toc10635"/>
      <w:bookmarkStart w:id="750" w:name="_Toc32488"/>
      <w:bookmarkStart w:id="751" w:name="_Toc7783"/>
      <w:bookmarkStart w:id="752" w:name="_Toc218"/>
      <w:bookmarkStart w:id="753" w:name="_Toc16706"/>
      <w:bookmarkStart w:id="754" w:name="_Toc2657"/>
      <w:bookmarkStart w:id="755" w:name="_Toc478"/>
      <w:bookmarkStart w:id="756" w:name="_Toc16916"/>
      <w:bookmarkStart w:id="757" w:name="_Toc30398"/>
      <w:bookmarkStart w:id="758" w:name="_Toc13921"/>
      <w:bookmarkStart w:id="759" w:name="_Toc12739"/>
      <w:bookmarkStart w:id="760" w:name="_Toc25079"/>
      <w:bookmarkStart w:id="761" w:name="_Toc4076"/>
      <w:bookmarkStart w:id="762" w:name="_Toc11229"/>
      <w:bookmarkStart w:id="763" w:name="_Toc1565"/>
      <w:bookmarkStart w:id="764" w:name="_Toc27515"/>
      <w:bookmarkStart w:id="765" w:name="_Toc2772"/>
      <w:bookmarkStart w:id="766" w:name="_Toc3170"/>
      <w:bookmarkStart w:id="767" w:name="_Toc9269"/>
      <w:bookmarkStart w:id="768" w:name="_Toc16435"/>
      <w:bookmarkStart w:id="769" w:name="_Toc16337"/>
      <w:bookmarkStart w:id="770" w:name="_Toc17284"/>
      <w:bookmarkStart w:id="771" w:name="_Toc8975"/>
      <w:bookmarkStart w:id="772" w:name="_Toc13443"/>
      <w:bookmarkStart w:id="773" w:name="_Toc32442"/>
      <w:bookmarkStart w:id="774" w:name="_Toc7956"/>
      <w:bookmarkStart w:id="775" w:name="_Toc9329"/>
      <w:bookmarkStart w:id="776" w:name="_Toc9878"/>
      <w:bookmarkStart w:id="777" w:name="_Toc22871"/>
      <w:bookmarkStart w:id="778" w:name="_Toc1585"/>
      <w:bookmarkStart w:id="779" w:name="_Toc16373"/>
      <w:bookmarkStart w:id="780" w:name="_Toc4751"/>
      <w:bookmarkStart w:id="781" w:name="_Toc2510"/>
      <w:bookmarkStart w:id="782" w:name="_Toc19810"/>
      <w:bookmarkStart w:id="783" w:name="_Toc2097"/>
      <w:bookmarkStart w:id="784" w:name="_Toc30193"/>
      <w:bookmarkStart w:id="785" w:name="_Toc73112417"/>
      <w:bookmarkStart w:id="786" w:name="_Toc18269"/>
      <w:r>
        <w:rPr>
          <w:rFonts w:hint="eastAsia" w:ascii="仿宋" w:hAnsi="仿宋" w:eastAsia="仿宋" w:cs="仿宋"/>
          <w:b/>
          <w:bCs/>
          <w:color w:val="000000" w:themeColor="text1"/>
          <w14:textFill>
            <w14:solidFill>
              <w14:schemeClr w14:val="tx1"/>
            </w14:solidFill>
          </w14:textFill>
        </w:rPr>
        <w:t>3验收服务</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bookmarkStart w:id="787" w:name="_Toc73112418"/>
      <w:bookmarkStart w:id="788" w:name="_Toc7478"/>
      <w:bookmarkStart w:id="789" w:name="_Toc32079"/>
      <w:bookmarkStart w:id="790" w:name="_Toc18836"/>
      <w:bookmarkStart w:id="791" w:name="_Toc21987"/>
      <w:bookmarkStart w:id="792" w:name="_Toc3798"/>
      <w:bookmarkStart w:id="793" w:name="_Toc29778"/>
      <w:bookmarkStart w:id="794" w:name="_Toc542"/>
      <w:bookmarkStart w:id="795" w:name="_Toc19441"/>
      <w:bookmarkStart w:id="796" w:name="_Toc20717"/>
      <w:bookmarkStart w:id="797" w:name="_Toc1199"/>
      <w:bookmarkStart w:id="798" w:name="_Toc18968"/>
      <w:bookmarkStart w:id="799" w:name="_Toc10808"/>
      <w:bookmarkStart w:id="800" w:name="_Toc29300"/>
      <w:bookmarkStart w:id="801" w:name="_Toc28635"/>
      <w:bookmarkStart w:id="802" w:name="_Toc20081"/>
      <w:bookmarkStart w:id="803" w:name="_Toc11699"/>
      <w:bookmarkStart w:id="804" w:name="_Toc32682"/>
      <w:bookmarkStart w:id="805" w:name="_Toc1454"/>
      <w:bookmarkStart w:id="806" w:name="_Toc9592"/>
      <w:bookmarkStart w:id="807" w:name="_Toc20916"/>
      <w:bookmarkStart w:id="808" w:name="_Toc26554"/>
      <w:bookmarkStart w:id="809" w:name="_Toc14739"/>
      <w:bookmarkStart w:id="810" w:name="_Toc30412"/>
      <w:bookmarkStart w:id="811" w:name="_Toc22392"/>
      <w:bookmarkStart w:id="812" w:name="_Toc27224"/>
      <w:bookmarkStart w:id="813" w:name="_Toc29633"/>
      <w:bookmarkStart w:id="814" w:name="_Toc17056"/>
      <w:bookmarkStart w:id="815" w:name="_Toc7782"/>
      <w:bookmarkStart w:id="816" w:name="_Toc4417"/>
      <w:bookmarkStart w:id="817" w:name="_Toc17895"/>
      <w:bookmarkStart w:id="818" w:name="_Toc1311"/>
      <w:bookmarkStart w:id="819" w:name="_Toc20426"/>
      <w:bookmarkStart w:id="820" w:name="_Toc11213"/>
      <w:bookmarkStart w:id="821" w:name="_Toc6099"/>
      <w:bookmarkStart w:id="822" w:name="_Toc2093"/>
      <w:bookmarkStart w:id="823" w:name="_Toc22965"/>
      <w:bookmarkStart w:id="824" w:name="_Toc8078"/>
      <w:bookmarkStart w:id="825" w:name="_Toc10014"/>
      <w:bookmarkStart w:id="826" w:name="_Toc6232"/>
      <w:bookmarkStart w:id="827" w:name="_Toc19397"/>
      <w:bookmarkStart w:id="828" w:name="_Toc26773"/>
      <w:r>
        <w:rPr>
          <w:rFonts w:hint="eastAsia" w:ascii="仿宋" w:hAnsi="仿宋" w:eastAsia="仿宋" w:cs="仿宋"/>
          <w:color w:val="000000" w:themeColor="text1"/>
          <w14:textFill>
            <w14:solidFill>
              <w14:schemeClr w14:val="tx1"/>
            </w14:solidFill>
          </w14:textFill>
        </w:rPr>
        <w:t>3.1投标方在招标方现场进行的货物的预验收和终验收配合或指导，应当是免费的。</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 货物验收时，若投标方提供的货物涉及到外购外协货物、而且该货物的技术质量等较为关键时，投标方应能得到配套厂家的技术支持，并免费为招标方提供使用现场验收的配合或指导。</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3.3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pPr>
        <w:snapToGrid w:val="0"/>
        <w:spacing w:line="360" w:lineRule="auto"/>
        <w:ind w:left="480"/>
        <w:outlineLvl w:val="1"/>
        <w:rPr>
          <w:rFonts w:hint="eastAsia" w:ascii="仿宋" w:hAnsi="仿宋" w:eastAsia="仿宋" w:cs="仿宋"/>
          <w:b/>
          <w:bCs/>
          <w:color w:val="000000" w:themeColor="text1"/>
          <w14:textFill>
            <w14:solidFill>
              <w14:schemeClr w14:val="tx1"/>
            </w14:solidFill>
          </w14:textFill>
        </w:rPr>
      </w:pPr>
      <w:bookmarkStart w:id="829" w:name="_Toc988"/>
      <w:bookmarkStart w:id="830" w:name="_Toc26183"/>
      <w:r>
        <w:rPr>
          <w:rFonts w:hint="eastAsia" w:ascii="仿宋" w:hAnsi="仿宋" w:eastAsia="仿宋" w:cs="仿宋"/>
          <w:b/>
          <w:bCs/>
          <w:color w:val="000000" w:themeColor="text1"/>
          <w14:textFill>
            <w14:solidFill>
              <w14:schemeClr w14:val="tx1"/>
            </w14:solidFill>
          </w14:textFill>
        </w:rPr>
        <w:t>4售后服务</w:t>
      </w:r>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4.1所有的售后服务均由投标方受理。如果发生问题并且收到报告，投标方应当在2小时内予以答复。</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4.2如发现所提供的货物存在问题，需要投标方解决或配合解决时：在质保期之内，应在接到通知后</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小时内派有关人员到达现场；在质保期之外，应在接到通知后</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小时内派有关人员到达现场。</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4.3投标方派往招标方使用现场的人员，应具有较高的业务素质；现场解决问题时，不得无故拖延或推迟，应为招标方提供最佳的服务。</w:t>
      </w:r>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831" w:name="_Toc28927"/>
      <w:bookmarkStart w:id="832" w:name="_Toc6107"/>
      <w:bookmarkStart w:id="833" w:name="_Toc3819"/>
      <w:bookmarkStart w:id="834" w:name="_Toc1438"/>
      <w:bookmarkStart w:id="835" w:name="_Toc22262"/>
      <w:bookmarkStart w:id="836" w:name="_Toc16849"/>
      <w:bookmarkStart w:id="837" w:name="_Toc13974"/>
      <w:bookmarkStart w:id="838" w:name="_Toc27505"/>
      <w:bookmarkStart w:id="839" w:name="_Toc12294"/>
      <w:bookmarkStart w:id="840" w:name="_Toc25994"/>
      <w:bookmarkStart w:id="841" w:name="_Toc10752"/>
      <w:bookmarkStart w:id="842" w:name="_Toc25242"/>
      <w:bookmarkStart w:id="843" w:name="_Toc4793"/>
      <w:bookmarkStart w:id="844" w:name="_Toc20936"/>
      <w:bookmarkStart w:id="845" w:name="_Toc18148"/>
      <w:bookmarkStart w:id="846" w:name="_Toc6354"/>
      <w:bookmarkStart w:id="847" w:name="_Toc26623"/>
      <w:bookmarkStart w:id="848" w:name="_Toc20327"/>
      <w:bookmarkStart w:id="849" w:name="_Toc7130"/>
      <w:bookmarkStart w:id="850" w:name="_Toc14349"/>
      <w:bookmarkStart w:id="851" w:name="_Toc30999"/>
      <w:bookmarkStart w:id="852" w:name="_Toc26287"/>
      <w:bookmarkStart w:id="853" w:name="_Toc30887"/>
      <w:bookmarkStart w:id="854" w:name="_Toc1118"/>
      <w:bookmarkStart w:id="855" w:name="_Toc6730"/>
      <w:bookmarkStart w:id="856" w:name="_Toc32366"/>
      <w:bookmarkStart w:id="857" w:name="_Toc19301"/>
      <w:bookmarkStart w:id="858" w:name="_Toc25693"/>
      <w:bookmarkStart w:id="859" w:name="_Toc26976"/>
      <w:bookmarkStart w:id="860" w:name="_Toc3912"/>
      <w:bookmarkStart w:id="861" w:name="_Toc31498"/>
      <w:bookmarkStart w:id="862" w:name="_Toc73112419"/>
      <w:bookmarkStart w:id="863" w:name="_Toc6984"/>
      <w:bookmarkStart w:id="864" w:name="_Toc21895"/>
      <w:bookmarkStart w:id="865" w:name="_Toc27733"/>
      <w:bookmarkStart w:id="866" w:name="_Toc1573"/>
      <w:bookmarkStart w:id="867" w:name="_Toc115"/>
      <w:bookmarkStart w:id="868" w:name="_Toc32502"/>
      <w:bookmarkStart w:id="869" w:name="_Toc22593"/>
      <w:bookmarkStart w:id="870" w:name="_Toc22732"/>
      <w:bookmarkStart w:id="871" w:name="_Toc9688"/>
      <w:bookmarkStart w:id="872" w:name="_Toc27285"/>
      <w:bookmarkStart w:id="873" w:name="_Toc17891"/>
      <w:bookmarkStart w:id="874" w:name="_Toc9982"/>
      <w:bookmarkStart w:id="875" w:name="_Toc913"/>
      <w:r>
        <w:rPr>
          <w:rFonts w:hint="eastAsia" w:ascii="仿宋" w:hAnsi="仿宋" w:eastAsia="仿宋" w:cs="仿宋"/>
          <w:b/>
          <w:bCs/>
          <w:color w:val="000000" w:themeColor="text1"/>
          <w14:textFill>
            <w14:solidFill>
              <w14:schemeClr w14:val="tx1"/>
            </w14:solidFill>
          </w14:textFill>
        </w:rPr>
        <w:t>5其它服务</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876" w:name="_Toc19942"/>
      <w:bookmarkStart w:id="877" w:name="_Toc2800"/>
      <w:bookmarkStart w:id="878" w:name="_Toc24752"/>
      <w:bookmarkStart w:id="879" w:name="_Toc9482"/>
      <w:bookmarkStart w:id="880" w:name="_Toc9121"/>
      <w:bookmarkStart w:id="881" w:name="_Toc8547"/>
      <w:bookmarkStart w:id="882" w:name="_Toc23730"/>
      <w:bookmarkStart w:id="883" w:name="_Toc9498"/>
      <w:bookmarkStart w:id="884" w:name="_Toc7461"/>
      <w:bookmarkStart w:id="885" w:name="_Toc15356"/>
      <w:bookmarkStart w:id="886" w:name="_Toc4011"/>
      <w:bookmarkStart w:id="887" w:name="_Toc11150"/>
      <w:bookmarkStart w:id="888" w:name="_Toc30293"/>
      <w:bookmarkStart w:id="889" w:name="_Toc2140"/>
      <w:bookmarkStart w:id="890" w:name="_Toc25825"/>
      <w:bookmarkStart w:id="891" w:name="_Toc5996"/>
      <w:bookmarkStart w:id="892" w:name="_Toc16312"/>
      <w:bookmarkStart w:id="893" w:name="_Toc10492"/>
      <w:bookmarkStart w:id="894" w:name="_Toc25057"/>
      <w:bookmarkStart w:id="895" w:name="_Toc21122"/>
      <w:bookmarkStart w:id="896" w:name="_Toc73112420"/>
      <w:bookmarkStart w:id="897" w:name="_Toc19208"/>
      <w:bookmarkStart w:id="898" w:name="_Toc10873"/>
      <w:bookmarkStart w:id="899" w:name="_Toc18030"/>
      <w:bookmarkStart w:id="900" w:name="_Toc13895"/>
      <w:bookmarkStart w:id="901" w:name="_Toc133783974"/>
      <w:bookmarkStart w:id="902" w:name="_Toc12013"/>
      <w:bookmarkStart w:id="903" w:name="_Toc10438"/>
      <w:bookmarkStart w:id="904" w:name="_Toc18621"/>
      <w:bookmarkStart w:id="905" w:name="_Toc27484"/>
      <w:bookmarkStart w:id="906" w:name="_Toc26489"/>
      <w:bookmarkStart w:id="907" w:name="_Toc12454"/>
      <w:bookmarkStart w:id="908" w:name="_Toc29269"/>
      <w:bookmarkStart w:id="909" w:name="_Toc29777"/>
      <w:bookmarkStart w:id="910" w:name="_Toc14411"/>
      <w:bookmarkStart w:id="911" w:name="_Toc19017"/>
      <w:bookmarkStart w:id="912" w:name="_Toc16355"/>
      <w:bookmarkStart w:id="913" w:name="_Toc13250"/>
      <w:bookmarkStart w:id="914" w:name="_Toc22725"/>
      <w:bookmarkStart w:id="915" w:name="_Toc8076"/>
      <w:bookmarkStart w:id="916" w:name="_Toc32409"/>
      <w:bookmarkStart w:id="917" w:name="_Toc5013"/>
      <w:bookmarkStart w:id="918" w:name="_Toc32483"/>
      <w:bookmarkStart w:id="919" w:name="_Toc6228"/>
      <w:r>
        <w:rPr>
          <w:rFonts w:hint="eastAsia" w:ascii="仿宋" w:hAnsi="仿宋" w:eastAsia="仿宋" w:cs="仿宋"/>
          <w:color w:val="000000" w:themeColor="text1"/>
          <w14:textFill>
            <w14:solidFill>
              <w14:schemeClr w14:val="tx1"/>
            </w14:solidFill>
          </w14:textFill>
        </w:rPr>
        <w:t>5.1若投标方所提供货物有需要进口的，投标方一般应自行、自费办理；必要时，招标方和投标方共同办理。</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5.2除招标文件、投标文件、答疑文件、技术协议、合同等约定之外，投标方应免费负责必要的或强制性的货物的检验、试验、化验等直接费用。</w:t>
      </w:r>
    </w:p>
    <w:p>
      <w:pPr>
        <w:adjustRightInd w:val="0"/>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5.3本章节条款所列“免费”，并非指定不可收费，而是指招标文件、投标文件、答疑文件、技术交流文件、技术协议书和合同等范围之外，投标方不可另行收取的费用。</w:t>
      </w:r>
    </w:p>
    <w:p>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920" w:name="_Toc30753"/>
      <w:bookmarkStart w:id="921" w:name="_Toc22807"/>
      <w:r>
        <w:rPr>
          <w:rFonts w:hint="eastAsia" w:ascii="仿宋" w:hAnsi="仿宋" w:eastAsia="仿宋" w:cs="仿宋"/>
          <w:b/>
          <w:bCs/>
          <w:color w:val="000000" w:themeColor="text1"/>
          <w14:textFill>
            <w14:solidFill>
              <w14:schemeClr w14:val="tx1"/>
            </w14:solidFill>
          </w14:textFill>
        </w:rPr>
        <w:t>第五章预验收和终验收</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p>
    <w:p>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922" w:name="_Toc14965"/>
      <w:bookmarkStart w:id="923" w:name="_Toc4070"/>
      <w:bookmarkStart w:id="924" w:name="_Toc7463"/>
      <w:bookmarkStart w:id="925" w:name="_Toc12676"/>
      <w:bookmarkStart w:id="926" w:name="_Toc15025"/>
      <w:bookmarkStart w:id="927" w:name="_Toc73112421"/>
      <w:bookmarkStart w:id="928" w:name="_Toc29964"/>
      <w:bookmarkStart w:id="929" w:name="_Toc3676"/>
      <w:bookmarkStart w:id="930" w:name="_Toc29287"/>
      <w:bookmarkStart w:id="931" w:name="_Toc22207"/>
      <w:bookmarkStart w:id="932" w:name="_Toc17620"/>
      <w:bookmarkStart w:id="933" w:name="_Toc10033"/>
      <w:bookmarkStart w:id="934" w:name="_Toc27448"/>
      <w:bookmarkStart w:id="935" w:name="_Toc27951"/>
      <w:bookmarkStart w:id="936" w:name="_Toc23231"/>
      <w:bookmarkStart w:id="937" w:name="_Toc9902"/>
      <w:bookmarkStart w:id="938" w:name="_Toc27225"/>
      <w:bookmarkStart w:id="939" w:name="_Toc25574"/>
      <w:bookmarkStart w:id="940" w:name="_Toc6924"/>
      <w:bookmarkStart w:id="941" w:name="_Toc6378"/>
      <w:bookmarkStart w:id="942" w:name="_Toc29608"/>
      <w:bookmarkStart w:id="943" w:name="_Toc14249"/>
      <w:bookmarkStart w:id="944" w:name="_Toc21402"/>
      <w:bookmarkStart w:id="945" w:name="_Toc7184"/>
      <w:bookmarkStart w:id="946" w:name="_Toc17568"/>
      <w:bookmarkStart w:id="947" w:name="_Toc22140"/>
      <w:bookmarkStart w:id="948" w:name="_Toc13718"/>
      <w:bookmarkStart w:id="949" w:name="_Toc12239"/>
      <w:bookmarkStart w:id="950" w:name="_Toc28073"/>
      <w:bookmarkStart w:id="951" w:name="_Toc2326"/>
      <w:bookmarkStart w:id="952" w:name="_Toc21206"/>
      <w:bookmarkStart w:id="953" w:name="_Toc1286"/>
      <w:bookmarkStart w:id="954" w:name="_Toc21557"/>
      <w:bookmarkStart w:id="955" w:name="_Toc24809"/>
      <w:bookmarkStart w:id="956" w:name="_Toc7191"/>
      <w:bookmarkStart w:id="957" w:name="_Toc31478"/>
      <w:bookmarkStart w:id="958" w:name="_Toc14541"/>
      <w:bookmarkStart w:id="959" w:name="_Toc29611"/>
      <w:bookmarkStart w:id="960" w:name="_Toc23191"/>
      <w:bookmarkStart w:id="961" w:name="_Toc28506"/>
      <w:bookmarkStart w:id="962" w:name="_Toc22981"/>
      <w:bookmarkStart w:id="963" w:name="_Toc11331"/>
      <w:bookmarkStart w:id="964" w:name="_Toc5401"/>
      <w:bookmarkStart w:id="965" w:name="_Toc242"/>
      <w:bookmarkStart w:id="966" w:name="_Toc24517"/>
      <w:r>
        <w:rPr>
          <w:rFonts w:hint="eastAsia" w:ascii="仿宋" w:hAnsi="仿宋" w:eastAsia="仿宋" w:cs="仿宋"/>
          <w:b/>
          <w:bCs/>
          <w:color w:val="000000" w:themeColor="text1"/>
          <w14:textFill>
            <w14:solidFill>
              <w14:schemeClr w14:val="tx1"/>
            </w14:solidFill>
          </w14:textFill>
        </w:rPr>
        <w:t>1验收的一般约定</w:t>
      </w:r>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1.1验收标准一般以技术协议书和合同规定验收。</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1.2如果验收过程中，发现招标文件、投标文件、答疑文件、技术交流文件等与技术协议书、合同存在差异，原则上以涉及条款中对买方最有利条款为验收依据。</w:t>
      </w:r>
    </w:p>
    <w:p>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967" w:name="_Toc13736"/>
      <w:bookmarkStart w:id="968" w:name="_Toc10200"/>
      <w:bookmarkStart w:id="969" w:name="_Toc25951"/>
      <w:bookmarkStart w:id="970" w:name="_Toc7863"/>
      <w:bookmarkStart w:id="971" w:name="_Toc8093"/>
      <w:bookmarkStart w:id="972" w:name="_Toc1155"/>
      <w:bookmarkStart w:id="973" w:name="_Toc15379"/>
      <w:bookmarkStart w:id="974" w:name="_Toc6206"/>
      <w:bookmarkStart w:id="975" w:name="_Toc8742"/>
      <w:bookmarkStart w:id="976" w:name="_Toc17335"/>
      <w:bookmarkStart w:id="977" w:name="_Toc28925"/>
      <w:bookmarkStart w:id="978" w:name="_Toc18517"/>
      <w:bookmarkStart w:id="979" w:name="_Toc27467"/>
      <w:bookmarkStart w:id="980" w:name="_Toc23013"/>
      <w:bookmarkStart w:id="981" w:name="_Toc6471"/>
      <w:bookmarkStart w:id="982" w:name="_Toc8916"/>
      <w:bookmarkStart w:id="983" w:name="_Toc23919"/>
      <w:bookmarkStart w:id="984" w:name="_Toc21568"/>
      <w:bookmarkStart w:id="985" w:name="_Toc20876"/>
      <w:bookmarkStart w:id="986" w:name="_Toc10568"/>
      <w:bookmarkStart w:id="987" w:name="_Toc16278"/>
      <w:bookmarkStart w:id="988" w:name="_Toc13173"/>
      <w:bookmarkStart w:id="989" w:name="_Toc16943"/>
      <w:bookmarkStart w:id="990" w:name="_Toc11335"/>
      <w:bookmarkStart w:id="991" w:name="_Toc29669"/>
      <w:bookmarkStart w:id="992" w:name="_Toc28148"/>
      <w:bookmarkStart w:id="993" w:name="_Toc2310"/>
      <w:bookmarkStart w:id="994" w:name="_Toc21414"/>
      <w:bookmarkStart w:id="995" w:name="_Toc22558"/>
      <w:bookmarkStart w:id="996" w:name="_Toc22158"/>
      <w:bookmarkStart w:id="997" w:name="_Toc21722"/>
      <w:bookmarkStart w:id="998" w:name="_Toc31116"/>
      <w:bookmarkStart w:id="999" w:name="_Toc11248"/>
      <w:bookmarkStart w:id="1000" w:name="_Toc28873"/>
      <w:bookmarkStart w:id="1001" w:name="_Toc7457"/>
      <w:bookmarkStart w:id="1002" w:name="_Toc30274"/>
      <w:bookmarkStart w:id="1003" w:name="_Toc9729"/>
      <w:bookmarkStart w:id="1004" w:name="_Toc8338"/>
      <w:bookmarkStart w:id="1005" w:name="_Toc32581"/>
      <w:bookmarkStart w:id="1006" w:name="_Toc73112422"/>
      <w:bookmarkStart w:id="1007" w:name="_Toc17720"/>
      <w:bookmarkStart w:id="1008" w:name="_Toc19505"/>
      <w:bookmarkStart w:id="1009" w:name="_Toc27120"/>
      <w:bookmarkStart w:id="1010" w:name="_Toc23133"/>
      <w:bookmarkStart w:id="1011" w:name="_Toc513"/>
      <w:r>
        <w:rPr>
          <w:rFonts w:hint="eastAsia" w:ascii="仿宋" w:hAnsi="仿宋" w:eastAsia="仿宋" w:cs="仿宋"/>
          <w:b/>
          <w:bCs/>
          <w:color w:val="000000" w:themeColor="text1"/>
          <w14:textFill>
            <w14:solidFill>
              <w14:schemeClr w14:val="tx1"/>
            </w14:solidFill>
          </w14:textFill>
        </w:rPr>
        <w:t>2检验</w:t>
      </w:r>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12" w:name="_Toc15488"/>
      <w:bookmarkStart w:id="1013" w:name="_Toc5653"/>
      <w:bookmarkStart w:id="1014" w:name="_Toc29497"/>
      <w:bookmarkStart w:id="1015" w:name="_Toc32111"/>
      <w:bookmarkStart w:id="1016" w:name="_Toc8128"/>
      <w:bookmarkStart w:id="1017" w:name="_Toc8214"/>
      <w:bookmarkStart w:id="1018" w:name="_Toc228"/>
      <w:bookmarkStart w:id="1019" w:name="_Toc10879"/>
      <w:bookmarkStart w:id="1020" w:name="_Toc8664"/>
      <w:bookmarkStart w:id="1021" w:name="_Toc23250"/>
      <w:bookmarkStart w:id="1022" w:name="_Toc27145"/>
      <w:bookmarkStart w:id="1023" w:name="_Toc1969"/>
      <w:bookmarkStart w:id="1024" w:name="_Toc11846"/>
      <w:bookmarkStart w:id="1025" w:name="_Toc28225"/>
      <w:bookmarkStart w:id="1026" w:name="_Toc17499"/>
      <w:bookmarkStart w:id="1027" w:name="_Toc1461"/>
      <w:bookmarkStart w:id="1028" w:name="_Toc5604"/>
      <w:bookmarkStart w:id="1029" w:name="_Toc16665"/>
      <w:bookmarkStart w:id="1030" w:name="_Toc27538"/>
      <w:bookmarkStart w:id="1031" w:name="_Toc19311"/>
      <w:bookmarkStart w:id="1032" w:name="_Toc14993"/>
      <w:bookmarkStart w:id="1033" w:name="_Toc31780"/>
      <w:bookmarkStart w:id="1034" w:name="_Toc73112423"/>
      <w:bookmarkStart w:id="1035" w:name="_Toc27629"/>
      <w:bookmarkStart w:id="1036" w:name="_Toc25654"/>
      <w:bookmarkStart w:id="1037" w:name="_Toc21487"/>
      <w:bookmarkStart w:id="1038" w:name="_Toc18595"/>
      <w:bookmarkStart w:id="1039" w:name="_Toc16878"/>
      <w:bookmarkStart w:id="1040" w:name="_Toc27310"/>
      <w:bookmarkStart w:id="1041" w:name="_Toc1041"/>
      <w:bookmarkStart w:id="1042" w:name="_Toc8477"/>
      <w:bookmarkStart w:id="1043" w:name="_Toc23252"/>
      <w:bookmarkStart w:id="1044" w:name="_Toc14844"/>
      <w:bookmarkStart w:id="1045" w:name="_Toc30797"/>
      <w:bookmarkStart w:id="1046" w:name="_Toc18036"/>
      <w:bookmarkStart w:id="1047" w:name="_Toc6506"/>
      <w:bookmarkStart w:id="1048" w:name="_Toc22379"/>
      <w:bookmarkStart w:id="1049" w:name="_Toc11780"/>
      <w:bookmarkStart w:id="1050" w:name="_Toc21757"/>
      <w:bookmarkStart w:id="1051" w:name="_Toc14587"/>
      <w:bookmarkStart w:id="1052" w:name="_Toc27594"/>
      <w:bookmarkStart w:id="1053" w:name="_Toc14904"/>
      <w:r>
        <w:rPr>
          <w:rFonts w:hint="eastAsia" w:ascii="仿宋" w:hAnsi="仿宋" w:eastAsia="仿宋" w:cs="仿宋"/>
          <w:color w:val="000000" w:themeColor="text1"/>
          <w14:textFill>
            <w14:solidFill>
              <w14:schemeClr w14:val="tx1"/>
            </w14:solidFill>
          </w14:textFill>
        </w:rPr>
        <w:t>2.1国产货物的检验由卖买双方按照合同要求或在制造现场进行。</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2.2卖方应依据合同规定的要求，提供买卖双方达成一致的货物的验收标准和装箱单，作为买方检验的依据。</w:t>
      </w:r>
    </w:p>
    <w:p>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054" w:name="_Toc15552"/>
      <w:bookmarkStart w:id="1055" w:name="_Toc13033"/>
      <w:bookmarkStart w:id="1056" w:name="_Toc1970"/>
      <w:r>
        <w:rPr>
          <w:rFonts w:hint="eastAsia" w:ascii="仿宋" w:hAnsi="仿宋" w:eastAsia="仿宋" w:cs="仿宋"/>
          <w:b/>
          <w:bCs/>
          <w:color w:val="000000" w:themeColor="text1"/>
          <w14:textFill>
            <w14:solidFill>
              <w14:schemeClr w14:val="tx1"/>
            </w14:solidFill>
          </w14:textFill>
        </w:rPr>
        <w:t>3验收条件</w:t>
      </w:r>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买卖双方按照合同约定执行了合同，同时货物完成了试运行并经检验合格，则具备验收条件。</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57" w:name="_Toc10052"/>
      <w:bookmarkStart w:id="1058" w:name="_Toc20504"/>
      <w:bookmarkStart w:id="1059" w:name="_Toc20087"/>
      <w:bookmarkStart w:id="1060" w:name="_Toc18963"/>
      <w:bookmarkStart w:id="1061" w:name="_Toc24921"/>
      <w:bookmarkStart w:id="1062" w:name="_Toc23170"/>
      <w:bookmarkStart w:id="1063" w:name="_Toc6731"/>
      <w:bookmarkStart w:id="1064" w:name="_Toc11902"/>
      <w:bookmarkStart w:id="1065" w:name="_Toc32498"/>
      <w:bookmarkStart w:id="1066" w:name="_Toc24814"/>
      <w:bookmarkStart w:id="1067" w:name="_Toc1849"/>
      <w:bookmarkStart w:id="1068" w:name="_Toc16622"/>
      <w:bookmarkStart w:id="1069" w:name="_Toc5952"/>
      <w:bookmarkStart w:id="1070" w:name="_Toc6977"/>
      <w:bookmarkStart w:id="1071" w:name="_Toc3034"/>
      <w:bookmarkStart w:id="1072" w:name="_Toc10389"/>
      <w:bookmarkStart w:id="1073" w:name="_Toc25547"/>
      <w:bookmarkStart w:id="1074" w:name="_Toc5473"/>
      <w:bookmarkStart w:id="1075" w:name="_Toc771"/>
      <w:bookmarkStart w:id="1076" w:name="_Toc31328"/>
      <w:bookmarkStart w:id="1077" w:name="_Toc31639"/>
      <w:bookmarkStart w:id="1078" w:name="_Toc18487"/>
      <w:bookmarkStart w:id="1079" w:name="_Toc24377"/>
      <w:bookmarkStart w:id="1080" w:name="_Toc11234"/>
      <w:bookmarkStart w:id="1081" w:name="_Toc7303"/>
      <w:bookmarkStart w:id="1082" w:name="_Toc27856"/>
      <w:bookmarkStart w:id="1083" w:name="_Toc17709"/>
      <w:bookmarkStart w:id="1084" w:name="_Toc16974"/>
      <w:bookmarkStart w:id="1085" w:name="_Toc362"/>
      <w:bookmarkStart w:id="1086" w:name="_Toc27848"/>
      <w:bookmarkStart w:id="1087" w:name="_Toc22247"/>
      <w:bookmarkStart w:id="1088" w:name="_Toc19344"/>
      <w:bookmarkStart w:id="1089" w:name="_Toc11412"/>
      <w:bookmarkStart w:id="1090" w:name="_Toc4741"/>
      <w:bookmarkStart w:id="1091" w:name="_Toc9015"/>
      <w:bookmarkStart w:id="1092" w:name="_Toc21811"/>
      <w:bookmarkStart w:id="1093" w:name="_Toc4157"/>
      <w:bookmarkStart w:id="1094" w:name="_Toc30563"/>
      <w:bookmarkStart w:id="1095" w:name="_Toc18903"/>
      <w:bookmarkStart w:id="1096" w:name="_Toc10586"/>
      <w:bookmarkStart w:id="1097" w:name="_Toc23548"/>
      <w:r>
        <w:rPr>
          <w:rFonts w:hint="eastAsia" w:ascii="仿宋" w:hAnsi="仿宋" w:eastAsia="仿宋" w:cs="仿宋"/>
          <w:color w:val="000000" w:themeColor="text1"/>
          <w14:textFill>
            <w14:solidFill>
              <w14:schemeClr w14:val="tx1"/>
            </w14:solidFill>
          </w14:textFill>
        </w:rPr>
        <w:t>3.1预验收一般条件</w:t>
      </w:r>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3.1.1投标方已经按照“供货范围”要求提供了预验收资料，并且资料齐全、完整和有效。</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3.1.2货物应运行稳定、可靠、安全，无非正常变形，非正常振动，无异常声音；无漏水、漏液、漏气（汽）、漏电等现象。运动的零部件（如链条、联轴器、离合器、主轴、工作台等）动作平稳、灵活运动准确。</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3.1.3货物应完整且所有的零部件应该安装安全、牢固，外观无损伤，所有的焊缝饱满、无残渣等缺陷。</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3.1.4一般情况下，所有的管路和线缆等，接头应完全正确、可靠地联接；应排列有序（正确、牢固、整齐），有必要的防护，无皱褶、收缩和裂缝等不良现象。</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3.1.5货物的润滑系统工作正常、可靠，润滑点易于到达。</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3.1.6使用的压力容器、电气等应具备合格证（如果有压力容器），</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3.1.7货物的油漆质量应饱满、有光泽，无掉漆、无色差、无“桔皮”等不良现象（特殊标志除外）。</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3.1.8货物标牌完整、清晰、明确。</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3.1.9地线联接和地极符合国际（ISO/IEC）标准规范。</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3.1.10货物的安全要求符合中国最新的相关法律、法规、标准和规范以及合同要求。</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98" w:name="_Toc4643"/>
      <w:bookmarkStart w:id="1099" w:name="_Toc24950"/>
      <w:bookmarkStart w:id="1100" w:name="_Toc6062"/>
      <w:bookmarkStart w:id="1101" w:name="_Toc15751"/>
      <w:bookmarkStart w:id="1102" w:name="_Toc11537"/>
      <w:bookmarkStart w:id="1103" w:name="_Toc26496"/>
      <w:bookmarkStart w:id="1104" w:name="_Toc9105"/>
      <w:bookmarkStart w:id="1105" w:name="_Toc19728"/>
      <w:bookmarkStart w:id="1106" w:name="_Toc21953"/>
      <w:bookmarkStart w:id="1107" w:name="_Toc2134"/>
      <w:bookmarkStart w:id="1108" w:name="_Toc8320"/>
      <w:bookmarkStart w:id="1109" w:name="_Toc7060"/>
      <w:bookmarkStart w:id="1110" w:name="_Toc17523"/>
      <w:bookmarkStart w:id="1111" w:name="_Toc22891"/>
      <w:bookmarkStart w:id="1112" w:name="_Toc16821"/>
      <w:bookmarkStart w:id="1113" w:name="_Toc2362"/>
      <w:bookmarkStart w:id="1114" w:name="_Toc17491"/>
      <w:bookmarkStart w:id="1115" w:name="_Toc1293"/>
      <w:bookmarkStart w:id="1116" w:name="_Toc24874"/>
      <w:bookmarkStart w:id="1117" w:name="_Toc18823"/>
      <w:bookmarkStart w:id="1118" w:name="_Toc29327"/>
      <w:bookmarkStart w:id="1119" w:name="_Toc17924"/>
      <w:bookmarkStart w:id="1120" w:name="_Toc23596"/>
      <w:bookmarkStart w:id="1121" w:name="_Toc8938"/>
      <w:bookmarkStart w:id="1122" w:name="_Toc29661"/>
      <w:bookmarkStart w:id="1123" w:name="_Toc5422"/>
      <w:bookmarkStart w:id="1124" w:name="_Toc30498"/>
      <w:bookmarkStart w:id="1125" w:name="_Toc4108"/>
      <w:bookmarkStart w:id="1126" w:name="_Toc21629"/>
      <w:bookmarkStart w:id="1127" w:name="_Toc14552"/>
      <w:bookmarkStart w:id="1128" w:name="_Toc12439"/>
      <w:bookmarkStart w:id="1129" w:name="_Toc931"/>
      <w:bookmarkStart w:id="1130" w:name="_Toc4066"/>
      <w:bookmarkStart w:id="1131" w:name="_Toc20374"/>
      <w:bookmarkStart w:id="1132" w:name="_Toc28390"/>
      <w:bookmarkStart w:id="1133" w:name="_Toc21671"/>
      <w:bookmarkStart w:id="1134" w:name="_Toc12987"/>
      <w:bookmarkStart w:id="1135" w:name="_Toc19887"/>
      <w:bookmarkStart w:id="1136" w:name="_Toc3329"/>
      <w:bookmarkStart w:id="1137" w:name="_Toc27491"/>
      <w:bookmarkStart w:id="1138" w:name="_Toc8879"/>
      <w:r>
        <w:rPr>
          <w:rFonts w:hint="eastAsia" w:ascii="仿宋" w:hAnsi="仿宋" w:eastAsia="仿宋" w:cs="仿宋"/>
          <w:color w:val="000000" w:themeColor="text1"/>
          <w14:textFill>
            <w14:solidFill>
              <w14:schemeClr w14:val="tx1"/>
            </w14:solidFill>
          </w14:textFill>
        </w:rPr>
        <w:t>3.2终验收一般条件</w:t>
      </w:r>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3.2.1经过预验收而且没有出现新的质量问题，或者满足预验收条款。</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3.2.2货物安装调试完毕，并至少经过了验收要求的负荷试运行。</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3.2.3货物正常运行时，噪声等环境影响因素满足国家（《工作场所物理因素测量 噪声》GBZ/T 189.8-2007. 噪音≤</w:t>
      </w:r>
      <w:r>
        <w:rPr>
          <w:rFonts w:hint="eastAsia" w:ascii="仿宋" w:hAnsi="仿宋" w:eastAsia="仿宋" w:cs="仿宋"/>
          <w:color w:val="000000" w:themeColor="text1"/>
          <w:lang w:val="en-US" w:eastAsia="zh-CN"/>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0dB(A)）和当地环保主管部门规定。投标方需提供由第三方检测机构出具的检测报告 ，检测事宜及费用由投标方负责，招标方负责相关配合协调工作。</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3.2.4计量仪器、仪表配套合理，采用中国的法定计量单位，计量准确、灵敏可靠。保证设计指标和仪器说明书的参数的实现。</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3.2.5试运行期间或之后无维修、调整等行为（特殊情况除外）。</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3.2.6货物质量、技术性能等，达到签定的技术协议书和合同规定的终验收标准。</w:t>
      </w:r>
    </w:p>
    <w:p>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139" w:name="_Toc7243"/>
      <w:bookmarkStart w:id="1140" w:name="_Toc17549"/>
      <w:bookmarkStart w:id="1141" w:name="_Toc1961"/>
      <w:bookmarkStart w:id="1142" w:name="_Toc193"/>
      <w:bookmarkStart w:id="1143" w:name="_Toc11114"/>
      <w:bookmarkStart w:id="1144" w:name="_Toc21291"/>
      <w:bookmarkStart w:id="1145" w:name="_Toc21504"/>
      <w:bookmarkStart w:id="1146" w:name="_Toc1885"/>
      <w:bookmarkStart w:id="1147" w:name="_Toc17223"/>
      <w:bookmarkStart w:id="1148" w:name="_Toc1761"/>
      <w:bookmarkStart w:id="1149" w:name="_Toc73112424"/>
      <w:bookmarkStart w:id="1150" w:name="_Toc32661"/>
      <w:bookmarkStart w:id="1151" w:name="_Toc1469"/>
      <w:bookmarkStart w:id="1152" w:name="_Toc25411"/>
      <w:bookmarkStart w:id="1153" w:name="_Toc22500"/>
      <w:bookmarkStart w:id="1154" w:name="_Toc20983"/>
      <w:bookmarkStart w:id="1155" w:name="_Toc1804"/>
      <w:bookmarkStart w:id="1156" w:name="_Toc9027"/>
      <w:bookmarkStart w:id="1157" w:name="_Toc28499"/>
      <w:bookmarkStart w:id="1158" w:name="_Toc10673"/>
      <w:bookmarkStart w:id="1159" w:name="_Toc22915"/>
      <w:bookmarkStart w:id="1160" w:name="_Toc551"/>
      <w:bookmarkStart w:id="1161" w:name="_Toc6573"/>
      <w:bookmarkStart w:id="1162" w:name="_Toc26083"/>
      <w:r>
        <w:rPr>
          <w:rFonts w:hint="eastAsia" w:ascii="仿宋" w:hAnsi="仿宋" w:eastAsia="仿宋" w:cs="仿宋"/>
          <w:b/>
          <w:bCs/>
          <w:color w:val="000000" w:themeColor="text1"/>
          <w14:textFill>
            <w14:solidFill>
              <w14:schemeClr w14:val="tx1"/>
            </w14:solidFill>
          </w14:textFill>
        </w:rPr>
        <w:t>4终验收基本要求</w:t>
      </w:r>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4.1货物允许情况下，一般先连续空运转</w:t>
      </w:r>
      <w:r>
        <w:rPr>
          <w:rFonts w:hint="eastAsia" w:ascii="仿宋" w:hAnsi="仿宋" w:eastAsia="仿宋" w:cs="仿宋"/>
          <w:color w:val="000000" w:themeColor="text1"/>
          <w:u w:val="single"/>
          <w:shd w:val="pct10" w:color="auto" w:fill="FFFFFF"/>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小时，然后再进行负荷运行。</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4.2负荷运行时，货物应连续运行</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15</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天，每天连续</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 xml:space="preserve">8 </w:t>
      </w:r>
      <w:r>
        <w:rPr>
          <w:rFonts w:hint="eastAsia" w:ascii="仿宋" w:hAnsi="仿宋" w:eastAsia="仿宋" w:cs="仿宋"/>
          <w:color w:val="000000" w:themeColor="text1"/>
          <w14:textFill>
            <w14:solidFill>
              <w14:schemeClr w14:val="tx1"/>
            </w14:solidFill>
          </w14:textFill>
        </w:rPr>
        <w:t>小时，除用户方面因素外，必须达到以下要求：</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4.2.1在整个验收过程中没有维修、更换零部件或元件行为；</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4.2.2所有出现的调整，每次调整时间均不超过</w:t>
      </w:r>
      <w:r>
        <w:rPr>
          <w:rFonts w:hint="eastAsia" w:ascii="仿宋" w:hAnsi="仿宋" w:eastAsia="仿宋" w:cs="仿宋"/>
          <w:color w:val="000000" w:themeColor="text1"/>
          <w:u w:val="single"/>
          <w:shd w:val="pct10" w:color="auto" w:fill="FFFFFF"/>
          <w14:textFill>
            <w14:solidFill>
              <w14:schemeClr w14:val="tx1"/>
            </w14:solidFill>
          </w14:textFill>
        </w:rPr>
        <w:t>120</w:t>
      </w:r>
      <w:r>
        <w:rPr>
          <w:rFonts w:hint="eastAsia" w:ascii="仿宋" w:hAnsi="仿宋" w:eastAsia="仿宋" w:cs="仿宋"/>
          <w:color w:val="000000" w:themeColor="text1"/>
          <w14:textFill>
            <w14:solidFill>
              <w14:schemeClr w14:val="tx1"/>
            </w14:solidFill>
          </w14:textFill>
        </w:rPr>
        <w:t>分钟；</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4.2.3所有调整时间的总和不超过总运行时间的</w:t>
      </w:r>
      <w:r>
        <w:rPr>
          <w:rFonts w:hint="eastAsia" w:ascii="仿宋" w:hAnsi="仿宋" w:eastAsia="仿宋" w:cs="仿宋"/>
          <w:color w:val="000000" w:themeColor="text1"/>
          <w:u w:val="single"/>
          <w:shd w:val="pct10" w:color="auto" w:fill="FFFFFF"/>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4.2.4累计负载运行实际性能（或生产率）达到合同规定；（节拍超出标书规定在20%以内，罚款额为货物总价的10%；超过20%以上，视为供货方违约，招标方有权解除合同，由此造成的损失由投标方承担）。</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163" w:name="_Toc133783975"/>
      <w:r>
        <w:rPr>
          <w:rFonts w:hint="eastAsia" w:ascii="仿宋" w:hAnsi="仿宋" w:eastAsia="仿宋" w:cs="仿宋"/>
          <w:color w:val="000000" w:themeColor="text1"/>
          <w14:textFill>
            <w14:solidFill>
              <w14:schemeClr w14:val="tx1"/>
            </w14:solidFill>
          </w14:textFill>
        </w:rPr>
        <w:t>4.2.5 设备满足现场使用要求，符合技术要求。</w:t>
      </w:r>
    </w:p>
    <w:p>
      <w:pPr>
        <w:adjustRightInd w:val="0"/>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4.2.6 终验收以招标方单位《新增设备安装竣工验收转资单》签署单为最终验收证明，同时移交、核对全部供货范围内物品。</w:t>
      </w:r>
    </w:p>
    <w:p>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164" w:name="_Toc30219"/>
      <w:bookmarkStart w:id="1165" w:name="_Toc31042"/>
      <w:bookmarkStart w:id="1166" w:name="_Toc24925"/>
      <w:bookmarkStart w:id="1167" w:name="_Toc19911"/>
      <w:bookmarkStart w:id="1168" w:name="_Toc20836"/>
      <w:bookmarkStart w:id="1169" w:name="_Toc2249"/>
      <w:bookmarkStart w:id="1170" w:name="_Toc28136"/>
      <w:bookmarkStart w:id="1171" w:name="_Toc23616"/>
      <w:bookmarkStart w:id="1172" w:name="_Toc663"/>
      <w:bookmarkStart w:id="1173" w:name="_Toc1683"/>
      <w:bookmarkStart w:id="1174" w:name="_Toc7458"/>
      <w:bookmarkStart w:id="1175" w:name="_Toc14217"/>
      <w:bookmarkStart w:id="1176" w:name="_Toc30125"/>
      <w:bookmarkStart w:id="1177" w:name="_Toc1705"/>
      <w:bookmarkStart w:id="1178" w:name="_Toc27525"/>
      <w:bookmarkStart w:id="1179" w:name="_Toc29322"/>
      <w:bookmarkStart w:id="1180" w:name="_Toc73112425"/>
      <w:bookmarkStart w:id="1181" w:name="_Toc4953"/>
      <w:bookmarkStart w:id="1182" w:name="_Toc32696"/>
      <w:bookmarkStart w:id="1183" w:name="_Toc10830"/>
      <w:bookmarkStart w:id="1184" w:name="_Toc32074"/>
      <w:bookmarkStart w:id="1185" w:name="_Toc27346"/>
      <w:bookmarkStart w:id="1186" w:name="_Toc15914"/>
      <w:bookmarkStart w:id="1187" w:name="_Toc23397"/>
      <w:bookmarkStart w:id="1188" w:name="_Toc2612"/>
      <w:bookmarkStart w:id="1189" w:name="_Toc26248"/>
      <w:bookmarkStart w:id="1190" w:name="_Toc1228"/>
      <w:bookmarkStart w:id="1191" w:name="_Toc8015"/>
      <w:bookmarkStart w:id="1192" w:name="_Toc18146"/>
      <w:bookmarkStart w:id="1193" w:name="_Toc15351"/>
      <w:bookmarkStart w:id="1194" w:name="_Toc1195"/>
      <w:bookmarkStart w:id="1195" w:name="_Toc30187"/>
      <w:bookmarkStart w:id="1196" w:name="_Toc8435"/>
      <w:bookmarkStart w:id="1197" w:name="_Toc18510"/>
      <w:bookmarkStart w:id="1198" w:name="_Toc23268"/>
      <w:bookmarkStart w:id="1199" w:name="_Toc1673"/>
      <w:bookmarkStart w:id="1200" w:name="_Toc14133"/>
      <w:bookmarkStart w:id="1201" w:name="_Toc12636"/>
      <w:bookmarkStart w:id="1202" w:name="_Toc22488"/>
      <w:bookmarkStart w:id="1203" w:name="_Toc25348"/>
      <w:bookmarkStart w:id="1204" w:name="_Toc25401"/>
      <w:bookmarkStart w:id="1205" w:name="_Toc17110"/>
      <w:bookmarkStart w:id="1206" w:name="_Toc2957"/>
      <w:bookmarkStart w:id="1207" w:name="_Toc22179"/>
      <w:bookmarkStart w:id="1208" w:name="_Toc28594"/>
      <w:bookmarkStart w:id="1209" w:name="_Toc30656"/>
      <w:r>
        <w:rPr>
          <w:rFonts w:hint="eastAsia" w:ascii="仿宋" w:hAnsi="仿宋" w:eastAsia="仿宋" w:cs="仿宋"/>
          <w:b/>
          <w:bCs/>
          <w:color w:val="000000" w:themeColor="text1"/>
          <w14:textFill>
            <w14:solidFill>
              <w14:schemeClr w14:val="tx1"/>
            </w14:solidFill>
          </w14:textFill>
        </w:rPr>
        <w:t>第六章投标技术文件一般要求</w:t>
      </w:r>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1投标方应认真阅读招标文件和本技术标书，并按要求编写投标技术文件。</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2投标技术文件至少应对投标货物的“技术偏离”、“商务偏离”作出有无说明；若有，应予以详细填写和说明。</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3投标技术文件至少应对投标货物的功能用途、技术性能、质量标准、技术参数等作出详细说明。</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4投标技术文件至少应根据投标货物的关键设备、总成、零部件或系统作出优越性说明。</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5投标技术文件至少应根据投标货物的配置，按照备品备件、易损件和专用耗材明细表要求以及投标货物主要配置一览表要求（见下表），认真全面填写。</w:t>
      </w:r>
    </w:p>
    <w:p>
      <w:pPr>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投标货物主要配置一览表单位：元</w:t>
      </w:r>
    </w:p>
    <w:tbl>
      <w:tblPr>
        <w:tblStyle w:val="31"/>
        <w:tblpPr w:leftFromText="180" w:rightFromText="180" w:vertAnchor="text" w:tblpXSpec="center" w:tblpY="1"/>
        <w:tblOverlap w:val="never"/>
        <w:tblW w:w="8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8"/>
        <w:gridCol w:w="1940"/>
        <w:gridCol w:w="697"/>
        <w:gridCol w:w="697"/>
        <w:gridCol w:w="697"/>
        <w:gridCol w:w="697"/>
        <w:gridCol w:w="1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名称</w:t>
            </w:r>
          </w:p>
        </w:tc>
        <w:tc>
          <w:tcPr>
            <w:tcW w:w="1940"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型号规格</w:t>
            </w:r>
          </w:p>
        </w:tc>
        <w:tc>
          <w:tcPr>
            <w:tcW w:w="697"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单位</w:t>
            </w:r>
          </w:p>
        </w:tc>
        <w:tc>
          <w:tcPr>
            <w:tcW w:w="697"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数量</w:t>
            </w:r>
          </w:p>
        </w:tc>
        <w:tc>
          <w:tcPr>
            <w:tcW w:w="697"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单价</w:t>
            </w:r>
          </w:p>
        </w:tc>
        <w:tc>
          <w:tcPr>
            <w:tcW w:w="697"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总价</w:t>
            </w:r>
          </w:p>
        </w:tc>
        <w:tc>
          <w:tcPr>
            <w:tcW w:w="1665"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r>
    </w:tbl>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备注：本表作为投标方编制投标技术文件的一般格式。表中应当尽可能将配置列全、列细，这将有助于投标方胜出。</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6投标技术文件至少应对招标文件和本技术标书所提出的要求，将投标方认为难以满足的条款和要求，予以明确和详细的说明或澄清。</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7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8供货范围内的物品或服务，应当尽可能详细且分类填入配置表，其费用应当计入投标总报价之内。如果出现不一致的报价，将有可能导致废标。</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9除招标文件明确的验收标准或内容之外，投标方应当在投标文件中提供预验收（必要时）和终验收的标准以及规程，在合同签定之前，经投标方和招标方双方洽谈确认并签署，以作为验收标准执行。</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10带 ★ 号条款为否定项条款。</w:t>
      </w:r>
      <w:bookmarkStart w:id="1210" w:name="_Toc133783976"/>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211" w:name="_Toc3744"/>
      <w:bookmarkStart w:id="1212" w:name="_Toc26481"/>
      <w:bookmarkStart w:id="1213" w:name="_Toc9954"/>
      <w:bookmarkStart w:id="1214" w:name="_Toc2783"/>
      <w:bookmarkStart w:id="1215" w:name="_Toc5380"/>
      <w:bookmarkStart w:id="1216" w:name="_Toc4563"/>
      <w:bookmarkStart w:id="1217" w:name="_Toc17463"/>
      <w:bookmarkStart w:id="1218" w:name="_Toc29655"/>
      <w:bookmarkStart w:id="1219" w:name="_Toc1126"/>
      <w:bookmarkStart w:id="1220" w:name="_Toc15684"/>
      <w:bookmarkStart w:id="1221" w:name="_Toc2177"/>
      <w:bookmarkStart w:id="1222" w:name="_Toc11416"/>
      <w:bookmarkStart w:id="1223" w:name="_Toc2341"/>
      <w:bookmarkStart w:id="1224" w:name="_Toc25823"/>
      <w:bookmarkStart w:id="1225" w:name="_Toc5153"/>
      <w:bookmarkStart w:id="1226" w:name="_Toc16301"/>
      <w:bookmarkStart w:id="1227" w:name="_Toc147"/>
      <w:bookmarkStart w:id="1228" w:name="_Toc19119"/>
      <w:bookmarkStart w:id="1229" w:name="_Toc31830"/>
      <w:bookmarkStart w:id="1230" w:name="_Toc25344"/>
      <w:bookmarkStart w:id="1231" w:name="_Toc17174"/>
      <w:bookmarkStart w:id="1232" w:name="_Toc7423"/>
      <w:bookmarkStart w:id="1233" w:name="_Toc24401"/>
      <w:bookmarkStart w:id="1234" w:name="_Toc4040"/>
      <w:bookmarkStart w:id="1235" w:name="_Toc7541"/>
      <w:bookmarkStart w:id="1236" w:name="_Toc17045"/>
      <w:bookmarkStart w:id="1237" w:name="_Toc32403"/>
      <w:bookmarkStart w:id="1238" w:name="_Toc29369"/>
      <w:bookmarkStart w:id="1239" w:name="_Toc26559"/>
      <w:bookmarkStart w:id="1240" w:name="_Toc19821"/>
      <w:bookmarkStart w:id="1241" w:name="_Toc23538"/>
      <w:bookmarkStart w:id="1242" w:name="_Toc671"/>
      <w:bookmarkStart w:id="1243" w:name="_Toc19444"/>
      <w:bookmarkStart w:id="1244" w:name="_Toc10484"/>
      <w:bookmarkStart w:id="1245" w:name="_Toc10081"/>
      <w:bookmarkStart w:id="1246" w:name="_Toc15645"/>
      <w:bookmarkStart w:id="1247" w:name="_Toc13350"/>
      <w:bookmarkStart w:id="1248" w:name="_Toc919"/>
      <w:bookmarkStart w:id="1249" w:name="_Toc3256"/>
      <w:bookmarkStart w:id="1250" w:name="_Toc623"/>
      <w:bookmarkStart w:id="1251" w:name="_Toc73112426"/>
      <w:bookmarkStart w:id="1252" w:name="_Toc13666"/>
      <w:bookmarkStart w:id="1253" w:name="_Toc2151"/>
      <w:bookmarkStart w:id="1254" w:name="_Toc22743"/>
      <w:bookmarkStart w:id="1255" w:name="_Toc19043"/>
      <w:bookmarkStart w:id="1256" w:name="_Toc11155"/>
      <w:r>
        <w:rPr>
          <w:rFonts w:hint="eastAsia" w:ascii="仿宋" w:hAnsi="仿宋" w:eastAsia="仿宋" w:cs="仿宋"/>
          <w:b/>
          <w:bCs/>
          <w:color w:val="000000" w:themeColor="text1"/>
          <w14:textFill>
            <w14:solidFill>
              <w14:schemeClr w14:val="tx1"/>
            </w14:solidFill>
          </w14:textFill>
        </w:rPr>
        <w:t>第七章其它要求</w:t>
      </w:r>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1257" w:name="_Toc24680"/>
      <w:bookmarkStart w:id="1258" w:name="_Toc24181"/>
      <w:bookmarkStart w:id="1259" w:name="_Toc17623"/>
      <w:bookmarkStart w:id="1260" w:name="_Toc17435"/>
      <w:bookmarkStart w:id="1261" w:name="_Toc11058"/>
      <w:bookmarkStart w:id="1262" w:name="_Toc28364"/>
      <w:bookmarkStart w:id="1263" w:name="_Toc29679"/>
      <w:bookmarkStart w:id="1264" w:name="_Toc12029"/>
      <w:bookmarkStart w:id="1265" w:name="_Toc3164"/>
      <w:bookmarkStart w:id="1266" w:name="_Toc32544"/>
      <w:bookmarkStart w:id="1267" w:name="_Toc14484"/>
      <w:bookmarkStart w:id="1268" w:name="_Toc11901"/>
      <w:bookmarkStart w:id="1269" w:name="_Toc25903"/>
      <w:bookmarkStart w:id="1270" w:name="_Toc12406"/>
      <w:bookmarkStart w:id="1271" w:name="_Toc29015"/>
      <w:bookmarkStart w:id="1272" w:name="_Toc73112427"/>
      <w:bookmarkStart w:id="1273" w:name="_Toc4997"/>
      <w:bookmarkStart w:id="1274" w:name="_Toc16614"/>
      <w:bookmarkStart w:id="1275" w:name="_Toc12542"/>
      <w:bookmarkStart w:id="1276" w:name="_Toc26831"/>
      <w:bookmarkStart w:id="1277" w:name="_Toc15541"/>
      <w:bookmarkStart w:id="1278" w:name="_Toc20262"/>
      <w:bookmarkStart w:id="1279" w:name="_Toc17357"/>
      <w:bookmarkStart w:id="1280" w:name="_Toc22010"/>
      <w:bookmarkStart w:id="1281" w:name="_Toc17702"/>
      <w:bookmarkStart w:id="1282" w:name="_Toc18469"/>
      <w:bookmarkStart w:id="1283" w:name="_Toc32470"/>
      <w:bookmarkStart w:id="1284" w:name="_Toc17727"/>
      <w:bookmarkStart w:id="1285" w:name="_Toc22430"/>
      <w:bookmarkStart w:id="1286" w:name="_Toc32012"/>
      <w:bookmarkStart w:id="1287" w:name="_Toc16829"/>
      <w:bookmarkStart w:id="1288" w:name="_Toc13820"/>
      <w:bookmarkStart w:id="1289" w:name="_Toc5514"/>
      <w:bookmarkStart w:id="1290" w:name="_Toc21465"/>
      <w:bookmarkStart w:id="1291" w:name="_Toc27273"/>
      <w:bookmarkStart w:id="1292" w:name="_Toc31105"/>
      <w:bookmarkStart w:id="1293" w:name="_Toc14684"/>
      <w:bookmarkStart w:id="1294" w:name="_Toc30535"/>
      <w:bookmarkStart w:id="1295" w:name="_Toc2497"/>
      <w:bookmarkStart w:id="1296" w:name="_Toc24669"/>
      <w:bookmarkStart w:id="1297" w:name="_Toc15256"/>
      <w:bookmarkStart w:id="1298" w:name="_Toc32525"/>
      <w:bookmarkStart w:id="1299" w:name="_Toc16802"/>
      <w:bookmarkStart w:id="1300" w:name="_Toc15205"/>
      <w:bookmarkStart w:id="1301" w:name="_Toc24782"/>
      <w:r>
        <w:rPr>
          <w:rFonts w:hint="eastAsia" w:ascii="仿宋" w:hAnsi="仿宋" w:eastAsia="仿宋" w:cs="仿宋"/>
          <w:b/>
          <w:bCs/>
          <w:color w:val="000000" w:themeColor="text1"/>
          <w14:textFill>
            <w14:solidFill>
              <w14:schemeClr w14:val="tx1"/>
            </w14:solidFill>
          </w14:textFill>
        </w:rPr>
        <w:t>1特殊要求</w:t>
      </w:r>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为保证本技术标书所列采购货物的质量以及先进性、可靠性、经济性和实用性，要求投标方在投标文件中，至少应具备以下资格证明文件或资料：</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1.1投标方应是通过有关资格认证的单位，因此应附有有效期内的资格认证证书，如：ISO9001、VDA6.1、QS9000等。</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1.2国产设备应附有采购货物（或设备）涉及的由“中国质量认证中心”颁发的《中国国家强制性产品认证证书》（CCC证书）。</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方应当保证其业绩的真实性，否则将影响投标或中标资格。</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1.4应附有其它与投标单位、采购货物有关的荣誉证书或资料。</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1.5应附有中国相关国家部委颁发的有效期之内所必需的《生产许可证》。</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1.6应附有必要的采购货物（或设备）的相关检验、试验报告，如：《型式试验的检验报告》、《产品鉴定证书》、《新技术成果证书》等。</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1.7投标方必须附有采购货物（或设备）涉及国家规定必须进行的检验、试验报告等。</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1302" w:name="_Toc18674"/>
      <w:bookmarkStart w:id="1303" w:name="_Toc28380"/>
      <w:bookmarkStart w:id="1304" w:name="_Toc4243"/>
      <w:bookmarkStart w:id="1305" w:name="_Toc3658"/>
      <w:bookmarkStart w:id="1306" w:name="_Toc18370"/>
      <w:bookmarkStart w:id="1307" w:name="_Toc25498"/>
      <w:bookmarkStart w:id="1308" w:name="_Toc24482"/>
      <w:bookmarkStart w:id="1309" w:name="_Toc5504"/>
      <w:bookmarkStart w:id="1310" w:name="_Toc20830"/>
      <w:bookmarkStart w:id="1311" w:name="_Toc27164"/>
      <w:bookmarkStart w:id="1312" w:name="_Toc335"/>
      <w:bookmarkStart w:id="1313" w:name="_Toc21942"/>
      <w:bookmarkStart w:id="1314" w:name="_Toc26626"/>
      <w:bookmarkStart w:id="1315" w:name="_Toc11255"/>
      <w:bookmarkStart w:id="1316" w:name="_Toc73112429"/>
      <w:bookmarkStart w:id="1317" w:name="_Toc18745"/>
      <w:bookmarkStart w:id="1318" w:name="_Toc24176"/>
      <w:bookmarkStart w:id="1319" w:name="_Toc28718"/>
      <w:bookmarkStart w:id="1320" w:name="_Toc11707"/>
      <w:bookmarkStart w:id="1321" w:name="_Toc3821"/>
      <w:bookmarkStart w:id="1322" w:name="_Toc16457"/>
      <w:bookmarkStart w:id="1323" w:name="_Toc28559"/>
      <w:bookmarkStart w:id="1324" w:name="_Toc25028"/>
      <w:bookmarkStart w:id="1325" w:name="_Toc9442"/>
      <w:bookmarkStart w:id="1326" w:name="_Toc14052"/>
      <w:bookmarkStart w:id="1327" w:name="_Toc6242"/>
      <w:bookmarkStart w:id="1328" w:name="_Toc8864"/>
      <w:bookmarkStart w:id="1329" w:name="_Toc19315"/>
      <w:bookmarkStart w:id="1330" w:name="_Toc22893"/>
      <w:bookmarkStart w:id="1331" w:name="_Toc28700"/>
      <w:bookmarkStart w:id="1332" w:name="_Toc22763"/>
      <w:bookmarkStart w:id="1333" w:name="_Toc14956"/>
      <w:bookmarkStart w:id="1334" w:name="_Toc3323"/>
      <w:bookmarkStart w:id="1335" w:name="_Toc4278"/>
      <w:bookmarkStart w:id="1336" w:name="_Toc29233"/>
      <w:bookmarkStart w:id="1337" w:name="_Toc26724"/>
      <w:bookmarkStart w:id="1338" w:name="_Toc26307"/>
      <w:bookmarkStart w:id="1339" w:name="_Toc13528"/>
      <w:bookmarkStart w:id="1340" w:name="_Toc27894"/>
      <w:bookmarkStart w:id="1341" w:name="_Toc1823"/>
      <w:bookmarkStart w:id="1342" w:name="_Toc29954"/>
      <w:bookmarkStart w:id="1343" w:name="_Toc28267"/>
      <w:bookmarkStart w:id="1344" w:name="_Toc20370"/>
      <w:bookmarkStart w:id="1345" w:name="_Toc7398"/>
      <w:bookmarkStart w:id="1346" w:name="_Toc13497"/>
      <w:r>
        <w:rPr>
          <w:rFonts w:hint="eastAsia" w:ascii="仿宋" w:hAnsi="仿宋" w:eastAsia="仿宋" w:cs="仿宋"/>
          <w:b/>
          <w:bCs/>
          <w:color w:val="000000" w:themeColor="text1"/>
          <w14:textFill>
            <w14:solidFill>
              <w14:schemeClr w14:val="tx1"/>
            </w14:solidFill>
          </w14:textFill>
        </w:rPr>
        <w:t>2说明</w:t>
      </w:r>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2.1投标方可以根据自身的技术、经验等优势以及对招标文件和本技术标书的理解，写明对招标方所采购货物的优化方案或建议意见。投标方的这些努力，招标方表示感谢，并将有助于投标方优先胜出。</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2.2即使有建议意见或建议方案，仍应依据招标文件和本技术标书要求，编写符合要求的投标文件。建议方案或建议意见，应以单独篇章或文件，予以说明。</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2.3请投标方仔细阅读“采购货物概况”章节内说明，针对允许分投分中的货物，招标方有权利选择其中优秀设备或服务，作为投标方合同供货范围中的指定选用设备或服务（替代投标方分投而未中标部分）。</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2.4招标文件、投标文件、答疑文件、技术交流文件、技术协议书等，在招标过程全部为有效文件，如有差异，以对招标方或买方最有利的条款为准。</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2.5本技术标书在“预验收和终验收”章节所列的招标方在合同签署后将成为买方，中标的投标方将成为卖方；为避免歧异，本技术标书在“预验收和终验收”之外的其它章节，均将潜在的卖方称为投标方、将买方称为招标方。</w:t>
      </w:r>
    </w:p>
    <w:p>
      <w:pPr>
        <w:snapToGrid w:val="0"/>
        <w:spacing w:line="360" w:lineRule="auto"/>
        <w:ind w:firstLine="420" w:firstLineChars="200"/>
        <w:rPr>
          <w:rFonts w:ascii="仿宋" w:hAnsi="仿宋" w:eastAsia="仿宋" w:cs="仿宋"/>
          <w:highlight w:val="none"/>
        </w:rPr>
      </w:pPr>
    </w:p>
    <w:p>
      <w:pPr>
        <w:snapToGrid w:val="0"/>
        <w:spacing w:line="360" w:lineRule="auto"/>
        <w:ind w:firstLine="420" w:firstLineChars="200"/>
        <w:rPr>
          <w:rFonts w:ascii="仿宋" w:hAnsi="仿宋" w:eastAsia="仿宋" w:cs="仿宋"/>
          <w:highlight w:val="none"/>
        </w:rPr>
      </w:pPr>
    </w:p>
    <w:p>
      <w:pPr>
        <w:adjustRightInd w:val="0"/>
        <w:snapToGrid w:val="0"/>
        <w:spacing w:line="360" w:lineRule="auto"/>
        <w:ind w:firstLine="420" w:firstLineChars="200"/>
        <w:rPr>
          <w:rFonts w:ascii="仿宋" w:hAnsi="仿宋" w:eastAsia="仿宋" w:cs="仿宋"/>
          <w:highlight w:val="none"/>
        </w:rPr>
      </w:pPr>
    </w:p>
    <w:p>
      <w:pPr>
        <w:snapToGrid w:val="0"/>
        <w:spacing w:line="360" w:lineRule="auto"/>
        <w:rPr>
          <w:rFonts w:ascii="仿宋" w:hAnsi="仿宋" w:eastAsia="仿宋" w:cs="仿宋"/>
          <w:highlight w:val="none"/>
        </w:rPr>
      </w:pPr>
    </w:p>
    <w:p>
      <w:pPr>
        <w:pStyle w:val="77"/>
        <w:rPr>
          <w:b/>
          <w:bCs/>
        </w:rPr>
      </w:pPr>
    </w:p>
    <w:p>
      <w:pPr>
        <w:rPr>
          <w:rFonts w:hint="eastAsia"/>
        </w:rPr>
      </w:pPr>
      <w:bookmarkStart w:id="1347" w:name="_Toc47976609"/>
      <w:r>
        <w:rPr>
          <w:rFonts w:hint="eastAsia"/>
        </w:rPr>
        <w:br w:type="page"/>
      </w:r>
    </w:p>
    <w:bookmarkEnd w:id="1347"/>
    <w:p>
      <w:pPr>
        <w:pStyle w:val="72"/>
        <w:numPr>
          <w:ilvl w:val="0"/>
          <w:numId w:val="31"/>
        </w:numPr>
        <w:rPr>
          <w:rFonts w:hint="eastAsia"/>
        </w:rPr>
      </w:pPr>
      <w:r>
        <w:rPr>
          <w:rFonts w:hint="eastAsia" w:ascii="宋体" w:hAnsi="宋体" w:eastAsia="宋体" w:cs="Times New Roman"/>
          <w:b/>
          <w:sz w:val="36"/>
          <w:szCs w:val="36"/>
        </w:rPr>
        <w:t>设备采购合同</w:t>
      </w:r>
      <w:r>
        <w:rPr>
          <w:rFonts w:hint="eastAsia" w:ascii="宋体" w:hAnsi="宋体" w:eastAsia="宋体" w:cs="Times New Roman"/>
          <w:b/>
          <w:sz w:val="36"/>
          <w:szCs w:val="36"/>
          <w:lang w:eastAsia="zh-CN"/>
        </w:rPr>
        <w:t>（</w:t>
      </w:r>
      <w:r>
        <w:rPr>
          <w:rFonts w:hint="eastAsia" w:ascii="宋体" w:hAnsi="宋体" w:eastAsia="宋体" w:cs="Times New Roman"/>
          <w:b/>
          <w:sz w:val="36"/>
          <w:szCs w:val="36"/>
          <w:lang w:val="en-US" w:eastAsia="zh-CN"/>
        </w:rPr>
        <w:t>模板</w:t>
      </w:r>
      <w:r>
        <w:rPr>
          <w:rFonts w:hint="eastAsia" w:ascii="宋体" w:hAnsi="宋体" w:eastAsia="宋体" w:cs="Times New Roman"/>
          <w:b/>
          <w:sz w:val="36"/>
          <w:szCs w:val="36"/>
          <w:lang w:eastAsia="zh-CN"/>
        </w:rPr>
        <w:t>）</w:t>
      </w:r>
    </w:p>
    <w:p>
      <w:pPr>
        <w:wordWrap w:val="0"/>
        <w:adjustRightInd w:val="0"/>
        <w:snapToGrid w:val="0"/>
        <w:spacing w:line="360" w:lineRule="auto"/>
        <w:jc w:val="right"/>
        <w:rPr>
          <w:rFonts w:ascii="宋体" w:hAnsi="宋体"/>
          <w:b/>
          <w:sz w:val="28"/>
          <w:szCs w:val="28"/>
        </w:rPr>
      </w:pPr>
    </w:p>
    <w:p>
      <w:pPr>
        <w:adjustRightInd w:val="0"/>
        <w:snapToGrid w:val="0"/>
        <w:spacing w:line="360" w:lineRule="auto"/>
        <w:jc w:val="center"/>
        <w:rPr>
          <w:rFonts w:ascii="方正小标宋简体" w:hAnsi="宋体" w:eastAsia="方正小标宋简体"/>
          <w:bCs/>
          <w:sz w:val="52"/>
          <w:szCs w:val="36"/>
        </w:rPr>
      </w:pPr>
      <w:bookmarkStart w:id="1348" w:name="_Toc47976615"/>
      <w:r>
        <w:rPr>
          <w:rFonts w:hint="eastAsia" w:ascii="方正小标宋简体" w:hAnsi="宋体" w:eastAsia="方正小标宋简体"/>
          <w:bCs/>
          <w:sz w:val="52"/>
          <w:szCs w:val="36"/>
        </w:rPr>
        <w:t>设备采购合同（模板）</w:t>
      </w:r>
    </w:p>
    <w:p>
      <w:pPr>
        <w:pStyle w:val="15"/>
        <w:jc w:val="center"/>
      </w:pPr>
      <w:r>
        <w:rPr>
          <w:rFonts w:hint="eastAsia" w:hAnsi="宋体" w:eastAsia="宋体" w:cs="宋体"/>
          <w:b/>
          <w:sz w:val="24"/>
          <w:szCs w:val="24"/>
        </w:rPr>
        <w:t>（合同以双方最终签署的版本为准）</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4"/>
          <w:u w:val="single"/>
        </w:rPr>
      </w:pPr>
      <w:r>
        <w:rPr>
          <w:rFonts w:hint="eastAsia" w:ascii="宋体" w:hAnsi="宋体" w:cs="宋体"/>
          <w:bCs/>
          <w:sz w:val="24"/>
        </w:rPr>
        <w:t xml:space="preserve">                                       </w:t>
      </w:r>
    </w:p>
    <w:p>
      <w:pPr>
        <w:spacing w:line="360" w:lineRule="auto"/>
        <w:rPr>
          <w:rFonts w:ascii="宋体" w:hAnsi="宋体" w:cs="宋体"/>
          <w:bCs/>
          <w:sz w:val="22"/>
        </w:rPr>
        <w:sectPr>
          <w:headerReference r:id="rId7" w:type="default"/>
          <w:footerReference r:id="rId8"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pPr>
        <w:spacing w:line="360" w:lineRule="auto"/>
        <w:rPr>
          <w:rFonts w:ascii="仿宋_GB2312" w:hAnsi="宋体" w:eastAsia="仿宋_GB2312" w:cs="宋体"/>
          <w:bCs/>
          <w:sz w:val="24"/>
          <w:szCs w:val="24"/>
        </w:rPr>
      </w:pPr>
      <w:r>
        <w:rPr>
          <w:rFonts w:hint="eastAsia" w:ascii="宋体" w:hAnsi="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49" w:name="_Toc17619"/>
      <w:bookmarkStart w:id="1350" w:name="_Toc11930"/>
      <w:bookmarkStart w:id="1351" w:name="_Toc11823"/>
      <w:bookmarkStart w:id="1352" w:name="_Toc16330018"/>
      <w:r>
        <w:rPr>
          <w:rFonts w:hint="eastAsia" w:ascii="黑体" w:hAnsi="黑体" w:eastAsia="黑体" w:cstheme="minorEastAsia"/>
          <w:b w:val="0"/>
          <w:sz w:val="28"/>
          <w:szCs w:val="28"/>
        </w:rPr>
        <w:t>1 合同设备</w:t>
      </w:r>
      <w:bookmarkEnd w:id="1349"/>
      <w:bookmarkEnd w:id="1350"/>
      <w:bookmarkEnd w:id="1351"/>
      <w:bookmarkEnd w:id="135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1353" w:name="_Toc32510"/>
      <w:bookmarkStart w:id="1354" w:name="_Toc29026"/>
      <w:bookmarkStart w:id="1355" w:name="_Toc22800"/>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56" w:name="_Toc16330019"/>
      <w:r>
        <w:rPr>
          <w:rFonts w:hint="eastAsia" w:ascii="黑体" w:hAnsi="黑体" w:eastAsia="黑体" w:cstheme="minorEastAsia"/>
          <w:b w:val="0"/>
          <w:sz w:val="28"/>
          <w:szCs w:val="28"/>
        </w:rPr>
        <w:t>2 包装</w:t>
      </w:r>
      <w:bookmarkEnd w:id="1353"/>
      <w:bookmarkEnd w:id="1354"/>
      <w:bookmarkEnd w:id="1355"/>
      <w:bookmarkEnd w:id="135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57" w:name="_Toc27144"/>
      <w:bookmarkStart w:id="1358" w:name="_Toc27453"/>
      <w:bookmarkStart w:id="1359" w:name="_Toc16330020"/>
      <w:bookmarkStart w:id="1360" w:name="_Toc2833"/>
      <w:r>
        <w:rPr>
          <w:rFonts w:hint="eastAsia" w:ascii="黑体" w:hAnsi="黑体" w:eastAsia="黑体" w:cstheme="minorEastAsia"/>
          <w:b w:val="0"/>
          <w:sz w:val="28"/>
          <w:szCs w:val="28"/>
        </w:rPr>
        <w:t>3 运输标记</w:t>
      </w:r>
      <w:bookmarkEnd w:id="1357"/>
      <w:bookmarkEnd w:id="1358"/>
      <w:bookmarkEnd w:id="1359"/>
      <w:bookmarkEnd w:id="136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61" w:name="_Toc16133"/>
      <w:bookmarkStart w:id="1362" w:name="_Toc10630"/>
      <w:bookmarkStart w:id="1363" w:name="_Toc16330021"/>
      <w:bookmarkStart w:id="1364" w:name="_Toc7431"/>
      <w:r>
        <w:rPr>
          <w:rFonts w:hint="eastAsia" w:ascii="黑体" w:hAnsi="黑体" w:eastAsia="黑体" w:cstheme="minorEastAsia"/>
          <w:b w:val="0"/>
          <w:sz w:val="28"/>
          <w:szCs w:val="28"/>
        </w:rPr>
        <w:t>4 检验</w:t>
      </w:r>
      <w:bookmarkEnd w:id="1361"/>
      <w:bookmarkEnd w:id="1362"/>
      <w:bookmarkEnd w:id="1363"/>
      <w:bookmarkEnd w:id="136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65" w:name="_Toc24467"/>
      <w:bookmarkStart w:id="1366" w:name="_Toc19850"/>
      <w:bookmarkStart w:id="1367" w:name="_Toc11217"/>
      <w:bookmarkStart w:id="1368" w:name="_Toc16330022"/>
      <w:r>
        <w:rPr>
          <w:rFonts w:hint="eastAsia" w:ascii="黑体" w:hAnsi="黑体" w:eastAsia="黑体" w:cstheme="minorEastAsia"/>
          <w:b w:val="0"/>
          <w:sz w:val="28"/>
          <w:szCs w:val="28"/>
        </w:rPr>
        <w:t>5 权利担保</w:t>
      </w:r>
      <w:bookmarkEnd w:id="1365"/>
      <w:bookmarkEnd w:id="1366"/>
      <w:bookmarkEnd w:id="1367"/>
      <w:bookmarkEnd w:id="136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69" w:name="_Toc14809"/>
      <w:bookmarkStart w:id="1370" w:name="_Toc16330023"/>
      <w:bookmarkStart w:id="1371" w:name="_Toc11759"/>
      <w:bookmarkStart w:id="1372" w:name="_Toc27500"/>
      <w:r>
        <w:rPr>
          <w:rFonts w:hint="eastAsia" w:ascii="黑体" w:hAnsi="黑体" w:eastAsia="黑体" w:cstheme="minorEastAsia"/>
          <w:b w:val="0"/>
          <w:sz w:val="28"/>
          <w:szCs w:val="28"/>
        </w:rPr>
        <w:t>6 交货</w:t>
      </w:r>
      <w:bookmarkEnd w:id="1369"/>
      <w:bookmarkEnd w:id="1370"/>
      <w:bookmarkEnd w:id="1371"/>
      <w:bookmarkEnd w:id="137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73" w:name="_Toc25510"/>
      <w:bookmarkStart w:id="1374" w:name="_Toc16330024"/>
      <w:bookmarkStart w:id="1375" w:name="_Toc8024"/>
      <w:bookmarkStart w:id="1376" w:name="_Toc2984"/>
      <w:r>
        <w:rPr>
          <w:rFonts w:hint="eastAsia" w:ascii="黑体" w:hAnsi="黑体" w:eastAsia="黑体" w:cstheme="minorEastAsia"/>
          <w:b w:val="0"/>
          <w:sz w:val="28"/>
          <w:szCs w:val="28"/>
        </w:rPr>
        <w:t>7 安装、调试</w:t>
      </w:r>
      <w:bookmarkEnd w:id="1373"/>
      <w:bookmarkEnd w:id="1374"/>
      <w:bookmarkEnd w:id="1375"/>
      <w:bookmarkEnd w:id="1376"/>
    </w:p>
    <w:p>
      <w:pPr>
        <w:pStyle w:val="13"/>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77" w:name="_Toc14098"/>
      <w:bookmarkStart w:id="1378" w:name="_Toc14260"/>
      <w:bookmarkStart w:id="1379" w:name="_Toc6350"/>
      <w:bookmarkStart w:id="1380" w:name="_Toc16330025"/>
      <w:r>
        <w:rPr>
          <w:rFonts w:hint="eastAsia" w:ascii="黑体" w:hAnsi="黑体" w:eastAsia="黑体" w:cstheme="minorEastAsia"/>
          <w:b w:val="0"/>
          <w:sz w:val="28"/>
          <w:szCs w:val="28"/>
        </w:rPr>
        <w:t>8 价款与支付</w:t>
      </w:r>
      <w:bookmarkEnd w:id="1377"/>
      <w:bookmarkEnd w:id="1378"/>
      <w:bookmarkEnd w:id="1379"/>
      <w:bookmarkEnd w:id="1380"/>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8.3.1合同生效设备全部到齐无质量问题通过买方初步验收并到货后,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bookmarkStart w:id="1381" w:name="_Toc14531628"/>
      <w:bookmarkStart w:id="1382"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1381"/>
      <w:bookmarkEnd w:id="1382"/>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83" w:name="_Toc25708"/>
      <w:bookmarkStart w:id="1384" w:name="_Toc16330026"/>
      <w:bookmarkStart w:id="1385" w:name="_Toc6726"/>
      <w:bookmarkStart w:id="1386" w:name="_Toc24085"/>
      <w:r>
        <w:rPr>
          <w:rFonts w:hint="eastAsia" w:ascii="黑体" w:hAnsi="黑体" w:eastAsia="黑体" w:cstheme="minorEastAsia"/>
          <w:b w:val="0"/>
          <w:sz w:val="28"/>
          <w:szCs w:val="28"/>
        </w:rPr>
        <w:t>9 质量保证及售后服务</w:t>
      </w:r>
      <w:bookmarkEnd w:id="1383"/>
      <w:bookmarkEnd w:id="1384"/>
      <w:bookmarkEnd w:id="1385"/>
      <w:bookmarkEnd w:id="138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87" w:name="_Toc16330027"/>
      <w:bookmarkStart w:id="1388" w:name="_Toc15570"/>
      <w:bookmarkStart w:id="1389" w:name="_Toc10359"/>
      <w:bookmarkStart w:id="1390" w:name="_Toc12927"/>
      <w:r>
        <w:rPr>
          <w:rFonts w:hint="eastAsia" w:ascii="黑体" w:hAnsi="黑体" w:eastAsia="黑体" w:cstheme="minorEastAsia"/>
          <w:b w:val="0"/>
          <w:sz w:val="28"/>
          <w:szCs w:val="28"/>
        </w:rPr>
        <w:t>10法定责任</w:t>
      </w:r>
      <w:bookmarkEnd w:id="1387"/>
      <w:bookmarkEnd w:id="1388"/>
      <w:bookmarkEnd w:id="1389"/>
      <w:bookmarkEnd w:id="1390"/>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91" w:name="_Toc9708"/>
      <w:bookmarkStart w:id="1392" w:name="_Toc27314"/>
      <w:bookmarkStart w:id="1393" w:name="_Toc30381"/>
      <w:bookmarkStart w:id="1394" w:name="_Toc16330028"/>
      <w:r>
        <w:rPr>
          <w:rFonts w:hint="eastAsia" w:ascii="黑体" w:hAnsi="黑体" w:eastAsia="黑体" w:cstheme="minorEastAsia"/>
          <w:b w:val="0"/>
          <w:sz w:val="28"/>
          <w:szCs w:val="28"/>
        </w:rPr>
        <w:t>11 违约责任</w:t>
      </w:r>
      <w:bookmarkEnd w:id="1391"/>
      <w:bookmarkEnd w:id="1392"/>
      <w:bookmarkEnd w:id="1393"/>
      <w:bookmarkEnd w:id="1394"/>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95" w:name="_Toc9172"/>
      <w:bookmarkStart w:id="1396" w:name="_Toc16330029"/>
      <w:bookmarkStart w:id="1397" w:name="_Toc1827"/>
      <w:bookmarkStart w:id="1398" w:name="_Toc31554"/>
      <w:r>
        <w:rPr>
          <w:rFonts w:hint="eastAsia" w:ascii="黑体" w:hAnsi="黑体" w:eastAsia="黑体" w:cstheme="minorEastAsia"/>
          <w:b w:val="0"/>
          <w:sz w:val="28"/>
          <w:szCs w:val="28"/>
        </w:rPr>
        <w:t>12 合同的终止与解除</w:t>
      </w:r>
      <w:bookmarkEnd w:id="1395"/>
      <w:bookmarkEnd w:id="1396"/>
      <w:bookmarkEnd w:id="1397"/>
      <w:bookmarkEnd w:id="1398"/>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99" w:name="_Toc31945"/>
      <w:bookmarkStart w:id="1400" w:name="_Toc16330030"/>
      <w:bookmarkStart w:id="1401" w:name="_Toc13671"/>
      <w:bookmarkStart w:id="1402" w:name="_Toc8620"/>
      <w:r>
        <w:rPr>
          <w:rFonts w:hint="eastAsia" w:ascii="黑体" w:hAnsi="黑体" w:eastAsia="黑体" w:cstheme="minorEastAsia"/>
          <w:b w:val="0"/>
          <w:sz w:val="28"/>
          <w:szCs w:val="28"/>
        </w:rPr>
        <w:t>13 不可抗力</w:t>
      </w:r>
      <w:bookmarkEnd w:id="1399"/>
      <w:bookmarkEnd w:id="1400"/>
      <w:bookmarkEnd w:id="1401"/>
      <w:bookmarkEnd w:id="140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03" w:name="_Toc637"/>
      <w:bookmarkStart w:id="1404" w:name="_Toc31243"/>
      <w:bookmarkStart w:id="1405" w:name="_Toc16330031"/>
      <w:bookmarkStart w:id="1406" w:name="_Toc30389"/>
      <w:r>
        <w:rPr>
          <w:rFonts w:hint="eastAsia" w:ascii="黑体" w:hAnsi="黑体" w:eastAsia="黑体" w:cstheme="minorEastAsia"/>
          <w:b w:val="0"/>
          <w:sz w:val="28"/>
          <w:szCs w:val="28"/>
        </w:rPr>
        <w:t>14 通讯</w:t>
      </w:r>
      <w:bookmarkEnd w:id="1403"/>
      <w:bookmarkEnd w:id="1404"/>
      <w:bookmarkEnd w:id="1405"/>
      <w:bookmarkEnd w:id="140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5"/>
        <w:tabs>
          <w:tab w:val="right" w:leader="dot" w:pos="9061"/>
        </w:tabs>
        <w:spacing w:before="312" w:beforeLines="100"/>
        <w:rPr>
          <w:rFonts w:ascii="黑体" w:hAnsi="黑体" w:eastAsia="黑体" w:cstheme="minorEastAsia"/>
          <w:b w:val="0"/>
          <w:sz w:val="28"/>
          <w:szCs w:val="28"/>
        </w:rPr>
      </w:pPr>
      <w:bookmarkStart w:id="1407" w:name="_Toc9915"/>
      <w:bookmarkStart w:id="1408" w:name="_Toc12984"/>
      <w:bookmarkStart w:id="1409" w:name="_Toc16330032"/>
      <w:bookmarkStart w:id="1410" w:name="_Toc11290"/>
      <w:r>
        <w:rPr>
          <w:rFonts w:hint="eastAsia" w:ascii="黑体" w:hAnsi="黑体" w:eastAsia="黑体" w:cstheme="minorEastAsia"/>
          <w:b w:val="0"/>
          <w:sz w:val="28"/>
          <w:szCs w:val="28"/>
        </w:rPr>
        <w:t>15 适用法律及争议解决</w:t>
      </w:r>
      <w:bookmarkEnd w:id="1407"/>
      <w:bookmarkEnd w:id="1408"/>
      <w:bookmarkEnd w:id="1409"/>
      <w:bookmarkEnd w:id="141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11" w:name="_Toc23906"/>
      <w:bookmarkStart w:id="1412" w:name="_Toc23765"/>
      <w:bookmarkStart w:id="1413" w:name="_Toc18207"/>
      <w:bookmarkStart w:id="1414" w:name="_Toc16330033"/>
      <w:r>
        <w:rPr>
          <w:rFonts w:hint="eastAsia" w:ascii="黑体" w:hAnsi="黑体" w:eastAsia="黑体" w:cstheme="minorEastAsia"/>
          <w:b w:val="0"/>
          <w:sz w:val="28"/>
          <w:szCs w:val="28"/>
        </w:rPr>
        <w:t>16 附件</w:t>
      </w:r>
      <w:bookmarkEnd w:id="1411"/>
      <w:bookmarkEnd w:id="1412"/>
      <w:bookmarkEnd w:id="1413"/>
      <w:bookmarkEnd w:id="141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15" w:name="_Toc16330034"/>
      <w:bookmarkStart w:id="1416" w:name="_Toc27202"/>
      <w:bookmarkStart w:id="1417" w:name="_Toc31331"/>
      <w:bookmarkStart w:id="1418" w:name="_Toc17656"/>
      <w:r>
        <w:rPr>
          <w:rFonts w:hint="eastAsia" w:ascii="黑体" w:hAnsi="黑体" w:eastAsia="黑体" w:cstheme="minorEastAsia"/>
          <w:b w:val="0"/>
          <w:sz w:val="28"/>
          <w:szCs w:val="28"/>
        </w:rPr>
        <w:t>17 其他规定</w:t>
      </w:r>
      <w:bookmarkEnd w:id="1415"/>
      <w:bookmarkEnd w:id="1416"/>
      <w:bookmarkEnd w:id="1417"/>
      <w:bookmarkEnd w:id="141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419" w:name="_Toc17952"/>
      <w:bookmarkStart w:id="1420" w:name="_Toc19077"/>
      <w:bookmarkStart w:id="1421" w:name="_Toc16330035"/>
      <w:bookmarkStart w:id="1422"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5"/>
        <w:tabs>
          <w:tab w:val="right" w:leader="dot" w:pos="9061"/>
        </w:tabs>
        <w:spacing w:before="312"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419"/>
      <w:bookmarkEnd w:id="1420"/>
      <w:bookmarkEnd w:id="1421"/>
      <w:bookmarkEnd w:id="142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ascii="仿宋_GB2312" w:eastAsia="仿宋_GB2312"/>
          <w:sz w:val="24"/>
          <w:szCs w:val="24"/>
        </w:rPr>
      </w:pPr>
    </w:p>
    <w:p>
      <w:pPr>
        <w:pStyle w:val="5"/>
        <w:tabs>
          <w:tab w:val="right" w:leader="dot" w:pos="9061"/>
        </w:tabs>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2"/>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asciiTheme="minorEastAsia" w:hAnsiTheme="minorEastAsia" w:cstheme="minorEastAsia"/>
          <w:sz w:val="20"/>
          <w:szCs w:val="20"/>
        </w:rPr>
      </w:pPr>
      <w:bookmarkStart w:id="1423" w:name="_Toc25120"/>
      <w:bookmarkStart w:id="1424" w:name="_Toc5379"/>
      <w:bookmarkStart w:id="1425" w:name="_Toc24623"/>
      <w:bookmarkStart w:id="1426" w:name="_Toc16330037"/>
      <w:bookmarkStart w:id="1427" w:name="_Toc3778"/>
      <w:r>
        <w:rPr>
          <w:rFonts w:hint="eastAsia" w:asciiTheme="minorEastAsia" w:hAnsiTheme="minorEastAsia" w:cstheme="minorEastAsia"/>
          <w:sz w:val="20"/>
          <w:szCs w:val="20"/>
        </w:rPr>
        <w:br w:type="page"/>
      </w:r>
    </w:p>
    <w:p>
      <w:pPr>
        <w:pStyle w:val="5"/>
        <w:tabs>
          <w:tab w:val="right" w:leader="dot" w:pos="9061"/>
        </w:tabs>
        <w:rPr>
          <w:rFonts w:ascii="黑体" w:hAnsi="黑体" w:eastAsia="黑体" w:cstheme="minorEastAsia"/>
          <w:b w:val="0"/>
          <w:i/>
          <w:sz w:val="28"/>
          <w:szCs w:val="28"/>
        </w:rPr>
      </w:pPr>
      <w:r>
        <w:rPr>
          <w:rFonts w:hint="eastAsia" w:ascii="黑体" w:hAnsi="黑体" w:eastAsia="黑体" w:cstheme="minorEastAsia"/>
          <w:b w:val="0"/>
          <w:sz w:val="28"/>
          <w:szCs w:val="28"/>
        </w:rPr>
        <w:t xml:space="preserve">附件二 </w:t>
      </w:r>
      <w:bookmarkEnd w:id="1423"/>
      <w:bookmarkEnd w:id="1424"/>
      <w:bookmarkEnd w:id="1425"/>
      <w:bookmarkEnd w:id="1426"/>
      <w:bookmarkEnd w:id="1427"/>
      <w:r>
        <w:rPr>
          <w:rFonts w:hint="eastAsia" w:ascii="黑体" w:hAnsi="黑体" w:eastAsia="黑体" w:cstheme="minorEastAsia"/>
          <w:b w:val="0"/>
          <w:sz w:val="28"/>
          <w:szCs w:val="28"/>
        </w:rPr>
        <w:t>技术协议书</w:t>
      </w:r>
    </w:p>
    <w:p>
      <w:pPr>
        <w:ind w:right="360"/>
        <w:rPr>
          <w:rFonts w:asciiTheme="minorEastAsia" w:hAnsiTheme="minorEastAsia" w:cstheme="minorEastAsia"/>
          <w:sz w:val="20"/>
          <w:szCs w:val="20"/>
        </w:rPr>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r>
        <w:rPr>
          <w:rFonts w:hint="eastAsia" w:asciiTheme="minorEastAsia" w:hAnsiTheme="minorEastAsia" w:cstheme="minorEastAsia"/>
          <w:sz w:val="20"/>
          <w:szCs w:val="20"/>
        </w:rPr>
        <w:t xml:space="preserve">                                      </w:t>
      </w:r>
    </w:p>
    <w:p>
      <w:pPr>
        <w:jc w:val="right"/>
        <w:rPr>
          <w:rFonts w:asciiTheme="minorEastAsia" w:hAnsiTheme="minorEastAsia" w:cstheme="minorEastAsia"/>
          <w:sz w:val="20"/>
          <w:szCs w:val="20"/>
        </w:rPr>
      </w:pPr>
    </w:p>
    <w:p>
      <w:pPr>
        <w:wordWrap w:val="0"/>
        <w:ind w:right="480"/>
        <w:rPr>
          <w:rFonts w:asciiTheme="minorEastAsia" w:hAnsiTheme="minorEastAsia" w:cstheme="minorEastAsia"/>
          <w:sz w:val="20"/>
          <w:szCs w:val="20"/>
        </w:rPr>
      </w:pPr>
    </w:p>
    <w:p>
      <w:pPr>
        <w:jc w:val="right"/>
        <w:rPr>
          <w:rFonts w:ascii="楷体_GB2312" w:hAnsi="宋体" w:eastAsia="楷体_GB2312"/>
          <w:sz w:val="24"/>
        </w:rPr>
      </w:pPr>
      <w:bookmarkStart w:id="1428" w:name="_Toc14341849"/>
    </w:p>
    <w:p>
      <w:pPr>
        <w:ind w:right="480"/>
        <w:jc w:val="center"/>
        <w:rPr>
          <w:sz w:val="24"/>
          <w:szCs w:val="24"/>
        </w:rPr>
      </w:pPr>
      <w:r>
        <w:rPr>
          <w:rFonts w:hint="eastAsia" w:ascii="楷体_GB2312" w:hAnsi="宋体" w:eastAsia="楷体_GB2312"/>
          <w:sz w:val="24"/>
        </w:rPr>
        <w:t xml:space="preserve">                                    </w:t>
      </w:r>
    </w:p>
    <w:bookmarkEnd w:id="1428"/>
    <w:p>
      <w:pPr>
        <w:rPr>
          <w:rFonts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pPr>
        <w:pStyle w:val="2"/>
        <w:spacing w:before="8" w:after="156"/>
        <w:rPr>
          <w:rFonts w:ascii="楷体" w:hAnsi="楷体" w:eastAsia="楷体" w:cs="楷体"/>
          <w:sz w:val="44"/>
          <w:szCs w:val="28"/>
        </w:rPr>
      </w:pP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2"/>
        <w:spacing w:before="9" w:after="156"/>
        <w:rPr>
          <w:rFonts w:ascii="楷体" w:hAnsi="楷体" w:eastAsia="楷体" w:cs="楷体"/>
          <w:sz w:val="40"/>
          <w:szCs w:val="28"/>
        </w:rPr>
      </w:pPr>
    </w:p>
    <w:p>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2"/>
        <w:spacing w:after="156"/>
        <w:rPr>
          <w:rFonts w:ascii="楷体" w:hAnsi="楷体" w:eastAsia="楷体" w:cs="楷体"/>
          <w:b/>
          <w:sz w:val="24"/>
          <w:szCs w:val="28"/>
        </w:rPr>
      </w:pPr>
    </w:p>
    <w:p>
      <w:pPr>
        <w:pStyle w:val="2"/>
        <w:spacing w:before="1" w:after="156"/>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2"/>
        <w:spacing w:after="156"/>
        <w:rPr>
          <w:rFonts w:ascii="楷体" w:hAnsi="楷体" w:eastAsia="楷体" w:cs="楷体"/>
          <w:b/>
          <w:sz w:val="24"/>
          <w:szCs w:val="28"/>
        </w:rPr>
      </w:pPr>
    </w:p>
    <w:p>
      <w:pPr>
        <w:pStyle w:val="2"/>
        <w:spacing w:before="4" w:after="156"/>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tabs>
          <w:tab w:val="left" w:pos="5457"/>
        </w:tabs>
        <w:ind w:left="117"/>
        <w:rPr>
          <w:rFonts w:ascii="楷体" w:hAnsi="楷体" w:eastAsia="楷体" w:cs="楷体"/>
          <w:b/>
          <w:sz w:val="24"/>
          <w:szCs w:val="21"/>
        </w:rPr>
      </w:pPr>
    </w:p>
    <w:p>
      <w:pPr>
        <w:keepNext/>
        <w:keepLines/>
        <w:jc w:val="center"/>
        <w:outlineLvl w:val="0"/>
        <w:rPr>
          <w:rFonts w:ascii="Calibri" w:hAnsi="Calibri" w:eastAsia="宋体" w:cs="Times New Roman"/>
          <w:b/>
          <w:bCs/>
          <w:kern w:val="44"/>
          <w:sz w:val="36"/>
          <w:szCs w:val="44"/>
        </w:rPr>
        <w:sectPr>
          <w:footerReference r:id="rId11" w:type="first"/>
          <w:headerReference r:id="rId9" w:type="default"/>
          <w:footerReference r:id="rId10"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pPr>
        <w:rPr>
          <w:rFonts w:hint="eastAsia"/>
        </w:rPr>
      </w:pPr>
    </w:p>
    <w:p>
      <w:pPr>
        <w:pStyle w:val="72"/>
        <w:rPr>
          <w:rFonts w:ascii="黑体" w:hAnsi="Calibri" w:eastAsia="黑体" w:cs="Times New Roman"/>
          <w:color w:val="000000"/>
          <w:sz w:val="24"/>
          <w:szCs w:val="24"/>
        </w:rPr>
      </w:pPr>
      <w:bookmarkStart w:id="1429" w:name="_Toc16500"/>
      <w:r>
        <w:rPr>
          <w:rFonts w:hint="eastAsia"/>
        </w:rPr>
        <w:t>第四部分　</w:t>
      </w:r>
      <w:bookmarkEnd w:id="1348"/>
      <w:r>
        <w:rPr>
          <w:rFonts w:hint="eastAsia"/>
          <w:lang w:val="en-US" w:eastAsia="zh-CN"/>
        </w:rPr>
        <w:t>投标文件附件</w:t>
      </w:r>
      <w:bookmarkEnd w:id="1429"/>
    </w:p>
    <w:p>
      <w:pPr>
        <w:jc w:val="both"/>
        <w:rPr>
          <w:rFonts w:ascii="宋体"/>
          <w:b/>
          <w:color w:val="000000"/>
          <w:szCs w:val="24"/>
        </w:rPr>
      </w:pPr>
    </w:p>
    <w:p>
      <w:pPr>
        <w:pStyle w:val="15"/>
      </w:pPr>
    </w:p>
    <w:p>
      <w:pPr>
        <w:pStyle w:val="73"/>
        <w:numPr>
          <w:ilvl w:val="0"/>
          <w:numId w:val="0"/>
        </w:numPr>
        <w:ind w:leftChars="0"/>
        <w:outlineLvl w:val="1"/>
        <w:rPr>
          <w:rFonts w:hint="default" w:ascii="宋体" w:hAnsi="宋体" w:eastAsia="宋体" w:cs="宋体"/>
          <w:sz w:val="32"/>
          <w:szCs w:val="32"/>
          <w:highlight w:val="yellow"/>
          <w:lang w:val="en-US" w:eastAsia="zh-CN"/>
        </w:rPr>
      </w:pPr>
      <w:bookmarkStart w:id="1430" w:name="_Toc47976618"/>
      <w:bookmarkStart w:id="1431" w:name="_Toc29366865"/>
      <w:bookmarkStart w:id="1432" w:name="_Toc29366869"/>
      <w:r>
        <w:rPr>
          <w:rFonts w:hint="eastAsia" w:ascii="宋体" w:hAnsi="宋体" w:eastAsia="宋体" w:cs="宋体"/>
          <w:sz w:val="32"/>
          <w:szCs w:val="32"/>
          <w:highlight w:val="none"/>
          <w:lang w:val="en-US" w:eastAsia="zh-CN"/>
        </w:rPr>
        <w:t>附件1 法定代表人授权委托书</w:t>
      </w:r>
    </w:p>
    <w:bookmarkEnd w:id="1430"/>
    <w:p>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w:t>
      </w:r>
      <w:r>
        <w:rPr>
          <w:rFonts w:hint="eastAsia" w:ascii="宋体" w:hAnsi="宋体" w:eastAsia="宋体" w:cs="Times New Roman"/>
          <w:color w:val="000000"/>
          <w:sz w:val="24"/>
          <w:szCs w:val="24"/>
          <w:highlight w:val="none"/>
        </w:rPr>
        <w:t>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济南车桥公司产能提升配套柔性吊项目  </w:t>
      </w:r>
      <w:r>
        <w:rPr>
          <w:rFonts w:hint="eastAsia" w:ascii="宋体" w:hAnsi="宋体" w:eastAsia="宋体" w:cs="Times New Roman"/>
          <w:color w:val="000000"/>
          <w:sz w:val="24"/>
          <w:szCs w:val="24"/>
          <w:highlight w:val="none"/>
        </w:rPr>
        <w:t>现授权委托＿＿＿＿＿＿＿＿＿＿＿＿＿＿＿＿＿＿＿＿＿＿＿＿＿＿＿＿（单位名称）的＿＿＿＿＿＿</w:t>
      </w:r>
      <w:r>
        <w:rPr>
          <w:rFonts w:hint="eastAsia" w:ascii="宋体" w:hAnsi="宋体" w:eastAsia="宋体" w:cs="Times New Roman"/>
          <w:color w:val="000000"/>
          <w:sz w:val="24"/>
          <w:szCs w:val="24"/>
        </w:rPr>
        <w:t>＿＿（姓名、职务）为我公司全权代表，全权代表在投标文件、评标过程中的书面承诺、合同等所签署的一切文件和处理与之有关的一切事务，我均予以承认。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spacing w:line="460" w:lineRule="exact"/>
        <w:ind w:firstLine="5520" w:firstLineChars="2300"/>
        <w:rPr>
          <w:rFonts w:ascii="宋体" w:hAnsi="Calibri" w:eastAsia="宋体" w:cs="Times New Roman"/>
          <w:sz w:val="24"/>
          <w:szCs w:val="20"/>
          <w:u w:val="single"/>
        </w:rPr>
      </w:pPr>
    </w:p>
    <w:p>
      <w:pPr>
        <w:rPr>
          <w:rFonts w:ascii="Calibri" w:hAnsi="Calibri" w:eastAsia="黑体" w:cs="Times New Roman"/>
          <w:b/>
          <w:bCs/>
          <w:color w:val="000000"/>
          <w:sz w:val="28"/>
          <w:szCs w:val="20"/>
        </w:rPr>
      </w:pPr>
    </w:p>
    <w:p>
      <w:pPr>
        <w:pStyle w:val="15"/>
        <w:rPr>
          <w:rFonts w:ascii="Calibri" w:hAnsi="Calibri" w:eastAsia="黑体" w:cs="Times New Roman"/>
          <w:b/>
          <w:bCs/>
          <w:color w:val="000000"/>
          <w:sz w:val="28"/>
          <w:szCs w:val="20"/>
        </w:rPr>
        <w:sectPr>
          <w:footerReference r:id="rId14" w:type="first"/>
          <w:headerReference r:id="rId12" w:type="default"/>
          <w:footerReference r:id="rId13" w:type="default"/>
          <w:pgSz w:w="11906" w:h="16838"/>
          <w:pgMar w:top="1588" w:right="1418" w:bottom="1134" w:left="1418" w:header="851" w:footer="992" w:gutter="0"/>
          <w:cols w:space="720" w:num="1"/>
          <w:titlePg/>
          <w:docGrid w:type="lines" w:linePitch="312" w:charSpace="0"/>
        </w:sectPr>
      </w:pPr>
    </w:p>
    <w:p>
      <w:pPr>
        <w:pStyle w:val="73"/>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pPr>
        <w:spacing w:line="240" w:lineRule="exact"/>
        <w:jc w:val="center"/>
        <w:rPr>
          <w:rFonts w:ascii="宋体" w:hAnsi="Calibri" w:eastAsia="宋体" w:cs="Times New Roman"/>
          <w:b/>
          <w:bCs/>
          <w:sz w:val="36"/>
          <w:szCs w:val="20"/>
          <w:highlight w:val="none"/>
        </w:rPr>
      </w:pPr>
    </w:p>
    <w:p>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highlight w:val="none"/>
        </w:rPr>
        <w:t>项目名称：</w:t>
      </w:r>
      <w:r>
        <w:rPr>
          <w:rFonts w:hint="eastAsia" w:ascii="宋体" w:hAnsi="宋体" w:cs="宋体"/>
          <w:b/>
          <w:bCs/>
          <w:sz w:val="24"/>
          <w:szCs w:val="24"/>
          <w:highlight w:val="none"/>
          <w:u w:val="single"/>
          <w:lang w:val="en-US" w:eastAsia="zh-CN"/>
        </w:rPr>
        <w:t>济南车桥公司产能提升配套柔性吊项目</w:t>
      </w:r>
    </w:p>
    <w:p>
      <w:pPr>
        <w:spacing w:line="360" w:lineRule="auto"/>
        <w:rPr>
          <w:rFonts w:ascii="宋体" w:hAnsi="Calibri" w:eastAsia="宋体" w:cs="Times New Roman"/>
          <w:b/>
          <w:bCs/>
          <w:sz w:val="24"/>
          <w:szCs w:val="20"/>
        </w:rPr>
      </w:pPr>
      <w:r>
        <w:rPr>
          <w:rFonts w:hint="eastAsia" w:ascii="宋体" w:hAnsi="宋体" w:cs="Times New Roman"/>
          <w:b/>
          <w:bCs/>
          <w:sz w:val="24"/>
          <w:szCs w:val="20"/>
          <w:highlight w:val="none"/>
          <w:lang w:eastAsia="zh-CN"/>
        </w:rPr>
        <w:t>重汽（济南）车桥有限公司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bookmarkEnd w:id="1431"/>
    <w:bookmarkEnd w:id="1432"/>
    <w:p>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t>附件</w:t>
      </w:r>
      <w:r>
        <w:rPr>
          <w:rFonts w:hint="eastAsia" w:ascii="宋体" w:hAnsi="宋体" w:eastAsia="宋体" w:cs="宋体"/>
          <w:sz w:val="32"/>
          <w:szCs w:val="32"/>
          <w:highlight w:val="none"/>
          <w:lang w:val="en-US" w:eastAsia="zh-CN"/>
        </w:rPr>
        <w:t>3</w:t>
      </w:r>
      <w:r>
        <w:rPr>
          <w:rFonts w:hint="default" w:ascii="宋体" w:hAnsi="宋体" w:eastAsia="宋体" w:cs="宋体"/>
          <w:sz w:val="32"/>
          <w:szCs w:val="32"/>
          <w:highlight w:val="none"/>
          <w:lang w:val="en-US" w:eastAsia="zh-CN"/>
        </w:rPr>
        <w:t xml:space="preserve"> 技术规格偏离表</w:t>
      </w:r>
    </w:p>
    <w:p>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default" w:ascii="Times New Roman" w:hAnsi="Times New Roman" w:eastAsia="宋体" w:cs="Times New Roman"/>
          <w:color w:val="000000"/>
          <w:sz w:val="24"/>
          <w:szCs w:val="24"/>
          <w:highlight w:val="none"/>
        </w:rPr>
        <w:t>：</w:t>
      </w:r>
      <w:r>
        <w:rPr>
          <w:rFonts w:hint="eastAsia" w:cs="Times New Roman"/>
          <w:sz w:val="24"/>
          <w:szCs w:val="24"/>
          <w:highlight w:val="none"/>
          <w:u w:val="single"/>
          <w:lang w:val="en-US" w:eastAsia="zh-CN"/>
        </w:rPr>
        <w:t>济南车桥公司产能提升配套柔性吊项目</w:t>
      </w:r>
      <w:r>
        <w:rPr>
          <w:rFonts w:hint="default" w:ascii="Times New Roman" w:hAnsi="Times New Roman" w:eastAsia="宋体" w:cs="Times New Roman"/>
          <w:color w:val="000000"/>
          <w:sz w:val="24"/>
          <w:szCs w:val="24"/>
          <w:highlight w:val="none"/>
        </w:rPr>
        <w:t xml:space="preserve">  </w:t>
      </w:r>
      <w:r>
        <w:rPr>
          <w:rFonts w:hint="default" w:ascii="Times New Roman" w:hAnsi="Times New Roman" w:eastAsia="宋体" w:cs="Times New Roman"/>
          <w:color w:val="000000"/>
          <w:sz w:val="24"/>
          <w:szCs w:val="24"/>
        </w:rPr>
        <w:t xml:space="preserve">                                                         </w:t>
      </w:r>
    </w:p>
    <w:tbl>
      <w:tblPr>
        <w:tblStyle w:val="3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序号</w:t>
            </w:r>
          </w:p>
        </w:tc>
        <w:tc>
          <w:tcPr>
            <w:tcW w:w="3449" w:type="dxa"/>
            <w:vAlign w:val="center"/>
          </w:tcPr>
          <w:p>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招标要求</w:t>
            </w:r>
          </w:p>
        </w:tc>
        <w:tc>
          <w:tcPr>
            <w:tcW w:w="2414" w:type="dxa"/>
            <w:vAlign w:val="center"/>
          </w:tcPr>
          <w:p>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08" w:type="dxa"/>
            <w:vAlign w:val="center"/>
          </w:tcPr>
          <w:p>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bl>
    <w:p>
      <w:pPr>
        <w:spacing w:line="660" w:lineRule="exact"/>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pPr>
        <w:rPr>
          <w:rFonts w:hint="eastAsia" w:ascii="宋体" w:hAnsi="宋体" w:eastAsia="宋体" w:cs="宋体"/>
          <w:sz w:val="32"/>
          <w:szCs w:val="32"/>
          <w:highlight w:val="none"/>
          <w:lang w:val="en-US" w:eastAsia="zh-CN"/>
        </w:rPr>
      </w:pPr>
      <w:r>
        <w:rPr>
          <w:rFonts w:hint="default" w:ascii="Times New Roman" w:hAnsi="Times New Roman" w:eastAsia="宋体" w:cs="Times New Roman"/>
          <w:sz w:val="24"/>
          <w:szCs w:val="20"/>
        </w:rPr>
        <w:t>法定代表人（委托代理人）：（签字）</w:t>
      </w:r>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开标一览表</w:t>
      </w:r>
    </w:p>
    <w:p>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开标一览表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6"/>
        <w:gridCol w:w="2326"/>
        <w:gridCol w:w="546"/>
        <w:gridCol w:w="2330"/>
        <w:gridCol w:w="665"/>
        <w:gridCol w:w="1615"/>
        <w:gridCol w:w="1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0" w:type="auto"/>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0" w:type="auto"/>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0" w:type="auto"/>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0" w:type="auto"/>
            <w:vAlign w:val="center"/>
          </w:tcPr>
          <w:p>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质保期</w:t>
            </w:r>
          </w:p>
        </w:tc>
        <w:tc>
          <w:tcPr>
            <w:tcW w:w="0" w:type="auto"/>
            <w:vAlign w:val="center"/>
          </w:tcPr>
          <w:p>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0" w:type="auto"/>
            <w:vAlign w:val="center"/>
          </w:tcPr>
          <w:p>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0" w:type="auto"/>
            <w:vAlign w:val="center"/>
          </w:tcPr>
          <w:p>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0" w:type="auto"/>
            <w:vAlign w:val="center"/>
          </w:tcPr>
          <w:p>
            <w:pPr>
              <w:jc w:val="center"/>
              <w:rPr>
                <w:rFonts w:hint="eastAsia" w:ascii="Times New Roman" w:hAnsi="Times New Roman" w:eastAsia="宋体" w:cs="Times New Roman"/>
                <w:b/>
                <w:szCs w:val="20"/>
                <w:lang w:eastAsia="zh-CN"/>
              </w:rPr>
            </w:pPr>
            <w:r>
              <w:rPr>
                <w:rFonts w:hint="eastAsia" w:cs="Times New Roman"/>
                <w:b/>
                <w:szCs w:val="20"/>
                <w:lang w:eastAsia="zh-CN"/>
              </w:rPr>
              <w:t>济南车桥公司产能提升配套柔性吊项目</w:t>
            </w:r>
          </w:p>
        </w:tc>
        <w:tc>
          <w:tcPr>
            <w:tcW w:w="0" w:type="auto"/>
            <w:vAlign w:val="center"/>
          </w:tcPr>
          <w:p>
            <w:pPr>
              <w:jc w:val="center"/>
              <w:rPr>
                <w:rFonts w:hint="default" w:ascii="Times New Roman" w:hAnsi="Times New Roman" w:eastAsia="宋体" w:cs="Times New Roman"/>
                <w:b/>
                <w:szCs w:val="20"/>
                <w:lang w:val="en-US" w:eastAsia="zh-CN"/>
              </w:rPr>
            </w:pPr>
          </w:p>
        </w:tc>
        <w:tc>
          <w:tcPr>
            <w:tcW w:w="0" w:type="auto"/>
            <w:vAlign w:val="center"/>
          </w:tcPr>
          <w:p>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0" w:type="auto"/>
            <w:vAlign w:val="center"/>
          </w:tcPr>
          <w:p>
            <w:pPr>
              <w:jc w:val="center"/>
              <w:rPr>
                <w:rFonts w:ascii="Times New Roman" w:hAnsi="Times New Roman" w:eastAsia="宋体" w:cs="Times New Roman"/>
                <w:b/>
                <w:szCs w:val="20"/>
              </w:rPr>
            </w:pPr>
          </w:p>
        </w:tc>
        <w:tc>
          <w:tcPr>
            <w:tcW w:w="0" w:type="auto"/>
            <w:vAlign w:val="center"/>
          </w:tcPr>
          <w:p>
            <w:pPr>
              <w:jc w:val="center"/>
              <w:rPr>
                <w:rFonts w:ascii="Times New Roman" w:hAnsi="Times New Roman" w:eastAsia="宋体" w:cs="Times New Roman"/>
                <w:b/>
                <w:szCs w:val="20"/>
              </w:rPr>
            </w:pPr>
          </w:p>
        </w:tc>
        <w:tc>
          <w:tcPr>
            <w:tcW w:w="0" w:type="auto"/>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.投标总价包括设备费、调试费、备品备件、特殊工具、运杂费、装卸费、技术服务费、保险费及增值税和其它税费。</w:t>
      </w:r>
    </w:p>
    <w:p>
      <w:pPr>
        <w:pStyle w:val="15"/>
        <w:rPr>
          <w:rFonts w:hint="eastAsia" w:hAnsi="宋体" w:eastAsia="宋体" w:cs="Times New Roman"/>
          <w:b/>
          <w:bCs/>
          <w:szCs w:val="21"/>
          <w:highlight w:val="yellow"/>
        </w:rPr>
      </w:pPr>
    </w:p>
    <w:p>
      <w:pPr>
        <w:pStyle w:val="15"/>
        <w:rPr>
          <w:rFonts w:hint="eastAsia" w:hAnsi="宋体" w:eastAsia="宋体" w:cs="Times New Roman"/>
          <w:b/>
          <w:bCs/>
          <w:szCs w:val="21"/>
          <w:highlight w:val="yellow"/>
        </w:rPr>
      </w:pPr>
    </w:p>
    <w:p>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pStyle w:val="77"/>
        <w:bidi w:val="0"/>
      </w:pPr>
      <w:r>
        <w:t xml:space="preserve"> </w:t>
      </w:r>
    </w:p>
    <w:p>
      <w:pPr>
        <w:pStyle w:val="77"/>
        <w:bidi w:val="0"/>
      </w:pPr>
    </w:p>
    <w:p>
      <w:pPr>
        <w:pStyle w:val="77"/>
        <w:bidi w:val="0"/>
      </w:pPr>
    </w:p>
    <w:p>
      <w:pPr>
        <w:rPr>
          <w:rFonts w:hint="eastAsia" w:ascii="宋体" w:hAnsi="宋体" w:eastAsia="宋体" w:cs="宋体"/>
          <w:sz w:val="32"/>
          <w:szCs w:val="32"/>
          <w:highlight w:val="none"/>
          <w:lang w:val="en-US" w:eastAsia="zh-CN"/>
        </w:rPr>
      </w:pPr>
      <w:bookmarkStart w:id="1433" w:name="_Toc47976616"/>
      <w:bookmarkStart w:id="1434" w:name="_Toc4225"/>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1433"/>
      <w:bookmarkEnd w:id="1434"/>
      <w:r>
        <w:rPr>
          <w:rFonts w:hint="eastAsia" w:ascii="宋体" w:hAnsi="宋体" w:eastAsia="宋体" w:cs="宋体"/>
          <w:sz w:val="32"/>
          <w:szCs w:val="32"/>
          <w:highlight w:val="none"/>
          <w:lang w:val="en-US" w:eastAsia="zh-CN"/>
        </w:rPr>
        <w:t>5 投标函</w:t>
      </w:r>
    </w:p>
    <w:p>
      <w:pPr>
        <w:spacing w:line="360" w:lineRule="auto"/>
        <w:jc w:val="center"/>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w:t>
      </w:r>
      <w:r>
        <w:rPr>
          <w:rFonts w:hint="eastAsia" w:ascii="宋体" w:hAnsi="宋体" w:cs="Times New Roman"/>
          <w:color w:val="000000"/>
          <w:sz w:val="24"/>
          <w:szCs w:val="24"/>
          <w:highlight w:val="none"/>
          <w:lang w:eastAsia="zh-CN"/>
        </w:rPr>
        <w:t>重汽（济南）车桥有限公司</w:t>
      </w:r>
      <w:r>
        <w:rPr>
          <w:rFonts w:hint="eastAsia" w:ascii="宋体" w:hAnsi="宋体" w:eastAsia="宋体" w:cs="Times New Roman"/>
          <w:color w:val="000000"/>
          <w:sz w:val="24"/>
          <w:szCs w:val="24"/>
          <w:highlight w:val="none"/>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济南车桥公司产能提升配套柔性吊项目</w:t>
      </w:r>
      <w:r>
        <w:rPr>
          <w:rFonts w:hint="eastAsia" w:ascii="宋体" w:hAnsi="宋体" w:eastAsia="宋体" w:cs="Times New Roman"/>
          <w:bCs/>
          <w:snapToGrid w:val="0"/>
          <w:color w:val="000000"/>
          <w:kern w:val="0"/>
          <w:sz w:val="24"/>
          <w:szCs w:val="24"/>
          <w:highlight w:val="none"/>
        </w:rPr>
        <w:t>招标</w:t>
      </w:r>
      <w:r>
        <w:rPr>
          <w:rFonts w:hint="eastAsia" w:ascii="宋体" w:hAnsi="宋体" w:eastAsia="宋体" w:cs="Times New Roman"/>
          <w:bCs/>
          <w:snapToGrid w:val="0"/>
          <w:color w:val="000000"/>
          <w:kern w:val="0"/>
          <w:sz w:val="24"/>
          <w:szCs w:val="24"/>
        </w:rPr>
        <w:t>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w:t>
      </w:r>
      <w:r>
        <w:rPr>
          <w:rFonts w:hint="default" w:ascii="Times New Roman" w:hAnsi="Times New Roman" w:eastAsia="宋体" w:cs="Times New Roman"/>
          <w:color w:val="000000"/>
          <w:sz w:val="24"/>
          <w:szCs w:val="24"/>
        </w:rPr>
        <w:t>一份</w:t>
      </w:r>
      <w:r>
        <w:rPr>
          <w:rFonts w:hint="eastAsia" w:ascii="宋体" w:hAnsi="宋体" w:eastAsia="宋体" w:cs="Times New Roman"/>
          <w:color w:val="000000"/>
          <w:sz w:val="24"/>
          <w:szCs w:val="24"/>
        </w:rPr>
        <w:t>：资质证明文件、商务文件和技术文件。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color w:val="000000"/>
          <w:sz w:val="24"/>
          <w:szCs w:val="24"/>
          <w:lang w:val="en-US" w:eastAsia="zh-CN"/>
        </w:rPr>
        <w:t>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77"/>
        <w:bidi w:val="0"/>
      </w:pPr>
    </w:p>
    <w:p>
      <w:pPr>
        <w:pStyle w:val="77"/>
        <w:bidi w:val="0"/>
      </w:pPr>
    </w:p>
    <w:p>
      <w:pPr>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t>附件</w:t>
      </w:r>
      <w:r>
        <w:rPr>
          <w:rFonts w:hint="eastAsia" w:ascii="宋体" w:hAnsi="宋体" w:eastAsia="宋体" w:cs="宋体"/>
          <w:sz w:val="32"/>
          <w:szCs w:val="32"/>
          <w:highlight w:val="none"/>
          <w:lang w:val="en-US" w:eastAsia="zh-CN"/>
        </w:rPr>
        <w:t>6</w:t>
      </w:r>
      <w:r>
        <w:rPr>
          <w:rFonts w:hint="default" w:ascii="宋体" w:hAnsi="宋体" w:eastAsia="宋体" w:cs="宋体"/>
          <w:sz w:val="32"/>
          <w:szCs w:val="32"/>
          <w:highlight w:val="none"/>
          <w:lang w:val="en-US" w:eastAsia="zh-CN"/>
        </w:rPr>
        <w:t xml:space="preserve"> 服务承诺函</w:t>
      </w:r>
    </w:p>
    <w:p>
      <w:pPr>
        <w:spacing w:line="240" w:lineRule="exact"/>
        <w:jc w:val="both"/>
        <w:rPr>
          <w:rFonts w:hint="default" w:ascii="Times New Roman" w:hAnsi="Times New Roman" w:eastAsia="宋体" w:cs="Times New Roman"/>
          <w:b/>
          <w:bCs/>
          <w:sz w:val="36"/>
          <w:szCs w:val="20"/>
        </w:rPr>
      </w:pPr>
    </w:p>
    <w:p>
      <w:pPr>
        <w:spacing w:line="360" w:lineRule="auto"/>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项目名称：</w:t>
      </w:r>
      <w:r>
        <w:rPr>
          <w:rFonts w:hint="eastAsia" w:ascii="宋体" w:hAnsi="宋体" w:cs="宋体"/>
          <w:b/>
          <w:bCs/>
          <w:i w:val="0"/>
          <w:iCs w:val="0"/>
          <w:sz w:val="24"/>
          <w:szCs w:val="24"/>
          <w:highlight w:val="none"/>
          <w:u w:val="none"/>
          <w:lang w:val="en-US" w:eastAsia="zh-CN"/>
        </w:rPr>
        <w:t>济南车桥公司产能提升配套柔性吊项目</w:t>
      </w:r>
    </w:p>
    <w:p>
      <w:pPr>
        <w:spacing w:line="360" w:lineRule="auto"/>
        <w:jc w:val="both"/>
        <w:rPr>
          <w:rFonts w:hint="default" w:ascii="Times New Roman" w:hAnsi="Times New Roman" w:eastAsia="宋体" w:cs="Times New Roman"/>
          <w:b/>
          <w:bCs/>
          <w:sz w:val="24"/>
          <w:szCs w:val="20"/>
        </w:rPr>
      </w:pPr>
      <w:r>
        <w:rPr>
          <w:rFonts w:hint="eastAsia" w:cs="Times New Roman"/>
          <w:b/>
          <w:bCs/>
          <w:sz w:val="24"/>
          <w:szCs w:val="20"/>
          <w:lang w:eastAsia="zh-CN"/>
        </w:rPr>
        <w:t>重汽（济南）车桥有限公司</w:t>
      </w:r>
      <w:r>
        <w:rPr>
          <w:rFonts w:hint="default" w:ascii="Times New Roman" w:hAnsi="Times New Roman" w:eastAsia="宋体" w:cs="Times New Roman"/>
          <w:b/>
          <w:bCs/>
          <w:sz w:val="24"/>
          <w:szCs w:val="20"/>
        </w:rPr>
        <w:t>：</w:t>
      </w:r>
    </w:p>
    <w:p>
      <w:pPr>
        <w:spacing w:line="360" w:lineRule="auto"/>
        <w:ind w:firstLine="480"/>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lang w:eastAsia="zh-CN"/>
        </w:rPr>
        <w:t>投标人</w:t>
      </w:r>
      <w:r>
        <w:rPr>
          <w:rFonts w:hint="default" w:ascii="Times New Roman" w:hAnsi="Times New Roman" w:eastAsia="宋体" w:cs="Times New Roman"/>
          <w:sz w:val="24"/>
          <w:szCs w:val="20"/>
        </w:rPr>
        <w:t>名称）对中标合同产品的服务作如下承诺：</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p>
    <w:p>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pPr>
        <w:rPr>
          <w:rFonts w:hint="eastAsia" w:ascii="宋体" w:hAnsi="宋体" w:eastAsia="宋体" w:cs="宋体"/>
          <w:sz w:val="32"/>
          <w:szCs w:val="32"/>
          <w:highlight w:val="none"/>
          <w:lang w:val="en-US" w:eastAsia="zh-CN"/>
        </w:rPr>
      </w:pPr>
      <w:r>
        <w:rPr>
          <w:rFonts w:hint="default" w:ascii="Times New Roman" w:hAnsi="Times New Roman" w:eastAsia="宋体" w:cs="Times New Roman"/>
          <w:color w:val="000000"/>
          <w:sz w:val="24"/>
          <w:szCs w:val="24"/>
        </w:rPr>
        <w:t>日  期：       年    月    日</w:t>
      </w:r>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商务条款偏离表</w:t>
      </w:r>
    </w:p>
    <w:p>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hint="default" w:ascii="Times New Roman" w:hAnsi="Times New Roman" w:eastAsia="宋体" w:cs="Times New Roman"/>
                <w:b/>
                <w:szCs w:val="20"/>
                <w:highlight w:val="none"/>
                <w:lang w:val="en-US"/>
              </w:rPr>
            </w:pPr>
            <w:r>
              <w:rPr>
                <w:rFonts w:hint="eastAsia" w:ascii="宋体" w:hAnsi="宋体" w:cs="宋体"/>
                <w:b/>
                <w:bCs/>
                <w:i w:val="0"/>
                <w:iCs w:val="0"/>
                <w:sz w:val="24"/>
                <w:szCs w:val="24"/>
                <w:highlight w:val="none"/>
                <w:u w:val="none"/>
                <w:lang w:val="en-US" w:eastAsia="zh-CN"/>
              </w:rPr>
              <w:t>济南车桥公司产能提升配套柔性吊项目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pStyle w:val="2"/>
        <w:rPr>
          <w:rFonts w:hint="default"/>
          <w:lang w:val="en-US" w:eastAsia="zh-CN"/>
        </w:rPr>
      </w:pPr>
    </w:p>
    <w:p>
      <w:pPr>
        <w:pStyle w:val="77"/>
        <w:rPr>
          <w:rFonts w:hint="default" w:hAnsi="宋体"/>
          <w:sz w:val="24"/>
          <w:lang w:val="en-US"/>
        </w:rPr>
      </w:pPr>
    </w:p>
    <w:p>
      <w:pPr>
        <w:pStyle w:val="77"/>
        <w:rPr>
          <w:rFonts w:hint="default" w:hAnsi="宋体"/>
          <w:sz w:val="24"/>
          <w:lang w:val="en-US"/>
        </w:rPr>
      </w:pPr>
    </w:p>
    <w:p>
      <w:pPr>
        <w:pStyle w:val="77"/>
        <w:rPr>
          <w:rFonts w:hint="default" w:hAnsi="宋体"/>
          <w:sz w:val="24"/>
          <w:lang w:val="en-US"/>
        </w:rPr>
      </w:pPr>
    </w:p>
    <w:p>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分项报价表</w:t>
      </w:r>
    </w:p>
    <w:tbl>
      <w:tblPr>
        <w:tblStyle w:val="3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27"/>
        <w:gridCol w:w="1441"/>
        <w:gridCol w:w="1441"/>
        <w:gridCol w:w="1441"/>
        <w:gridCol w:w="10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938" w:hRule="atLeast"/>
        </w:trPr>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cs="宋体"/>
                <w:i w:val="0"/>
                <w:iCs w:val="0"/>
                <w:color w:val="000000"/>
                <w:kern w:val="0"/>
                <w:sz w:val="28"/>
                <w:szCs w:val="28"/>
                <w:u w:val="none"/>
                <w:lang w:val="en-US" w:eastAsia="zh-CN" w:bidi="ar"/>
              </w:rPr>
              <w:t>济南车桥公司产能提升配套柔性吊项目</w:t>
            </w:r>
            <w:r>
              <w:rPr>
                <w:rFonts w:hint="eastAsia" w:ascii="宋体" w:hAnsi="宋体" w:eastAsia="宋体" w:cs="宋体"/>
                <w:i w:val="0"/>
                <w:iCs w:val="0"/>
                <w:color w:val="000000"/>
                <w:kern w:val="0"/>
                <w:sz w:val="28"/>
                <w:szCs w:val="28"/>
                <w:u w:val="none"/>
                <w:lang w:val="en-US" w:eastAsia="zh-CN" w:bidi="ar"/>
              </w:rPr>
              <w:t>分项报价表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金额(元)</w:t>
            </w:r>
          </w:p>
        </w:tc>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FFFFF" w:fill="FFFFFF"/>
            <w:vAlign w:val="center"/>
          </w:tcPr>
          <w:p>
            <w:pPr>
              <w:jc w:val="left"/>
              <w:rPr>
                <w:rFonts w:hint="eastAsia" w:ascii="黑体" w:hAnsi="宋体" w:eastAsia="黑体" w:cs="黑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未税金额</w:t>
            </w:r>
          </w:p>
        </w:tc>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含税金额</w:t>
            </w:r>
          </w:p>
        </w:tc>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黑体" w:hAnsi="宋体" w:eastAsia="黑体" w:cs="黑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Fonts w:hint="eastAsia" w:ascii="宋体" w:hAnsi="宋体" w:eastAsia="宋体" w:cs="宋体"/>
                <w:i w:val="0"/>
                <w:iCs w:val="0"/>
                <w:color w:val="000000"/>
                <w:kern w:val="0"/>
                <w:sz w:val="32"/>
                <w:szCs w:val="3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FFFFFF" w:fill="FFFFFF"/>
            <w:vAlign w:val="center"/>
          </w:tcPr>
          <w:p>
            <w:pPr>
              <w:jc w:val="center"/>
              <w:rPr>
                <w:rFonts w:hint="eastAsia" w:ascii="宋体" w:hAnsi="宋体" w:eastAsia="宋体" w:cs="宋体"/>
                <w:i w:val="0"/>
                <w:iCs w:val="0"/>
                <w:color w:val="000000"/>
                <w:sz w:val="32"/>
                <w:szCs w:val="3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32"/>
                <w:szCs w:val="32"/>
                <w:u w:val="none"/>
              </w:rPr>
            </w:pPr>
          </w:p>
        </w:tc>
      </w:tr>
    </w:tbl>
    <w:p>
      <w:pPr>
        <w:rPr>
          <w:rFonts w:hint="default" w:hAnsi="宋体"/>
          <w:sz w:val="24"/>
          <w:lang w:val="en-US"/>
        </w:rPr>
      </w:pPr>
      <w:r>
        <w:rPr>
          <w:rFonts w:hint="default" w:hAnsi="宋体"/>
          <w:sz w:val="24"/>
          <w:lang w:val="en-US"/>
        </w:rPr>
        <w:br w:type="page"/>
      </w:r>
    </w:p>
    <w:p>
      <w:pPr>
        <w:outlineLvl w:val="2"/>
        <w:rPr>
          <w:rFonts w:ascii="Calibri" w:hAnsi="Calibri" w:eastAsia="宋体" w:cs="Times New Roman"/>
          <w:szCs w:val="20"/>
        </w:rPr>
      </w:pPr>
      <w:r>
        <w:rPr>
          <w:rFonts w:hint="eastAsia" w:ascii="Times New Roman" w:hAnsi="Times New Roman" w:eastAsia="宋体" w:cs="Times New Roman"/>
          <w:b/>
          <w:bCs/>
          <w:color w:val="000000"/>
          <w:sz w:val="24"/>
          <w:szCs w:val="24"/>
        </w:rPr>
        <w:t>附件</w:t>
      </w:r>
      <w:r>
        <w:rPr>
          <w:rFonts w:hint="eastAsia" w:ascii="Times New Roman" w:hAnsi="Times New Roman" w:cs="Times New Roman"/>
          <w:b/>
          <w:bCs/>
          <w:color w:val="000000"/>
          <w:sz w:val="24"/>
          <w:szCs w:val="24"/>
          <w:lang w:val="en-US" w:eastAsia="zh-CN"/>
        </w:rPr>
        <w:t>9</w:t>
      </w:r>
      <w:r>
        <w:rPr>
          <w:rFonts w:hint="eastAsia" w:ascii="Times New Roman" w:hAnsi="Times New Roman" w:eastAsia="宋体" w:cs="Times New Roman"/>
          <w:b/>
          <w:bCs/>
          <w:color w:val="000000"/>
          <w:sz w:val="24"/>
          <w:szCs w:val="24"/>
        </w:rPr>
        <w:t xml:space="preserve">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4</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5"/>
      </w:pPr>
    </w:p>
    <w:p>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pPr>
        <w:pStyle w:val="73"/>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附件10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pPr>
        <w:outlineLvl w:val="9"/>
        <w:rPr>
          <w:rFonts w:hint="default"/>
          <w:lang w:val="en-US" w:eastAsia="zh-CN"/>
        </w:rPr>
      </w:pPr>
      <w:r>
        <w:drawing>
          <wp:inline distT="0" distB="0" distL="114300" distR="114300">
            <wp:extent cx="5758815" cy="2764790"/>
            <wp:effectExtent l="0" t="0" r="13335" b="16510"/>
            <wp:docPr id="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
                    <pic:cNvPicPr>
                      <a:picLocks noChangeAspect="1"/>
                    </pic:cNvPicPr>
                  </pic:nvPicPr>
                  <pic:blipFill>
                    <a:blip r:embed="rId27"/>
                    <a:stretch>
                      <a:fillRect/>
                    </a:stretch>
                  </pic:blipFill>
                  <pic:spPr>
                    <a:xfrm>
                      <a:off x="0" y="0"/>
                      <a:ext cx="5758815" cy="276479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1206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8" cstate="print"/>
                    <a:srcRect/>
                    <a:stretch>
                      <a:fillRect/>
                    </a:stretch>
                  </pic:blipFill>
                  <pic:spPr>
                    <a:xfrm>
                      <a:off x="0" y="0"/>
                      <a:ext cx="5760085" cy="2933065"/>
                    </a:xfrm>
                    <a:prstGeom prst="rect">
                      <a:avLst/>
                    </a:prstGeom>
                  </pic:spPr>
                </pic:pic>
              </a:graphicData>
            </a:graphic>
          </wp:inline>
        </w:drawing>
      </w:r>
    </w:p>
    <w:p>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pPr>
        <w:spacing w:line="360" w:lineRule="auto"/>
        <w:rPr>
          <w:rFonts w:ascii="宋体" w:hAnsi="宋体" w:eastAsia="宋体" w:cs="宋体"/>
          <w:sz w:val="24"/>
          <w:szCs w:val="28"/>
        </w:rPr>
      </w:pPr>
    </w:p>
    <w:p>
      <w:pPr>
        <w:snapToGrid w:val="0"/>
        <w:spacing w:line="312" w:lineRule="auto"/>
      </w:pPr>
      <w:r>
        <w:drawing>
          <wp:inline distT="0" distB="0" distL="0" distR="0">
            <wp:extent cx="5760085" cy="2766695"/>
            <wp:effectExtent l="0" t="0" r="12065" b="146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9"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30"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1206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31" cstate="print"/>
                    <a:srcRect/>
                    <a:stretch>
                      <a:fillRect/>
                    </a:stretch>
                  </pic:blipFill>
                  <pic:spPr>
                    <a:xfrm>
                      <a:off x="0" y="0"/>
                      <a:ext cx="5760085" cy="2853055"/>
                    </a:xfrm>
                    <a:prstGeom prst="rect">
                      <a:avLst/>
                    </a:prstGeom>
                  </pic:spPr>
                </pic:pic>
              </a:graphicData>
            </a:graphic>
          </wp:inline>
        </w:drawing>
      </w:r>
    </w:p>
    <w:p>
      <w:pPr>
        <w:numPr>
          <w:ilvl w:val="0"/>
          <w:numId w:val="32"/>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13970" b="8255"/>
            <wp:docPr id="2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
                    <pic:cNvPicPr>
                      <a:picLocks noChangeAspect="1"/>
                    </pic:cNvPicPr>
                  </pic:nvPicPr>
                  <pic:blipFill>
                    <a:blip r:embed="rId32"/>
                    <a:stretch>
                      <a:fillRect/>
                    </a:stretch>
                  </pic:blipFill>
                  <pic:spPr>
                    <a:xfrm>
                      <a:off x="0" y="0"/>
                      <a:ext cx="5758180" cy="3058795"/>
                    </a:xfrm>
                    <a:prstGeom prst="rect">
                      <a:avLst/>
                    </a:prstGeom>
                    <a:noFill/>
                    <a:ln>
                      <a:noFill/>
                    </a:ln>
                  </pic:spPr>
                </pic:pic>
              </a:graphicData>
            </a:graphic>
          </wp:inline>
        </w:drawing>
      </w:r>
    </w:p>
    <w:p>
      <w:r>
        <w:drawing>
          <wp:inline distT="0" distB="0" distL="0" distR="0">
            <wp:extent cx="5760085" cy="2809875"/>
            <wp:effectExtent l="0" t="0" r="1206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33" cstate="print"/>
                    <a:srcRect/>
                    <a:stretch>
                      <a:fillRect/>
                    </a:stretch>
                  </pic:blipFill>
                  <pic:spPr>
                    <a:xfrm>
                      <a:off x="0" y="0"/>
                      <a:ext cx="5760085" cy="280987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keepNext w:val="0"/>
        <w:keepLines w:val="0"/>
        <w:pageBreakBefore w:val="0"/>
        <w:widowControl w:val="0"/>
        <w:numPr>
          <w:ilvl w:val="0"/>
          <w:numId w:val="3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pPr>
        <w:keepNext w:val="0"/>
        <w:keepLines w:val="0"/>
        <w:pageBreakBefore w:val="0"/>
        <w:widowControl w:val="0"/>
        <w:numPr>
          <w:ilvl w:val="0"/>
          <w:numId w:val="3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pPr>
        <w:keepNext w:val="0"/>
        <w:keepLines w:val="0"/>
        <w:pageBreakBefore w:val="0"/>
        <w:widowControl w:val="0"/>
        <w:numPr>
          <w:ilvl w:val="0"/>
          <w:numId w:val="33"/>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w:t>
      </w:r>
      <w:r>
        <w:rPr>
          <w:rFonts w:hint="eastAsia" w:ascii="宋体" w:hAnsi="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 工艺设备 / 工艺设备”，业务主管部门</w:t>
      </w:r>
      <w:r>
        <w:rPr>
          <w:rFonts w:hint="eastAsia" w:ascii="宋体" w:hAnsi="宋体" w:cs="宋体"/>
          <w:b/>
          <w:bCs/>
          <w:color w:val="000000"/>
          <w:sz w:val="24"/>
          <w:szCs w:val="28"/>
          <w:highlight w:val="none"/>
          <w:lang w:val="en-US" w:eastAsia="zh-CN"/>
        </w:rPr>
        <w:t>为</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工艺研究院</w:t>
      </w:r>
      <w:r>
        <w:rPr>
          <w:rFonts w:hint="eastAsia" w:ascii="宋体" w:hAnsi="宋体" w:eastAsia="宋体" w:cs="宋体"/>
          <w:b/>
          <w:bCs/>
          <w:color w:val="000000"/>
          <w:sz w:val="24"/>
          <w:szCs w:val="28"/>
          <w:highlight w:val="none"/>
        </w:rPr>
        <w:t>”。</w:t>
      </w:r>
    </w:p>
    <w:p>
      <w:pPr>
        <w:numPr>
          <w:ilvl w:val="0"/>
          <w:numId w:val="32"/>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pPr>
        <w:keepNext w:val="0"/>
        <w:keepLines w:val="0"/>
        <w:pageBreakBefore w:val="0"/>
        <w:widowControl w:val="0"/>
        <w:numPr>
          <w:ilvl w:val="0"/>
          <w:numId w:val="34"/>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pPr>
        <w:outlineLvl w:val="9"/>
        <w:rPr>
          <w:rFonts w:hint="default"/>
          <w:lang w:val="en-US" w:eastAsia="zh-CN"/>
        </w:rPr>
        <w:sectPr>
          <w:headerReference r:id="rId16" w:type="first"/>
          <w:footerReference r:id="rId18" w:type="first"/>
          <w:headerReference r:id="rId15" w:type="default"/>
          <w:footerReference r:id="rId17"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2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
                    <pic:cNvPicPr>
                      <a:picLocks noChangeAspect="1"/>
                    </pic:cNvPicPr>
                  </pic:nvPicPr>
                  <pic:blipFill>
                    <a:blip r:embed="rId34"/>
                    <a:stretch>
                      <a:fillRect/>
                    </a:stretch>
                  </pic:blipFill>
                  <pic:spPr>
                    <a:xfrm>
                      <a:off x="0" y="0"/>
                      <a:ext cx="5486400" cy="2661285"/>
                    </a:xfrm>
                    <a:prstGeom prst="rect">
                      <a:avLst/>
                    </a:prstGeom>
                    <a:noFill/>
                    <a:ln>
                      <a:noFill/>
                    </a:ln>
                  </pic:spPr>
                </pic:pic>
              </a:graphicData>
            </a:graphic>
          </wp:inline>
        </w:drawing>
      </w:r>
    </w:p>
    <w:p>
      <w:pPr>
        <w:pStyle w:val="73"/>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附件11 SRM系统供应商用户手册</w:t>
      </w:r>
    </w:p>
    <w:p>
      <w:pPr>
        <w:snapToGrid/>
        <w:spacing w:before="0" w:after="0" w:line="360" w:lineRule="auto"/>
        <w:ind w:left="0" w:right="0" w:firstLine="0"/>
        <w:jc w:val="both"/>
        <w:rPr>
          <w:rStyle w:val="38"/>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8"/>
          <w:rFonts w:hint="eastAsia" w:ascii="宋体" w:hAnsi="宋体" w:eastAsia="宋体" w:cs="宋体"/>
          <w:sz w:val="24"/>
          <w:szCs w:val="24"/>
        </w:rPr>
        <w:fldChar w:fldCharType="begin"/>
      </w:r>
      <w:r>
        <w:rPr>
          <w:rStyle w:val="38"/>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8"/>
          <w:rFonts w:hint="eastAsia" w:ascii="宋体" w:hAnsi="宋体" w:eastAsia="宋体" w:cs="宋体"/>
          <w:sz w:val="24"/>
          <w:szCs w:val="24"/>
        </w:rP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pPr>
        <w:pStyle w:val="2"/>
        <w:rPr>
          <w:rFonts w:hint="eastAsia"/>
        </w:rPr>
      </w:pPr>
      <w:r>
        <w:rPr>
          <w:rFonts w:hint="eastAsia"/>
          <w:sz w:val="24"/>
          <w:highlight w:val="none"/>
        </w:rPr>
        <w:t>初始密码为scm@2022或@2023</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35"/>
                    <a:stretch>
                      <a:fillRect/>
                    </a:stretch>
                  </pic:blipFill>
                  <pic:spPr>
                    <a:xfrm>
                      <a:off x="0" y="0"/>
                      <a:ext cx="5760085" cy="2269864"/>
                    </a:xfrm>
                    <a:prstGeom prst="rect">
                      <a:avLst/>
                    </a:prstGeom>
                  </pic:spPr>
                </pic:pic>
              </a:graphicData>
            </a:graphic>
          </wp:inline>
        </w:drawing>
      </w:r>
    </w:p>
    <w:p>
      <w:pPr>
        <w:snapToGrid/>
        <w:spacing w:before="0" w:after="0" w:line="240" w:lineRule="auto"/>
        <w:ind w:left="0" w:right="0"/>
        <w:jc w:val="both"/>
      </w:pP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6"/>
                    <a:stretch>
                      <a:fillRect/>
                    </a:stretch>
                  </pic:blipFill>
                  <pic:spPr>
                    <a:xfrm>
                      <a:off x="0" y="0"/>
                      <a:ext cx="5760085" cy="2125673"/>
                    </a:xfrm>
                    <a:prstGeom prst="rect">
                      <a:avLst/>
                    </a:prstGeom>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pPr>
        <w:pStyle w:val="15"/>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7"/>
                    <a:stretch>
                      <a:fillRect/>
                    </a:stretch>
                  </pic:blipFill>
                  <pic:spPr>
                    <a:xfrm>
                      <a:off x="0" y="0"/>
                      <a:ext cx="5490210" cy="2669498"/>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8"/>
                    <a:stretch>
                      <a:fillRect/>
                    </a:stretch>
                  </pic:blipFill>
                  <pic:spPr>
                    <a:xfrm>
                      <a:off x="0" y="0"/>
                      <a:ext cx="5490210" cy="1992743"/>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9"/>
                    <a:stretch>
                      <a:fillRect/>
                    </a:stretch>
                  </pic:blipFill>
                  <pic:spPr>
                    <a:xfrm>
                      <a:off x="0" y="0"/>
                      <a:ext cx="5490210" cy="2544669"/>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pPr>
        <w:rPr>
          <w:rFonts w:hint="default" w:hAnsi="宋体"/>
          <w:sz w:val="24"/>
          <w:lang w:val="en-US"/>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0"/>
                    <a:stretch>
                      <a:fillRect/>
                    </a:stretch>
                  </pic:blipFill>
                  <pic:spPr>
                    <a:xfrm>
                      <a:off x="0" y="0"/>
                      <a:ext cx="5760085" cy="1956600"/>
                    </a:xfrm>
                    <a:prstGeom prst="rect">
                      <a:avLst/>
                    </a:prstGeom>
                  </pic:spPr>
                </pic:pic>
              </a:graphicData>
            </a:graphic>
          </wp:inline>
        </w:drawing>
      </w:r>
    </w:p>
    <w:sectPr>
      <w:headerReference r:id="rId19" w:type="first"/>
      <w:footerReference r:id="rId21" w:type="first"/>
      <w:footerReference r:id="rId20"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
    <w:altName w:val="Times New Roman"/>
    <w:panose1 w:val="00000000000000000000"/>
    <w:charset w:val="00"/>
    <w:family w:val="roman"/>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pPr>
      <w:pStyle w:val="19"/>
      <w:jc w:val="center"/>
    </w:pPr>
  </w:p>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framePr w:wrap="around" w:vAnchor="text" w:hAnchor="margin" w:xAlign="center" w:y="1"/>
      <w:rPr>
        <w:rStyle w:val="35"/>
      </w:rPr>
    </w:pPr>
    <w:r>
      <w:fldChar w:fldCharType="begin"/>
    </w:r>
    <w:r>
      <w:rPr>
        <w:rStyle w:val="35"/>
      </w:rPr>
      <w:instrText xml:space="preserve">PAGE  </w:instrText>
    </w:r>
    <w:r>
      <w:fldChar w:fldCharType="end"/>
    </w:r>
  </w:p>
  <w:p>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p>
    <w:pPr>
      <w:pStyle w:val="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5DE529A"/>
    <w:multiLevelType w:val="singleLevel"/>
    <w:tmpl w:val="C5DE529A"/>
    <w:lvl w:ilvl="0" w:tentative="0">
      <w:start w:val="2"/>
      <w:numFmt w:val="decimal"/>
      <w:suff w:val="nothing"/>
      <w:lvlText w:val="（%1）"/>
      <w:lvlJc w:val="left"/>
    </w:lvl>
  </w:abstractNum>
  <w:abstractNum w:abstractNumId="5">
    <w:nsid w:val="C680BC7B"/>
    <w:multiLevelType w:val="singleLevel"/>
    <w:tmpl w:val="C680BC7B"/>
    <w:lvl w:ilvl="0" w:tentative="0">
      <w:start w:val="1"/>
      <w:numFmt w:val="decimal"/>
      <w:suff w:val="space"/>
      <w:lvlText w:val="%1."/>
      <w:lvlJc w:val="left"/>
      <w:pPr>
        <w:ind w:left="0" w:leftChars="0" w:firstLine="420" w:firstLineChars="0"/>
      </w:pPr>
      <w:rPr>
        <w:rFonts w:hint="default"/>
        <w:b w:val="0"/>
        <w:bCs w:val="0"/>
        <w:color w:val="auto"/>
        <w:highlight w:val="none"/>
      </w:rPr>
    </w:lvl>
  </w:abstractNum>
  <w:abstractNum w:abstractNumId="6">
    <w:nsid w:val="C6C94E46"/>
    <w:multiLevelType w:val="multilevel"/>
    <w:tmpl w:val="C6C94E46"/>
    <w:lvl w:ilvl="0" w:tentative="0">
      <w:start w:val="1"/>
      <w:numFmt w:val="decimal"/>
      <w:lvlText w:val="%1."/>
      <w:lvlJc w:val="left"/>
      <w:pPr>
        <w:ind w:left="425" w:hanging="425"/>
      </w:pPr>
      <w:rPr>
        <w:rFonts w:hint="default"/>
      </w:rPr>
    </w:lvl>
    <w:lvl w:ilvl="1" w:tentative="0">
      <w:start w:val="1"/>
      <w:numFmt w:val="decimal"/>
      <w:suff w:val="nothing"/>
      <w:lvlText w:val="(%2)"/>
      <w:lvlJc w:val="left"/>
      <w:pPr>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7">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8">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0">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1">
    <w:nsid w:val="F54BF83F"/>
    <w:multiLevelType w:val="singleLevel"/>
    <w:tmpl w:val="F54BF83F"/>
    <w:lvl w:ilvl="0" w:tentative="0">
      <w:start w:val="1"/>
      <w:numFmt w:val="decimal"/>
      <w:suff w:val="space"/>
      <w:lvlText w:val="%1."/>
      <w:lvlJc w:val="left"/>
      <w:pPr>
        <w:ind w:left="0" w:firstLine="0"/>
      </w:pPr>
    </w:lvl>
  </w:abstractNum>
  <w:abstractNum w:abstractNumId="12">
    <w:nsid w:val="00000003"/>
    <w:multiLevelType w:val="singleLevel"/>
    <w:tmpl w:val="00000003"/>
    <w:lvl w:ilvl="0" w:tentative="0">
      <w:start w:val="5"/>
      <w:numFmt w:val="decimal"/>
      <w:lvlText w:val="%1."/>
      <w:lvlJc w:val="left"/>
      <w:pPr>
        <w:tabs>
          <w:tab w:val="left" w:pos="312"/>
        </w:tabs>
      </w:pPr>
    </w:lvl>
  </w:abstractNum>
  <w:abstractNum w:abstractNumId="13">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5">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6">
    <w:nsid w:val="12D9A626"/>
    <w:multiLevelType w:val="singleLevel"/>
    <w:tmpl w:val="12D9A626"/>
    <w:lvl w:ilvl="0" w:tentative="0">
      <w:start w:val="3"/>
      <w:numFmt w:val="chineseCounting"/>
      <w:suff w:val="nothing"/>
      <w:lvlText w:val="第%1部分　"/>
      <w:lvlJc w:val="left"/>
      <w:rPr>
        <w:rFonts w:hint="eastAsia"/>
      </w:rPr>
    </w:lvl>
  </w:abstractNum>
  <w:abstractNum w:abstractNumId="17">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8">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9">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1">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2">
    <w:nsid w:val="4AF0723E"/>
    <w:multiLevelType w:val="singleLevel"/>
    <w:tmpl w:val="4AF0723E"/>
    <w:lvl w:ilvl="0" w:tentative="0">
      <w:start w:val="2"/>
      <w:numFmt w:val="chineseCounting"/>
      <w:suff w:val="nothing"/>
      <w:lvlText w:val="%1、"/>
      <w:lvlJc w:val="left"/>
      <w:rPr>
        <w:rFonts w:hint="eastAsia"/>
      </w:rPr>
    </w:lvl>
  </w:abstractNum>
  <w:abstractNum w:abstractNumId="23">
    <w:nsid w:val="4C11FA9C"/>
    <w:multiLevelType w:val="singleLevel"/>
    <w:tmpl w:val="4C11FA9C"/>
    <w:lvl w:ilvl="0" w:tentative="0">
      <w:start w:val="1"/>
      <w:numFmt w:val="decimal"/>
      <w:suff w:val="space"/>
      <w:lvlText w:val="(%1)"/>
      <w:lvlJc w:val="left"/>
      <w:pPr>
        <w:ind w:left="425" w:hanging="425"/>
      </w:pPr>
      <w:rPr>
        <w:rFonts w:hint="default"/>
      </w:rPr>
    </w:lvl>
  </w:abstractNum>
  <w:abstractNum w:abstractNumId="24">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7">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8">
    <w:nsid w:val="58A803A7"/>
    <w:multiLevelType w:val="singleLevel"/>
    <w:tmpl w:val="58A803A7"/>
    <w:lvl w:ilvl="0" w:tentative="0">
      <w:start w:val="1"/>
      <w:numFmt w:val="decimal"/>
      <w:suff w:val="nothing"/>
      <w:lvlText w:val="%1."/>
      <w:lvlJc w:val="left"/>
      <w:pPr>
        <w:ind w:left="454" w:leftChars="0" w:hanging="454" w:firstLineChars="0"/>
      </w:pPr>
      <w:rPr>
        <w:rFonts w:hint="default"/>
      </w:rPr>
    </w:lvl>
  </w:abstractNum>
  <w:abstractNum w:abstractNumId="29">
    <w:nsid w:val="5A6836EF"/>
    <w:multiLevelType w:val="singleLevel"/>
    <w:tmpl w:val="5A6836EF"/>
    <w:lvl w:ilvl="0" w:tentative="0">
      <w:start w:val="1"/>
      <w:numFmt w:val="decimal"/>
      <w:suff w:val="nothing"/>
      <w:lvlText w:val="%1."/>
      <w:lvlJc w:val="left"/>
      <w:pPr>
        <w:ind w:left="0" w:firstLine="0"/>
      </w:pPr>
    </w:lvl>
  </w:abstractNum>
  <w:abstractNum w:abstractNumId="30">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1">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2">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3">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num w:numId="1">
    <w:abstractNumId w:val="24"/>
  </w:num>
  <w:num w:numId="2">
    <w:abstractNumId w:val="32"/>
  </w:num>
  <w:num w:numId="3">
    <w:abstractNumId w:val="27"/>
  </w:num>
  <w:num w:numId="4">
    <w:abstractNumId w:val="25"/>
  </w:num>
  <w:num w:numId="5">
    <w:abstractNumId w:val="13"/>
  </w:num>
  <w:num w:numId="6">
    <w:abstractNumId w:val="18"/>
  </w:num>
  <w:num w:numId="7">
    <w:abstractNumId w:val="20"/>
  </w:num>
  <w:num w:numId="8">
    <w:abstractNumId w:val="26"/>
  </w:num>
  <w:num w:numId="9">
    <w:abstractNumId w:val="28"/>
  </w:num>
  <w:num w:numId="10">
    <w:abstractNumId w:val="17"/>
  </w:num>
  <w:num w:numId="11">
    <w:abstractNumId w:val="5"/>
  </w:num>
  <w:num w:numId="12">
    <w:abstractNumId w:val="15"/>
  </w:num>
  <w:num w:numId="13">
    <w:abstractNumId w:val="33"/>
  </w:num>
  <w:num w:numId="14">
    <w:abstractNumId w:val="0"/>
  </w:num>
  <w:num w:numId="15">
    <w:abstractNumId w:val="7"/>
  </w:num>
  <w:num w:numId="16">
    <w:abstractNumId w:val="8"/>
  </w:num>
  <w:num w:numId="17">
    <w:abstractNumId w:val="3"/>
  </w:num>
  <w:num w:numId="18">
    <w:abstractNumId w:val="14"/>
  </w:num>
  <w:num w:numId="19">
    <w:abstractNumId w:val="19"/>
  </w:num>
  <w:num w:numId="20">
    <w:abstractNumId w:val="2"/>
  </w:num>
  <w:num w:numId="21">
    <w:abstractNumId w:val="31"/>
  </w:num>
  <w:num w:numId="22">
    <w:abstractNumId w:val="9"/>
  </w:num>
  <w:num w:numId="23">
    <w:abstractNumId w:val="30"/>
  </w:num>
  <w:num w:numId="24">
    <w:abstractNumId w:val="10"/>
  </w:num>
  <w:num w:numId="25">
    <w:abstractNumId w:val="1"/>
  </w:num>
  <w:num w:numId="26">
    <w:abstractNumId w:val="21"/>
  </w:num>
  <w:num w:numId="27">
    <w:abstractNumId w:val="29"/>
  </w:num>
  <w:num w:numId="28">
    <w:abstractNumId w:val="6"/>
  </w:num>
  <w:num w:numId="29">
    <w:abstractNumId w:val="4"/>
  </w:num>
  <w:num w:numId="30">
    <w:abstractNumId w:val="23"/>
  </w:num>
  <w:num w:numId="31">
    <w:abstractNumId w:val="16"/>
  </w:num>
  <w:num w:numId="32">
    <w:abstractNumId w:val="12"/>
  </w:num>
  <w:num w:numId="33">
    <w:abstractNumId w:val="11"/>
  </w:num>
  <w:num w:numId="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96F15"/>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1B40D3"/>
    <w:rsid w:val="01563B79"/>
    <w:rsid w:val="02173A21"/>
    <w:rsid w:val="02CC3DCA"/>
    <w:rsid w:val="02FE76EF"/>
    <w:rsid w:val="034E1239"/>
    <w:rsid w:val="03F033B0"/>
    <w:rsid w:val="05612989"/>
    <w:rsid w:val="057C1D39"/>
    <w:rsid w:val="05891259"/>
    <w:rsid w:val="05D554DB"/>
    <w:rsid w:val="0654565B"/>
    <w:rsid w:val="07253DF6"/>
    <w:rsid w:val="07613623"/>
    <w:rsid w:val="07C1191B"/>
    <w:rsid w:val="08633479"/>
    <w:rsid w:val="09630A6C"/>
    <w:rsid w:val="0A63147A"/>
    <w:rsid w:val="0ADB2EF0"/>
    <w:rsid w:val="0ADD4CBE"/>
    <w:rsid w:val="0B415BB4"/>
    <w:rsid w:val="0C83309C"/>
    <w:rsid w:val="0CB51572"/>
    <w:rsid w:val="0D01045C"/>
    <w:rsid w:val="0DA915A6"/>
    <w:rsid w:val="0DE73E36"/>
    <w:rsid w:val="0E4D31E3"/>
    <w:rsid w:val="0E530E38"/>
    <w:rsid w:val="10DC2AA3"/>
    <w:rsid w:val="10FA7C8C"/>
    <w:rsid w:val="12174CE2"/>
    <w:rsid w:val="121D1E44"/>
    <w:rsid w:val="12F64B6E"/>
    <w:rsid w:val="130B198F"/>
    <w:rsid w:val="13FA68E0"/>
    <w:rsid w:val="15BB1367"/>
    <w:rsid w:val="168618F8"/>
    <w:rsid w:val="16A918E4"/>
    <w:rsid w:val="17D966D6"/>
    <w:rsid w:val="18146E94"/>
    <w:rsid w:val="18945E62"/>
    <w:rsid w:val="19517BDA"/>
    <w:rsid w:val="19581095"/>
    <w:rsid w:val="19AE68D1"/>
    <w:rsid w:val="19E33213"/>
    <w:rsid w:val="1A463A67"/>
    <w:rsid w:val="1B481CDF"/>
    <w:rsid w:val="1BA3160C"/>
    <w:rsid w:val="1BC71D3B"/>
    <w:rsid w:val="1C59115B"/>
    <w:rsid w:val="1D495EC4"/>
    <w:rsid w:val="1D596BD7"/>
    <w:rsid w:val="1DFE17D9"/>
    <w:rsid w:val="1E296445"/>
    <w:rsid w:val="1EFD1680"/>
    <w:rsid w:val="1F6C766B"/>
    <w:rsid w:val="1F6D42D7"/>
    <w:rsid w:val="1FB23E60"/>
    <w:rsid w:val="1FBA79B4"/>
    <w:rsid w:val="212F23EA"/>
    <w:rsid w:val="21F50ADF"/>
    <w:rsid w:val="2225345A"/>
    <w:rsid w:val="226A2E83"/>
    <w:rsid w:val="227640E7"/>
    <w:rsid w:val="227F2CA6"/>
    <w:rsid w:val="22A0140E"/>
    <w:rsid w:val="22C5630B"/>
    <w:rsid w:val="23EC0BA6"/>
    <w:rsid w:val="24701A48"/>
    <w:rsid w:val="247E07FE"/>
    <w:rsid w:val="24AB04CD"/>
    <w:rsid w:val="25113A8A"/>
    <w:rsid w:val="25EC6AF8"/>
    <w:rsid w:val="268B0052"/>
    <w:rsid w:val="26CF6817"/>
    <w:rsid w:val="272A6A1B"/>
    <w:rsid w:val="27743C90"/>
    <w:rsid w:val="27B358EA"/>
    <w:rsid w:val="283931F7"/>
    <w:rsid w:val="284A307C"/>
    <w:rsid w:val="28B55739"/>
    <w:rsid w:val="28CE6296"/>
    <w:rsid w:val="29CA2459"/>
    <w:rsid w:val="2B271A58"/>
    <w:rsid w:val="2B4D164C"/>
    <w:rsid w:val="2B6304A7"/>
    <w:rsid w:val="2C642D3E"/>
    <w:rsid w:val="2CF6734C"/>
    <w:rsid w:val="2D4D284A"/>
    <w:rsid w:val="2D663463"/>
    <w:rsid w:val="2E112A52"/>
    <w:rsid w:val="2EDD38C8"/>
    <w:rsid w:val="2EF96EE4"/>
    <w:rsid w:val="2EFB779B"/>
    <w:rsid w:val="2FF10008"/>
    <w:rsid w:val="30C9346B"/>
    <w:rsid w:val="317E4255"/>
    <w:rsid w:val="31E37A09"/>
    <w:rsid w:val="32C207BF"/>
    <w:rsid w:val="3380787D"/>
    <w:rsid w:val="33822A0F"/>
    <w:rsid w:val="34F565DC"/>
    <w:rsid w:val="357E71B4"/>
    <w:rsid w:val="35D271A0"/>
    <w:rsid w:val="36254FE4"/>
    <w:rsid w:val="36AA39B8"/>
    <w:rsid w:val="36FC24CA"/>
    <w:rsid w:val="372F61E0"/>
    <w:rsid w:val="39322FCA"/>
    <w:rsid w:val="3A503E1E"/>
    <w:rsid w:val="3AB90991"/>
    <w:rsid w:val="3B706131"/>
    <w:rsid w:val="3BE84DD6"/>
    <w:rsid w:val="3BF833EC"/>
    <w:rsid w:val="3C8E02FC"/>
    <w:rsid w:val="3D3346FD"/>
    <w:rsid w:val="3DE11DF4"/>
    <w:rsid w:val="3E6F041E"/>
    <w:rsid w:val="3E846635"/>
    <w:rsid w:val="3EC02A3D"/>
    <w:rsid w:val="3F9D2397"/>
    <w:rsid w:val="40AC20A0"/>
    <w:rsid w:val="41A5482C"/>
    <w:rsid w:val="426E2505"/>
    <w:rsid w:val="4275481E"/>
    <w:rsid w:val="428B617A"/>
    <w:rsid w:val="42CE288A"/>
    <w:rsid w:val="433D7BDC"/>
    <w:rsid w:val="437E1813"/>
    <w:rsid w:val="43A427AA"/>
    <w:rsid w:val="43E96A97"/>
    <w:rsid w:val="444E2202"/>
    <w:rsid w:val="45354CBC"/>
    <w:rsid w:val="45BD47FC"/>
    <w:rsid w:val="45CC5FB2"/>
    <w:rsid w:val="46B75BA8"/>
    <w:rsid w:val="46E91D19"/>
    <w:rsid w:val="476E5648"/>
    <w:rsid w:val="47DE0683"/>
    <w:rsid w:val="48C97955"/>
    <w:rsid w:val="48D805C0"/>
    <w:rsid w:val="492E2C7C"/>
    <w:rsid w:val="49880C8F"/>
    <w:rsid w:val="4A1A43A3"/>
    <w:rsid w:val="4A2007F8"/>
    <w:rsid w:val="4A8835F7"/>
    <w:rsid w:val="4AB619BA"/>
    <w:rsid w:val="4B592E71"/>
    <w:rsid w:val="4BFA7044"/>
    <w:rsid w:val="4D595294"/>
    <w:rsid w:val="4DF75369"/>
    <w:rsid w:val="4E9E572E"/>
    <w:rsid w:val="4EA23B01"/>
    <w:rsid w:val="4EB0217D"/>
    <w:rsid w:val="4F8B220C"/>
    <w:rsid w:val="504F4EAF"/>
    <w:rsid w:val="516C4BAA"/>
    <w:rsid w:val="51D51447"/>
    <w:rsid w:val="52B9239A"/>
    <w:rsid w:val="52D52A7F"/>
    <w:rsid w:val="54287EA1"/>
    <w:rsid w:val="54BD78FD"/>
    <w:rsid w:val="552A3C28"/>
    <w:rsid w:val="555A2DA3"/>
    <w:rsid w:val="555B06B0"/>
    <w:rsid w:val="56901A99"/>
    <w:rsid w:val="571B2939"/>
    <w:rsid w:val="581925FA"/>
    <w:rsid w:val="58A86DDE"/>
    <w:rsid w:val="59154AD7"/>
    <w:rsid w:val="5A542AB4"/>
    <w:rsid w:val="5ADF548D"/>
    <w:rsid w:val="5BF95104"/>
    <w:rsid w:val="5C4627AE"/>
    <w:rsid w:val="5C9249CA"/>
    <w:rsid w:val="5D5C60B4"/>
    <w:rsid w:val="5DA23E51"/>
    <w:rsid w:val="5E5B22B9"/>
    <w:rsid w:val="5EB41BD3"/>
    <w:rsid w:val="5F9B694B"/>
    <w:rsid w:val="60027C70"/>
    <w:rsid w:val="60367925"/>
    <w:rsid w:val="60651FB9"/>
    <w:rsid w:val="614E12EC"/>
    <w:rsid w:val="616D6769"/>
    <w:rsid w:val="62BD60DC"/>
    <w:rsid w:val="63F04A69"/>
    <w:rsid w:val="64371A17"/>
    <w:rsid w:val="646A3D0C"/>
    <w:rsid w:val="64A82747"/>
    <w:rsid w:val="65336B29"/>
    <w:rsid w:val="66526AE4"/>
    <w:rsid w:val="66A50B1E"/>
    <w:rsid w:val="67095CF1"/>
    <w:rsid w:val="674E3DF4"/>
    <w:rsid w:val="67B2063C"/>
    <w:rsid w:val="67C97AC3"/>
    <w:rsid w:val="67D5595A"/>
    <w:rsid w:val="67DD0DA5"/>
    <w:rsid w:val="67E30EC1"/>
    <w:rsid w:val="690861D7"/>
    <w:rsid w:val="695D046C"/>
    <w:rsid w:val="6A4E3B2B"/>
    <w:rsid w:val="6AC838A9"/>
    <w:rsid w:val="6AED682D"/>
    <w:rsid w:val="6B481C3B"/>
    <w:rsid w:val="6B875383"/>
    <w:rsid w:val="6C1331A3"/>
    <w:rsid w:val="6C765676"/>
    <w:rsid w:val="6CA84BC1"/>
    <w:rsid w:val="6D170ADE"/>
    <w:rsid w:val="6D3E4756"/>
    <w:rsid w:val="6F12155D"/>
    <w:rsid w:val="6FC523EB"/>
    <w:rsid w:val="6FE22646"/>
    <w:rsid w:val="70825D63"/>
    <w:rsid w:val="71FE41EB"/>
    <w:rsid w:val="72895F2E"/>
    <w:rsid w:val="72C02EBE"/>
    <w:rsid w:val="72C507AD"/>
    <w:rsid w:val="72D028D8"/>
    <w:rsid w:val="73234831"/>
    <w:rsid w:val="745D47C3"/>
    <w:rsid w:val="75341FA7"/>
    <w:rsid w:val="755404B8"/>
    <w:rsid w:val="76397A0B"/>
    <w:rsid w:val="764F7753"/>
    <w:rsid w:val="76933E9F"/>
    <w:rsid w:val="76AC3757"/>
    <w:rsid w:val="7714326D"/>
    <w:rsid w:val="77D4005C"/>
    <w:rsid w:val="78292927"/>
    <w:rsid w:val="78D35C78"/>
    <w:rsid w:val="78D62583"/>
    <w:rsid w:val="78F33EC6"/>
    <w:rsid w:val="78F37D6B"/>
    <w:rsid w:val="7A6B48EE"/>
    <w:rsid w:val="7A8E4ACC"/>
    <w:rsid w:val="7B8A3D70"/>
    <w:rsid w:val="7C6021A7"/>
    <w:rsid w:val="7CAB4D9F"/>
    <w:rsid w:val="7CB93F8E"/>
    <w:rsid w:val="7CED7FF7"/>
    <w:rsid w:val="7CF66B46"/>
    <w:rsid w:val="7D185B2A"/>
    <w:rsid w:val="7D4A0A5C"/>
    <w:rsid w:val="7D97125D"/>
    <w:rsid w:val="7DB618B0"/>
    <w:rsid w:val="7DBD28BA"/>
    <w:rsid w:val="7E736B66"/>
    <w:rsid w:val="7EE64005"/>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iPriority="99"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82"/>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112"/>
    <w:semiHidden/>
    <w:qFormat/>
    <w:uiPriority w:val="0"/>
    <w:pPr>
      <w:keepNext/>
      <w:keepLines/>
      <w:spacing w:line="416" w:lineRule="auto"/>
      <w:outlineLvl w:val="2"/>
    </w:pPr>
    <w:rPr>
      <w:b/>
      <w:bCs/>
      <w:sz w:val="32"/>
      <w:szCs w:val="32"/>
    </w:rPr>
  </w:style>
  <w:style w:type="paragraph" w:styleId="7">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3"/>
    <w:semiHidden/>
    <w:qFormat/>
    <w:uiPriority w:val="98"/>
    <w:rPr>
      <w:rFonts w:ascii="仿宋_GB2312" w:eastAsia="仿宋_GB2312"/>
      <w:sz w:val="32"/>
    </w:rPr>
  </w:style>
  <w:style w:type="paragraph" w:styleId="3">
    <w:name w:val="Body Text Indent"/>
    <w:basedOn w:val="1"/>
    <w:link w:val="50"/>
    <w:semiHidden/>
    <w:qFormat/>
    <w:uiPriority w:val="0"/>
    <w:pPr>
      <w:spacing w:after="120"/>
      <w:ind w:left="420" w:leftChars="200"/>
    </w:pPr>
    <w:rPr>
      <w:rFonts w:ascii="Calibri" w:hAnsi="Calibri"/>
      <w:szCs w:val="22"/>
    </w:rPr>
  </w:style>
  <w:style w:type="paragraph" w:styleId="9">
    <w:name w:val="E-mail Signature"/>
    <w:basedOn w:val="1"/>
    <w:link w:val="105"/>
    <w:semiHidden/>
    <w:qFormat/>
    <w:uiPriority w:val="99"/>
    <w:pPr>
      <w:spacing w:after="200" w:line="276" w:lineRule="auto"/>
      <w:jc w:val="left"/>
    </w:pPr>
    <w:rPr>
      <w:rFonts w:ascii="Calibri" w:hAnsi="Calibri"/>
      <w:kern w:val="0"/>
      <w:szCs w:val="21"/>
    </w:rPr>
  </w:style>
  <w:style w:type="paragraph" w:styleId="10">
    <w:name w:val="Normal Indent"/>
    <w:basedOn w:val="1"/>
    <w:next w:val="1"/>
    <w:unhideWhenUsed/>
    <w:qFormat/>
    <w:uiPriority w:val="99"/>
    <w:pPr>
      <w:tabs>
        <w:tab w:val="left" w:pos="1620"/>
      </w:tabs>
      <w:autoSpaceDE w:val="0"/>
      <w:autoSpaceDN w:val="0"/>
      <w:adjustRightInd w:val="0"/>
      <w:snapToGrid w:val="0"/>
      <w:spacing w:line="360" w:lineRule="auto"/>
      <w:ind w:firstLine="920" w:firstLineChars="200"/>
    </w:pPr>
    <w:rPr>
      <w:rFonts w:ascii="宋体" w:hAnsi="宋体" w:cs="宋体"/>
      <w:lang w:val="zh-CN"/>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7"/>
    <w:qFormat/>
    <w:uiPriority w:val="99"/>
    <w:pPr>
      <w:jc w:val="left"/>
    </w:p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2"/>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9"/>
    <w:semiHidden/>
    <w:qFormat/>
    <w:uiPriority w:val="0"/>
    <w:rPr>
      <w:sz w:val="18"/>
      <w:szCs w:val="18"/>
    </w:rPr>
  </w:style>
  <w:style w:type="paragraph" w:styleId="19">
    <w:name w:val="footer"/>
    <w:basedOn w:val="1"/>
    <w:link w:val="44"/>
    <w:semiHidden/>
    <w:qFormat/>
    <w:uiPriority w:val="0"/>
    <w:pPr>
      <w:tabs>
        <w:tab w:val="center" w:pos="4153"/>
        <w:tab w:val="right" w:pos="8306"/>
      </w:tabs>
      <w:snapToGrid w:val="0"/>
      <w:jc w:val="left"/>
    </w:pPr>
    <w:rPr>
      <w:sz w:val="18"/>
      <w:szCs w:val="18"/>
    </w:rPr>
  </w:style>
  <w:style w:type="paragraph" w:styleId="20">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3"/>
    <w:next w:val="13"/>
    <w:link w:val="55"/>
    <w:semiHidden/>
    <w:qFormat/>
    <w:uiPriority w:val="98"/>
    <w:rPr>
      <w:b/>
      <w:bCs/>
    </w:rPr>
  </w:style>
  <w:style w:type="paragraph" w:styleId="30">
    <w:name w:val="Body Text First Indent 2"/>
    <w:basedOn w:val="3"/>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paragraph" w:customStyle="1" w:styleId="40">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2"/>
    <w:semiHidden/>
    <w:qFormat/>
    <w:uiPriority w:val="98"/>
    <w:rPr>
      <w:rFonts w:ascii="仿宋_GB2312" w:eastAsia="仿宋_GB2312"/>
      <w:kern w:val="2"/>
      <w:sz w:val="32"/>
    </w:rPr>
  </w:style>
  <w:style w:type="character" w:customStyle="1" w:styleId="44">
    <w:name w:val="页脚 字符"/>
    <w:link w:val="19"/>
    <w:semiHidden/>
    <w:qFormat/>
    <w:uiPriority w:val="0"/>
    <w:rPr>
      <w:kern w:val="2"/>
      <w:sz w:val="18"/>
      <w:szCs w:val="18"/>
    </w:rPr>
  </w:style>
  <w:style w:type="character" w:customStyle="1" w:styleId="45">
    <w:name w:val="标题 3 字符"/>
    <w:link w:val="6"/>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3"/>
    <w:qFormat/>
    <w:uiPriority w:val="99"/>
    <w:rPr>
      <w:kern w:val="2"/>
      <w:sz w:val="21"/>
    </w:rPr>
  </w:style>
  <w:style w:type="character" w:customStyle="1" w:styleId="48">
    <w:name w:val="apple-converted-space"/>
    <w:basedOn w:val="33"/>
    <w:semiHidden/>
    <w:qFormat/>
    <w:uiPriority w:val="98"/>
  </w:style>
  <w:style w:type="character" w:customStyle="1" w:styleId="49">
    <w:name w:val="批注框文本 字符"/>
    <w:link w:val="18"/>
    <w:semiHidden/>
    <w:qFormat/>
    <w:uiPriority w:val="98"/>
    <w:rPr>
      <w:kern w:val="2"/>
      <w:sz w:val="18"/>
      <w:szCs w:val="18"/>
    </w:rPr>
  </w:style>
  <w:style w:type="character" w:customStyle="1" w:styleId="50">
    <w:name w:val="正文文本缩进 字符"/>
    <w:link w:val="3"/>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5"/>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0"/>
    <w:semiHidden/>
    <w:qFormat/>
    <w:uiPriority w:val="0"/>
    <w:rPr>
      <w:kern w:val="2"/>
      <w:sz w:val="18"/>
      <w:szCs w:val="18"/>
    </w:rPr>
  </w:style>
  <w:style w:type="character" w:customStyle="1" w:styleId="55">
    <w:name w:val="批注主题 字符"/>
    <w:link w:val="29"/>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3"/>
    <w:link w:val="4"/>
    <w:semiHidden/>
    <w:qFormat/>
    <w:uiPriority w:val="0"/>
    <w:rPr>
      <w:b/>
      <w:bCs/>
      <w:kern w:val="44"/>
      <w:sz w:val="44"/>
      <w:szCs w:val="44"/>
    </w:rPr>
  </w:style>
  <w:style w:type="paragraph" w:customStyle="1" w:styleId="69">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5"/>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360" w:lineRule="auto"/>
      <w:jc w:val="left"/>
    </w:pPr>
  </w:style>
  <w:style w:type="character" w:customStyle="1" w:styleId="78">
    <w:name w:val="标题 4 字符"/>
    <w:basedOn w:val="33"/>
    <w:link w:val="7"/>
    <w:semiHidden/>
    <w:qFormat/>
    <w:uiPriority w:val="0"/>
    <w:rPr>
      <w:rFonts w:ascii="Arial" w:hAnsi="Arial"/>
      <w:b/>
      <w:bCs/>
      <w:kern w:val="2"/>
      <w:sz w:val="21"/>
      <w:szCs w:val="28"/>
    </w:rPr>
  </w:style>
  <w:style w:type="character" w:customStyle="1" w:styleId="79">
    <w:name w:val="标题 5 字符"/>
    <w:basedOn w:val="33"/>
    <w:link w:val="8"/>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link w:val="5"/>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2"/>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9"/>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character" w:customStyle="1" w:styleId="112">
    <w:name w:val="标题 3 Char"/>
    <w:link w:val="6"/>
    <w:qFormat/>
    <w:uiPriority w:val="0"/>
    <w:rPr>
      <w:b/>
      <w:sz w:val="32"/>
    </w:rPr>
  </w:style>
  <w:style w:type="paragraph" w:customStyle="1" w:styleId="113">
    <w:name w:val="Table Paragraph"/>
    <w:basedOn w:val="1"/>
    <w:qFormat/>
    <w:uiPriority w:val="1"/>
    <w:rPr>
      <w:rFonts w:ascii="宋体" w:hAnsi="宋体" w:eastAsia="宋体" w:cs="宋体"/>
    </w:rPr>
  </w:style>
  <w:style w:type="table" w:customStyle="1" w:styleId="114">
    <w:name w:val="Table Normal"/>
    <w:qFormat/>
    <w:uiPriority w:val="0"/>
    <w:tblPr>
      <w:tblCellMar>
        <w:top w:w="0" w:type="dxa"/>
        <w:left w:w="0" w:type="dxa"/>
        <w:bottom w:w="0" w:type="dxa"/>
        <w:right w:w="0" w:type="dxa"/>
      </w:tblCellMar>
    </w:tblPr>
  </w:style>
  <w:style w:type="paragraph" w:customStyle="1" w:styleId="115">
    <w:name w:val="Fließtext"/>
    <w:basedOn w:val="1"/>
    <w:qFormat/>
    <w:uiPriority w:val="99"/>
    <w:pPr>
      <w:widowControl/>
      <w:ind w:left="1134"/>
      <w:jc w:val="left"/>
    </w:pPr>
    <w:rPr>
      <w:rFonts w:ascii="Arial" w:hAnsi="Arial"/>
      <w:kern w:val="0"/>
      <w:szCs w:val="20"/>
      <w:lang w:val="de-DE" w:eastAsia="de-D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3" Type="http://schemas.openxmlformats.org/officeDocument/2006/relationships/fontTable" Target="fontTable.xml"/><Relationship Id="rId42" Type="http://schemas.openxmlformats.org/officeDocument/2006/relationships/numbering" Target="numbering.xml"/><Relationship Id="rId41" Type="http://schemas.openxmlformats.org/officeDocument/2006/relationships/customXml" Target="../customXml/item1.xml"/><Relationship Id="rId40" Type="http://schemas.openxmlformats.org/officeDocument/2006/relationships/image" Target="media/image18.png"/><Relationship Id="rId4" Type="http://schemas.openxmlformats.org/officeDocument/2006/relationships/footer" Target="footer1.xml"/><Relationship Id="rId39" Type="http://schemas.openxmlformats.org/officeDocument/2006/relationships/image" Target="media/image17.png"/><Relationship Id="rId38" Type="http://schemas.openxmlformats.org/officeDocument/2006/relationships/image" Target="media/image16.png"/><Relationship Id="rId37" Type="http://schemas.openxmlformats.org/officeDocument/2006/relationships/image" Target="media/image15.png"/><Relationship Id="rId36" Type="http://schemas.openxmlformats.org/officeDocument/2006/relationships/image" Target="media/image14.png"/><Relationship Id="rId35" Type="http://schemas.openxmlformats.org/officeDocument/2006/relationships/image" Target="media/image13.png"/><Relationship Id="rId34" Type="http://schemas.openxmlformats.org/officeDocument/2006/relationships/image" Target="media/image12.png"/><Relationship Id="rId33" Type="http://schemas.openxmlformats.org/officeDocument/2006/relationships/image" Target="media/image11.png"/><Relationship Id="rId32" Type="http://schemas.openxmlformats.org/officeDocument/2006/relationships/image" Target="media/image10.png"/><Relationship Id="rId31" Type="http://schemas.openxmlformats.org/officeDocument/2006/relationships/image" Target="media/image9.png"/><Relationship Id="rId30" Type="http://schemas.openxmlformats.org/officeDocument/2006/relationships/image" Target="media/image8.png"/><Relationship Id="rId3" Type="http://schemas.openxmlformats.org/officeDocument/2006/relationships/header" Target="header1.xml"/><Relationship Id="rId29"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5.png"/><Relationship Id="rId26" Type="http://schemas.openxmlformats.org/officeDocument/2006/relationships/image" Target="media/image4.png"/><Relationship Id="rId25" Type="http://schemas.openxmlformats.org/officeDocument/2006/relationships/image" Target="media/image3.png"/><Relationship Id="rId24" Type="http://schemas.openxmlformats.org/officeDocument/2006/relationships/image" Target="media/image2.png"/><Relationship Id="rId23" Type="http://schemas.openxmlformats.org/officeDocument/2006/relationships/image" Target="media/image1.jpeg"/><Relationship Id="rId22" Type="http://schemas.openxmlformats.org/officeDocument/2006/relationships/theme" Target="theme/theme1.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7.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header" Target="header6.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74</Pages>
  <Words>5842</Words>
  <Characters>6100</Characters>
  <Lines>127</Lines>
  <Paragraphs>35</Paragraphs>
  <TotalTime>11</TotalTime>
  <ScaleCrop>false</ScaleCrop>
  <LinksUpToDate>false</LinksUpToDate>
  <CharactersWithSpaces>6143</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LYB</cp:lastModifiedBy>
  <cp:lastPrinted>2020-06-28T02:28:00Z</cp:lastPrinted>
  <dcterms:modified xsi:type="dcterms:W3CDTF">2026-03-03T02:09:05Z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5770AFE259C24926BC2DCE64DD7C2079</vt:lpwstr>
  </property>
  <property fmtid="{D5CDD505-2E9C-101B-9397-08002B2CF9AE}" pid="4" name="KSOTemplateDocerSaveRecord">
    <vt:lpwstr>eyJoZGlkIjoiOWNjM2RhOWFiYzZkZTE3YjU5Zjc5MWMwNTQ1NDBiMWQiLCJ1c2VySWQiOiI0MzkzNDMzOTAifQ==</vt:lpwstr>
  </property>
</Properties>
</file>