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415752">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14:paraId="52EF06F3">
      <w:pPr>
        <w:spacing w:line="1000" w:lineRule="exact"/>
        <w:ind w:right="-48" w:rightChars="-23"/>
        <w:jc w:val="center"/>
        <w:rPr>
          <w:rFonts w:hint="eastAsia" w:ascii="方正小标宋简体" w:hAnsi="华文中宋" w:eastAsia="方正小标宋简体"/>
          <w:b/>
          <w:spacing w:val="4"/>
          <w:sz w:val="44"/>
          <w:szCs w:val="44"/>
        </w:rPr>
      </w:pPr>
      <w:r>
        <w:rPr>
          <w:rFonts w:hint="eastAsia" w:ascii="方正小标宋简体" w:hAnsi="华文中宋" w:eastAsia="方正小标宋简体"/>
          <w:b/>
          <w:spacing w:val="4"/>
          <w:sz w:val="44"/>
          <w:szCs w:val="44"/>
        </w:rPr>
        <w:t>中国重汽集团科技大厦照明升级改造项目</w:t>
      </w:r>
    </w:p>
    <w:p w14:paraId="168DE1A2">
      <w:pPr>
        <w:jc w:val="center"/>
        <w:rPr>
          <w:rFonts w:hint="eastAsia" w:ascii="宋体" w:hAnsi="宋体" w:cs="Times New Roman"/>
          <w:b w:val="0"/>
          <w:bCs/>
          <w:sz w:val="50"/>
          <w:highlight w:val="none"/>
          <w:lang w:val="en-US" w:eastAsia="zh-CN"/>
        </w:rPr>
      </w:pPr>
    </w:p>
    <w:p w14:paraId="7235FBB7">
      <w:pPr>
        <w:pStyle w:val="19"/>
        <w:rPr>
          <w:rFonts w:hint="eastAsia"/>
          <w:highlight w:val="none"/>
          <w:lang w:val="en-US" w:eastAsia="zh-CN"/>
        </w:rPr>
      </w:pPr>
    </w:p>
    <w:p w14:paraId="402E5E30">
      <w:pPr>
        <w:jc w:val="center"/>
        <w:rPr>
          <w:rFonts w:hint="eastAsia" w:ascii="宋体" w:hAnsi="宋体"/>
          <w:sz w:val="72"/>
          <w:szCs w:val="72"/>
          <w:highlight w:val="none"/>
        </w:rPr>
      </w:pPr>
      <w:r>
        <w:rPr>
          <w:rFonts w:hint="eastAsia" w:ascii="宋体" w:hAnsi="宋体"/>
          <w:sz w:val="72"/>
          <w:szCs w:val="72"/>
          <w:highlight w:val="none"/>
        </w:rPr>
        <w:t>招  标  文  件</w:t>
      </w:r>
    </w:p>
    <w:p w14:paraId="4D07A8F3">
      <w:pPr>
        <w:rPr>
          <w:rFonts w:hint="eastAsia" w:ascii="宋体" w:hAnsi="宋体"/>
          <w:sz w:val="24"/>
          <w:highlight w:val="none"/>
        </w:rPr>
      </w:pPr>
    </w:p>
    <w:p w14:paraId="22F74137">
      <w:pPr>
        <w:jc w:val="center"/>
        <w:rPr>
          <w:rFonts w:hint="eastAsia" w:ascii="宋体" w:hAnsi="宋体"/>
          <w:b/>
          <w:bCs/>
          <w:sz w:val="36"/>
          <w:highlight w:val="none"/>
        </w:rPr>
      </w:pPr>
    </w:p>
    <w:p w14:paraId="6049F786">
      <w:pPr>
        <w:spacing w:line="480" w:lineRule="auto"/>
        <w:ind w:firstLine="2240" w:firstLineChars="700"/>
        <w:jc w:val="both"/>
        <w:rPr>
          <w:rFonts w:hint="default"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Helvetica" w:hAnsi="Helvetica" w:eastAsia="Helvetica" w:cs="Helvetica"/>
          <w:i w:val="0"/>
          <w:iCs w:val="0"/>
          <w:caps w:val="0"/>
          <w:color w:val="000000"/>
          <w:spacing w:val="0"/>
          <w:sz w:val="27"/>
          <w:szCs w:val="27"/>
          <w:u w:val="single"/>
          <w:shd w:val="clear" w:fill="F5F5F5"/>
        </w:rPr>
        <w:t>ZBGL2026030101</w:t>
      </w:r>
    </w:p>
    <w:p w14:paraId="6B87B666">
      <w:pPr>
        <w:spacing w:line="276" w:lineRule="auto"/>
        <w:rPr>
          <w:rFonts w:hint="eastAsia" w:ascii="宋体" w:hAnsi="宋体"/>
          <w:sz w:val="28"/>
          <w:szCs w:val="28"/>
          <w:highlight w:val="none"/>
        </w:rPr>
      </w:pPr>
    </w:p>
    <w:p w14:paraId="161D905C">
      <w:pPr>
        <w:pStyle w:val="7"/>
        <w:rPr>
          <w:rFonts w:hint="eastAsia" w:ascii="宋体" w:hAnsi="宋体"/>
          <w:sz w:val="28"/>
          <w:szCs w:val="28"/>
          <w:highlight w:val="none"/>
        </w:rPr>
      </w:pPr>
    </w:p>
    <w:p w14:paraId="60D0CBDA">
      <w:pPr>
        <w:pStyle w:val="7"/>
        <w:rPr>
          <w:rFonts w:hint="eastAsia" w:ascii="宋体" w:hAnsi="宋体"/>
          <w:sz w:val="28"/>
          <w:szCs w:val="28"/>
          <w:highlight w:val="none"/>
        </w:rPr>
      </w:pPr>
    </w:p>
    <w:p w14:paraId="2148B695">
      <w:pPr>
        <w:spacing w:line="276" w:lineRule="auto"/>
        <w:rPr>
          <w:rFonts w:hint="eastAsia" w:ascii="宋体" w:hAnsi="宋体"/>
          <w:sz w:val="28"/>
          <w:szCs w:val="28"/>
          <w:highlight w:val="none"/>
        </w:rPr>
      </w:pPr>
    </w:p>
    <w:p w14:paraId="26FFFD3D">
      <w:pPr>
        <w:pStyle w:val="19"/>
        <w:rPr>
          <w:rFonts w:hint="eastAsia" w:ascii="宋体" w:hAnsi="宋体"/>
          <w:sz w:val="28"/>
          <w:szCs w:val="28"/>
          <w:highlight w:val="none"/>
        </w:rPr>
      </w:pPr>
    </w:p>
    <w:p w14:paraId="70C70399">
      <w:pPr>
        <w:pStyle w:val="15"/>
        <w:rPr>
          <w:rFonts w:hint="eastAsia"/>
          <w:highlight w:val="none"/>
        </w:rPr>
      </w:pPr>
    </w:p>
    <w:p w14:paraId="41A315BE">
      <w:pPr>
        <w:spacing w:line="480" w:lineRule="auto"/>
        <w:ind w:left="487" w:leftChars="86" w:hanging="306" w:hangingChars="85"/>
        <w:jc w:val="center"/>
        <w:rPr>
          <w:rFonts w:hint="eastAsia" w:ascii="宋体" w:hAnsi="宋体" w:eastAsia="宋体" w:cs="Times New Roman"/>
          <w:color w:val="auto"/>
          <w:sz w:val="36"/>
          <w:szCs w:val="36"/>
          <w:highlight w:val="none"/>
        </w:rPr>
      </w:pPr>
    </w:p>
    <w:p w14:paraId="60E9BEAF">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14:paraId="6CF608ED">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六</w:t>
      </w:r>
      <w:r>
        <w:rPr>
          <w:rFonts w:hint="eastAsia" w:ascii="宋体" w:hAnsi="宋体"/>
          <w:sz w:val="36"/>
          <w:szCs w:val="36"/>
          <w:highlight w:val="none"/>
        </w:rPr>
        <w:t>年</w:t>
      </w:r>
      <w:r>
        <w:rPr>
          <w:rFonts w:hint="eastAsia" w:ascii="宋体" w:hAnsi="宋体"/>
          <w:sz w:val="36"/>
          <w:szCs w:val="36"/>
          <w:highlight w:val="none"/>
          <w:lang w:val="en-US" w:eastAsia="zh-CN"/>
        </w:rPr>
        <w:t>三</w:t>
      </w:r>
      <w:r>
        <w:rPr>
          <w:rFonts w:hint="eastAsia" w:ascii="宋体" w:hAnsi="宋体"/>
          <w:sz w:val="36"/>
          <w:szCs w:val="36"/>
          <w:highlight w:val="none"/>
        </w:rPr>
        <w:t>月</w:t>
      </w:r>
    </w:p>
    <w:p w14:paraId="56C9F305">
      <w:pPr>
        <w:pStyle w:val="17"/>
        <w:rPr>
          <w:rFonts w:hint="eastAsia" w:eastAsia="宋体"/>
          <w:sz w:val="44"/>
          <w:szCs w:val="44"/>
          <w:highlight w:val="none"/>
          <w:lang w:eastAsia="zh-CN"/>
        </w:rPr>
      </w:pPr>
      <w:bookmarkStart w:id="0" w:name="_Toc54267469"/>
      <w:bookmarkStart w:id="1" w:name="_Toc18114"/>
      <w:r>
        <w:rPr>
          <w:rFonts w:hint="eastAsia"/>
          <w:sz w:val="44"/>
          <w:szCs w:val="44"/>
          <w:highlight w:val="none"/>
        </w:rPr>
        <w:t xml:space="preserve">第一章  </w:t>
      </w:r>
      <w:bookmarkEnd w:id="0"/>
      <w:bookmarkEnd w:id="1"/>
      <w:r>
        <w:rPr>
          <w:rFonts w:hint="eastAsia"/>
          <w:sz w:val="44"/>
          <w:szCs w:val="44"/>
          <w:highlight w:val="none"/>
          <w:lang w:val="en-US" w:eastAsia="zh-CN"/>
        </w:rPr>
        <w:t>投标须知</w:t>
      </w:r>
    </w:p>
    <w:p w14:paraId="2485810C">
      <w:pPr>
        <w:spacing w:line="1000" w:lineRule="exact"/>
        <w:ind w:right="-48" w:rightChars="-23"/>
        <w:jc w:val="both"/>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中国重汽集团科技大厦照明升级改造项目</w:t>
      </w:r>
    </w:p>
    <w:p w14:paraId="25DCEF7E">
      <w:pPr>
        <w:pStyle w:val="10"/>
        <w:rPr>
          <w:rFonts w:ascii="黑体" w:eastAsia="黑体"/>
          <w:b/>
          <w:bCs/>
          <w:sz w:val="28"/>
          <w:highlight w:val="none"/>
        </w:rPr>
      </w:pPr>
      <w:r>
        <w:rPr>
          <w:rFonts w:hint="eastAsia" w:ascii="黑体" w:eastAsia="黑体"/>
          <w:b/>
          <w:bCs/>
          <w:sz w:val="28"/>
          <w:highlight w:val="none"/>
        </w:rPr>
        <w:t>二、项目概况与招标范围</w:t>
      </w:r>
    </w:p>
    <w:p w14:paraId="00E362D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2" w:name="_Toc179632530"/>
      <w:bookmarkEnd w:id="2"/>
      <w:bookmarkStart w:id="3" w:name="_Toc152042290"/>
      <w:bookmarkEnd w:id="3"/>
      <w:bookmarkStart w:id="4" w:name="_Toc152045514"/>
      <w:bookmarkEnd w:id="4"/>
      <w:bookmarkStart w:id="5" w:name="_Toc285809451"/>
      <w:bookmarkEnd w:id="5"/>
      <w:bookmarkStart w:id="6" w:name="_Toc144974482"/>
      <w:bookmarkEnd w:id="6"/>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中国重汽集团科技大厦照明升级改造项目</w:t>
      </w:r>
    </w:p>
    <w:p w14:paraId="61DC8C6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w:t>
      </w:r>
      <w:r>
        <w:rPr>
          <w:rFonts w:hint="eastAsia" w:ascii="宋体" w:hAnsi="宋体" w:cs="宋体"/>
          <w:b w:val="0"/>
          <w:bCs w:val="0"/>
          <w:color w:val="000000"/>
          <w:kern w:val="2"/>
          <w:sz w:val="21"/>
          <w:szCs w:val="21"/>
          <w:highlight w:val="none"/>
          <w:u w:val="single"/>
          <w:lang w:val="en-US" w:eastAsia="zh-CN" w:bidi="ar-SA"/>
        </w:rPr>
        <w:t>科技中心园区</w:t>
      </w:r>
    </w:p>
    <w:p w14:paraId="6D8648E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highlight w:val="none"/>
          <w:lang w:val="en-US"/>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cs="宋体"/>
          <w:kern w:val="2"/>
          <w:sz w:val="21"/>
          <w:szCs w:val="21"/>
          <w:highlight w:val="none"/>
          <w:u w:val="single"/>
          <w:lang w:val="en-US" w:eastAsia="zh-CN" w:bidi="ar-SA"/>
        </w:rPr>
        <w:t>科技大厦地下车库所有灯具更换为智能感应灯具，感应到人或车后自动开启，无人后自动关闭;科技大厦及营销楼所有公共照明及办公照明灯具更换为智能感应灯具，感应到有人自动开启，无人时自动关闭;空调面板更换为智能温控器面板；所有灯具及空调面板改造后可实现定时开启、关闭及后台控制功能。</w:t>
      </w:r>
    </w:p>
    <w:p w14:paraId="1076F046">
      <w:pPr>
        <w:pStyle w:val="1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具体内容及要求详见招标文件、技术方案。</w:t>
      </w:r>
    </w:p>
    <w:p w14:paraId="5F0EBD0D">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4月30日前完成</w:t>
      </w:r>
      <w:r>
        <w:rPr>
          <w:rFonts w:hint="eastAsia" w:ascii="宋体" w:hAnsi="宋体"/>
          <w:color w:val="auto"/>
          <w:szCs w:val="21"/>
          <w:highlight w:val="none"/>
          <w:u w:val="single"/>
          <w:lang w:val="en-US" w:eastAsia="zh-CN"/>
        </w:rPr>
        <w:t>。</w:t>
      </w:r>
    </w:p>
    <w:p w14:paraId="5BBB6EF6">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14:paraId="642626E3">
      <w:pPr>
        <w:pStyle w:val="10"/>
        <w:rPr>
          <w:rFonts w:hint="eastAsia" w:ascii="黑体" w:eastAsia="黑体"/>
          <w:b/>
          <w:bCs/>
          <w:sz w:val="28"/>
          <w:highlight w:val="none"/>
        </w:rPr>
      </w:pPr>
      <w:r>
        <w:rPr>
          <w:rFonts w:hint="eastAsia" w:ascii="黑体" w:eastAsia="黑体"/>
          <w:b/>
          <w:bCs/>
          <w:sz w:val="28"/>
          <w:highlight w:val="none"/>
        </w:rPr>
        <w:t>三、招标形式</w:t>
      </w:r>
    </w:p>
    <w:p w14:paraId="34111DE6">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14:paraId="57B96E44">
      <w:pPr>
        <w:rPr>
          <w:rFonts w:hint="default"/>
          <w:lang w:val="en-US" w:eastAsia="zh-CN"/>
        </w:rPr>
      </w:pPr>
      <w:r>
        <w:rPr>
          <w:rFonts w:hint="eastAsia"/>
          <w:highlight w:val="yellow"/>
          <w:lang w:val="en-US" w:eastAsia="zh-CN"/>
        </w:rPr>
        <w:t>应标报名时请在重汽e采通-供应商中心-供应商财务数据变更-更新近三年的财务数据，以便应标审核。</w:t>
      </w:r>
    </w:p>
    <w:p w14:paraId="5051FB3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ascii="Helvetica" w:hAnsi="Helvetica" w:eastAsia="Helvetica" w:cs="Helvetica"/>
          <w:i w:val="0"/>
          <w:iCs w:val="0"/>
          <w:caps w:val="0"/>
          <w:color w:val="000000"/>
          <w:spacing w:val="0"/>
          <w:sz w:val="27"/>
          <w:szCs w:val="27"/>
          <w:u w:val="single"/>
          <w:shd w:val="clear" w:fill="F5F5F5"/>
        </w:rPr>
        <w:t>ZBGL2026030101</w:t>
      </w:r>
    </w:p>
    <w:p w14:paraId="108E5E02">
      <w:pPr>
        <w:pStyle w:val="10"/>
        <w:rPr>
          <w:rFonts w:hint="eastAsia" w:ascii="黑体" w:eastAsia="黑体"/>
          <w:b/>
          <w:bCs/>
          <w:sz w:val="28"/>
          <w:highlight w:val="none"/>
        </w:rPr>
      </w:pPr>
      <w:r>
        <w:rPr>
          <w:rFonts w:hint="eastAsia" w:ascii="黑体" w:eastAsia="黑体"/>
          <w:b/>
          <w:bCs/>
          <w:sz w:val="28"/>
          <w:highlight w:val="none"/>
        </w:rPr>
        <w:t>四、议程安排</w:t>
      </w:r>
    </w:p>
    <w:p w14:paraId="6419768F">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2026年3月14日</w:t>
      </w:r>
    </w:p>
    <w:p w14:paraId="6A69C106">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2026年3月18日17时（e采通）</w:t>
      </w:r>
    </w:p>
    <w:p w14:paraId="55F859D3">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2026年3月18日9时</w:t>
      </w:r>
    </w:p>
    <w:p w14:paraId="12FCA3F2">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2026年3月23日9时30分</w:t>
      </w:r>
    </w:p>
    <w:p w14:paraId="1E83A947">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5.e采通投标截止时间：</w:t>
      </w:r>
      <w:r>
        <w:rPr>
          <w:rFonts w:hint="eastAsia" w:hAnsi="宋体" w:cs="Times New Roman"/>
          <w:kern w:val="2"/>
          <w:sz w:val="21"/>
          <w:szCs w:val="21"/>
          <w:highlight w:val="none"/>
          <w:u w:val="single"/>
          <w:lang w:val="en-US" w:eastAsia="zh-CN" w:bidi="ar-SA"/>
        </w:rPr>
        <w:t>2026年3月23日9时30分（e采通）</w:t>
      </w:r>
      <w:bookmarkStart w:id="38" w:name="_GoBack"/>
      <w:bookmarkEnd w:id="38"/>
    </w:p>
    <w:p w14:paraId="2242F689">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6.开标时间：</w:t>
      </w:r>
      <w:r>
        <w:rPr>
          <w:rFonts w:hint="eastAsia" w:hAnsi="宋体" w:cs="Times New Roman"/>
          <w:kern w:val="2"/>
          <w:sz w:val="21"/>
          <w:szCs w:val="21"/>
          <w:highlight w:val="none"/>
          <w:u w:val="single"/>
          <w:lang w:val="en-US" w:eastAsia="zh-CN" w:bidi="ar-SA"/>
        </w:rPr>
        <w:t>2026年3月23日9时30分（如有变化另行通知）</w:t>
      </w:r>
    </w:p>
    <w:p w14:paraId="722E60D5">
      <w:pPr>
        <w:pStyle w:val="10"/>
        <w:ind w:firstLine="420" w:firstLineChars="200"/>
        <w:rPr>
          <w:rFonts w:hint="eastAsia"/>
          <w:b w:val="0"/>
          <w:bCs w:val="0"/>
          <w:highlight w:val="none"/>
        </w:rPr>
      </w:pPr>
      <w:r>
        <w:rPr>
          <w:rFonts w:hint="eastAsia"/>
          <w:b w:val="0"/>
          <w:bCs w:val="0"/>
          <w:highlight w:val="none"/>
          <w:lang w:val="en-US" w:eastAsia="zh-CN"/>
        </w:rPr>
        <w:t>7</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02A63E14">
      <w:pPr>
        <w:pStyle w:val="10"/>
        <w:ind w:firstLine="420" w:firstLineChars="200"/>
        <w:rPr>
          <w:rFonts w:hint="default"/>
          <w:highlight w:val="none"/>
          <w:lang w:val="en-US"/>
        </w:rPr>
      </w:pPr>
      <w:r>
        <w:rPr>
          <w:rFonts w:hint="eastAsia"/>
          <w:highlight w:val="none"/>
          <w:lang w:val="en-US" w:eastAsia="zh-CN"/>
        </w:rPr>
        <w:t>8</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2026年3月23日9时30分</w:t>
      </w:r>
    </w:p>
    <w:p w14:paraId="3118530D">
      <w:pPr>
        <w:pStyle w:val="10"/>
        <w:ind w:firstLine="630" w:firstLineChars="300"/>
        <w:rPr>
          <w:rFonts w:hint="eastAsia"/>
          <w:highlight w:val="none"/>
        </w:rPr>
      </w:pPr>
      <w:r>
        <w:rPr>
          <w:rFonts w:hint="eastAsia"/>
          <w:highlight w:val="none"/>
        </w:rPr>
        <w:t>答疑方式：电子邮件答疑</w:t>
      </w:r>
    </w:p>
    <w:p w14:paraId="45341B39">
      <w:pPr>
        <w:pStyle w:val="10"/>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郭瑞超  13156419234</w:t>
      </w:r>
    </w:p>
    <w:p w14:paraId="1D214D60">
      <w:pPr>
        <w:pStyle w:val="10"/>
        <w:ind w:firstLine="630" w:firstLineChars="300"/>
        <w:rPr>
          <w:rFonts w:hint="eastAsia"/>
          <w:highlight w:val="none"/>
        </w:rPr>
      </w:pPr>
      <w:r>
        <w:rPr>
          <w:rFonts w:hint="eastAsia"/>
          <w:highlight w:val="none"/>
        </w:rPr>
        <w:t>电子邮箱：</w:t>
      </w:r>
      <w:r>
        <w:rPr>
          <w:rFonts w:hint="eastAsia"/>
          <w:highlight w:val="none"/>
          <w:lang w:val="en-US" w:eastAsia="zh-CN"/>
        </w:rPr>
        <w:t>guoruichao</w:t>
      </w:r>
      <w:r>
        <w:rPr>
          <w:rFonts w:hint="eastAsia"/>
          <w:highlight w:val="none"/>
        </w:rPr>
        <w:t>@sinotruk.com</w:t>
      </w:r>
    </w:p>
    <w:p w14:paraId="4B485B2D">
      <w:pPr>
        <w:pStyle w:val="10"/>
        <w:numPr>
          <w:ilvl w:val="0"/>
          <w:numId w:val="0"/>
        </w:numPr>
        <w:ind w:firstLine="210" w:firstLineChars="100"/>
        <w:rPr>
          <w:rFonts w:hint="default"/>
          <w:highlight w:val="none"/>
          <w:lang w:val="en-US"/>
        </w:rPr>
      </w:pPr>
      <w:r>
        <w:rPr>
          <w:rFonts w:hint="eastAsia"/>
          <w:highlight w:val="none"/>
          <w:lang w:val="en-US" w:eastAsia="zh-CN"/>
        </w:rPr>
        <w:t>9.</w:t>
      </w:r>
      <w:r>
        <w:rPr>
          <w:rFonts w:hint="eastAsia"/>
        </w:rPr>
        <w:t>报名及商务事宜联系人及其联系电话：</w:t>
      </w:r>
      <w:r>
        <w:rPr>
          <w:rFonts w:hint="eastAsia" w:hAnsi="宋体"/>
          <w:color w:val="000000"/>
          <w:lang w:val="en-US" w:eastAsia="zh-CN"/>
        </w:rPr>
        <w:t>郭瑞超13156419234；李帅威17860605079</w:t>
      </w:r>
    </w:p>
    <w:p w14:paraId="1B5B73BD">
      <w:pPr>
        <w:pStyle w:val="10"/>
        <w:numPr>
          <w:ilvl w:val="0"/>
          <w:numId w:val="0"/>
        </w:numPr>
        <w:ind w:firstLine="422" w:firstLineChars="200"/>
        <w:rPr>
          <w:rFonts w:hint="default"/>
          <w:highlight w:val="none"/>
          <w:lang w:val="en-US"/>
        </w:rPr>
      </w:pPr>
      <w:r>
        <w:rPr>
          <w:rFonts w:hint="eastAsia"/>
          <w:b/>
          <w:bCs/>
          <w:highlight w:val="none"/>
          <w:lang w:val="en-US" w:eastAsia="zh-CN"/>
        </w:rPr>
        <w:t>10.本项目工程量较大，为让各投标单位了解施工现场环境，保证报价的公平及准确，需在开标前对现场进行勘察。为方便各单位人员管理，保证正常生产，暂定在开标前四天（详见议程安排）进行现场勘察。勘查联系人及联系电话：郭瑞超13156419234。未对现场进行勘察的单位，不允许参与开标，投标视为无效。</w:t>
      </w:r>
    </w:p>
    <w:p w14:paraId="284BB127">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5EC3AFBD">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5F37B29F">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14:paraId="20FBFC31">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14:paraId="5E620E69">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65D6B501">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8"/>
          <w:rFonts w:hint="eastAsia"/>
          <w:b/>
          <w:bCs/>
          <w:highlight w:val="none"/>
        </w:rPr>
      </w:pPr>
      <w:r>
        <w:rPr>
          <w:rStyle w:val="28"/>
          <w:rFonts w:hint="eastAsia"/>
          <w:b/>
          <w:bCs/>
          <w:highlight w:val="none"/>
        </w:rPr>
        <w:t>本项目实行资格后审，报名成功不代表资格审查通过，以最终通过资格审查委员会的审查为准。</w:t>
      </w:r>
    </w:p>
    <w:p w14:paraId="3FD86AD3">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3F794B1E">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5E108EC6">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hint="eastAsia" w:ascii="宋体" w:hAnsi="宋体"/>
          <w:b/>
          <w:bCs/>
          <w:sz w:val="28"/>
          <w:szCs w:val="28"/>
          <w:highlight w:val="none"/>
          <w:u w:val="single"/>
          <w:lang w:val="en-US" w:eastAsia="zh-CN"/>
        </w:rPr>
        <w:t xml:space="preserve"> 20000 </w:t>
      </w:r>
      <w:r>
        <w:rPr>
          <w:rFonts w:hint="eastAsia" w:ascii="宋体" w:hAnsi="宋体"/>
          <w:sz w:val="21"/>
          <w:szCs w:val="21"/>
          <w:highlight w:val="none"/>
          <w:u w:val="single"/>
        </w:rPr>
        <w:t>元</w:t>
      </w:r>
    </w:p>
    <w:p w14:paraId="5F85D8DE">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56C11FC9">
      <w:pPr>
        <w:autoSpaceDE w:val="0"/>
        <w:autoSpaceDN w:val="0"/>
        <w:adjustRightInd w:val="0"/>
        <w:spacing w:line="360" w:lineRule="auto"/>
        <w:ind w:firstLine="495" w:firstLineChars="236"/>
        <w:jc w:val="left"/>
        <w:rPr>
          <w:rFonts w:ascii="宋体" w:hAnsi="宋体"/>
          <w:sz w:val="21"/>
          <w:szCs w:val="21"/>
          <w:highlight w:val="none"/>
        </w:rPr>
      </w:pPr>
      <w:bookmarkStart w:id="7"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6FFD36FD">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08D72C7A">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068C771B">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kern w:val="2"/>
          <w:sz w:val="21"/>
          <w:szCs w:val="21"/>
          <w:highlight w:val="none"/>
          <w:u w:val="single"/>
          <w:lang w:val="en-US" w:eastAsia="zh-CN" w:bidi="ar-SA"/>
        </w:rPr>
        <w:t>科技大厦灯具改造项目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14:paraId="2C930755">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7"/>
    <w:p w14:paraId="75CDFB98">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14:paraId="59B3956B">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10D5744C">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14:paraId="5E89F102">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14:paraId="609FAFEB">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14:paraId="31D272EA">
      <w:pPr>
        <w:pStyle w:val="10"/>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14:paraId="1ED4AAFE">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1. e采通电子版投标文件递交的截止时间：见议程安排。</w:t>
      </w:r>
    </w:p>
    <w:p w14:paraId="5F932EDC">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14:paraId="0C5066DF">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邮寄地址：山东省济南市舜华南路688号未来科技大厦</w:t>
      </w:r>
    </w:p>
    <w:p w14:paraId="17C6B733">
      <w:pPr>
        <w:ind w:firstLine="420" w:firstLineChars="200"/>
        <w:rPr>
          <w:rFonts w:hint="default" w:ascii="宋体" w:hAnsi="宋体"/>
          <w:sz w:val="21"/>
          <w:szCs w:val="21"/>
          <w:highlight w:val="none"/>
          <w:lang w:val="en-US" w:eastAsia="zh-CN"/>
        </w:rPr>
      </w:pPr>
      <w:r>
        <w:rPr>
          <w:rFonts w:hint="eastAsia" w:ascii="宋体" w:hAnsi="宋体"/>
          <w:sz w:val="21"/>
          <w:szCs w:val="21"/>
          <w:highlight w:val="none"/>
          <w:lang w:val="en-US" w:eastAsia="zh-CN"/>
        </w:rPr>
        <w:t>联系人及联系方式：郭瑞超 13156419234</w:t>
      </w:r>
    </w:p>
    <w:p w14:paraId="75D949A3">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3.逾期递交的或者未在指定地点递交的投标文件，招标人不予受理。</w:t>
      </w:r>
    </w:p>
    <w:p w14:paraId="2E3992FF">
      <w:pPr>
        <w:ind w:firstLine="420" w:firstLineChars="200"/>
        <w:rPr>
          <w:rFonts w:hint="eastAsia"/>
          <w:lang w:val="en-US" w:eastAsia="zh-CN"/>
        </w:rPr>
      </w:pPr>
      <w:r>
        <w:rPr>
          <w:rFonts w:hint="eastAsia" w:ascii="宋体" w:hAnsi="宋体"/>
          <w:sz w:val="21"/>
          <w:szCs w:val="21"/>
          <w:highlight w:val="none"/>
          <w:lang w:val="en-US" w:eastAsia="zh-CN"/>
        </w:rPr>
        <w:t>4.电子版标书须在投标截止日期前上传到重汽e采通平台</w:t>
      </w:r>
      <w:r>
        <w:rPr>
          <w:rFonts w:hint="eastAsia" w:ascii="宋体" w:hAnsi="宋体"/>
          <w:sz w:val="21"/>
          <w:szCs w:val="21"/>
          <w:highlight w:val="none"/>
          <w:lang w:val="en-US" w:eastAsia="zh-CN"/>
        </w:rPr>
        <w:fldChar w:fldCharType="begin"/>
      </w:r>
      <w:r>
        <w:rPr>
          <w:rFonts w:hint="eastAsia" w:ascii="宋体" w:hAnsi="宋体"/>
          <w:sz w:val="21"/>
          <w:szCs w:val="21"/>
          <w:highlight w:val="none"/>
          <w:lang w:val="en-US" w:eastAsia="zh-CN"/>
        </w:rPr>
        <w:instrText xml:space="preserve"> HYPERLINK "https://ecaitong.sinotruk.com:8012/" \t "_blank" </w:instrText>
      </w:r>
      <w:r>
        <w:rPr>
          <w:rFonts w:hint="eastAsia" w:ascii="宋体" w:hAnsi="宋体"/>
          <w:sz w:val="21"/>
          <w:szCs w:val="21"/>
          <w:highlight w:val="none"/>
          <w:lang w:val="en-US" w:eastAsia="zh-CN"/>
        </w:rPr>
        <w:fldChar w:fldCharType="separate"/>
      </w:r>
      <w:r>
        <w:rPr>
          <w:rFonts w:hint="eastAsia" w:ascii="宋体" w:hAnsi="宋体"/>
          <w:sz w:val="21"/>
          <w:szCs w:val="21"/>
          <w:highlight w:val="none"/>
          <w:lang w:val="en-US" w:eastAsia="zh-CN"/>
        </w:rPr>
        <w:t>https://ecaitong.sinotruk.com:8012/</w:t>
      </w:r>
      <w:r>
        <w:rPr>
          <w:rFonts w:hint="eastAsia" w:ascii="宋体" w:hAnsi="宋体"/>
          <w:sz w:val="21"/>
          <w:szCs w:val="21"/>
          <w:highlight w:val="none"/>
          <w:lang w:val="en-US" w:eastAsia="zh-CN"/>
        </w:rPr>
        <w:fldChar w:fldCharType="end"/>
      </w:r>
      <w:r>
        <w:rPr>
          <w:rFonts w:hint="eastAsia" w:ascii="宋体" w:hAnsi="宋体"/>
          <w:sz w:val="21"/>
          <w:szCs w:val="21"/>
          <w:highlight w:val="none"/>
          <w:lang w:val="en-US" w:eastAsia="zh-CN"/>
        </w:rPr>
        <w:t xml:space="preserve"> ，操作方式详见《SRM-系统用户手册-非生产招投标（供应商使用）V1.0 》。若逾期未完成重汽e采通上传标书，即便递交了纸版投标文件，一律视为无效投标。</w:t>
      </w:r>
    </w:p>
    <w:p w14:paraId="74FDFBA0">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14:paraId="4BF7EA46">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7CB068FF">
      <w:pPr>
        <w:pStyle w:val="10"/>
        <w:ind w:firstLine="422" w:firstLineChars="200"/>
        <w:rPr>
          <w:rFonts w:hint="eastAsia"/>
          <w:b/>
          <w:highlight w:val="none"/>
        </w:rPr>
      </w:pPr>
      <w:r>
        <w:rPr>
          <w:rFonts w:hint="eastAsia"/>
          <w:b/>
          <w:highlight w:val="none"/>
        </w:rPr>
        <w:t>1.合格投标人：</w:t>
      </w:r>
    </w:p>
    <w:p w14:paraId="39FA2FC6">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14:paraId="4D2564B8">
      <w:pPr>
        <w:pStyle w:val="10"/>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p>
    <w:p w14:paraId="62F7A6DC">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14:paraId="259595CB">
      <w:pPr>
        <w:pStyle w:val="10"/>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14:paraId="067FDC4E">
      <w:pPr>
        <w:pStyle w:val="10"/>
        <w:ind w:firstLine="420" w:firstLineChars="200"/>
        <w:rPr>
          <w:rFonts w:hint="eastAsia"/>
          <w:highlight w:val="none"/>
        </w:rPr>
      </w:pPr>
      <w:r>
        <w:rPr>
          <w:rFonts w:hint="eastAsia"/>
          <w:highlight w:val="none"/>
          <w:lang w:val="en-US" w:eastAsia="zh-CN"/>
        </w:rPr>
        <w:t xml:space="preserve">（5）投标人之间必须具有充分的竞争关系； </w:t>
      </w:r>
    </w:p>
    <w:p w14:paraId="1B27C991">
      <w:pPr>
        <w:pStyle w:val="10"/>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14:paraId="217CCD87">
      <w:pPr>
        <w:pStyle w:val="10"/>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14:paraId="7003D4CE">
      <w:pPr>
        <w:pStyle w:val="10"/>
        <w:ind w:firstLine="420" w:firstLineChars="200"/>
        <w:rPr>
          <w:rFonts w:hint="eastAsia"/>
          <w:highlight w:val="none"/>
        </w:rPr>
      </w:pPr>
      <w:r>
        <w:rPr>
          <w:rFonts w:hint="eastAsia"/>
          <w:highlight w:val="none"/>
          <w:lang w:val="en-US" w:eastAsia="zh-CN"/>
        </w:rPr>
        <w:t xml:space="preserve">（8）没有被公司列入黑名单； </w:t>
      </w:r>
    </w:p>
    <w:p w14:paraId="63F96210">
      <w:pPr>
        <w:pStyle w:val="10"/>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14:paraId="44011E7B">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14:paraId="7F9625EE">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14:paraId="37234BA9">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14:paraId="342BF43E">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758DA03C">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14:paraId="66A76B38">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14:paraId="20E14BCD">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14:paraId="5D0A96D3">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14:paraId="1ED6EEAA">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753588EF">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14:paraId="304ABC7A">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418A5E43">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14:paraId="324D984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14:paraId="15538199">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42C4CF8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14:paraId="0B75ACB2">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14:paraId="324FBDD3">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14:paraId="4082279E">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14:paraId="391F4B2A">
      <w:pPr>
        <w:pStyle w:val="10"/>
        <w:ind w:firstLine="422" w:firstLineChars="200"/>
        <w:rPr>
          <w:rFonts w:hint="eastAsia"/>
          <w:b/>
          <w:szCs w:val="21"/>
          <w:highlight w:val="none"/>
        </w:rPr>
      </w:pPr>
      <w:r>
        <w:rPr>
          <w:rFonts w:hint="eastAsia"/>
          <w:b/>
          <w:szCs w:val="21"/>
          <w:highlight w:val="none"/>
        </w:rPr>
        <w:t>2.投标文件格式</w:t>
      </w:r>
    </w:p>
    <w:p w14:paraId="22261340">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64AA68DE">
      <w:pPr>
        <w:pStyle w:val="10"/>
        <w:ind w:firstLine="422" w:firstLineChars="200"/>
        <w:rPr>
          <w:rFonts w:hint="eastAsia"/>
          <w:b/>
          <w:szCs w:val="21"/>
          <w:highlight w:val="none"/>
        </w:rPr>
      </w:pPr>
      <w:r>
        <w:rPr>
          <w:rFonts w:hint="eastAsia"/>
          <w:b/>
          <w:szCs w:val="21"/>
          <w:highlight w:val="none"/>
        </w:rPr>
        <w:t>3.报价：</w:t>
      </w:r>
    </w:p>
    <w:p w14:paraId="361769F2">
      <w:pPr>
        <w:numPr>
          <w:ilvl w:val="0"/>
          <w:numId w:val="0"/>
        </w:numPr>
        <w:ind w:firstLine="420" w:firstLineChars="200"/>
        <w:rPr>
          <w:rFonts w:hint="eastAsia" w:eastAsia="宋体"/>
          <w:b/>
          <w:bCs/>
          <w:sz w:val="28"/>
          <w:szCs w:val="28"/>
          <w:highlight w:val="none"/>
          <w:u w:val="single"/>
          <w:lang w:eastAsia="zh-CN"/>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lang w:eastAsia="zh-CN"/>
        </w:rPr>
        <w:t>。</w:t>
      </w:r>
    </w:p>
    <w:p w14:paraId="6873A48F">
      <w:pPr>
        <w:pStyle w:val="10"/>
        <w:ind w:firstLine="422" w:firstLineChars="200"/>
        <w:rPr>
          <w:rFonts w:hint="eastAsia"/>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14:paraId="33E0AC63">
      <w:pPr>
        <w:rPr>
          <w:rFonts w:hint="default"/>
          <w:lang w:val="en-US" w:eastAsia="zh-CN"/>
        </w:rPr>
      </w:pPr>
      <w:r>
        <w:rPr>
          <w:rFonts w:hint="eastAsia"/>
          <w:b/>
          <w:bCs/>
          <w:sz w:val="21"/>
          <w:szCs w:val="21"/>
          <w:highlight w:val="none"/>
          <w:lang w:val="en-US" w:eastAsia="zh-CN"/>
        </w:rPr>
        <w:t xml:space="preserve">     项目预算：192万元，含税</w:t>
      </w:r>
    </w:p>
    <w:p w14:paraId="3040F757">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14:paraId="69484A9C">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cs="Times New Roman"/>
          <w:kern w:val="2"/>
          <w:sz w:val="21"/>
          <w:szCs w:val="21"/>
          <w:highlight w:val="none"/>
          <w:lang w:val="en-US" w:eastAsia="zh-CN" w:bidi="ar-SA"/>
        </w:rPr>
        <w:t>项目</w:t>
      </w:r>
      <w:r>
        <w:rPr>
          <w:rFonts w:hint="eastAsia" w:ascii="宋体" w:hAnsi="Courier New" w:eastAsia="宋体" w:cs="Times New Roman"/>
          <w:kern w:val="2"/>
          <w:sz w:val="21"/>
          <w:szCs w:val="21"/>
          <w:highlight w:val="none"/>
          <w:lang w:val="en-US" w:eastAsia="zh-CN" w:bidi="ar-SA"/>
        </w:rPr>
        <w:t>验收合格，</w:t>
      </w:r>
      <w:r>
        <w:rPr>
          <w:rFonts w:hint="eastAsia"/>
          <w:b/>
          <w:bCs/>
          <w:szCs w:val="21"/>
        </w:rPr>
        <w:t>乙方提供</w:t>
      </w:r>
      <w:r>
        <w:rPr>
          <w:rFonts w:hint="eastAsia" w:ascii="宋体" w:hAnsi="Courier New" w:eastAsia="宋体" w:cs="Times New Roman"/>
          <w:b/>
          <w:bCs/>
          <w:kern w:val="2"/>
          <w:sz w:val="21"/>
          <w:szCs w:val="21"/>
          <w:highlight w:val="none"/>
          <w:lang w:val="en-US" w:eastAsia="zh-CN" w:bidi="ar-SA"/>
        </w:rPr>
        <w:t>当批付款金额一致</w:t>
      </w:r>
      <w:r>
        <w:rPr>
          <w:rFonts w:hint="eastAsia" w:ascii="宋体" w:hAnsi="Courier New" w:cs="Times New Roman"/>
          <w:b/>
          <w:bCs/>
          <w:kern w:val="2"/>
          <w:sz w:val="21"/>
          <w:szCs w:val="21"/>
          <w:highlight w:val="none"/>
          <w:lang w:val="en-US" w:eastAsia="zh-CN" w:bidi="ar-SA"/>
        </w:rPr>
        <w:t>的</w:t>
      </w:r>
      <w:r>
        <w:rPr>
          <w:rFonts w:hint="eastAsia"/>
          <w:b/>
          <w:bCs/>
          <w:szCs w:val="21"/>
        </w:rPr>
        <w:t>增值税专用发票</w:t>
      </w:r>
      <w:r>
        <w:rPr>
          <w:rFonts w:hint="eastAsia" w:ascii="Times New Roman" w:hAnsi="Times New Roman" w:cs="Times New Roman"/>
          <w:b/>
          <w:bCs/>
          <w:szCs w:val="21"/>
          <w:lang w:val="en-US" w:eastAsia="zh-CN"/>
        </w:rPr>
        <w:t>经甲方审核无误后付款至</w:t>
      </w:r>
      <w:r>
        <w:rPr>
          <w:rFonts w:hint="eastAsia"/>
          <w:b/>
          <w:bCs/>
          <w:szCs w:val="21"/>
        </w:rPr>
        <w:t>项目总造价的</w:t>
      </w:r>
      <w:r>
        <w:rPr>
          <w:rFonts w:hint="eastAsia" w:ascii="宋体" w:hAnsi="Courier New" w:cs="Times New Roman"/>
          <w:kern w:val="2"/>
          <w:sz w:val="21"/>
          <w:szCs w:val="21"/>
          <w:highlight w:val="none"/>
          <w:u w:val="single"/>
          <w:lang w:val="en-US" w:eastAsia="zh-CN" w:bidi="ar-SA"/>
        </w:rPr>
        <w:t>70</w:t>
      </w:r>
      <w:r>
        <w:rPr>
          <w:rFonts w:hint="eastAsia" w:ascii="宋体" w:hAnsi="Courier New" w:eastAsia="宋体" w:cs="Times New Roman"/>
          <w:kern w:val="2"/>
          <w:sz w:val="21"/>
          <w:szCs w:val="21"/>
          <w:highlight w:val="none"/>
          <w:u w:val="single"/>
          <w:lang w:val="en-US" w:eastAsia="zh-CN" w:bidi="ar-SA"/>
        </w:rPr>
        <w:t>%</w:t>
      </w:r>
      <w:r>
        <w:rPr>
          <w:rFonts w:hint="eastAsia"/>
          <w:b/>
          <w:bCs/>
          <w:szCs w:val="21"/>
          <w:lang w:eastAsia="zh-CN"/>
        </w:rPr>
        <w:t>，</w:t>
      </w:r>
      <w:r>
        <w:rPr>
          <w:rFonts w:hint="eastAsia"/>
          <w:b/>
          <w:bCs/>
          <w:szCs w:val="21"/>
          <w:lang w:val="en-US" w:eastAsia="zh-CN"/>
        </w:rPr>
        <w:t>项目</w:t>
      </w:r>
      <w:r>
        <w:rPr>
          <w:rFonts w:hint="eastAsia"/>
          <w:b/>
          <w:bCs/>
          <w:szCs w:val="21"/>
        </w:rPr>
        <w:t>竣工验收</w:t>
      </w:r>
      <w:r>
        <w:rPr>
          <w:rFonts w:hint="eastAsia"/>
          <w:b/>
          <w:bCs/>
          <w:szCs w:val="21"/>
          <w:lang w:val="en-US" w:eastAsia="zh-CN"/>
        </w:rPr>
        <w:t>后</w:t>
      </w:r>
      <w:r>
        <w:rPr>
          <w:rFonts w:hint="eastAsia"/>
          <w:b/>
          <w:bCs/>
          <w:szCs w:val="21"/>
        </w:rPr>
        <w:t>送甲方指定的第三方审计公司审计（审计费由</w:t>
      </w:r>
      <w:r>
        <w:rPr>
          <w:rFonts w:hint="eastAsia"/>
          <w:b/>
          <w:bCs/>
          <w:szCs w:val="21"/>
          <w:lang w:val="en-US" w:eastAsia="zh-CN"/>
        </w:rPr>
        <w:t>乙</w:t>
      </w:r>
      <w:r>
        <w:rPr>
          <w:rFonts w:hint="eastAsia"/>
          <w:b/>
          <w:bCs/>
          <w:szCs w:val="21"/>
        </w:rPr>
        <w:t>方支付），按照审定额进行结算</w:t>
      </w:r>
      <w:r>
        <w:rPr>
          <w:rFonts w:hint="eastAsia"/>
          <w:b/>
          <w:bCs/>
          <w:szCs w:val="21"/>
          <w:lang w:eastAsia="zh-CN"/>
        </w:rPr>
        <w:t>，</w:t>
      </w:r>
      <w:r>
        <w:rPr>
          <w:rFonts w:hint="eastAsia" w:ascii="宋体" w:hAnsi="Courier New" w:eastAsia="宋体" w:cs="Times New Roman"/>
          <w:b/>
          <w:bCs/>
          <w:kern w:val="2"/>
          <w:sz w:val="21"/>
          <w:szCs w:val="21"/>
          <w:highlight w:val="none"/>
          <w:lang w:val="en-US" w:eastAsia="zh-CN" w:bidi="ar-SA"/>
        </w:rPr>
        <w:t>经甲方审核无误后付款至</w:t>
      </w:r>
      <w:r>
        <w:rPr>
          <w:rFonts w:hint="eastAsia"/>
          <w:b/>
          <w:bCs/>
          <w:szCs w:val="21"/>
        </w:rPr>
        <w:t>审定额</w:t>
      </w:r>
      <w:r>
        <w:rPr>
          <w:rFonts w:hint="eastAsia" w:ascii="宋体" w:hAnsi="Courier New" w:eastAsia="宋体" w:cs="Times New Roman"/>
          <w:b/>
          <w:bCs/>
          <w:kern w:val="2"/>
          <w:sz w:val="21"/>
          <w:szCs w:val="21"/>
          <w:highlight w:val="none"/>
          <w:lang w:val="en-US" w:eastAsia="zh-CN" w:bidi="ar-SA"/>
        </w:rPr>
        <w:t>的</w:t>
      </w:r>
      <w:r>
        <w:rPr>
          <w:rFonts w:hint="eastAsia" w:ascii="宋体" w:hAnsi="Courier New" w:eastAsia="宋体" w:cs="Times New Roman"/>
          <w:b/>
          <w:bCs/>
          <w:kern w:val="2"/>
          <w:sz w:val="21"/>
          <w:szCs w:val="21"/>
          <w:highlight w:val="none"/>
          <w:u w:val="single"/>
          <w:lang w:val="en-US" w:eastAsia="zh-CN" w:bidi="ar-SA"/>
        </w:rPr>
        <w:t>9</w:t>
      </w:r>
      <w:r>
        <w:rPr>
          <w:rFonts w:hint="eastAsia" w:ascii="宋体" w:hAnsi="Courier New" w:cs="Times New Roman"/>
          <w:b/>
          <w:bCs/>
          <w:kern w:val="2"/>
          <w:sz w:val="21"/>
          <w:szCs w:val="21"/>
          <w:highlight w:val="none"/>
          <w:u w:val="single"/>
          <w:lang w:val="en-US" w:eastAsia="zh-CN" w:bidi="ar-SA"/>
        </w:rPr>
        <w:t>5</w:t>
      </w:r>
      <w:r>
        <w:rPr>
          <w:rFonts w:hint="eastAsia" w:ascii="宋体" w:hAnsi="Courier New" w:eastAsia="宋体" w:cs="Times New Roman"/>
          <w:b/>
          <w:bCs/>
          <w:kern w:val="2"/>
          <w:sz w:val="21"/>
          <w:szCs w:val="21"/>
          <w:highlight w:val="none"/>
          <w:u w:val="single"/>
          <w:lang w:val="en-US" w:eastAsia="zh-CN" w:bidi="ar-SA"/>
        </w:rPr>
        <w:t>%</w:t>
      </w:r>
      <w:r>
        <w:rPr>
          <w:rFonts w:hint="eastAsia" w:ascii="宋体" w:hAnsi="Courier New" w:cs="Times New Roman"/>
          <w:kern w:val="2"/>
          <w:sz w:val="21"/>
          <w:szCs w:val="21"/>
          <w:highlight w:val="none"/>
          <w:lang w:val="en-US" w:eastAsia="zh-CN" w:bidi="ar-SA"/>
        </w:rPr>
        <w:t>。</w:t>
      </w:r>
      <w:r>
        <w:rPr>
          <w:rFonts w:hint="eastAsia" w:ascii="宋体" w:hAnsi="Courier New" w:eastAsia="宋体" w:cs="Times New Roman"/>
          <w:kern w:val="2"/>
          <w:sz w:val="21"/>
          <w:szCs w:val="21"/>
          <w:highlight w:val="none"/>
          <w:lang w:val="en-US" w:eastAsia="zh-CN" w:bidi="ar-SA"/>
        </w:rPr>
        <w:t>乙方提供当批付款金额一致的符合国家要求的增值税专用发票（如国家出台新政策对增值税率进行了调整，则不含税价款不变，本合同含税总价在不含税价基础上根据国家最新税率进行相应的调整）</w:t>
      </w:r>
      <w:r>
        <w:rPr>
          <w:rFonts w:hint="eastAsia" w:ascii="宋体" w:hAnsi="Courier New" w:cs="Times New Roman"/>
          <w:kern w:val="2"/>
          <w:sz w:val="21"/>
          <w:szCs w:val="21"/>
          <w:highlight w:val="none"/>
          <w:lang w:val="en-US" w:eastAsia="zh-CN" w:bidi="ar-SA"/>
        </w:rPr>
        <w:t>。</w:t>
      </w:r>
    </w:p>
    <w:p w14:paraId="30A1496C">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cs="Times New Roman"/>
          <w:kern w:val="2"/>
          <w:sz w:val="21"/>
          <w:szCs w:val="21"/>
          <w:highlight w:val="none"/>
          <w:u w:val="single"/>
          <w:lang w:val="en-US" w:eastAsia="zh-CN" w:bidi="ar-SA"/>
        </w:rPr>
        <w:t xml:space="preserve"> 5 </w:t>
      </w:r>
      <w:r>
        <w:rPr>
          <w:rFonts w:hint="eastAsia" w:ascii="宋体" w:hAnsi="Courier New" w:eastAsia="宋体" w:cs="Times New Roman"/>
          <w:kern w:val="2"/>
          <w:sz w:val="21"/>
          <w:szCs w:val="21"/>
          <w:highlight w:val="none"/>
          <w:u w:val="single"/>
          <w:lang w:val="en-US" w:eastAsia="zh-CN" w:bidi="ar-SA"/>
        </w:rPr>
        <w:t>%</w:t>
      </w:r>
      <w:r>
        <w:rPr>
          <w:rFonts w:hint="eastAsia" w:ascii="宋体" w:hAnsi="Courier New" w:eastAsia="宋体" w:cs="Times New Roman"/>
          <w:kern w:val="2"/>
          <w:sz w:val="21"/>
          <w:szCs w:val="21"/>
          <w:highlight w:val="none"/>
          <w:lang w:val="en-US" w:eastAsia="zh-CN" w:bidi="ar-SA"/>
        </w:rPr>
        <w:t>作为质保金，质保期</w:t>
      </w:r>
      <w:r>
        <w:rPr>
          <w:rFonts w:hint="eastAsia" w:ascii="宋体" w:hAnsi="Courier New" w:cs="Times New Roman"/>
          <w:kern w:val="2"/>
          <w:sz w:val="21"/>
          <w:szCs w:val="21"/>
          <w:highlight w:val="none"/>
          <w:lang w:val="en-US" w:eastAsia="zh-CN" w:bidi="ar-SA"/>
        </w:rPr>
        <w:t>满</w:t>
      </w:r>
      <w:r>
        <w:rPr>
          <w:rFonts w:hint="eastAsia" w:ascii="宋体" w:hAnsi="Courier New" w:eastAsia="宋体" w:cs="Times New Roman"/>
          <w:kern w:val="2"/>
          <w:sz w:val="21"/>
          <w:szCs w:val="21"/>
          <w:highlight w:val="none"/>
          <w:lang w:val="en-US" w:eastAsia="zh-CN" w:bidi="ar-SA"/>
        </w:rPr>
        <w:t>后无质量问题进行支付。</w:t>
      </w:r>
    </w:p>
    <w:p w14:paraId="69455412">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14:paraId="42DE2195">
      <w:pPr>
        <w:pStyle w:val="10"/>
        <w:ind w:firstLine="422" w:firstLineChars="200"/>
        <w:rPr>
          <w:rFonts w:hint="eastAsia"/>
          <w:b/>
          <w:szCs w:val="21"/>
          <w:highlight w:val="none"/>
        </w:rPr>
      </w:pPr>
      <w:r>
        <w:rPr>
          <w:rFonts w:hint="eastAsia"/>
          <w:b/>
          <w:szCs w:val="21"/>
          <w:highlight w:val="none"/>
        </w:rPr>
        <w:t>4.技术规范及服务</w:t>
      </w:r>
    </w:p>
    <w:p w14:paraId="07B59086">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47278D26">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02B75F65">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14:paraId="0B841782">
      <w:pPr>
        <w:pStyle w:val="10"/>
        <w:ind w:firstLine="422" w:firstLineChars="200"/>
        <w:rPr>
          <w:rFonts w:hint="eastAsia"/>
          <w:b/>
          <w:szCs w:val="21"/>
          <w:highlight w:val="none"/>
        </w:rPr>
      </w:pPr>
      <w:r>
        <w:rPr>
          <w:rFonts w:hint="eastAsia"/>
          <w:b/>
          <w:szCs w:val="21"/>
          <w:highlight w:val="none"/>
        </w:rPr>
        <w:t>5.其他</w:t>
      </w:r>
    </w:p>
    <w:p w14:paraId="3B154F81">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14:paraId="2E5D88BE">
      <w:pPr>
        <w:pStyle w:val="10"/>
        <w:ind w:firstLine="420" w:firstLineChars="200"/>
        <w:rPr>
          <w:rFonts w:hint="eastAsia"/>
          <w:szCs w:val="21"/>
          <w:highlight w:val="none"/>
        </w:rPr>
      </w:pPr>
      <w:r>
        <w:rPr>
          <w:rFonts w:hint="eastAsia"/>
          <w:szCs w:val="21"/>
          <w:highlight w:val="none"/>
        </w:rPr>
        <w:t>其余未尽事宜，均以双方最终签订的合同版本为准。</w:t>
      </w:r>
    </w:p>
    <w:p w14:paraId="4F7700D7">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14:paraId="68E902D5">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lang w:val="en-US" w:eastAsia="zh-CN"/>
        </w:rPr>
      </w:pPr>
      <w:r>
        <w:rPr>
          <w:rFonts w:hint="eastAsia" w:ascii="黑体" w:eastAsia="黑体"/>
          <w:b/>
          <w:bCs/>
          <w:sz w:val="28"/>
          <w:highlight w:val="none"/>
          <w:lang w:val="en-US" w:eastAsia="zh-CN"/>
        </w:rPr>
        <w:t>九</w:t>
      </w:r>
      <w:r>
        <w:rPr>
          <w:rFonts w:hint="eastAsia" w:ascii="黑体" w:eastAsia="黑体"/>
          <w:b/>
          <w:bCs/>
          <w:sz w:val="28"/>
          <w:highlight w:val="none"/>
        </w:rPr>
        <w:t>、</w:t>
      </w:r>
      <w:r>
        <w:rPr>
          <w:rFonts w:hint="eastAsia" w:ascii="黑体" w:eastAsia="黑体"/>
          <w:b/>
          <w:bCs/>
          <w:sz w:val="28"/>
          <w:highlight w:val="none"/>
          <w:lang w:val="en-US" w:eastAsia="zh-CN"/>
        </w:rPr>
        <w:t>评标规则</w:t>
      </w:r>
    </w:p>
    <w:p w14:paraId="007704B1">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7A96F055">
      <w:pPr>
        <w:pStyle w:val="10"/>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5E2E014A">
      <w:pPr>
        <w:pStyle w:val="10"/>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3EC226C9">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4127AB02">
      <w:pPr>
        <w:keepNext w:val="0"/>
        <w:keepLines w:val="0"/>
        <w:widowControl/>
        <w:suppressLineNumbers w:val="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p>
    <w:p w14:paraId="05E6B246">
      <w:pPr>
        <w:pStyle w:val="19"/>
        <w:rPr>
          <w:rFonts w:ascii="宋体" w:hAnsi="宋体"/>
          <w:kern w:val="0"/>
          <w:szCs w:val="21"/>
        </w:rPr>
      </w:pPr>
      <w:r>
        <w:rPr>
          <w:rFonts w:hint="eastAsia" w:ascii="宋体" w:hAnsi="宋体" w:cs="宋体"/>
          <w:highlight w:val="yellow"/>
          <w:lang w:val="en-US" w:eastAsia="zh-CN"/>
        </w:rPr>
        <w:t>本项目采用综合评标法，技术部分在总分值占比40%，商务部分占比60%。</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2265"/>
        <w:gridCol w:w="2265"/>
        <w:gridCol w:w="2102"/>
      </w:tblGrid>
      <w:tr w14:paraId="1B99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shd w:val="clear" w:color="auto" w:fill="auto"/>
            <w:noWrap w:val="0"/>
            <w:vAlign w:val="top"/>
          </w:tcPr>
          <w:p w14:paraId="6531F4BB">
            <w:pPr>
              <w:widowControl/>
              <w:snapToGrid/>
              <w:jc w:val="center"/>
              <w:textAlignment w:val="baseline"/>
              <w:rPr>
                <w:rFonts w:hint="eastAsia" w:ascii="宋体" w:hAnsi="宋体"/>
                <w:kern w:val="0"/>
                <w:szCs w:val="21"/>
              </w:rPr>
            </w:pPr>
            <w:r>
              <w:rPr>
                <w:rFonts w:hint="eastAsia" w:ascii="宋体" w:hAnsi="宋体"/>
                <w:kern w:val="0"/>
                <w:szCs w:val="21"/>
              </w:rPr>
              <w:t>评分因素</w:t>
            </w:r>
          </w:p>
        </w:tc>
        <w:tc>
          <w:tcPr>
            <w:tcW w:w="2265" w:type="dxa"/>
            <w:shd w:val="clear" w:color="auto" w:fill="auto"/>
            <w:noWrap w:val="0"/>
            <w:vAlign w:val="top"/>
          </w:tcPr>
          <w:p w14:paraId="15F8E727">
            <w:pPr>
              <w:widowControl/>
              <w:snapToGrid/>
              <w:jc w:val="center"/>
              <w:textAlignment w:val="baseline"/>
              <w:rPr>
                <w:rFonts w:hint="eastAsia" w:ascii="宋体" w:hAnsi="宋体"/>
                <w:kern w:val="0"/>
                <w:szCs w:val="21"/>
              </w:rPr>
            </w:pPr>
            <w:r>
              <w:rPr>
                <w:rFonts w:hint="eastAsia" w:ascii="宋体" w:hAnsi="宋体"/>
                <w:kern w:val="0"/>
                <w:szCs w:val="21"/>
              </w:rPr>
              <w:t>技术部分</w:t>
            </w:r>
          </w:p>
        </w:tc>
        <w:tc>
          <w:tcPr>
            <w:tcW w:w="2265" w:type="dxa"/>
            <w:shd w:val="clear" w:color="auto" w:fill="auto"/>
            <w:noWrap w:val="0"/>
            <w:vAlign w:val="top"/>
          </w:tcPr>
          <w:p w14:paraId="5C7D544A">
            <w:pPr>
              <w:widowControl/>
              <w:snapToGrid/>
              <w:jc w:val="center"/>
              <w:textAlignment w:val="baseline"/>
              <w:rPr>
                <w:rFonts w:hint="eastAsia" w:ascii="宋体" w:hAnsi="宋体"/>
                <w:kern w:val="0"/>
                <w:szCs w:val="21"/>
              </w:rPr>
            </w:pPr>
            <w:r>
              <w:rPr>
                <w:rFonts w:hint="eastAsia" w:ascii="宋体" w:hAnsi="宋体"/>
                <w:kern w:val="0"/>
                <w:szCs w:val="21"/>
              </w:rPr>
              <w:t>商务部分</w:t>
            </w:r>
          </w:p>
        </w:tc>
        <w:tc>
          <w:tcPr>
            <w:tcW w:w="2102" w:type="dxa"/>
            <w:shd w:val="clear" w:color="auto" w:fill="auto"/>
            <w:noWrap w:val="0"/>
            <w:vAlign w:val="top"/>
          </w:tcPr>
          <w:p w14:paraId="3F987C1E">
            <w:pPr>
              <w:widowControl/>
              <w:snapToGrid/>
              <w:jc w:val="center"/>
              <w:textAlignment w:val="baseline"/>
              <w:rPr>
                <w:rFonts w:hint="eastAsia" w:ascii="宋体" w:hAnsi="宋体"/>
                <w:kern w:val="0"/>
                <w:szCs w:val="21"/>
              </w:rPr>
            </w:pPr>
            <w:r>
              <w:rPr>
                <w:rFonts w:hint="eastAsia" w:ascii="宋体" w:hAnsi="宋体"/>
                <w:kern w:val="0"/>
                <w:szCs w:val="21"/>
              </w:rPr>
              <w:t>总分</w:t>
            </w:r>
          </w:p>
        </w:tc>
      </w:tr>
      <w:tr w14:paraId="69AB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shd w:val="clear" w:color="auto" w:fill="auto"/>
            <w:noWrap w:val="0"/>
            <w:vAlign w:val="top"/>
          </w:tcPr>
          <w:p w14:paraId="01A4E35B">
            <w:pPr>
              <w:widowControl/>
              <w:snapToGrid/>
              <w:jc w:val="center"/>
              <w:textAlignment w:val="baseline"/>
              <w:rPr>
                <w:rFonts w:hint="eastAsia" w:ascii="宋体" w:hAnsi="宋体"/>
                <w:kern w:val="0"/>
                <w:szCs w:val="21"/>
              </w:rPr>
            </w:pPr>
            <w:r>
              <w:rPr>
                <w:rFonts w:hint="eastAsia" w:ascii="宋体" w:hAnsi="宋体"/>
                <w:kern w:val="0"/>
                <w:szCs w:val="21"/>
              </w:rPr>
              <w:t>分值比重</w:t>
            </w:r>
          </w:p>
        </w:tc>
        <w:tc>
          <w:tcPr>
            <w:tcW w:w="2265" w:type="dxa"/>
            <w:shd w:val="clear" w:color="auto" w:fill="auto"/>
            <w:noWrap w:val="0"/>
            <w:vAlign w:val="top"/>
          </w:tcPr>
          <w:p w14:paraId="3F62CD14">
            <w:pPr>
              <w:widowControl/>
              <w:snapToGrid/>
              <w:jc w:val="center"/>
              <w:textAlignment w:val="baseline"/>
              <w:rPr>
                <w:rFonts w:hint="eastAsia" w:ascii="宋体" w:hAnsi="宋体"/>
                <w:kern w:val="0"/>
                <w:szCs w:val="21"/>
              </w:rPr>
            </w:pPr>
            <w:r>
              <w:rPr>
                <w:rFonts w:hint="eastAsia" w:ascii="宋体" w:hAnsi="宋体"/>
                <w:kern w:val="0"/>
                <w:szCs w:val="21"/>
                <w:lang w:val="en-US" w:eastAsia="zh-CN"/>
              </w:rPr>
              <w:t>4</w:t>
            </w:r>
            <w:r>
              <w:rPr>
                <w:rFonts w:hint="eastAsia" w:ascii="宋体" w:hAnsi="宋体"/>
                <w:kern w:val="0"/>
                <w:szCs w:val="21"/>
              </w:rPr>
              <w:t>0</w:t>
            </w:r>
          </w:p>
        </w:tc>
        <w:tc>
          <w:tcPr>
            <w:tcW w:w="2265" w:type="dxa"/>
            <w:shd w:val="clear" w:color="auto" w:fill="auto"/>
            <w:noWrap w:val="0"/>
            <w:vAlign w:val="top"/>
          </w:tcPr>
          <w:p w14:paraId="3E451A09">
            <w:pPr>
              <w:widowControl/>
              <w:snapToGrid/>
              <w:jc w:val="center"/>
              <w:textAlignment w:val="baseline"/>
              <w:rPr>
                <w:rFonts w:hint="eastAsia" w:ascii="宋体" w:hAnsi="宋体"/>
                <w:kern w:val="0"/>
                <w:szCs w:val="21"/>
              </w:rPr>
            </w:pPr>
            <w:r>
              <w:rPr>
                <w:rFonts w:hint="eastAsia" w:ascii="宋体" w:hAnsi="宋体"/>
                <w:kern w:val="0"/>
                <w:szCs w:val="21"/>
                <w:lang w:val="en-US" w:eastAsia="zh-CN"/>
              </w:rPr>
              <w:t>6</w:t>
            </w:r>
            <w:r>
              <w:rPr>
                <w:rFonts w:hint="eastAsia" w:ascii="宋体" w:hAnsi="宋体"/>
                <w:kern w:val="0"/>
                <w:szCs w:val="21"/>
              </w:rPr>
              <w:t>0</w:t>
            </w:r>
          </w:p>
        </w:tc>
        <w:tc>
          <w:tcPr>
            <w:tcW w:w="2102" w:type="dxa"/>
            <w:shd w:val="clear" w:color="auto" w:fill="auto"/>
            <w:noWrap w:val="0"/>
            <w:vAlign w:val="top"/>
          </w:tcPr>
          <w:p w14:paraId="78623567">
            <w:pPr>
              <w:widowControl/>
              <w:snapToGrid/>
              <w:jc w:val="center"/>
              <w:textAlignment w:val="baseline"/>
              <w:rPr>
                <w:rFonts w:hint="eastAsia" w:ascii="宋体" w:hAnsi="宋体"/>
                <w:kern w:val="0"/>
                <w:szCs w:val="21"/>
              </w:rPr>
            </w:pPr>
            <w:r>
              <w:rPr>
                <w:rFonts w:hint="eastAsia" w:ascii="宋体" w:hAnsi="宋体"/>
                <w:kern w:val="0"/>
                <w:szCs w:val="21"/>
              </w:rPr>
              <w:t>100</w:t>
            </w:r>
          </w:p>
        </w:tc>
      </w:tr>
    </w:tbl>
    <w:p w14:paraId="63AA06F1">
      <w:pPr>
        <w:pStyle w:val="15"/>
        <w:rPr>
          <w:rFonts w:hint="default"/>
          <w:lang w:val="en-US" w:eastAsia="zh-CN"/>
        </w:rPr>
      </w:pPr>
    </w:p>
    <w:p w14:paraId="1D5513E4">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cs="宋体"/>
          <w:highlight w:val="none"/>
          <w:lang w:val="en-US" w:eastAsia="zh-CN"/>
        </w:rPr>
        <w:t>技术标</w:t>
      </w:r>
      <w:r>
        <w:rPr>
          <w:rFonts w:hint="eastAsia" w:ascii="宋体" w:hAnsi="宋体" w:eastAsia="宋体" w:cs="宋体"/>
          <w:highlight w:val="none"/>
          <w:lang w:val="en-US" w:eastAsia="zh-CN"/>
        </w:rPr>
        <w:t>：</w:t>
      </w:r>
      <w:r>
        <w:rPr>
          <w:rFonts w:hint="eastAsia" w:ascii="宋体" w:hAnsi="宋体" w:eastAsia="宋体" w:cs="宋体"/>
          <w:b w:val="0"/>
          <w:bCs/>
          <w:sz w:val="21"/>
          <w:szCs w:val="21"/>
          <w:highlight w:val="none"/>
          <w:lang w:eastAsia="zh-CN"/>
        </w:rPr>
        <w:t>评标小组组织评/议标，</w:t>
      </w:r>
      <w:r>
        <w:rPr>
          <w:rFonts w:hint="eastAsia" w:ascii="宋体" w:hAnsi="宋体" w:eastAsia="宋体" w:cs="宋体"/>
          <w:b w:val="0"/>
          <w:bCs/>
          <w:sz w:val="21"/>
          <w:szCs w:val="21"/>
          <w:highlight w:val="none"/>
          <w:lang w:val="en-US" w:eastAsia="zh-CN"/>
        </w:rPr>
        <w:t>对各家投标单位的技术进行评审并进行技术标评分，</w:t>
      </w:r>
      <w:r>
        <w:rPr>
          <w:rFonts w:hint="eastAsia" w:ascii="宋体" w:hAnsi="宋体" w:eastAsia="宋体" w:cs="宋体"/>
          <w:b w:val="0"/>
          <w:bCs/>
          <w:sz w:val="21"/>
          <w:szCs w:val="21"/>
          <w:highlight w:val="none"/>
        </w:rPr>
        <w:t>具体</w:t>
      </w:r>
      <w:r>
        <w:rPr>
          <w:rFonts w:hint="eastAsia" w:ascii="宋体" w:hAnsi="宋体" w:eastAsia="宋体" w:cs="宋体"/>
          <w:b w:val="0"/>
          <w:bCs/>
          <w:color w:val="000000"/>
          <w:sz w:val="21"/>
          <w:szCs w:val="21"/>
          <w:highlight w:val="none"/>
        </w:rPr>
        <w:t>技术标评分标准见附件1</w:t>
      </w:r>
      <w:r>
        <w:rPr>
          <w:rFonts w:hint="eastAsia" w:ascii="宋体" w:hAnsi="宋体" w:eastAsia="宋体" w:cs="宋体"/>
          <w:b w:val="0"/>
          <w:bCs/>
          <w:color w:val="000000"/>
          <w:sz w:val="21"/>
          <w:szCs w:val="21"/>
          <w:highlight w:val="none"/>
          <w:lang w:val="en-US" w:eastAsia="zh-CN"/>
        </w:rPr>
        <w:t>4</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yellow"/>
          <w:lang w:val="en-US" w:eastAsia="zh-CN"/>
        </w:rPr>
        <w:t>技术标分数大于等于</w:t>
      </w:r>
      <w:r>
        <w:rPr>
          <w:rFonts w:hint="eastAsia" w:ascii="宋体" w:hAnsi="宋体" w:cs="宋体"/>
          <w:b w:val="0"/>
          <w:bCs/>
          <w:color w:val="000000"/>
          <w:sz w:val="21"/>
          <w:szCs w:val="21"/>
          <w:highlight w:val="yellow"/>
          <w:lang w:val="en-US" w:eastAsia="zh-CN"/>
        </w:rPr>
        <w:t>7</w:t>
      </w:r>
      <w:r>
        <w:rPr>
          <w:rFonts w:hint="eastAsia" w:ascii="宋体" w:hAnsi="宋体" w:eastAsia="宋体" w:cs="宋体"/>
          <w:b w:val="0"/>
          <w:bCs/>
          <w:color w:val="000000"/>
          <w:sz w:val="21"/>
          <w:szCs w:val="21"/>
          <w:highlight w:val="yellow"/>
          <w:lang w:val="en-US" w:eastAsia="zh-CN"/>
        </w:rPr>
        <w:t>0分以上推荐进入商务标环节</w:t>
      </w:r>
      <w:r>
        <w:rPr>
          <w:rFonts w:hint="eastAsia" w:ascii="宋体" w:hAnsi="宋体" w:cs="宋体"/>
          <w:b w:val="0"/>
          <w:bCs/>
          <w:color w:val="000000"/>
          <w:sz w:val="21"/>
          <w:szCs w:val="21"/>
          <w:highlight w:val="yellow"/>
          <w:lang w:val="en-US" w:eastAsia="zh-CN"/>
        </w:rPr>
        <w:t>。</w:t>
      </w:r>
    </w:p>
    <w:p w14:paraId="3FFFAECE">
      <w:pPr>
        <w:keepNext w:val="0"/>
        <w:keepLines w:val="0"/>
        <w:widowControl/>
        <w:suppressLineNumbers w:val="0"/>
        <w:ind w:firstLine="420" w:firstLineChars="200"/>
        <w:jc w:val="left"/>
        <w:rPr>
          <w:rFonts w:hint="eastAsia" w:ascii="宋体" w:hAnsi="宋体" w:cs="宋体"/>
          <w:b w:val="0"/>
          <w:bCs/>
          <w:color w:val="000000"/>
          <w:sz w:val="21"/>
          <w:szCs w:val="21"/>
          <w:highlight w:val="yellow"/>
          <w:lang w:val="en-US" w:eastAsia="zh-CN"/>
        </w:rPr>
      </w:pPr>
      <w:r>
        <w:rPr>
          <w:rFonts w:hint="eastAsia" w:ascii="宋体" w:hAnsi="宋体" w:cs="宋体"/>
          <w:b w:val="0"/>
          <w:bCs/>
          <w:color w:val="000000"/>
          <w:sz w:val="21"/>
          <w:szCs w:val="21"/>
          <w:highlight w:val="yellow"/>
          <w:lang w:val="en-US" w:eastAsia="zh-CN"/>
        </w:rPr>
        <w:t>商务标：</w:t>
      </w:r>
    </w:p>
    <w:p w14:paraId="00559898">
      <w:pPr>
        <w:keepNext w:val="0"/>
        <w:keepLines w:val="0"/>
        <w:widowControl/>
        <w:suppressLineNumbers w:val="0"/>
        <w:ind w:firstLine="420" w:firstLineChars="200"/>
        <w:jc w:val="left"/>
        <w:rPr>
          <w:rFonts w:hint="eastAsia" w:ascii="宋体" w:hAnsi="宋体" w:cs="宋体"/>
          <w:b/>
          <w:sz w:val="24"/>
          <w:szCs w:val="24"/>
          <w:highlight w:val="yellow"/>
          <w:lang w:eastAsia="zh-CN"/>
        </w:rPr>
      </w:pPr>
      <w:r>
        <w:rPr>
          <w:rFonts w:hint="eastAsia" w:ascii="宋体" w:hAnsi="宋体" w:cs="宋体"/>
          <w:b w:val="0"/>
          <w:bCs/>
          <w:color w:val="000000"/>
          <w:sz w:val="21"/>
          <w:szCs w:val="21"/>
          <w:highlight w:val="yellow"/>
          <w:lang w:val="en-US" w:eastAsia="zh-CN"/>
        </w:rPr>
        <w:t>第一轮：评标小组</w:t>
      </w:r>
      <w:r>
        <w:rPr>
          <w:rFonts w:hint="eastAsia" w:ascii="宋体" w:hAnsi="宋体" w:eastAsia="宋体" w:cs="宋体"/>
          <w:b w:val="0"/>
          <w:bCs/>
          <w:sz w:val="21"/>
          <w:szCs w:val="21"/>
          <w:highlight w:val="yellow"/>
          <w:lang w:eastAsia="zh-CN"/>
        </w:rPr>
        <w:t xml:space="preserve">在其报价的基础上开展谈判，根据谈判结果择优推荐至少 </w:t>
      </w:r>
      <w:r>
        <w:rPr>
          <w:rFonts w:hint="eastAsia" w:ascii="宋体" w:hAnsi="宋体" w:cs="宋体"/>
          <w:b w:val="0"/>
          <w:bCs/>
          <w:sz w:val="21"/>
          <w:szCs w:val="21"/>
          <w:highlight w:val="yellow"/>
          <w:lang w:val="en-US" w:eastAsia="zh-CN"/>
        </w:rPr>
        <w:t>3</w:t>
      </w:r>
      <w:r>
        <w:rPr>
          <w:rFonts w:hint="eastAsia" w:ascii="宋体" w:hAnsi="宋体" w:eastAsia="宋体" w:cs="宋体"/>
          <w:b w:val="0"/>
          <w:bCs/>
          <w:sz w:val="21"/>
          <w:szCs w:val="21"/>
          <w:highlight w:val="yellow"/>
          <w:lang w:eastAsia="zh-CN"/>
        </w:rPr>
        <w:t xml:space="preserve"> 家入围的候选中标人</w:t>
      </w:r>
      <w:r>
        <w:rPr>
          <w:rFonts w:hint="eastAsia" w:ascii="宋体" w:hAnsi="宋体" w:cs="宋体"/>
          <w:b w:val="0"/>
          <w:bCs/>
          <w:sz w:val="21"/>
          <w:szCs w:val="21"/>
          <w:highlight w:val="yellow"/>
          <w:lang w:eastAsia="zh-CN"/>
        </w:rPr>
        <w:t>；</w:t>
      </w:r>
    </w:p>
    <w:p w14:paraId="28529680">
      <w:pPr>
        <w:keepNext w:val="0"/>
        <w:keepLines w:val="0"/>
        <w:widowControl/>
        <w:suppressLineNumbers w:val="0"/>
        <w:ind w:firstLine="420" w:firstLineChars="200"/>
        <w:jc w:val="left"/>
        <w:rPr>
          <w:rFonts w:hint="eastAsia" w:ascii="宋体" w:hAnsi="宋体" w:cs="宋体"/>
          <w:highlight w:val="yellow"/>
          <w:lang w:val="en-US" w:eastAsia="zh-CN"/>
        </w:rPr>
      </w:pPr>
      <w:r>
        <w:rPr>
          <w:rFonts w:hint="eastAsia" w:ascii="宋体" w:hAnsi="宋体" w:eastAsia="宋体" w:cs="宋体"/>
          <w:highlight w:val="yellow"/>
          <w:lang w:val="en-US" w:eastAsia="zh-CN"/>
        </w:rPr>
        <w:t>第二轮：评标小组与第一轮入围的候选中标人开展谈判，</w:t>
      </w:r>
      <w:r>
        <w:rPr>
          <w:rFonts w:hint="eastAsia" w:ascii="宋体" w:hAnsi="宋体" w:cs="宋体"/>
          <w:highlight w:val="yellow"/>
          <w:lang w:val="en-US" w:eastAsia="zh-CN"/>
        </w:rPr>
        <w:t>；</w:t>
      </w:r>
    </w:p>
    <w:p w14:paraId="2D688374">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yellow"/>
        </w:rPr>
      </w:pPr>
      <w:r>
        <w:rPr>
          <w:rFonts w:hint="eastAsia" w:ascii="宋体" w:hAnsi="宋体" w:eastAsia="宋体" w:cs="宋体"/>
          <w:b w:val="0"/>
          <w:bCs/>
          <w:color w:val="000000"/>
          <w:sz w:val="21"/>
          <w:szCs w:val="21"/>
          <w:highlight w:val="yellow"/>
        </w:rPr>
        <w:t>第三轮</w:t>
      </w:r>
      <w:r>
        <w:rPr>
          <w:rFonts w:hint="eastAsia" w:ascii="宋体" w:hAnsi="宋体" w:cs="宋体"/>
          <w:b w:val="0"/>
          <w:bCs/>
          <w:color w:val="000000"/>
          <w:sz w:val="21"/>
          <w:szCs w:val="21"/>
          <w:highlight w:val="yellow"/>
          <w:lang w:eastAsia="zh-CN"/>
        </w:rPr>
        <w:t>：</w:t>
      </w:r>
      <w:r>
        <w:rPr>
          <w:rFonts w:hint="eastAsia" w:ascii="宋体" w:hAnsi="宋体" w:eastAsia="宋体" w:cs="宋体"/>
          <w:b w:val="0"/>
          <w:bCs/>
          <w:color w:val="000000"/>
          <w:sz w:val="21"/>
          <w:szCs w:val="21"/>
          <w:highlight w:val="yellow"/>
        </w:rPr>
        <w:t>招标方根据前两轮的招标结果，开展第三轮评标，</w:t>
      </w:r>
      <w:r>
        <w:rPr>
          <w:rFonts w:hint="eastAsia" w:ascii="宋体" w:hAnsi="宋体" w:eastAsia="宋体" w:cs="宋体"/>
          <w:highlight w:val="yellow"/>
          <w:lang w:val="en-US" w:eastAsia="zh-CN"/>
        </w:rPr>
        <w:t>择优推荐中标人</w:t>
      </w:r>
      <w:r>
        <w:rPr>
          <w:rFonts w:hint="eastAsia" w:ascii="宋体" w:hAnsi="宋体" w:cs="宋体"/>
          <w:highlight w:val="yellow"/>
          <w:lang w:val="en-US" w:eastAsia="zh-CN"/>
        </w:rPr>
        <w:t>（</w:t>
      </w:r>
      <w:r>
        <w:rPr>
          <w:rFonts w:hint="eastAsia" w:ascii="宋体" w:hAnsi="宋体"/>
          <w:szCs w:val="21"/>
          <w:highlight w:val="yellow"/>
        </w:rPr>
        <w:t>总分=技术标得分+最终商务标得分。</w:t>
      </w:r>
      <w:r>
        <w:rPr>
          <w:rFonts w:hint="eastAsia" w:ascii="宋体" w:hAnsi="宋体" w:cs="宋体"/>
          <w:highlight w:val="yellow"/>
          <w:lang w:val="en-US" w:eastAsia="zh-CN"/>
        </w:rPr>
        <w:t>）；</w:t>
      </w:r>
      <w:r>
        <w:rPr>
          <w:rFonts w:hint="eastAsia" w:ascii="宋体" w:hAnsi="宋体" w:cs="宋体"/>
          <w:b w:val="0"/>
          <w:bCs/>
          <w:color w:val="000000"/>
          <w:sz w:val="21"/>
          <w:szCs w:val="21"/>
          <w:highlight w:val="yellow"/>
          <w:lang w:val="en-US" w:eastAsia="zh-CN"/>
        </w:rPr>
        <w:t>我方保留多轮议价的权利</w:t>
      </w:r>
      <w:r>
        <w:rPr>
          <w:rFonts w:hint="eastAsia" w:ascii="宋体" w:hAnsi="宋体" w:eastAsia="宋体" w:cs="宋体"/>
          <w:b w:val="0"/>
          <w:bCs/>
          <w:color w:val="000000"/>
          <w:sz w:val="21"/>
          <w:szCs w:val="21"/>
          <w:highlight w:val="yellow"/>
        </w:rPr>
        <w:t>。</w:t>
      </w:r>
    </w:p>
    <w:p w14:paraId="3DA18922">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yellow"/>
          <w:lang w:eastAsia="zh-CN"/>
        </w:rPr>
      </w:pPr>
      <w:r>
        <w:rPr>
          <w:rFonts w:hint="eastAsia" w:ascii="宋体" w:hAnsi="宋体" w:cs="宋体"/>
          <w:kern w:val="0"/>
          <w:szCs w:val="21"/>
          <w:highlight w:val="yellow"/>
          <w:lang w:val="en-US" w:eastAsia="zh-CN"/>
        </w:rPr>
        <w:t>商务</w:t>
      </w:r>
      <w:r>
        <w:rPr>
          <w:rFonts w:hint="eastAsia" w:ascii="宋体" w:hAnsi="宋体" w:cs="宋体"/>
          <w:kern w:val="0"/>
          <w:szCs w:val="21"/>
          <w:highlight w:val="yellow"/>
        </w:rPr>
        <w:t>标报价得分＝（</w:t>
      </w:r>
      <w:r>
        <w:rPr>
          <w:rFonts w:hint="eastAsia" w:ascii="宋体" w:hAnsi="宋体" w:cs="宋体"/>
          <w:kern w:val="0"/>
          <w:szCs w:val="21"/>
          <w:highlight w:val="yellow"/>
          <w:lang w:val="en-US" w:eastAsia="zh-CN"/>
        </w:rPr>
        <w:t>最低价为</w:t>
      </w:r>
      <w:r>
        <w:rPr>
          <w:rFonts w:hint="eastAsia" w:ascii="宋体" w:hAnsi="宋体" w:cs="宋体"/>
          <w:kern w:val="0"/>
          <w:szCs w:val="21"/>
          <w:highlight w:val="yellow"/>
        </w:rPr>
        <w:t>基准价/投标报价）×</w:t>
      </w:r>
      <w:r>
        <w:rPr>
          <w:rFonts w:hint="eastAsia" w:ascii="宋体" w:hAnsi="宋体" w:cs="宋体"/>
          <w:kern w:val="0"/>
          <w:szCs w:val="21"/>
          <w:highlight w:val="yellow"/>
          <w:lang w:val="en-US" w:eastAsia="zh-CN"/>
        </w:rPr>
        <w:t>6</w:t>
      </w:r>
      <w:r>
        <w:rPr>
          <w:rFonts w:hint="eastAsia" w:ascii="宋体" w:hAnsi="宋体" w:cs="宋体"/>
          <w:kern w:val="0"/>
          <w:szCs w:val="21"/>
          <w:highlight w:val="yellow"/>
        </w:rPr>
        <w:t>0</w:t>
      </w:r>
      <w:r>
        <w:rPr>
          <w:rFonts w:hint="eastAsia" w:ascii="宋体" w:hAnsi="宋体" w:eastAsia="宋体" w:cs="宋体"/>
          <w:b w:val="0"/>
          <w:bCs/>
          <w:color w:val="000000"/>
          <w:sz w:val="21"/>
          <w:szCs w:val="21"/>
          <w:highlight w:val="yellow"/>
        </w:rPr>
        <w:t>（百分率、得分值小数点后保留两位， 第三位四舍五入 ）</w:t>
      </w:r>
      <w:r>
        <w:rPr>
          <w:rFonts w:hint="eastAsia" w:ascii="宋体" w:hAnsi="宋体" w:eastAsia="宋体" w:cs="宋体"/>
          <w:b w:val="0"/>
          <w:bCs/>
          <w:color w:val="000000"/>
          <w:sz w:val="21"/>
          <w:szCs w:val="21"/>
          <w:highlight w:val="yellow"/>
          <w:lang w:eastAsia="zh-CN"/>
        </w:rPr>
        <w:t>。</w:t>
      </w:r>
    </w:p>
    <w:p w14:paraId="5A850271">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yellow"/>
          <w:lang w:val="en-US" w:eastAsia="zh-CN"/>
        </w:rPr>
      </w:pPr>
      <w:r>
        <w:rPr>
          <w:rFonts w:hint="eastAsia" w:ascii="宋体" w:hAnsi="宋体" w:eastAsia="宋体" w:cs="宋体"/>
          <w:b w:val="0"/>
          <w:bCs/>
          <w:color w:val="000000"/>
          <w:sz w:val="21"/>
          <w:szCs w:val="21"/>
          <w:highlight w:val="yellow"/>
        </w:rPr>
        <w:t>中标人确定，根据技术标与商务标综合得分确定中标人：技术标得分占比为40%，商务标占比为60% 。综合得分（综合得分=技术标得分*40%+商务标得分*60%）最高的推荐为中标人。</w:t>
      </w:r>
    </w:p>
    <w:p w14:paraId="28B13F01">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cs="宋体"/>
          <w:color w:val="000000"/>
          <w:sz w:val="20"/>
          <w:szCs w:val="20"/>
          <w:highlight w:val="none"/>
        </w:rPr>
        <w:t>合同履约能力</w:t>
      </w:r>
      <w:r>
        <w:rPr>
          <w:rFonts w:hint="eastAsia" w:ascii="宋体" w:hAnsi="宋体" w:cs="宋体"/>
          <w:color w:val="000000"/>
          <w:sz w:val="20"/>
          <w:szCs w:val="20"/>
          <w:highlight w:val="none"/>
          <w:lang w:eastAsia="zh-CN"/>
        </w:rPr>
        <w:t>、</w:t>
      </w:r>
      <w:r>
        <w:rPr>
          <w:rFonts w:hint="eastAsia"/>
          <w:sz w:val="20"/>
          <w:szCs w:val="18"/>
          <w:highlight w:val="none"/>
        </w:rPr>
        <w:t>供货周期</w:t>
      </w:r>
      <w:r>
        <w:rPr>
          <w:rFonts w:hint="eastAsia"/>
          <w:sz w:val="20"/>
          <w:szCs w:val="18"/>
          <w:highlight w:val="none"/>
          <w:lang w:eastAsia="zh-CN"/>
        </w:rPr>
        <w:t>、</w:t>
      </w:r>
      <w:r>
        <w:rPr>
          <w:rFonts w:hint="eastAsia" w:ascii="宋体" w:hAnsi="宋体" w:cs="宋体"/>
          <w:sz w:val="20"/>
          <w:szCs w:val="20"/>
          <w:highlight w:val="none"/>
        </w:rPr>
        <w:t>售后服务</w:t>
      </w:r>
      <w:r>
        <w:rPr>
          <w:rFonts w:hint="eastAsia" w:ascii="宋体" w:hAnsi="宋体" w:cs="宋体"/>
          <w:sz w:val="20"/>
          <w:szCs w:val="20"/>
          <w:highlight w:val="none"/>
          <w:lang w:eastAsia="zh-CN"/>
        </w:rPr>
        <w:t>、</w:t>
      </w:r>
      <w:r>
        <w:rPr>
          <w:rFonts w:hint="eastAsia" w:ascii="宋体" w:hAnsi="宋体" w:cs="宋体"/>
          <w:color w:val="000000"/>
          <w:sz w:val="20"/>
          <w:szCs w:val="20"/>
          <w:highlight w:val="none"/>
        </w:rPr>
        <w:t>现场答疑</w:t>
      </w:r>
      <w:r>
        <w:rPr>
          <w:rFonts w:hint="eastAsia" w:ascii="宋体" w:hAnsi="宋体" w:cs="宋体"/>
          <w:color w:val="000000"/>
          <w:sz w:val="20"/>
          <w:szCs w:val="20"/>
          <w:highlight w:val="none"/>
          <w:lang w:eastAsia="zh-CN"/>
        </w:rPr>
        <w:t>、</w:t>
      </w:r>
      <w:r>
        <w:rPr>
          <w:rFonts w:hint="eastAsia" w:ascii="宋体" w:hAnsi="宋体" w:cs="宋体"/>
          <w:sz w:val="20"/>
          <w:szCs w:val="20"/>
          <w:highlight w:val="none"/>
        </w:rPr>
        <w:t>响应及偏离</w:t>
      </w:r>
      <w:r>
        <w:rPr>
          <w:rFonts w:hint="eastAsia" w:ascii="宋体" w:hAnsi="宋体"/>
          <w:szCs w:val="21"/>
          <w:highlight w:val="none"/>
          <w:lang w:val="en-US" w:eastAsia="zh-CN"/>
        </w:rPr>
        <w:t>进行评分。</w:t>
      </w:r>
    </w:p>
    <w:p w14:paraId="667105A8">
      <w:pPr>
        <w:pStyle w:val="19"/>
        <w:ind w:left="0" w:leftChars="0" w:firstLine="420" w:firstLineChars="200"/>
        <w:rPr>
          <w:rFonts w:hint="eastAsia" w:ascii="宋体" w:hAnsi="宋体" w:eastAsia="宋体" w:cs="宋体"/>
          <w:b w:val="0"/>
          <w:bCs/>
          <w:color w:val="000000"/>
          <w:kern w:val="2"/>
          <w:sz w:val="21"/>
          <w:szCs w:val="21"/>
          <w:highlight w:val="none"/>
          <w:lang w:val="en-US" w:eastAsia="zh-CN" w:bidi="ar-SA"/>
        </w:rPr>
      </w:pPr>
      <w:r>
        <w:rPr>
          <w:rFonts w:hint="eastAsia" w:ascii="宋体" w:hAnsi="宋体" w:eastAsia="宋体" w:cs="宋体"/>
          <w:b w:val="0"/>
          <w:bCs/>
          <w:color w:val="000000"/>
          <w:kern w:val="2"/>
          <w:sz w:val="21"/>
          <w:szCs w:val="21"/>
          <w:highlight w:val="none"/>
          <w:lang w:val="en-US" w:eastAsia="zh-CN" w:bidi="ar-SA"/>
        </w:rPr>
        <w:t>A.合同履约能力（40分）</w:t>
      </w:r>
    </w:p>
    <w:p w14:paraId="75C2BB5A">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依据投标人的运营状况、经营业绩、以往合同履约情况（如有）、采购合同、财务状况、生产能力和服务体系评分，满分20分，每缺少一项扣除2分。</w:t>
      </w:r>
    </w:p>
    <w:p w14:paraId="568540B7">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投标方针对本项目的设计方案讲解，智能设备、网络系统部署及设备的稳定性保障承诺</w:t>
      </w:r>
      <w:r>
        <w:rPr>
          <w:rFonts w:hint="eastAsia" w:ascii="宋体" w:hAnsi="宋体" w:eastAsia="宋体" w:cs="宋体"/>
          <w:b w:val="0"/>
          <w:bCs/>
          <w:color w:val="000000"/>
          <w:sz w:val="21"/>
          <w:szCs w:val="21"/>
          <w:highlight w:val="none"/>
        </w:rPr>
        <w:t>，满分</w:t>
      </w:r>
      <w:r>
        <w:rPr>
          <w:rFonts w:hint="eastAsia" w:ascii="宋体" w:hAnsi="宋体" w:eastAsia="宋体" w:cs="宋体"/>
          <w:b w:val="0"/>
          <w:bCs/>
          <w:color w:val="000000"/>
          <w:sz w:val="21"/>
          <w:szCs w:val="21"/>
          <w:highlight w:val="none"/>
          <w:lang w:val="en-US" w:eastAsia="zh-CN"/>
        </w:rPr>
        <w:t>2</w:t>
      </w:r>
      <w:r>
        <w:rPr>
          <w:rFonts w:hint="eastAsia" w:ascii="宋体" w:hAnsi="宋体" w:eastAsia="宋体" w:cs="宋体"/>
          <w:b w:val="0"/>
          <w:bCs/>
          <w:color w:val="000000"/>
          <w:sz w:val="21"/>
          <w:szCs w:val="21"/>
          <w:highlight w:val="none"/>
        </w:rPr>
        <w:t>0分。</w:t>
      </w:r>
    </w:p>
    <w:p w14:paraId="6472FB1F">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B.供货、完工周期（20分）</w:t>
      </w:r>
    </w:p>
    <w:p w14:paraId="6745F0F7">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视供货、完工周期长短在0-20之间进行赋分，30天以内完成者15-20分，40天至10天以内完成者10-15分，50天至13天</w:t>
      </w:r>
      <w:r>
        <w:rPr>
          <w:rFonts w:hint="eastAsia" w:ascii="宋体" w:hAnsi="宋体" w:cs="宋体"/>
          <w:b w:val="0"/>
          <w:bCs/>
          <w:color w:val="000000"/>
          <w:sz w:val="21"/>
          <w:szCs w:val="21"/>
          <w:highlight w:val="none"/>
          <w:lang w:val="en-US" w:eastAsia="zh-CN"/>
        </w:rPr>
        <w:t>完成</w:t>
      </w:r>
      <w:r>
        <w:rPr>
          <w:rFonts w:hint="eastAsia" w:ascii="宋体" w:hAnsi="宋体" w:eastAsia="宋体" w:cs="宋体"/>
          <w:b w:val="0"/>
          <w:bCs/>
          <w:color w:val="000000"/>
          <w:sz w:val="21"/>
          <w:szCs w:val="21"/>
          <w:highlight w:val="none"/>
          <w:lang w:val="en-US" w:eastAsia="zh-CN"/>
        </w:rPr>
        <w:t>者0-10分。</w:t>
      </w:r>
    </w:p>
    <w:p w14:paraId="04E688DE">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C.售后服务（10分）</w:t>
      </w:r>
    </w:p>
    <w:p w14:paraId="7F340D49">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针对投标方的运营状况、经营范围、投标方近三年来同类产品销售业绩（具体案例以提供合同复印件为准）、在集团内服务质量情况进行考核。</w:t>
      </w:r>
    </w:p>
    <w:p w14:paraId="6373D397">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D.现场答疑（20分）</w:t>
      </w:r>
    </w:p>
    <w:p w14:paraId="26E560CD">
      <w:pPr>
        <w:keepNext w:val="0"/>
        <w:keepLines w:val="0"/>
        <w:widowControl/>
        <w:suppressLineNumbers w:val="0"/>
        <w:ind w:firstLine="420" w:firstLineChars="200"/>
        <w:jc w:val="left"/>
        <w:rPr>
          <w:rFonts w:hint="default"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投标人代表对灯具改造项目方案、质量、安全、进度进行讲解，以及就该项目亮点回答、年节约电费测算、投资回报周期及评标专家现场提问，打分0-20分。</w:t>
      </w:r>
    </w:p>
    <w:p w14:paraId="65CEEBEE">
      <w:pPr>
        <w:keepNext w:val="0"/>
        <w:keepLines w:val="0"/>
        <w:widowControl/>
        <w:suppressLineNumbers w:val="0"/>
        <w:ind w:firstLine="420" w:firstLineChars="200"/>
        <w:jc w:val="lef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E.响应及偏离(10分）</w:t>
      </w:r>
    </w:p>
    <w:p w14:paraId="1AF3768D">
      <w:pPr>
        <w:keepNext w:val="0"/>
        <w:keepLines w:val="0"/>
        <w:widowControl/>
        <w:suppressLineNumbers w:val="0"/>
        <w:ind w:firstLine="420" w:firstLineChars="200"/>
        <w:jc w:val="left"/>
        <w:rPr>
          <w:rFonts w:hint="default"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由评标委员会成员独立进行客观、公正的评价，根据各投标单位的核心产品的配置参数、技术偏离情况，在满足我司技术基本要求的前提下偏离，无偏离得满分10分，较大偏离每一项扣2分，一般偏离每一项扣1分，最低0分。</w:t>
      </w:r>
    </w:p>
    <w:p w14:paraId="22EE0320">
      <w:pPr>
        <w:pStyle w:val="10"/>
        <w:spacing w:line="360" w:lineRule="auto"/>
        <w:ind w:firstLine="420" w:firstLineChars="200"/>
        <w:rPr>
          <w:rFonts w:hint="eastAsia"/>
          <w:b/>
          <w:bCs/>
          <w:color w:val="auto"/>
          <w:highlight w:val="none"/>
          <w:lang w:eastAsia="zh-CN"/>
        </w:rPr>
      </w:pPr>
      <w:r>
        <w:rPr>
          <w:rFonts w:hint="eastAsia" w:ascii="宋体" w:hAnsi="Courier New" w:eastAsia="宋体" w:cs="Times New Roman"/>
          <w:b w:val="0"/>
          <w:bCs w:val="0"/>
          <w:color w:val="auto"/>
          <w:kern w:val="2"/>
          <w:sz w:val="21"/>
          <w:highlight w:val="none"/>
          <w:lang w:val="en-US" w:eastAsia="zh-CN" w:bidi="ar-SA"/>
        </w:rPr>
        <w:t>（</w:t>
      </w:r>
      <w:r>
        <w:rPr>
          <w:rFonts w:hint="eastAsia" w:cs="Times New Roman"/>
          <w:b w:val="0"/>
          <w:bCs w:val="0"/>
          <w:color w:val="auto"/>
          <w:kern w:val="2"/>
          <w:sz w:val="21"/>
          <w:highlight w:val="none"/>
          <w:lang w:val="en-US" w:eastAsia="zh-CN" w:bidi="ar-SA"/>
        </w:rPr>
        <w:t>5</w:t>
      </w:r>
      <w:r>
        <w:rPr>
          <w:rFonts w:hint="eastAsia" w:ascii="宋体" w:hAnsi="Courier New" w:eastAsia="宋体" w:cs="Times New Roman"/>
          <w:b w:val="0"/>
          <w:bCs w:val="0"/>
          <w:color w:val="auto"/>
          <w:kern w:val="2"/>
          <w:sz w:val="21"/>
          <w:highlight w:val="none"/>
          <w:lang w:val="en-US" w:eastAsia="zh-CN" w:bidi="ar-SA"/>
        </w:rPr>
        <w:t>）</w:t>
      </w:r>
      <w:r>
        <w:rPr>
          <w:rFonts w:hint="eastAsia" w:hAnsi="宋体" w:cs="宋体"/>
          <w:b w:val="0"/>
          <w:bCs/>
          <w:color w:val="000000"/>
          <w:sz w:val="21"/>
          <w:szCs w:val="21"/>
          <w:highlight w:val="none"/>
        </w:rPr>
        <w:t>招标人有权根据项目情况，采取</w:t>
      </w:r>
      <w:r>
        <w:rPr>
          <w:rFonts w:hint="eastAsia" w:hAnsi="宋体" w:cs="宋体"/>
          <w:b/>
          <w:bCs w:val="0"/>
          <w:color w:val="000000"/>
          <w:sz w:val="21"/>
          <w:szCs w:val="21"/>
          <w:highlight w:val="none"/>
        </w:rPr>
        <w:t>多级评标模式</w:t>
      </w:r>
      <w:r>
        <w:rPr>
          <w:rFonts w:hint="eastAsia" w:hAnsi="宋体" w:cs="宋体"/>
          <w:b w:val="0"/>
          <w:bCs/>
          <w:color w:val="000000"/>
          <w:sz w:val="21"/>
          <w:szCs w:val="21"/>
          <w:highlight w:val="none"/>
        </w:rPr>
        <w:t>。评标流程以及规则详细见评标规则。</w:t>
      </w:r>
    </w:p>
    <w:p w14:paraId="48D128AD">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注意：商务标每一轮填报澄清报价均有时间限制，投标人应关注e采通本轮报价截止时间，到点后未能提交的按无效处理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0C46C20D">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ascii="宋体" w:hAnsi="宋体" w:cs="宋体"/>
          <w:highlight w:val="none"/>
          <w:lang w:val="en-US" w:eastAsia="zh-CN"/>
        </w:rPr>
        <w:t>采用</w:t>
      </w:r>
      <w:r>
        <w:rPr>
          <w:rFonts w:hint="eastAsia" w:ascii="宋体" w:hAnsi="宋体" w:cs="宋体"/>
          <w:b/>
          <w:bCs/>
          <w:highlight w:val="yellow"/>
          <w:lang w:val="en-US" w:eastAsia="zh-CN"/>
        </w:rPr>
        <w:t>技术+商务综合评分最高者</w:t>
      </w:r>
      <w:r>
        <w:rPr>
          <w:rFonts w:hint="eastAsia"/>
          <w:b/>
          <w:bCs/>
          <w:color w:val="auto"/>
          <w:highlight w:val="yellow"/>
          <w:lang w:val="en-US" w:eastAsia="zh-CN"/>
        </w:rPr>
        <w:t>确认一家为中标人</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24B38E40">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132E9844">
      <w:pPr>
        <w:pStyle w:val="10"/>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14:paraId="39F7B99A">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573A4BF6">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14:paraId="1F5DC53A">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635DF5E9">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5537B29A">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7111B967">
      <w:pPr>
        <w:pStyle w:val="10"/>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1FBB7B92">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14:paraId="071F4008">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14:paraId="6499E1E0">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14:paraId="0BB46DEB">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14:paraId="73DDE1BE">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14:paraId="4DAF8890">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14:paraId="03D1E0A6">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14:paraId="325445D9">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14:paraId="52A16851">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14:paraId="26A28772">
      <w:pPr>
        <w:pStyle w:val="10"/>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1F16F289">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FE9E913">
      <w:pPr>
        <w:rPr>
          <w:rFonts w:hint="eastAsia"/>
          <w:sz w:val="44"/>
          <w:szCs w:val="44"/>
          <w:highlight w:val="none"/>
        </w:rPr>
      </w:pPr>
      <w:bookmarkStart w:id="8" w:name="_Toc54267470"/>
      <w:bookmarkStart w:id="9" w:name="_Toc29554"/>
    </w:p>
    <w:p w14:paraId="73E6CFDB">
      <w:pPr>
        <w:pStyle w:val="17"/>
        <w:rPr>
          <w:rFonts w:hint="eastAsia"/>
          <w:sz w:val="44"/>
          <w:szCs w:val="44"/>
          <w:highlight w:val="none"/>
        </w:rPr>
      </w:pPr>
      <w:r>
        <w:rPr>
          <w:rFonts w:hint="eastAsia"/>
          <w:sz w:val="44"/>
          <w:szCs w:val="44"/>
          <w:highlight w:val="none"/>
        </w:rPr>
        <w:t>第二章  投标文件编制</w:t>
      </w:r>
      <w:bookmarkEnd w:id="8"/>
      <w:bookmarkEnd w:id="9"/>
    </w:p>
    <w:p w14:paraId="510A8B07">
      <w:pPr>
        <w:pStyle w:val="10"/>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16DD096">
      <w:pPr>
        <w:pStyle w:val="10"/>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351FF0C">
      <w:pPr>
        <w:pStyle w:val="10"/>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7D55F38C">
      <w:pPr>
        <w:pStyle w:val="10"/>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26178770">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492DD2F5">
      <w:pPr>
        <w:ind w:firstLine="422" w:firstLineChars="200"/>
        <w:rPr>
          <w:rFonts w:ascii="宋体" w:hAnsi="宋体"/>
          <w:b/>
          <w:bCs/>
          <w:szCs w:val="21"/>
          <w:highlight w:val="none"/>
        </w:rPr>
      </w:pPr>
      <w:bookmarkStart w:id="10"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0"/>
    </w:p>
    <w:p w14:paraId="70B7882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1）营业执照副本复印件；</w:t>
      </w:r>
    </w:p>
    <w:p w14:paraId="77D942C2">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2）投标函（附件1）；</w:t>
      </w:r>
    </w:p>
    <w:p w14:paraId="5426ACAF">
      <w:pPr>
        <w:spacing w:line="360" w:lineRule="auto"/>
        <w:ind w:firstLine="420" w:firstLineChars="200"/>
        <w:rPr>
          <w:rFonts w:hint="eastAsia" w:ascii="宋体" w:hAnsi="宋体" w:cs="宋体"/>
          <w:b/>
          <w:color w:val="000000"/>
          <w:sz w:val="21"/>
          <w:szCs w:val="21"/>
          <w:highlight w:val="none"/>
        </w:rPr>
      </w:pPr>
      <w:r>
        <w:rPr>
          <w:rFonts w:hint="eastAsia" w:ascii="宋体" w:hAnsi="宋体" w:cs="宋体"/>
          <w:color w:val="000000"/>
          <w:sz w:val="21"/>
          <w:szCs w:val="21"/>
          <w:highlight w:val="none"/>
        </w:rPr>
        <w:t>3）法定代表人授权书（附件2）；法定代表人参加投标的，提供法人身份证明文件即可；被授权人参加投标的，需提供法定代表人授权委托书</w:t>
      </w:r>
      <w:r>
        <w:rPr>
          <w:rFonts w:hint="eastAsia" w:ascii="宋体" w:hAnsi="宋体" w:cs="宋体"/>
          <w:b/>
          <w:color w:val="000000"/>
          <w:sz w:val="21"/>
          <w:szCs w:val="21"/>
          <w:highlight w:val="none"/>
        </w:rPr>
        <w:t>（含法人身份证和被授权人身份证正反面复印件）</w:t>
      </w:r>
      <w:r>
        <w:rPr>
          <w:rFonts w:hint="eastAsia" w:ascii="宋体" w:hAnsi="宋体" w:cs="宋体"/>
          <w:bCs/>
          <w:color w:val="000000"/>
          <w:sz w:val="21"/>
          <w:szCs w:val="21"/>
          <w:highlight w:val="none"/>
        </w:rPr>
        <w:t>和</w:t>
      </w:r>
      <w:r>
        <w:rPr>
          <w:rFonts w:hint="eastAsia" w:ascii="宋体" w:hAnsi="宋体" w:cs="宋体"/>
          <w:sz w:val="21"/>
          <w:szCs w:val="21"/>
          <w:highlight w:val="none"/>
        </w:rPr>
        <w:t>被授权人</w:t>
      </w:r>
      <w:r>
        <w:rPr>
          <w:rFonts w:hint="eastAsia" w:ascii="宋体" w:hAnsi="宋体" w:cs="宋体"/>
          <w:kern w:val="0"/>
          <w:sz w:val="21"/>
          <w:szCs w:val="21"/>
          <w:highlight w:val="none"/>
          <w:lang w:bidi="en-US"/>
        </w:rPr>
        <w:t>近</w:t>
      </w:r>
      <w:r>
        <w:rPr>
          <w:rFonts w:hint="eastAsia" w:ascii="宋体" w:hAnsi="宋体" w:cs="宋体"/>
          <w:kern w:val="0"/>
          <w:sz w:val="21"/>
          <w:szCs w:val="21"/>
          <w:highlight w:val="none"/>
          <w:u w:val="single"/>
          <w:lang w:bidi="en-US"/>
        </w:rPr>
        <w:t>6个月及以上</w:t>
      </w:r>
      <w:r>
        <w:rPr>
          <w:rFonts w:hint="eastAsia" w:ascii="宋体" w:hAnsi="宋体" w:cs="宋体"/>
          <w:kern w:val="0"/>
          <w:sz w:val="21"/>
          <w:szCs w:val="21"/>
          <w:highlight w:val="none"/>
          <w:lang w:bidi="en-US"/>
        </w:rPr>
        <w:t>社保缴纳证明</w:t>
      </w:r>
      <w:r>
        <w:rPr>
          <w:rFonts w:hint="eastAsia" w:ascii="宋体" w:hAnsi="宋体" w:cs="宋体"/>
          <w:b/>
          <w:color w:val="000000"/>
          <w:sz w:val="21"/>
          <w:szCs w:val="21"/>
          <w:highlight w:val="none"/>
        </w:rPr>
        <w:t>；</w:t>
      </w:r>
    </w:p>
    <w:p w14:paraId="695D38BE">
      <w:pPr>
        <w:spacing w:line="360" w:lineRule="auto"/>
        <w:ind w:firstLine="420" w:firstLineChars="200"/>
        <w:rPr>
          <w:rFonts w:hint="eastAsia" w:ascii="宋体" w:hAnsi="宋体" w:cs="宋体"/>
          <w:color w:val="000000"/>
          <w:sz w:val="21"/>
          <w:szCs w:val="21"/>
          <w:highlight w:val="none"/>
        </w:rPr>
      </w:pPr>
      <w:r>
        <w:rPr>
          <w:rFonts w:hint="eastAsia" w:ascii="宋体" w:hAnsi="宋体" w:cs="宋体"/>
          <w:bCs/>
          <w:color w:val="000000"/>
          <w:sz w:val="21"/>
          <w:szCs w:val="21"/>
          <w:highlight w:val="none"/>
        </w:rPr>
        <w:t>4）</w:t>
      </w:r>
      <w:r>
        <w:rPr>
          <w:rFonts w:hint="eastAsia" w:ascii="宋体" w:hAnsi="宋体" w:cs="宋体"/>
          <w:color w:val="000000"/>
          <w:sz w:val="21"/>
          <w:szCs w:val="21"/>
          <w:highlight w:val="none"/>
        </w:rPr>
        <w:t>近三年经第三方机构审计的财务报表（资产负债表、损益表、现金流量表）复印件，必须连续；对于境外投标人，若没有财务审计报告，需提供资产负债表、利润表、现金流量表（加盖公章版），且未显示异常；</w:t>
      </w:r>
    </w:p>
    <w:p w14:paraId="0410AABE">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5）近三年内在经营活动中没有违法违纪行为的声明；</w:t>
      </w:r>
    </w:p>
    <w:p w14:paraId="3167BD6B">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6）投标单位在国家企业信用信息公示系统中无与本项目有关的行政处罚、经营异常和失信信息的声明；</w:t>
      </w:r>
    </w:p>
    <w:p w14:paraId="471821E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7）</w:t>
      </w:r>
      <w:r>
        <w:rPr>
          <w:rFonts w:ascii="宋体" w:hAnsi="宋体" w:cs="宋体"/>
          <w:sz w:val="21"/>
          <w:szCs w:val="21"/>
          <w:highlight w:val="none"/>
        </w:rPr>
        <w:t>企业最近半年完税证明</w:t>
      </w:r>
      <w:r>
        <w:rPr>
          <w:rFonts w:hint="eastAsia" w:ascii="宋体" w:hAnsi="宋体" w:cs="宋体"/>
          <w:sz w:val="21"/>
          <w:szCs w:val="21"/>
          <w:highlight w:val="none"/>
        </w:rPr>
        <w:t>、</w:t>
      </w:r>
      <w:r>
        <w:rPr>
          <w:rFonts w:hint="eastAsia" w:ascii="宋体" w:hAnsi="宋体" w:cs="宋体"/>
          <w:color w:val="000000"/>
          <w:sz w:val="21"/>
          <w:szCs w:val="21"/>
          <w:highlight w:val="none"/>
        </w:rPr>
        <w:t>企业信用证明材料（中国人民银行出具的征信报告）；</w:t>
      </w:r>
    </w:p>
    <w:p w14:paraId="42D9898B">
      <w:pPr>
        <w:spacing w:line="360" w:lineRule="auto"/>
        <w:ind w:firstLine="420" w:firstLineChars="200"/>
        <w:rPr>
          <w:rFonts w:hint="eastAsia" w:ascii="宋体" w:hAnsi="宋体" w:cs="宋体"/>
          <w:sz w:val="21"/>
          <w:szCs w:val="21"/>
          <w:highlight w:val="none"/>
        </w:rPr>
      </w:pPr>
      <w:r>
        <w:rPr>
          <w:rFonts w:hint="eastAsia" w:ascii="宋体" w:hAnsi="宋体" w:cs="宋体"/>
          <w:color w:val="000000"/>
          <w:sz w:val="21"/>
          <w:szCs w:val="21"/>
          <w:highlight w:val="none"/>
          <w:lang w:val="en-US" w:eastAsia="zh-CN"/>
        </w:rPr>
        <w:t>8</w:t>
      </w:r>
      <w:r>
        <w:rPr>
          <w:rFonts w:hint="eastAsia" w:ascii="宋体" w:hAnsi="宋体" w:cs="宋体"/>
          <w:color w:val="000000"/>
          <w:sz w:val="21"/>
          <w:szCs w:val="21"/>
          <w:highlight w:val="none"/>
        </w:rPr>
        <w:t>)</w:t>
      </w:r>
      <w:r>
        <w:rPr>
          <w:rFonts w:ascii="宋体" w:hAnsi="宋体" w:cs="宋体"/>
          <w:sz w:val="21"/>
          <w:szCs w:val="21"/>
          <w:highlight w:val="none"/>
        </w:rPr>
        <w:t>年度纳税信用评价信息（可从电子税务局查询截图，需加盖公章）；</w:t>
      </w:r>
    </w:p>
    <w:p w14:paraId="0FF8A14C">
      <w:pPr>
        <w:spacing w:line="360" w:lineRule="auto"/>
        <w:ind w:firstLine="420" w:firstLineChars="200"/>
        <w:rPr>
          <w:rFonts w:hint="eastAsia" w:ascii="宋体" w:hAnsi="宋体" w:cs="宋体"/>
          <w:color w:val="000000"/>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w:t>
      </w:r>
      <w:r>
        <w:rPr>
          <w:rFonts w:ascii="宋体" w:hAnsi="宋体" w:cs="宋体"/>
          <w:sz w:val="21"/>
          <w:szCs w:val="21"/>
          <w:highlight w:val="none"/>
        </w:rPr>
        <w:t>企业对外担保说明（写明贵单位对外有无对外担保和质押业务，需加盖公章）</w:t>
      </w:r>
      <w:r>
        <w:rPr>
          <w:rFonts w:hint="eastAsia" w:ascii="宋体" w:hAnsi="宋体" w:cs="宋体"/>
          <w:color w:val="000000"/>
          <w:sz w:val="21"/>
          <w:szCs w:val="21"/>
          <w:highlight w:val="none"/>
        </w:rPr>
        <w:t>；</w:t>
      </w:r>
    </w:p>
    <w:p w14:paraId="34A31269">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w:t>
      </w:r>
      <w:r>
        <w:rPr>
          <w:rFonts w:hint="eastAsia" w:ascii="宋体" w:hAnsi="宋体" w:cs="宋体"/>
          <w:color w:val="000000"/>
          <w:sz w:val="21"/>
          <w:szCs w:val="21"/>
          <w:highlight w:val="none"/>
          <w:lang w:val="en-US" w:eastAsia="zh-CN"/>
        </w:rPr>
        <w:t>0</w:t>
      </w:r>
      <w:r>
        <w:rPr>
          <w:rFonts w:hint="eastAsia" w:ascii="宋体" w:hAnsi="宋体" w:cs="宋体"/>
          <w:color w:val="000000"/>
          <w:sz w:val="21"/>
          <w:szCs w:val="21"/>
          <w:highlight w:val="none"/>
        </w:rPr>
        <w:t>)保密承诺函（附件3）；</w:t>
      </w:r>
    </w:p>
    <w:p w14:paraId="6047C2B0">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w:t>
      </w:r>
      <w:r>
        <w:rPr>
          <w:rFonts w:hint="eastAsia" w:ascii="宋体" w:hAnsi="宋体" w:cs="宋体"/>
          <w:color w:val="000000"/>
          <w:sz w:val="21"/>
          <w:szCs w:val="21"/>
          <w:highlight w:val="none"/>
          <w:lang w:val="en-US" w:eastAsia="zh-CN"/>
        </w:rPr>
        <w:t>1</w:t>
      </w:r>
      <w:r>
        <w:rPr>
          <w:rFonts w:hint="eastAsia" w:ascii="宋体" w:hAnsi="宋体" w:cs="宋体"/>
          <w:color w:val="000000"/>
          <w:sz w:val="21"/>
          <w:szCs w:val="21"/>
          <w:highlight w:val="none"/>
        </w:rPr>
        <w:t>)企业近三年同类项目业绩证明；</w:t>
      </w:r>
    </w:p>
    <w:p w14:paraId="01ABF305">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w:t>
      </w:r>
      <w:r>
        <w:rPr>
          <w:rFonts w:hint="eastAsia" w:ascii="宋体" w:hAnsi="宋体" w:cs="宋体"/>
          <w:color w:val="000000"/>
          <w:sz w:val="21"/>
          <w:szCs w:val="21"/>
          <w:highlight w:val="none"/>
          <w:lang w:val="en-US" w:eastAsia="zh-CN"/>
        </w:rPr>
        <w:t>2</w:t>
      </w:r>
      <w:r>
        <w:rPr>
          <w:rFonts w:hint="eastAsia" w:ascii="宋体" w:hAnsi="宋体" w:cs="宋体"/>
          <w:color w:val="000000"/>
          <w:sz w:val="21"/>
          <w:szCs w:val="21"/>
          <w:highlight w:val="none"/>
        </w:rPr>
        <w:t>)投标保证金缴纳凭证。</w:t>
      </w:r>
    </w:p>
    <w:p w14:paraId="7B6D2C27">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p>
    <w:p w14:paraId="3EF4FE87">
      <w:pPr>
        <w:spacing w:line="360" w:lineRule="auto"/>
        <w:ind w:firstLine="420" w:firstLineChars="200"/>
        <w:rPr>
          <w:rFonts w:hint="eastAsia" w:ascii="宋体" w:hAnsi="宋体" w:cs="宋体"/>
          <w:b/>
          <w:color w:val="000000"/>
          <w:sz w:val="21"/>
          <w:szCs w:val="21"/>
          <w:highlight w:val="none"/>
        </w:rPr>
      </w:pPr>
      <w:r>
        <w:rPr>
          <w:rFonts w:hint="eastAsia" w:ascii="宋体" w:hAnsi="宋体" w:cs="宋体"/>
          <w:color w:val="000000"/>
          <w:sz w:val="21"/>
          <w:szCs w:val="21"/>
          <w:highlight w:val="none"/>
        </w:rPr>
        <w:t>1）</w:t>
      </w:r>
      <w:r>
        <w:rPr>
          <w:rFonts w:hint="eastAsia" w:ascii="宋体" w:hAnsi="宋体" w:cs="宋体"/>
          <w:color w:val="000000"/>
          <w:sz w:val="21"/>
          <w:szCs w:val="21"/>
          <w:highlight w:val="none"/>
          <w:lang w:val="en-US" w:eastAsia="zh-CN"/>
        </w:rPr>
        <w:t>详细改造技术方案，及年节约电费测算、投资回报周期；</w:t>
      </w:r>
    </w:p>
    <w:p w14:paraId="1C9ACB39">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bCs/>
          <w:color w:val="000000"/>
          <w:sz w:val="21"/>
          <w:szCs w:val="21"/>
          <w:highlight w:val="none"/>
        </w:rPr>
        <w:t>2）</w:t>
      </w:r>
      <w:r>
        <w:rPr>
          <w:rFonts w:hint="eastAsia" w:ascii="宋体" w:hAnsi="宋体" w:cs="宋体"/>
          <w:color w:val="000000"/>
          <w:sz w:val="21"/>
          <w:szCs w:val="21"/>
          <w:highlight w:val="none"/>
        </w:rPr>
        <w:t>近三年同类项目业绩一览表（附件5）及有效合同复印件</w:t>
      </w:r>
      <w:r>
        <w:rPr>
          <w:rFonts w:hint="eastAsia" w:ascii="宋体" w:hAnsi="宋体" w:cs="宋体"/>
          <w:color w:val="000000"/>
          <w:sz w:val="21"/>
          <w:szCs w:val="21"/>
          <w:highlight w:val="none"/>
          <w:lang w:eastAsia="zh-CN"/>
        </w:rPr>
        <w:t>，</w:t>
      </w:r>
      <w:r>
        <w:rPr>
          <w:rFonts w:hint="eastAsia" w:ascii="宋体" w:hAnsi="宋体" w:eastAsia="宋体" w:cs="宋体"/>
          <w:b/>
          <w:color w:val="000000"/>
          <w:sz w:val="21"/>
          <w:szCs w:val="21"/>
          <w:highlight w:val="none"/>
        </w:rPr>
        <w:t>若未提供相应业绩证明，根据技术标评分规则，将影响现场评标专家组对投标单位业绩判定打分；</w:t>
      </w:r>
    </w:p>
    <w:p w14:paraId="4C8C0C8A">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3）供货期及保证措施；</w:t>
      </w:r>
    </w:p>
    <w:p w14:paraId="60F94AB2">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4）产品的技术服务和售后服务内容及措施；</w:t>
      </w:r>
    </w:p>
    <w:p w14:paraId="58D505FC">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5）</w:t>
      </w:r>
      <w:r>
        <w:rPr>
          <w:rFonts w:hint="eastAsia" w:ascii="宋体" w:hAnsi="宋体" w:cs="宋体"/>
          <w:color w:val="000000"/>
          <w:sz w:val="21"/>
          <w:szCs w:val="21"/>
          <w:highlight w:val="none"/>
          <w:lang w:val="en-US" w:eastAsia="zh-CN"/>
        </w:rPr>
        <w:t>产品品牌、</w:t>
      </w:r>
      <w:r>
        <w:rPr>
          <w:rFonts w:hint="eastAsia" w:ascii="宋体" w:hAnsi="宋体" w:cs="宋体"/>
          <w:color w:val="000000"/>
          <w:sz w:val="21"/>
          <w:szCs w:val="21"/>
          <w:highlight w:val="none"/>
        </w:rPr>
        <w:t>交货进度及计划；</w:t>
      </w:r>
    </w:p>
    <w:p w14:paraId="5DF2D6A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6)投标产品技术支持材料；</w:t>
      </w:r>
    </w:p>
    <w:p w14:paraId="4BFCD9EF">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7)质量承诺函（附件6）；</w:t>
      </w:r>
    </w:p>
    <w:p w14:paraId="53A83C27">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8）投标人需提交的其它资料。</w:t>
      </w:r>
    </w:p>
    <w:p w14:paraId="0B8884D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b/>
          <w:bCs/>
          <w:sz w:val="21"/>
          <w:szCs w:val="21"/>
          <w:highlight w:val="none"/>
        </w:rPr>
        <w:t>：</w:t>
      </w:r>
    </w:p>
    <w:p w14:paraId="30161465">
      <w:pPr>
        <w:pStyle w:val="37"/>
        <w:ind w:firstLine="480"/>
        <w:rPr>
          <w:rFonts w:hint="eastAsia" w:eastAsia="宋体" w:cs="宋体"/>
          <w:sz w:val="21"/>
          <w:szCs w:val="21"/>
          <w:highlight w:val="none"/>
        </w:rPr>
      </w:pPr>
      <w:r>
        <w:rPr>
          <w:rFonts w:hint="eastAsia" w:eastAsia="宋体" w:cs="宋体"/>
          <w:sz w:val="21"/>
          <w:szCs w:val="21"/>
          <w:highlight w:val="none"/>
        </w:rPr>
        <w:t>1）开标一览表（附件7）；</w:t>
      </w:r>
    </w:p>
    <w:p w14:paraId="63E33AAD">
      <w:pPr>
        <w:pStyle w:val="37"/>
        <w:ind w:firstLine="480"/>
        <w:rPr>
          <w:rFonts w:hint="eastAsia" w:eastAsia="宋体" w:cs="宋体"/>
          <w:b/>
          <w:sz w:val="21"/>
          <w:szCs w:val="21"/>
          <w:highlight w:val="none"/>
        </w:rPr>
      </w:pPr>
      <w:r>
        <w:rPr>
          <w:rFonts w:hint="eastAsia" w:eastAsia="宋体" w:cs="宋体"/>
          <w:sz w:val="21"/>
          <w:szCs w:val="21"/>
          <w:highlight w:val="none"/>
        </w:rPr>
        <w:t>2）投标报价明细表（附件8）</w:t>
      </w:r>
      <w:r>
        <w:rPr>
          <w:rFonts w:hint="eastAsia" w:eastAsia="宋体" w:cs="宋体"/>
          <w:b/>
          <w:sz w:val="21"/>
          <w:szCs w:val="21"/>
          <w:highlight w:val="none"/>
        </w:rPr>
        <w:t>附件7、8、9</w:t>
      </w:r>
      <w:r>
        <w:rPr>
          <w:rFonts w:hint="eastAsia" w:eastAsia="宋体" w:cs="宋体"/>
          <w:b/>
          <w:sz w:val="21"/>
          <w:szCs w:val="21"/>
          <w:highlight w:val="none"/>
          <w:lang w:eastAsia="zh-CN"/>
        </w:rPr>
        <w:t>、</w:t>
      </w:r>
      <w:r>
        <w:rPr>
          <w:rFonts w:hint="eastAsia" w:eastAsia="宋体" w:cs="宋体"/>
          <w:b/>
          <w:sz w:val="21"/>
          <w:szCs w:val="21"/>
          <w:highlight w:val="none"/>
          <w:lang w:val="en-US" w:eastAsia="zh-CN"/>
        </w:rPr>
        <w:t>10</w:t>
      </w:r>
      <w:r>
        <w:rPr>
          <w:rFonts w:hint="eastAsia" w:eastAsia="宋体" w:cs="宋体"/>
          <w:b/>
          <w:sz w:val="21"/>
          <w:szCs w:val="21"/>
          <w:highlight w:val="none"/>
        </w:rPr>
        <w:t>需要一起单独封装1份；</w:t>
      </w:r>
    </w:p>
    <w:p w14:paraId="0438F217">
      <w:pPr>
        <w:pStyle w:val="37"/>
        <w:ind w:firstLine="480"/>
        <w:rPr>
          <w:rFonts w:hint="eastAsia" w:eastAsia="宋体" w:cs="宋体"/>
          <w:sz w:val="21"/>
          <w:szCs w:val="21"/>
          <w:highlight w:val="none"/>
        </w:rPr>
      </w:pPr>
      <w:r>
        <w:rPr>
          <w:rFonts w:hint="eastAsia" w:eastAsia="宋体" w:cs="宋体"/>
          <w:sz w:val="21"/>
          <w:szCs w:val="21"/>
          <w:highlight w:val="none"/>
        </w:rPr>
        <w:t>3）商务条款偏离表（附件9）</w:t>
      </w:r>
      <w:r>
        <w:rPr>
          <w:rFonts w:hint="eastAsia" w:eastAsia="宋体" w:cs="宋体"/>
          <w:b/>
          <w:sz w:val="21"/>
          <w:szCs w:val="21"/>
          <w:highlight w:val="none"/>
        </w:rPr>
        <w:t>付款方式不可以偏离；</w:t>
      </w:r>
    </w:p>
    <w:p w14:paraId="6B94912F">
      <w:pPr>
        <w:pStyle w:val="37"/>
        <w:ind w:firstLine="480"/>
        <w:rPr>
          <w:rFonts w:hint="eastAsia" w:eastAsia="宋体" w:cs="宋体"/>
          <w:sz w:val="21"/>
          <w:szCs w:val="21"/>
          <w:highlight w:val="none"/>
        </w:rPr>
      </w:pPr>
      <w:r>
        <w:rPr>
          <w:rFonts w:hint="eastAsia" w:eastAsia="宋体" w:cs="宋体"/>
          <w:sz w:val="21"/>
          <w:szCs w:val="21"/>
          <w:highlight w:val="none"/>
        </w:rPr>
        <w:t>4）服务承诺函(附件10)</w:t>
      </w:r>
      <w:r>
        <w:rPr>
          <w:rFonts w:hint="eastAsia" w:eastAsia="宋体" w:cs="宋体"/>
          <w:b/>
          <w:sz w:val="21"/>
          <w:szCs w:val="21"/>
          <w:highlight w:val="none"/>
        </w:rPr>
        <w:t>需写明质保期外服务费用情况；</w:t>
      </w:r>
    </w:p>
    <w:p w14:paraId="33FAB850">
      <w:pPr>
        <w:pStyle w:val="37"/>
        <w:ind w:firstLine="480"/>
        <w:rPr>
          <w:rFonts w:hint="eastAsia" w:eastAsia="宋体" w:cs="宋体"/>
          <w:highlight w:val="none"/>
        </w:rPr>
      </w:pPr>
      <w:r>
        <w:rPr>
          <w:rFonts w:hint="eastAsia" w:eastAsia="宋体" w:cs="宋体"/>
          <w:sz w:val="21"/>
          <w:szCs w:val="21"/>
          <w:highlight w:val="none"/>
        </w:rPr>
        <w:t>5）按招标文件投标人须知和技术规格书中要求提供的有关文件。</w:t>
      </w:r>
    </w:p>
    <w:p w14:paraId="002314EB">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42FAE5EE">
      <w:pPr>
        <w:pStyle w:val="10"/>
        <w:rPr>
          <w:rFonts w:hint="eastAsia" w:ascii="黑体" w:hAnsi="黑体" w:eastAsia="黑体"/>
          <w:b/>
          <w:bCs/>
          <w:sz w:val="28"/>
          <w:szCs w:val="28"/>
          <w:highlight w:val="none"/>
        </w:rPr>
      </w:pPr>
      <w:bookmarkStart w:id="11" w:name="_Toc212369518"/>
      <w:r>
        <w:rPr>
          <w:rFonts w:hint="eastAsia" w:ascii="黑体" w:hAnsi="黑体" w:eastAsia="黑体"/>
          <w:b/>
          <w:bCs/>
          <w:sz w:val="28"/>
          <w:szCs w:val="28"/>
          <w:highlight w:val="none"/>
        </w:rPr>
        <w:t>三、投标内容填写说明</w:t>
      </w:r>
      <w:bookmarkEnd w:id="11"/>
    </w:p>
    <w:p w14:paraId="25389451">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58DEC48F">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7B697E5A">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6C80CED5">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67C1741E">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783C4453">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089AACFD">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796626DE">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4C1FEA74">
      <w:pPr>
        <w:pStyle w:val="10"/>
        <w:ind w:firstLine="420" w:firstLineChars="200"/>
        <w:rPr>
          <w:rFonts w:hAnsi="宋体"/>
          <w:highlight w:val="none"/>
        </w:rPr>
      </w:pPr>
      <w:r>
        <w:rPr>
          <w:rFonts w:hint="eastAsia" w:hAnsi="宋体"/>
          <w:highlight w:val="none"/>
        </w:rPr>
        <w:br w:type="page"/>
      </w:r>
    </w:p>
    <w:p w14:paraId="0613AB26">
      <w:pPr>
        <w:pStyle w:val="10"/>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7169245D">
      <w:pPr>
        <w:pStyle w:val="38"/>
        <w:rPr>
          <w:rFonts w:hint="eastAsia" w:ascii="宋体" w:hAnsi="宋体" w:eastAsia="宋体" w:cs="宋体"/>
          <w:highlight w:val="none"/>
        </w:rPr>
      </w:pPr>
      <w:bookmarkStart w:id="12" w:name="_Toc54267471"/>
      <w:bookmarkStart w:id="13" w:name="_Toc7062"/>
      <w:r>
        <w:rPr>
          <w:rFonts w:hint="eastAsia" w:ascii="宋体" w:hAnsi="宋体" w:eastAsia="宋体" w:cs="宋体"/>
          <w:highlight w:val="none"/>
        </w:rPr>
        <w:t>附件1</w:t>
      </w:r>
      <w:bookmarkStart w:id="14" w:name="_Toc639004"/>
      <w:bookmarkStart w:id="15" w:name="_Toc353881012"/>
      <w:bookmarkStart w:id="16" w:name="_Toc25811"/>
      <w:bookmarkStart w:id="17" w:name="_Toc212369550"/>
      <w:r>
        <w:rPr>
          <w:rFonts w:hint="eastAsia" w:ascii="宋体" w:hAnsi="宋体" w:eastAsia="宋体" w:cs="宋体"/>
          <w:highlight w:val="none"/>
        </w:rPr>
        <w:t xml:space="preserve"> 投标函</w:t>
      </w:r>
      <w:bookmarkEnd w:id="14"/>
      <w:bookmarkEnd w:id="15"/>
      <w:bookmarkEnd w:id="16"/>
      <w:bookmarkEnd w:id="17"/>
    </w:p>
    <w:p w14:paraId="0A56846D">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致：中国重汽集团济南动力有限公司：</w:t>
      </w:r>
    </w:p>
    <w:p w14:paraId="5DA142A1">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根据贵方_</w:t>
      </w:r>
      <w:r>
        <w:rPr>
          <w:rFonts w:hint="eastAsia" w:ascii="宋体" w:hAnsi="宋体" w:eastAsia="宋体" w:cs="宋体"/>
          <w:b/>
          <w:bCs/>
          <w:snapToGrid w:val="0"/>
          <w:kern w:val="0"/>
          <w:sz w:val="21"/>
          <w:szCs w:val="21"/>
          <w:highlight w:val="none"/>
          <w:u w:val="single"/>
        </w:rPr>
        <w:t xml:space="preserve">        某项目招标公告   </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b/>
          <w:sz w:val="21"/>
          <w:szCs w:val="21"/>
          <w:highlight w:val="none"/>
          <w:u w:val="single"/>
        </w:rPr>
        <w:t xml:space="preserve">某投标公司名称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法人代表人</w:t>
      </w:r>
      <w:r>
        <w:rPr>
          <w:rFonts w:hint="eastAsia" w:ascii="宋体" w:hAnsi="宋体" w:eastAsia="宋体" w:cs="宋体"/>
          <w:sz w:val="21"/>
          <w:szCs w:val="21"/>
          <w:highlight w:val="none"/>
          <w:u w:val="single"/>
        </w:rPr>
        <w:t>为      法人名字</w:t>
      </w:r>
      <w:r>
        <w:rPr>
          <w:rFonts w:hint="eastAsia" w:ascii="宋体" w:hAnsi="宋体" w:eastAsia="宋体" w:cs="宋体"/>
          <w:sz w:val="21"/>
          <w:szCs w:val="21"/>
          <w:highlight w:val="none"/>
        </w:rPr>
        <w:t>，正式授权</w:t>
      </w:r>
      <w:r>
        <w:rPr>
          <w:rFonts w:hint="eastAsia" w:ascii="宋体" w:hAnsi="宋体" w:eastAsia="宋体" w:cs="宋体"/>
          <w:sz w:val="21"/>
          <w:szCs w:val="21"/>
          <w:highlight w:val="none"/>
          <w:u w:val="single"/>
        </w:rPr>
        <w:t xml:space="preserve">   被授权人名字     </w:t>
      </w:r>
      <w:r>
        <w:rPr>
          <w:rFonts w:hint="eastAsia" w:ascii="宋体" w:hAnsi="宋体" w:eastAsia="宋体" w:cs="宋体"/>
          <w:sz w:val="21"/>
          <w:szCs w:val="21"/>
          <w:highlight w:val="none"/>
        </w:rPr>
        <w:t>提交</w:t>
      </w:r>
      <w:r>
        <w:rPr>
          <w:rFonts w:hint="eastAsia" w:ascii="宋体" w:hAnsi="宋体" w:eastAsia="宋体" w:cs="宋体"/>
          <w:b/>
          <w:sz w:val="21"/>
          <w:szCs w:val="21"/>
          <w:highlight w:val="none"/>
        </w:rPr>
        <w:t>资质证明文件</w:t>
      </w:r>
      <w:r>
        <w:rPr>
          <w:rFonts w:hint="eastAsia" w:ascii="宋体" w:hAnsi="宋体" w:eastAsia="宋体" w:cs="宋体"/>
          <w:b/>
          <w:sz w:val="21"/>
          <w:szCs w:val="21"/>
          <w:highlight w:val="none"/>
          <w:u w:val="single"/>
        </w:rPr>
        <w:t xml:space="preserve">   </w:t>
      </w:r>
      <w:r>
        <w:rPr>
          <w:rFonts w:hint="eastAsia" w:ascii="宋体" w:hAnsi="宋体" w:eastAsia="宋体" w:cs="宋体"/>
          <w:b/>
          <w:sz w:val="21"/>
          <w:szCs w:val="21"/>
          <w:highlight w:val="none"/>
        </w:rPr>
        <w:t>份。电子版投标文件1份。</w:t>
      </w:r>
    </w:p>
    <w:p w14:paraId="388D55A9">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据此函，签字代表宣布同意如下：</w:t>
      </w:r>
    </w:p>
    <w:p w14:paraId="0CBD95F2">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5C602495">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2、投标人在投标之前已经与贵方进行了充分的沟通，完全理解并接受招标文件的各项规定和要求，对招标文件的合理性、合法性不再有异议。</w:t>
      </w:r>
    </w:p>
    <w:p w14:paraId="525E4E3F">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3、本投标有效期自开标日起</w:t>
      </w:r>
      <w:r>
        <w:rPr>
          <w:rFonts w:hint="eastAsia" w:ascii="宋体" w:hAnsi="宋体" w:eastAsia="宋体" w:cs="宋体"/>
          <w:bCs/>
          <w:sz w:val="21"/>
          <w:szCs w:val="21"/>
          <w:highlight w:val="none"/>
          <w:u w:val="single"/>
        </w:rPr>
        <w:t xml:space="preserve"> 90</w:t>
      </w:r>
      <w:r>
        <w:rPr>
          <w:rFonts w:hint="eastAsia" w:ascii="宋体" w:hAnsi="宋体" w:eastAsia="宋体" w:cs="宋体"/>
          <w:sz w:val="21"/>
          <w:szCs w:val="21"/>
          <w:highlight w:val="none"/>
        </w:rPr>
        <w:t>个日历日。</w:t>
      </w:r>
    </w:p>
    <w:p w14:paraId="3C6C204B">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4、如中标，本投标文件至本项目合同履行完毕止均保持有效，本投标人将按“招标文件”及政府采购法律、法规的规定履行合同责任和义务。</w:t>
      </w:r>
    </w:p>
    <w:p w14:paraId="771C5951">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5、投标人同意按照贵方要求提供与投标有关的一切数据或资料。</w:t>
      </w:r>
    </w:p>
    <w:p w14:paraId="558C9CB6">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6、与本投标有关的一切正式往来信函请寄：</w:t>
      </w:r>
    </w:p>
    <w:p w14:paraId="78E40346">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地址：                             </w:t>
      </w:r>
    </w:p>
    <w:p w14:paraId="2EEF6C65">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邮编：        </w:t>
      </w:r>
    </w:p>
    <w:p w14:paraId="557006BC">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电话：        传真：                   </w:t>
      </w:r>
    </w:p>
    <w:p w14:paraId="2802A8A0">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投标人代表姓名：__   _____职务：          </w:t>
      </w:r>
    </w:p>
    <w:p w14:paraId="1AC5758B">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                   </w:t>
      </w:r>
    </w:p>
    <w:p w14:paraId="39B88C9F">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银行帐号：</w:t>
      </w:r>
    </w:p>
    <w:p w14:paraId="5DB4DACD">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w:t>
      </w:r>
      <w:r>
        <w:rPr>
          <w:rFonts w:hint="eastAsia" w:ascii="宋体" w:hAnsi="宋体" w:eastAsia="宋体" w:cs="宋体"/>
          <w:bCs/>
          <w:sz w:val="21"/>
          <w:szCs w:val="21"/>
          <w:highlight w:val="none"/>
        </w:rPr>
        <w:t>盖章）</w:t>
      </w:r>
      <w:r>
        <w:rPr>
          <w:rFonts w:hint="eastAsia" w:ascii="宋体" w:hAnsi="宋体" w:eastAsia="宋体" w:cs="宋体"/>
          <w:sz w:val="21"/>
          <w:szCs w:val="21"/>
          <w:highlight w:val="none"/>
        </w:rPr>
        <w:t xml:space="preserve">: </w:t>
      </w:r>
    </w:p>
    <w:p w14:paraId="66F5C385">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授权代表签字</w:t>
      </w:r>
      <w:r>
        <w:rPr>
          <w:rFonts w:hint="eastAsia" w:ascii="宋体" w:hAnsi="宋体" w:eastAsia="宋体" w:cs="宋体"/>
          <w:bCs/>
          <w:sz w:val="21"/>
          <w:szCs w:val="21"/>
          <w:highlight w:val="none"/>
        </w:rPr>
        <w:t>：</w:t>
      </w:r>
    </w:p>
    <w:p w14:paraId="563A4553">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日期：     年      月      日</w:t>
      </w:r>
    </w:p>
    <w:p w14:paraId="2A49C00A">
      <w:pPr>
        <w:rPr>
          <w:rFonts w:hint="eastAsia" w:ascii="宋体" w:hAnsi="宋体" w:eastAsia="宋体" w:cs="宋体"/>
          <w:color w:val="000000"/>
          <w:sz w:val="21"/>
          <w:szCs w:val="21"/>
          <w:highlight w:val="none"/>
        </w:rPr>
      </w:pPr>
    </w:p>
    <w:p w14:paraId="446092F4">
      <w:pPr>
        <w:rPr>
          <w:rFonts w:hint="eastAsia" w:ascii="宋体" w:hAnsi="宋体" w:eastAsia="宋体" w:cs="宋体"/>
          <w:color w:val="000000"/>
          <w:sz w:val="21"/>
          <w:szCs w:val="21"/>
          <w:highlight w:val="none"/>
        </w:rPr>
      </w:pPr>
    </w:p>
    <w:p w14:paraId="0B0688E3">
      <w:pPr>
        <w:pStyle w:val="36"/>
        <w:rPr>
          <w:rFonts w:hint="eastAsia" w:ascii="宋体" w:hAnsi="宋体" w:eastAsia="宋体" w:cs="宋体"/>
          <w:sz w:val="21"/>
          <w:szCs w:val="21"/>
          <w:highlight w:val="none"/>
        </w:rPr>
        <w:sectPr>
          <w:footerReference r:id="rId10" w:type="first"/>
          <w:headerReference r:id="rId8" w:type="default"/>
          <w:footerReference r:id="rId9" w:type="default"/>
          <w:pgSz w:w="11906" w:h="16838"/>
          <w:pgMar w:top="1588" w:right="1418" w:bottom="1134" w:left="1418" w:header="851" w:footer="992" w:gutter="0"/>
          <w:pgNumType w:fmt="numberInDash" w:start="0"/>
          <w:cols w:space="720" w:num="1"/>
          <w:titlePg/>
          <w:docGrid w:type="lines" w:linePitch="312" w:charSpace="0"/>
        </w:sectPr>
      </w:pPr>
    </w:p>
    <w:p w14:paraId="3FD1323B">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附件2 法定代表人授权委托书</w:t>
      </w:r>
    </w:p>
    <w:p w14:paraId="37C31DD7">
      <w:pPr>
        <w:pStyle w:val="7"/>
        <w:adjustRightInd w:val="0"/>
        <w:snapToGrid w:val="0"/>
        <w:spacing w:before="93" w:beforeLines="30" w:line="240" w:lineRule="exact"/>
        <w:jc w:val="center"/>
        <w:rPr>
          <w:rFonts w:hint="eastAsia" w:ascii="宋体" w:hAnsi="宋体" w:eastAsia="宋体" w:cs="宋体"/>
          <w:sz w:val="21"/>
          <w:szCs w:val="21"/>
          <w:highlight w:val="none"/>
        </w:rPr>
      </w:pPr>
    </w:p>
    <w:p w14:paraId="06967EE7">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F48A8A8">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全权代表无转委权。特此委托。</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DCE6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0FBA5D6">
            <w:pPr>
              <w:adjustRightInd w:val="0"/>
              <w:snapToGrid w:val="0"/>
              <w:spacing w:before="93" w:beforeLines="30" w:line="312"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（附法人身份证明复印件）</w:t>
            </w:r>
          </w:p>
          <w:p w14:paraId="76C1ED92">
            <w:pPr>
              <w:adjustRightInd w:val="0"/>
              <w:snapToGrid w:val="0"/>
              <w:spacing w:before="93" w:beforeLines="30" w:line="312"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（附授权代理人身份证明复印件）</w:t>
            </w:r>
          </w:p>
        </w:tc>
      </w:tr>
    </w:tbl>
    <w:p w14:paraId="60982C4D">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全权代表姓名：            性别：          年龄：</w:t>
      </w:r>
    </w:p>
    <w:p w14:paraId="65EB2A36">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单位：                    部门：          职务：</w:t>
      </w:r>
    </w:p>
    <w:p w14:paraId="3DB7412F">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法定代表人签字或盖章                          </w:t>
      </w:r>
    </w:p>
    <w:p w14:paraId="1FF04D6C">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被授权人签字  </w:t>
      </w:r>
    </w:p>
    <w:p w14:paraId="3288D5F6">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被授权人电话：                          </w:t>
      </w:r>
    </w:p>
    <w:p w14:paraId="02D3B2E8">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投标人名称（公章）                       </w:t>
      </w:r>
    </w:p>
    <w:p w14:paraId="696B5C31">
      <w:pPr>
        <w:spacing w:line="460" w:lineRule="exact"/>
        <w:ind w:firstLine="4830" w:firstLineChars="23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34A8B00A">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14:paraId="4A51360F">
      <w:pPr>
        <w:keepNext/>
        <w:keepLines/>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附件3 保密承诺函</w:t>
      </w:r>
    </w:p>
    <w:p w14:paraId="0AF9B5CE">
      <w:pPr>
        <w:spacing w:line="240" w:lineRule="exact"/>
        <w:jc w:val="center"/>
        <w:rPr>
          <w:rFonts w:hint="eastAsia" w:ascii="宋体" w:hAnsi="宋体" w:eastAsia="宋体" w:cs="宋体"/>
          <w:b/>
          <w:bCs/>
          <w:sz w:val="21"/>
          <w:szCs w:val="21"/>
          <w:highlight w:val="none"/>
        </w:rPr>
      </w:pPr>
    </w:p>
    <w:p w14:paraId="1F9BAE0D">
      <w:pPr>
        <w:spacing w:line="360" w:lineRule="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kern w:val="0"/>
          <w:sz w:val="21"/>
          <w:szCs w:val="21"/>
          <w:highlight w:val="none"/>
          <w:u w:val="single"/>
          <w:lang w:val="en-US" w:eastAsia="zh-CN"/>
        </w:rPr>
        <w:t xml:space="preserve">                            </w:t>
      </w:r>
    </w:p>
    <w:p w14:paraId="11E0891C">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14:paraId="1C9A2E00">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我代表（</w:t>
      </w:r>
      <w:r>
        <w:rPr>
          <w:rFonts w:hint="eastAsia" w:ascii="宋体" w:hAnsi="宋体" w:eastAsia="宋体" w:cs="宋体"/>
          <w:sz w:val="21"/>
          <w:szCs w:val="21"/>
          <w:highlight w:val="none"/>
          <w:u w:val="single"/>
        </w:rPr>
        <w:t>投标单位名称</w:t>
      </w:r>
      <w:r>
        <w:rPr>
          <w:rFonts w:hint="eastAsia" w:ascii="宋体" w:hAnsi="宋体" w:eastAsia="宋体" w:cs="宋体"/>
          <w:sz w:val="21"/>
          <w:szCs w:val="21"/>
          <w:highlight w:val="none"/>
        </w:rPr>
        <w:t>）对招标人的商业秘密作如下承诺：</w:t>
      </w:r>
    </w:p>
    <w:p w14:paraId="000266EB">
      <w:pPr>
        <w:spacing w:line="360" w:lineRule="auto"/>
        <w:ind w:firstLine="420" w:firstLineChars="200"/>
        <w:jc w:val="both"/>
        <w:rPr>
          <w:rFonts w:hint="eastAsia" w:ascii="宋体" w:hAnsi="宋体" w:cs="宋体"/>
          <w:sz w:val="21"/>
          <w:szCs w:val="21"/>
          <w:highlight w:val="none"/>
          <w:u w:val="single"/>
          <w:lang w:val="en-US" w:eastAsia="zh-CN"/>
        </w:rPr>
      </w:pPr>
      <w:r>
        <w:rPr>
          <w:rFonts w:hint="eastAsia" w:ascii="宋体" w:hAnsi="宋体" w:eastAsia="宋体" w:cs="宋体"/>
          <w:sz w:val="21"/>
          <w:szCs w:val="21"/>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r>
        <w:rPr>
          <w:rFonts w:hint="eastAsia" w:ascii="宋体" w:hAnsi="宋体" w:cs="宋体"/>
          <w:sz w:val="21"/>
          <w:szCs w:val="21"/>
          <w:highlight w:val="none"/>
          <w:u w:val="single"/>
          <w:lang w:val="en-US" w:eastAsia="zh-CN"/>
        </w:rPr>
        <w:t xml:space="preserve">                 </w:t>
      </w:r>
    </w:p>
    <w:p w14:paraId="4A8E0C71">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16247181">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3F638C08">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54143190">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7ADF617A">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5253CC9F">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5A3075DF">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123885B9">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5286D74B">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342F0F89">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0E6BB43A">
      <w:pPr>
        <w:spacing w:line="360" w:lineRule="auto"/>
        <w:jc w:val="both"/>
        <w:rPr>
          <w:rFonts w:hint="default" w:ascii="宋体" w:hAnsi="宋体" w:cs="宋体"/>
          <w:sz w:val="21"/>
          <w:szCs w:val="21"/>
          <w:highlight w:val="none"/>
          <w:u w:val="single"/>
          <w:lang w:val="en-US" w:eastAsia="zh-CN"/>
        </w:rPr>
      </w:pPr>
      <w:r>
        <w:rPr>
          <w:rFonts w:hint="eastAsia" w:ascii="宋体" w:hAnsi="宋体" w:cs="宋体"/>
          <w:sz w:val="21"/>
          <w:szCs w:val="21"/>
          <w:highlight w:val="none"/>
          <w:u w:val="single"/>
          <w:lang w:val="en-US" w:eastAsia="zh-CN"/>
        </w:rPr>
        <w:t xml:space="preserve">                                                                                      </w:t>
      </w:r>
    </w:p>
    <w:p w14:paraId="1A52E233">
      <w:pPr>
        <w:spacing w:line="360" w:lineRule="auto"/>
        <w:ind w:firstLine="420" w:firstLineChars="200"/>
        <w:jc w:val="both"/>
        <w:rPr>
          <w:rFonts w:hint="eastAsia" w:ascii="宋体" w:hAnsi="宋体" w:eastAsia="宋体" w:cs="宋体"/>
          <w:sz w:val="21"/>
          <w:szCs w:val="21"/>
          <w:highlight w:val="none"/>
          <w:u w:val="single"/>
        </w:rPr>
      </w:pPr>
    </w:p>
    <w:p w14:paraId="535EADD8">
      <w:pPr>
        <w:spacing w:line="360" w:lineRule="auto"/>
        <w:ind w:firstLine="420" w:firstLineChars="200"/>
        <w:rPr>
          <w:rFonts w:hint="eastAsia" w:ascii="宋体" w:hAnsi="宋体" w:eastAsia="宋体" w:cs="宋体"/>
          <w:sz w:val="21"/>
          <w:szCs w:val="21"/>
          <w:highlight w:val="none"/>
          <w:u w:val="single"/>
        </w:rPr>
      </w:pPr>
    </w:p>
    <w:p w14:paraId="042AED99">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投标人：（盖章）</w:t>
      </w:r>
    </w:p>
    <w:p w14:paraId="0B35C89C">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法定代表人（委托代理人）：（签字）</w:t>
      </w:r>
    </w:p>
    <w:p w14:paraId="0B853497">
      <w:pPr>
        <w:spacing w:line="360" w:lineRule="auto"/>
        <w:ind w:firstLine="420" w:firstLineChars="200"/>
        <w:rPr>
          <w:rFonts w:hint="eastAsia" w:ascii="宋体" w:hAnsi="宋体" w:eastAsia="宋体" w:cs="宋体"/>
          <w:b/>
          <w:bCs/>
          <w:color w:val="000000"/>
          <w:sz w:val="21"/>
          <w:szCs w:val="21"/>
          <w:highlight w:val="none"/>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1"/>
          <w:szCs w:val="21"/>
          <w:highlight w:val="none"/>
        </w:rPr>
        <w:t>日  期：       年    月    日</w:t>
      </w:r>
    </w:p>
    <w:p w14:paraId="2E51EA66">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附件4 技术规格偏离表</w:t>
      </w:r>
    </w:p>
    <w:p w14:paraId="0EAFAA3B">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项目名称：                                                           </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3535"/>
        <w:gridCol w:w="2475"/>
        <w:gridCol w:w="1647"/>
      </w:tblGrid>
      <w:tr w14:paraId="3B25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14:paraId="180CDF54">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904" w:type="pct"/>
            <w:vAlign w:val="center"/>
          </w:tcPr>
          <w:p w14:paraId="66FCEAFD">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招标要求</w:t>
            </w:r>
          </w:p>
        </w:tc>
        <w:tc>
          <w:tcPr>
            <w:tcW w:w="1333" w:type="pct"/>
            <w:vAlign w:val="center"/>
          </w:tcPr>
          <w:p w14:paraId="7C3BE3E0">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响应规格</w:t>
            </w:r>
          </w:p>
        </w:tc>
        <w:tc>
          <w:tcPr>
            <w:tcW w:w="887" w:type="pct"/>
            <w:vAlign w:val="center"/>
          </w:tcPr>
          <w:p w14:paraId="5A5DFE70">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是否偏离</w:t>
            </w:r>
          </w:p>
        </w:tc>
      </w:tr>
      <w:tr w14:paraId="28A6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288365F3">
            <w:pPr>
              <w:pStyle w:val="39"/>
              <w:rPr>
                <w:rFonts w:hint="eastAsia" w:ascii="宋体" w:hAnsi="宋体" w:eastAsia="宋体" w:cs="宋体"/>
                <w:b w:val="0"/>
                <w:sz w:val="21"/>
                <w:szCs w:val="21"/>
                <w:highlight w:val="none"/>
              </w:rPr>
            </w:pPr>
          </w:p>
        </w:tc>
        <w:tc>
          <w:tcPr>
            <w:tcW w:w="1904" w:type="pct"/>
            <w:vAlign w:val="center"/>
          </w:tcPr>
          <w:p w14:paraId="4243C388">
            <w:pPr>
              <w:pStyle w:val="39"/>
              <w:rPr>
                <w:rFonts w:hint="eastAsia" w:ascii="宋体" w:hAnsi="宋体" w:eastAsia="宋体" w:cs="宋体"/>
                <w:b w:val="0"/>
                <w:kern w:val="2"/>
                <w:sz w:val="21"/>
                <w:szCs w:val="21"/>
                <w:highlight w:val="none"/>
                <w:lang w:val="en-US" w:eastAsia="zh-CN" w:bidi="ar-SA"/>
              </w:rPr>
            </w:pPr>
          </w:p>
        </w:tc>
        <w:tc>
          <w:tcPr>
            <w:tcW w:w="1333" w:type="pct"/>
            <w:vAlign w:val="center"/>
          </w:tcPr>
          <w:p w14:paraId="76FC3E81">
            <w:pPr>
              <w:pStyle w:val="39"/>
              <w:rPr>
                <w:rFonts w:hint="eastAsia" w:ascii="宋体" w:hAnsi="宋体" w:eastAsia="宋体" w:cs="宋体"/>
                <w:b w:val="0"/>
                <w:sz w:val="21"/>
                <w:szCs w:val="21"/>
                <w:highlight w:val="none"/>
              </w:rPr>
            </w:pPr>
          </w:p>
        </w:tc>
        <w:tc>
          <w:tcPr>
            <w:tcW w:w="887" w:type="pct"/>
          </w:tcPr>
          <w:p w14:paraId="0F892A1B">
            <w:pPr>
              <w:pStyle w:val="39"/>
              <w:rPr>
                <w:rFonts w:hint="eastAsia" w:ascii="宋体" w:hAnsi="宋体" w:eastAsia="宋体" w:cs="宋体"/>
                <w:sz w:val="21"/>
                <w:szCs w:val="21"/>
                <w:highlight w:val="none"/>
              </w:rPr>
            </w:pPr>
          </w:p>
        </w:tc>
      </w:tr>
      <w:tr w14:paraId="6DD6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14:paraId="1252BFB5">
            <w:pPr>
              <w:pStyle w:val="39"/>
              <w:rPr>
                <w:rFonts w:hint="eastAsia" w:ascii="宋体" w:hAnsi="宋体" w:eastAsia="宋体" w:cs="宋体"/>
                <w:b w:val="0"/>
                <w:sz w:val="21"/>
                <w:szCs w:val="21"/>
                <w:highlight w:val="none"/>
              </w:rPr>
            </w:pPr>
          </w:p>
        </w:tc>
        <w:tc>
          <w:tcPr>
            <w:tcW w:w="1904" w:type="pct"/>
            <w:vAlign w:val="center"/>
          </w:tcPr>
          <w:p w14:paraId="0803251D">
            <w:pPr>
              <w:pStyle w:val="39"/>
              <w:rPr>
                <w:rFonts w:hint="eastAsia" w:ascii="宋体" w:hAnsi="宋体" w:eastAsia="宋体" w:cs="宋体"/>
                <w:b w:val="0"/>
                <w:kern w:val="2"/>
                <w:sz w:val="21"/>
                <w:szCs w:val="21"/>
                <w:highlight w:val="none"/>
                <w:lang w:val="en-US" w:eastAsia="zh-CN" w:bidi="ar-SA"/>
              </w:rPr>
            </w:pPr>
          </w:p>
        </w:tc>
        <w:tc>
          <w:tcPr>
            <w:tcW w:w="1333" w:type="pct"/>
            <w:vAlign w:val="center"/>
          </w:tcPr>
          <w:p w14:paraId="03704F4C">
            <w:pPr>
              <w:pStyle w:val="39"/>
              <w:rPr>
                <w:rFonts w:hint="eastAsia" w:ascii="宋体" w:hAnsi="宋体" w:eastAsia="宋体" w:cs="宋体"/>
                <w:b w:val="0"/>
                <w:sz w:val="21"/>
                <w:szCs w:val="21"/>
                <w:highlight w:val="none"/>
              </w:rPr>
            </w:pPr>
          </w:p>
        </w:tc>
        <w:tc>
          <w:tcPr>
            <w:tcW w:w="887" w:type="pct"/>
          </w:tcPr>
          <w:p w14:paraId="2A965E9C">
            <w:pPr>
              <w:pStyle w:val="39"/>
              <w:rPr>
                <w:rFonts w:hint="eastAsia" w:ascii="宋体" w:hAnsi="宋体" w:eastAsia="宋体" w:cs="宋体"/>
                <w:sz w:val="21"/>
                <w:szCs w:val="21"/>
                <w:highlight w:val="none"/>
              </w:rPr>
            </w:pPr>
          </w:p>
        </w:tc>
      </w:tr>
      <w:tr w14:paraId="5A4B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32D680EF">
            <w:pPr>
              <w:pStyle w:val="39"/>
              <w:rPr>
                <w:rFonts w:hint="eastAsia" w:ascii="宋体" w:hAnsi="宋体" w:eastAsia="宋体" w:cs="宋体"/>
                <w:b w:val="0"/>
                <w:sz w:val="21"/>
                <w:szCs w:val="21"/>
                <w:highlight w:val="none"/>
              </w:rPr>
            </w:pPr>
          </w:p>
        </w:tc>
        <w:tc>
          <w:tcPr>
            <w:tcW w:w="1904" w:type="pct"/>
            <w:vAlign w:val="center"/>
          </w:tcPr>
          <w:p w14:paraId="2992F41F">
            <w:pPr>
              <w:pStyle w:val="39"/>
              <w:rPr>
                <w:rFonts w:hint="eastAsia" w:ascii="宋体" w:hAnsi="宋体" w:eastAsia="宋体" w:cs="宋体"/>
                <w:b w:val="0"/>
                <w:sz w:val="21"/>
                <w:szCs w:val="21"/>
                <w:highlight w:val="none"/>
              </w:rPr>
            </w:pPr>
          </w:p>
        </w:tc>
        <w:tc>
          <w:tcPr>
            <w:tcW w:w="1333" w:type="pct"/>
            <w:vAlign w:val="center"/>
          </w:tcPr>
          <w:p w14:paraId="4C8D3BF8">
            <w:pPr>
              <w:pStyle w:val="39"/>
              <w:rPr>
                <w:rFonts w:hint="eastAsia" w:ascii="宋体" w:hAnsi="宋体" w:eastAsia="宋体" w:cs="宋体"/>
                <w:b w:val="0"/>
                <w:sz w:val="21"/>
                <w:szCs w:val="21"/>
                <w:highlight w:val="none"/>
              </w:rPr>
            </w:pPr>
          </w:p>
        </w:tc>
        <w:tc>
          <w:tcPr>
            <w:tcW w:w="887" w:type="pct"/>
          </w:tcPr>
          <w:p w14:paraId="15AEAF6F">
            <w:pPr>
              <w:pStyle w:val="39"/>
              <w:rPr>
                <w:rFonts w:hint="eastAsia" w:ascii="宋体" w:hAnsi="宋体" w:eastAsia="宋体" w:cs="宋体"/>
                <w:sz w:val="21"/>
                <w:szCs w:val="21"/>
                <w:highlight w:val="none"/>
              </w:rPr>
            </w:pPr>
          </w:p>
        </w:tc>
      </w:tr>
      <w:tr w14:paraId="0DC1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18BD2EF1">
            <w:pPr>
              <w:pStyle w:val="39"/>
              <w:rPr>
                <w:rFonts w:hint="eastAsia" w:ascii="宋体" w:hAnsi="宋体" w:eastAsia="宋体" w:cs="宋体"/>
                <w:b w:val="0"/>
                <w:sz w:val="21"/>
                <w:szCs w:val="21"/>
                <w:highlight w:val="none"/>
              </w:rPr>
            </w:pPr>
          </w:p>
        </w:tc>
        <w:tc>
          <w:tcPr>
            <w:tcW w:w="1904" w:type="pct"/>
            <w:vAlign w:val="center"/>
          </w:tcPr>
          <w:p w14:paraId="52D75DCC">
            <w:pPr>
              <w:pStyle w:val="39"/>
              <w:rPr>
                <w:rFonts w:hint="eastAsia" w:ascii="宋体" w:hAnsi="宋体" w:eastAsia="宋体" w:cs="宋体"/>
                <w:b w:val="0"/>
                <w:sz w:val="21"/>
                <w:szCs w:val="21"/>
                <w:highlight w:val="none"/>
              </w:rPr>
            </w:pPr>
          </w:p>
        </w:tc>
        <w:tc>
          <w:tcPr>
            <w:tcW w:w="1333" w:type="pct"/>
            <w:vAlign w:val="center"/>
          </w:tcPr>
          <w:p w14:paraId="584F905F">
            <w:pPr>
              <w:pStyle w:val="39"/>
              <w:rPr>
                <w:rFonts w:hint="eastAsia" w:ascii="宋体" w:hAnsi="宋体" w:eastAsia="宋体" w:cs="宋体"/>
                <w:b w:val="0"/>
                <w:sz w:val="21"/>
                <w:szCs w:val="21"/>
                <w:highlight w:val="none"/>
              </w:rPr>
            </w:pPr>
          </w:p>
        </w:tc>
        <w:tc>
          <w:tcPr>
            <w:tcW w:w="887" w:type="pct"/>
          </w:tcPr>
          <w:p w14:paraId="08F43BD9">
            <w:pPr>
              <w:pStyle w:val="39"/>
              <w:rPr>
                <w:rFonts w:hint="eastAsia" w:ascii="宋体" w:hAnsi="宋体" w:eastAsia="宋体" w:cs="宋体"/>
                <w:sz w:val="21"/>
                <w:szCs w:val="21"/>
                <w:highlight w:val="none"/>
              </w:rPr>
            </w:pPr>
          </w:p>
        </w:tc>
      </w:tr>
      <w:tr w14:paraId="6CAE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402B5EA8">
            <w:pPr>
              <w:pStyle w:val="39"/>
              <w:rPr>
                <w:rFonts w:hint="eastAsia" w:ascii="宋体" w:hAnsi="宋体" w:eastAsia="宋体" w:cs="宋体"/>
                <w:b w:val="0"/>
                <w:sz w:val="21"/>
                <w:szCs w:val="21"/>
                <w:highlight w:val="none"/>
              </w:rPr>
            </w:pPr>
          </w:p>
        </w:tc>
        <w:tc>
          <w:tcPr>
            <w:tcW w:w="1904" w:type="pct"/>
            <w:vAlign w:val="center"/>
          </w:tcPr>
          <w:p w14:paraId="5DCEF9D9">
            <w:pPr>
              <w:pStyle w:val="39"/>
              <w:rPr>
                <w:rFonts w:hint="eastAsia" w:ascii="宋体" w:hAnsi="宋体" w:eastAsia="宋体" w:cs="宋体"/>
                <w:b w:val="0"/>
                <w:sz w:val="21"/>
                <w:szCs w:val="21"/>
                <w:highlight w:val="none"/>
              </w:rPr>
            </w:pPr>
          </w:p>
        </w:tc>
        <w:tc>
          <w:tcPr>
            <w:tcW w:w="1333" w:type="pct"/>
            <w:vAlign w:val="center"/>
          </w:tcPr>
          <w:p w14:paraId="2E378529">
            <w:pPr>
              <w:pStyle w:val="39"/>
              <w:rPr>
                <w:rFonts w:hint="eastAsia" w:ascii="宋体" w:hAnsi="宋体" w:eastAsia="宋体" w:cs="宋体"/>
                <w:b w:val="0"/>
                <w:sz w:val="21"/>
                <w:szCs w:val="21"/>
                <w:highlight w:val="none"/>
              </w:rPr>
            </w:pPr>
          </w:p>
        </w:tc>
        <w:tc>
          <w:tcPr>
            <w:tcW w:w="887" w:type="pct"/>
          </w:tcPr>
          <w:p w14:paraId="2E97DE5E">
            <w:pPr>
              <w:pStyle w:val="39"/>
              <w:rPr>
                <w:rFonts w:hint="eastAsia" w:ascii="宋体" w:hAnsi="宋体" w:eastAsia="宋体" w:cs="宋体"/>
                <w:sz w:val="21"/>
                <w:szCs w:val="21"/>
                <w:highlight w:val="none"/>
              </w:rPr>
            </w:pPr>
          </w:p>
        </w:tc>
      </w:tr>
      <w:tr w14:paraId="7251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53C13B3B">
            <w:pPr>
              <w:pStyle w:val="39"/>
              <w:rPr>
                <w:rFonts w:hint="eastAsia" w:ascii="宋体" w:hAnsi="宋体" w:eastAsia="宋体" w:cs="宋体"/>
                <w:b w:val="0"/>
                <w:sz w:val="21"/>
                <w:szCs w:val="21"/>
                <w:highlight w:val="none"/>
              </w:rPr>
            </w:pPr>
          </w:p>
        </w:tc>
        <w:tc>
          <w:tcPr>
            <w:tcW w:w="1904" w:type="pct"/>
            <w:vAlign w:val="center"/>
          </w:tcPr>
          <w:p w14:paraId="764A1EA4">
            <w:pPr>
              <w:pStyle w:val="39"/>
              <w:rPr>
                <w:rFonts w:hint="eastAsia" w:ascii="宋体" w:hAnsi="宋体" w:eastAsia="宋体" w:cs="宋体"/>
                <w:b w:val="0"/>
                <w:sz w:val="21"/>
                <w:szCs w:val="21"/>
                <w:highlight w:val="none"/>
                <w:lang w:eastAsia="zh-CN"/>
              </w:rPr>
            </w:pPr>
          </w:p>
        </w:tc>
        <w:tc>
          <w:tcPr>
            <w:tcW w:w="1333" w:type="pct"/>
            <w:vAlign w:val="center"/>
          </w:tcPr>
          <w:p w14:paraId="5EBC6810">
            <w:pPr>
              <w:pStyle w:val="39"/>
              <w:rPr>
                <w:rFonts w:hint="eastAsia" w:ascii="宋体" w:hAnsi="宋体" w:eastAsia="宋体" w:cs="宋体"/>
                <w:b w:val="0"/>
                <w:sz w:val="21"/>
                <w:szCs w:val="21"/>
                <w:highlight w:val="none"/>
              </w:rPr>
            </w:pPr>
          </w:p>
        </w:tc>
        <w:tc>
          <w:tcPr>
            <w:tcW w:w="887" w:type="pct"/>
          </w:tcPr>
          <w:p w14:paraId="59C1DCC2">
            <w:pPr>
              <w:pStyle w:val="39"/>
              <w:rPr>
                <w:rFonts w:hint="eastAsia" w:ascii="宋体" w:hAnsi="宋体" w:eastAsia="宋体" w:cs="宋体"/>
                <w:sz w:val="21"/>
                <w:szCs w:val="21"/>
                <w:highlight w:val="none"/>
              </w:rPr>
            </w:pPr>
          </w:p>
        </w:tc>
      </w:tr>
      <w:tr w14:paraId="7CBF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21EC0E0A">
            <w:pPr>
              <w:pStyle w:val="39"/>
              <w:rPr>
                <w:rFonts w:hint="eastAsia" w:ascii="宋体" w:hAnsi="宋体" w:eastAsia="宋体" w:cs="宋体"/>
                <w:b w:val="0"/>
                <w:sz w:val="21"/>
                <w:szCs w:val="21"/>
                <w:highlight w:val="none"/>
              </w:rPr>
            </w:pPr>
          </w:p>
        </w:tc>
        <w:tc>
          <w:tcPr>
            <w:tcW w:w="1904" w:type="pct"/>
            <w:vAlign w:val="center"/>
          </w:tcPr>
          <w:p w14:paraId="6E7FC935">
            <w:pPr>
              <w:pStyle w:val="39"/>
              <w:rPr>
                <w:rFonts w:hint="eastAsia" w:ascii="宋体" w:hAnsi="宋体" w:eastAsia="宋体" w:cs="宋体"/>
                <w:b w:val="0"/>
                <w:sz w:val="21"/>
                <w:szCs w:val="21"/>
                <w:highlight w:val="none"/>
              </w:rPr>
            </w:pPr>
          </w:p>
        </w:tc>
        <w:tc>
          <w:tcPr>
            <w:tcW w:w="1333" w:type="pct"/>
            <w:vAlign w:val="center"/>
          </w:tcPr>
          <w:p w14:paraId="31A3194B">
            <w:pPr>
              <w:pStyle w:val="39"/>
              <w:rPr>
                <w:rFonts w:hint="eastAsia" w:ascii="宋体" w:hAnsi="宋体" w:eastAsia="宋体" w:cs="宋体"/>
                <w:b w:val="0"/>
                <w:sz w:val="21"/>
                <w:szCs w:val="21"/>
                <w:highlight w:val="none"/>
              </w:rPr>
            </w:pPr>
          </w:p>
        </w:tc>
        <w:tc>
          <w:tcPr>
            <w:tcW w:w="887" w:type="pct"/>
          </w:tcPr>
          <w:p w14:paraId="542E603E">
            <w:pPr>
              <w:pStyle w:val="39"/>
              <w:rPr>
                <w:rFonts w:hint="eastAsia" w:ascii="宋体" w:hAnsi="宋体" w:eastAsia="宋体" w:cs="宋体"/>
                <w:sz w:val="21"/>
                <w:szCs w:val="21"/>
                <w:highlight w:val="none"/>
              </w:rPr>
            </w:pPr>
          </w:p>
        </w:tc>
      </w:tr>
      <w:tr w14:paraId="64BA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14:paraId="5D61F73A">
            <w:pPr>
              <w:pStyle w:val="39"/>
              <w:rPr>
                <w:rFonts w:hint="eastAsia" w:ascii="宋体" w:hAnsi="宋体" w:eastAsia="宋体" w:cs="宋体"/>
                <w:b w:val="0"/>
                <w:sz w:val="21"/>
                <w:szCs w:val="21"/>
                <w:highlight w:val="none"/>
              </w:rPr>
            </w:pPr>
          </w:p>
        </w:tc>
        <w:tc>
          <w:tcPr>
            <w:tcW w:w="1904" w:type="pct"/>
            <w:vAlign w:val="center"/>
          </w:tcPr>
          <w:p w14:paraId="0AD93094">
            <w:pPr>
              <w:pStyle w:val="39"/>
              <w:rPr>
                <w:rFonts w:hint="eastAsia" w:ascii="宋体" w:hAnsi="宋体" w:eastAsia="宋体" w:cs="宋体"/>
                <w:b w:val="0"/>
                <w:sz w:val="21"/>
                <w:szCs w:val="21"/>
                <w:highlight w:val="none"/>
              </w:rPr>
            </w:pPr>
          </w:p>
        </w:tc>
        <w:tc>
          <w:tcPr>
            <w:tcW w:w="1333" w:type="pct"/>
            <w:vAlign w:val="center"/>
          </w:tcPr>
          <w:p w14:paraId="5677673F">
            <w:pPr>
              <w:pStyle w:val="39"/>
              <w:rPr>
                <w:rFonts w:hint="eastAsia" w:ascii="宋体" w:hAnsi="宋体" w:eastAsia="宋体" w:cs="宋体"/>
                <w:b w:val="0"/>
                <w:sz w:val="21"/>
                <w:szCs w:val="21"/>
                <w:highlight w:val="none"/>
              </w:rPr>
            </w:pPr>
          </w:p>
        </w:tc>
        <w:tc>
          <w:tcPr>
            <w:tcW w:w="887" w:type="pct"/>
          </w:tcPr>
          <w:p w14:paraId="05088C09">
            <w:pPr>
              <w:pStyle w:val="39"/>
              <w:rPr>
                <w:rFonts w:hint="eastAsia" w:ascii="宋体" w:hAnsi="宋体" w:eastAsia="宋体" w:cs="宋体"/>
                <w:sz w:val="21"/>
                <w:szCs w:val="21"/>
                <w:highlight w:val="none"/>
              </w:rPr>
            </w:pPr>
          </w:p>
        </w:tc>
      </w:tr>
    </w:tbl>
    <w:p w14:paraId="266CF00A">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490EA520">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16C48763">
      <w:pPr>
        <w:rPr>
          <w:rFonts w:hint="eastAsia" w:ascii="宋体" w:hAnsi="宋体" w:eastAsia="宋体" w:cs="宋体"/>
          <w:color w:val="000000"/>
          <w:sz w:val="21"/>
          <w:szCs w:val="21"/>
          <w:highlight w:val="none"/>
        </w:rPr>
      </w:pPr>
    </w:p>
    <w:p w14:paraId="5FB6C249">
      <w:pPr>
        <w:rPr>
          <w:rFonts w:hint="eastAsia" w:ascii="宋体" w:hAnsi="宋体" w:eastAsia="宋体" w:cs="宋体"/>
          <w:b/>
          <w:bCs/>
          <w:color w:val="000000"/>
          <w:sz w:val="21"/>
          <w:szCs w:val="21"/>
          <w:highlight w:val="none"/>
        </w:rPr>
      </w:pPr>
    </w:p>
    <w:p w14:paraId="76B39B10">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14:paraId="12425C5C">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附件5 近三年同类项目业绩一览表</w:t>
      </w:r>
    </w:p>
    <w:p w14:paraId="7E551847">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5C17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62A50EC6">
            <w:pPr>
              <w:pStyle w:val="14"/>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264" w:type="pct"/>
            <w:vAlign w:val="center"/>
          </w:tcPr>
          <w:p w14:paraId="37D926F7">
            <w:pPr>
              <w:pStyle w:val="14"/>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服务单位</w:t>
            </w:r>
          </w:p>
        </w:tc>
        <w:tc>
          <w:tcPr>
            <w:tcW w:w="1144" w:type="pct"/>
            <w:vAlign w:val="center"/>
          </w:tcPr>
          <w:p w14:paraId="2F2EF917">
            <w:pPr>
              <w:pStyle w:val="14"/>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项目名称</w:t>
            </w:r>
          </w:p>
        </w:tc>
        <w:tc>
          <w:tcPr>
            <w:tcW w:w="688" w:type="pct"/>
            <w:vAlign w:val="center"/>
          </w:tcPr>
          <w:p w14:paraId="4AD608E9">
            <w:pPr>
              <w:pStyle w:val="14"/>
              <w:ind w:left="0"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合同金额（万元）</w:t>
            </w:r>
          </w:p>
        </w:tc>
        <w:tc>
          <w:tcPr>
            <w:tcW w:w="611" w:type="pct"/>
            <w:vAlign w:val="center"/>
          </w:tcPr>
          <w:p w14:paraId="52605476">
            <w:pPr>
              <w:pStyle w:val="14"/>
              <w:ind w:left="0"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合同签订时间</w:t>
            </w:r>
          </w:p>
        </w:tc>
        <w:tc>
          <w:tcPr>
            <w:tcW w:w="819" w:type="pct"/>
            <w:vAlign w:val="center"/>
          </w:tcPr>
          <w:p w14:paraId="230EDF22">
            <w:pPr>
              <w:pStyle w:val="14"/>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联系人及</w:t>
            </w:r>
          </w:p>
          <w:p w14:paraId="2F5F9577">
            <w:pPr>
              <w:pStyle w:val="14"/>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联系电话</w:t>
            </w:r>
          </w:p>
        </w:tc>
      </w:tr>
      <w:tr w14:paraId="4EB8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C0C0E1">
            <w:pPr>
              <w:pStyle w:val="14"/>
              <w:rPr>
                <w:rFonts w:hint="eastAsia" w:ascii="宋体" w:hAnsi="宋体" w:eastAsia="宋体" w:cs="宋体"/>
                <w:b/>
                <w:sz w:val="21"/>
                <w:szCs w:val="21"/>
                <w:highlight w:val="none"/>
              </w:rPr>
            </w:pPr>
          </w:p>
        </w:tc>
        <w:tc>
          <w:tcPr>
            <w:tcW w:w="1264" w:type="pct"/>
          </w:tcPr>
          <w:p w14:paraId="04E9EAA9">
            <w:pPr>
              <w:pStyle w:val="14"/>
              <w:rPr>
                <w:rFonts w:hint="eastAsia" w:ascii="宋体" w:hAnsi="宋体" w:eastAsia="宋体" w:cs="宋体"/>
                <w:b/>
                <w:sz w:val="21"/>
                <w:szCs w:val="21"/>
                <w:highlight w:val="none"/>
              </w:rPr>
            </w:pPr>
          </w:p>
        </w:tc>
        <w:tc>
          <w:tcPr>
            <w:tcW w:w="1144" w:type="pct"/>
          </w:tcPr>
          <w:p w14:paraId="2A991B19">
            <w:pPr>
              <w:pStyle w:val="14"/>
              <w:rPr>
                <w:rFonts w:hint="eastAsia" w:ascii="宋体" w:hAnsi="宋体" w:eastAsia="宋体" w:cs="宋体"/>
                <w:b/>
                <w:sz w:val="21"/>
                <w:szCs w:val="21"/>
                <w:highlight w:val="none"/>
              </w:rPr>
            </w:pPr>
          </w:p>
        </w:tc>
        <w:tc>
          <w:tcPr>
            <w:tcW w:w="688" w:type="pct"/>
          </w:tcPr>
          <w:p w14:paraId="646023B4">
            <w:pPr>
              <w:pStyle w:val="14"/>
              <w:rPr>
                <w:rFonts w:hint="eastAsia" w:ascii="宋体" w:hAnsi="宋体" w:eastAsia="宋体" w:cs="宋体"/>
                <w:b/>
                <w:sz w:val="21"/>
                <w:szCs w:val="21"/>
                <w:highlight w:val="none"/>
              </w:rPr>
            </w:pPr>
          </w:p>
        </w:tc>
        <w:tc>
          <w:tcPr>
            <w:tcW w:w="611" w:type="pct"/>
          </w:tcPr>
          <w:p w14:paraId="5837A162">
            <w:pPr>
              <w:pStyle w:val="14"/>
              <w:rPr>
                <w:rFonts w:hint="eastAsia" w:ascii="宋体" w:hAnsi="宋体" w:eastAsia="宋体" w:cs="宋体"/>
                <w:b/>
                <w:sz w:val="21"/>
                <w:szCs w:val="21"/>
                <w:highlight w:val="none"/>
              </w:rPr>
            </w:pPr>
          </w:p>
        </w:tc>
        <w:tc>
          <w:tcPr>
            <w:tcW w:w="819" w:type="pct"/>
          </w:tcPr>
          <w:p w14:paraId="5EC432EC">
            <w:pPr>
              <w:pStyle w:val="14"/>
              <w:rPr>
                <w:rFonts w:hint="eastAsia" w:ascii="宋体" w:hAnsi="宋体" w:eastAsia="宋体" w:cs="宋体"/>
                <w:b/>
                <w:sz w:val="21"/>
                <w:szCs w:val="21"/>
                <w:highlight w:val="none"/>
              </w:rPr>
            </w:pPr>
          </w:p>
        </w:tc>
      </w:tr>
      <w:tr w14:paraId="374A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2333651">
            <w:pPr>
              <w:pStyle w:val="14"/>
              <w:rPr>
                <w:rFonts w:hint="eastAsia" w:ascii="宋体" w:hAnsi="宋体" w:eastAsia="宋体" w:cs="宋体"/>
                <w:b/>
                <w:sz w:val="21"/>
                <w:szCs w:val="21"/>
                <w:highlight w:val="none"/>
              </w:rPr>
            </w:pPr>
          </w:p>
        </w:tc>
        <w:tc>
          <w:tcPr>
            <w:tcW w:w="1264" w:type="pct"/>
          </w:tcPr>
          <w:p w14:paraId="52A87B46">
            <w:pPr>
              <w:pStyle w:val="14"/>
              <w:rPr>
                <w:rFonts w:hint="eastAsia" w:ascii="宋体" w:hAnsi="宋体" w:eastAsia="宋体" w:cs="宋体"/>
                <w:b/>
                <w:sz w:val="21"/>
                <w:szCs w:val="21"/>
                <w:highlight w:val="none"/>
              </w:rPr>
            </w:pPr>
          </w:p>
        </w:tc>
        <w:tc>
          <w:tcPr>
            <w:tcW w:w="1144" w:type="pct"/>
          </w:tcPr>
          <w:p w14:paraId="70778FBF">
            <w:pPr>
              <w:pStyle w:val="14"/>
              <w:rPr>
                <w:rFonts w:hint="eastAsia" w:ascii="宋体" w:hAnsi="宋体" w:eastAsia="宋体" w:cs="宋体"/>
                <w:b/>
                <w:sz w:val="21"/>
                <w:szCs w:val="21"/>
                <w:highlight w:val="none"/>
              </w:rPr>
            </w:pPr>
          </w:p>
        </w:tc>
        <w:tc>
          <w:tcPr>
            <w:tcW w:w="688" w:type="pct"/>
          </w:tcPr>
          <w:p w14:paraId="0548B3FA">
            <w:pPr>
              <w:pStyle w:val="14"/>
              <w:rPr>
                <w:rFonts w:hint="eastAsia" w:ascii="宋体" w:hAnsi="宋体" w:eastAsia="宋体" w:cs="宋体"/>
                <w:b/>
                <w:sz w:val="21"/>
                <w:szCs w:val="21"/>
                <w:highlight w:val="none"/>
              </w:rPr>
            </w:pPr>
          </w:p>
        </w:tc>
        <w:tc>
          <w:tcPr>
            <w:tcW w:w="611" w:type="pct"/>
          </w:tcPr>
          <w:p w14:paraId="3E828D6B">
            <w:pPr>
              <w:pStyle w:val="14"/>
              <w:rPr>
                <w:rFonts w:hint="eastAsia" w:ascii="宋体" w:hAnsi="宋体" w:eastAsia="宋体" w:cs="宋体"/>
                <w:b/>
                <w:sz w:val="21"/>
                <w:szCs w:val="21"/>
                <w:highlight w:val="none"/>
              </w:rPr>
            </w:pPr>
          </w:p>
        </w:tc>
        <w:tc>
          <w:tcPr>
            <w:tcW w:w="819" w:type="pct"/>
          </w:tcPr>
          <w:p w14:paraId="5E4D82CF">
            <w:pPr>
              <w:pStyle w:val="14"/>
              <w:rPr>
                <w:rFonts w:hint="eastAsia" w:ascii="宋体" w:hAnsi="宋体" w:eastAsia="宋体" w:cs="宋体"/>
                <w:b/>
                <w:sz w:val="21"/>
                <w:szCs w:val="21"/>
                <w:highlight w:val="none"/>
              </w:rPr>
            </w:pPr>
          </w:p>
        </w:tc>
      </w:tr>
      <w:tr w14:paraId="2441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1BEFE88">
            <w:pPr>
              <w:pStyle w:val="14"/>
              <w:rPr>
                <w:rFonts w:hint="eastAsia" w:ascii="宋体" w:hAnsi="宋体" w:eastAsia="宋体" w:cs="宋体"/>
                <w:b/>
                <w:sz w:val="21"/>
                <w:szCs w:val="21"/>
                <w:highlight w:val="none"/>
              </w:rPr>
            </w:pPr>
          </w:p>
        </w:tc>
        <w:tc>
          <w:tcPr>
            <w:tcW w:w="1264" w:type="pct"/>
          </w:tcPr>
          <w:p w14:paraId="71EB01BE">
            <w:pPr>
              <w:pStyle w:val="14"/>
              <w:rPr>
                <w:rFonts w:hint="eastAsia" w:ascii="宋体" w:hAnsi="宋体" w:eastAsia="宋体" w:cs="宋体"/>
                <w:b/>
                <w:sz w:val="21"/>
                <w:szCs w:val="21"/>
                <w:highlight w:val="none"/>
              </w:rPr>
            </w:pPr>
          </w:p>
        </w:tc>
        <w:tc>
          <w:tcPr>
            <w:tcW w:w="1144" w:type="pct"/>
          </w:tcPr>
          <w:p w14:paraId="3815BFF8">
            <w:pPr>
              <w:pStyle w:val="14"/>
              <w:rPr>
                <w:rFonts w:hint="eastAsia" w:ascii="宋体" w:hAnsi="宋体" w:eastAsia="宋体" w:cs="宋体"/>
                <w:b/>
                <w:sz w:val="21"/>
                <w:szCs w:val="21"/>
                <w:highlight w:val="none"/>
              </w:rPr>
            </w:pPr>
          </w:p>
        </w:tc>
        <w:tc>
          <w:tcPr>
            <w:tcW w:w="688" w:type="pct"/>
          </w:tcPr>
          <w:p w14:paraId="468A7956">
            <w:pPr>
              <w:pStyle w:val="14"/>
              <w:rPr>
                <w:rFonts w:hint="eastAsia" w:ascii="宋体" w:hAnsi="宋体" w:eastAsia="宋体" w:cs="宋体"/>
                <w:b/>
                <w:sz w:val="21"/>
                <w:szCs w:val="21"/>
                <w:highlight w:val="none"/>
              </w:rPr>
            </w:pPr>
          </w:p>
        </w:tc>
        <w:tc>
          <w:tcPr>
            <w:tcW w:w="611" w:type="pct"/>
          </w:tcPr>
          <w:p w14:paraId="1D45AE81">
            <w:pPr>
              <w:pStyle w:val="14"/>
              <w:rPr>
                <w:rFonts w:hint="eastAsia" w:ascii="宋体" w:hAnsi="宋体" w:eastAsia="宋体" w:cs="宋体"/>
                <w:b/>
                <w:sz w:val="21"/>
                <w:szCs w:val="21"/>
                <w:highlight w:val="none"/>
              </w:rPr>
            </w:pPr>
          </w:p>
        </w:tc>
        <w:tc>
          <w:tcPr>
            <w:tcW w:w="819" w:type="pct"/>
          </w:tcPr>
          <w:p w14:paraId="33767977">
            <w:pPr>
              <w:pStyle w:val="14"/>
              <w:rPr>
                <w:rFonts w:hint="eastAsia" w:ascii="宋体" w:hAnsi="宋体" w:eastAsia="宋体" w:cs="宋体"/>
                <w:b/>
                <w:sz w:val="21"/>
                <w:szCs w:val="21"/>
                <w:highlight w:val="none"/>
              </w:rPr>
            </w:pPr>
          </w:p>
        </w:tc>
      </w:tr>
      <w:tr w14:paraId="1A22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17AF2">
            <w:pPr>
              <w:pStyle w:val="14"/>
              <w:rPr>
                <w:rFonts w:hint="eastAsia" w:ascii="宋体" w:hAnsi="宋体" w:eastAsia="宋体" w:cs="宋体"/>
                <w:b/>
                <w:sz w:val="21"/>
                <w:szCs w:val="21"/>
                <w:highlight w:val="none"/>
              </w:rPr>
            </w:pPr>
          </w:p>
        </w:tc>
        <w:tc>
          <w:tcPr>
            <w:tcW w:w="1264" w:type="pct"/>
          </w:tcPr>
          <w:p w14:paraId="539032A0">
            <w:pPr>
              <w:pStyle w:val="14"/>
              <w:rPr>
                <w:rFonts w:hint="eastAsia" w:ascii="宋体" w:hAnsi="宋体" w:eastAsia="宋体" w:cs="宋体"/>
                <w:b/>
                <w:sz w:val="21"/>
                <w:szCs w:val="21"/>
                <w:highlight w:val="none"/>
              </w:rPr>
            </w:pPr>
          </w:p>
        </w:tc>
        <w:tc>
          <w:tcPr>
            <w:tcW w:w="1144" w:type="pct"/>
          </w:tcPr>
          <w:p w14:paraId="77FB37D0">
            <w:pPr>
              <w:pStyle w:val="14"/>
              <w:rPr>
                <w:rFonts w:hint="eastAsia" w:ascii="宋体" w:hAnsi="宋体" w:eastAsia="宋体" w:cs="宋体"/>
                <w:b/>
                <w:sz w:val="21"/>
                <w:szCs w:val="21"/>
                <w:highlight w:val="none"/>
              </w:rPr>
            </w:pPr>
          </w:p>
        </w:tc>
        <w:tc>
          <w:tcPr>
            <w:tcW w:w="688" w:type="pct"/>
          </w:tcPr>
          <w:p w14:paraId="28EB0DD2">
            <w:pPr>
              <w:pStyle w:val="14"/>
              <w:rPr>
                <w:rFonts w:hint="eastAsia" w:ascii="宋体" w:hAnsi="宋体" w:eastAsia="宋体" w:cs="宋体"/>
                <w:b/>
                <w:sz w:val="21"/>
                <w:szCs w:val="21"/>
                <w:highlight w:val="none"/>
              </w:rPr>
            </w:pPr>
          </w:p>
        </w:tc>
        <w:tc>
          <w:tcPr>
            <w:tcW w:w="611" w:type="pct"/>
          </w:tcPr>
          <w:p w14:paraId="2DA7D6CD">
            <w:pPr>
              <w:pStyle w:val="14"/>
              <w:rPr>
                <w:rFonts w:hint="eastAsia" w:ascii="宋体" w:hAnsi="宋体" w:eastAsia="宋体" w:cs="宋体"/>
                <w:b/>
                <w:sz w:val="21"/>
                <w:szCs w:val="21"/>
                <w:highlight w:val="none"/>
              </w:rPr>
            </w:pPr>
          </w:p>
        </w:tc>
        <w:tc>
          <w:tcPr>
            <w:tcW w:w="819" w:type="pct"/>
          </w:tcPr>
          <w:p w14:paraId="4BE2B8EA">
            <w:pPr>
              <w:pStyle w:val="14"/>
              <w:rPr>
                <w:rFonts w:hint="eastAsia" w:ascii="宋体" w:hAnsi="宋体" w:eastAsia="宋体" w:cs="宋体"/>
                <w:b/>
                <w:sz w:val="21"/>
                <w:szCs w:val="21"/>
                <w:highlight w:val="none"/>
              </w:rPr>
            </w:pPr>
          </w:p>
        </w:tc>
      </w:tr>
      <w:tr w14:paraId="136C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F16DCA">
            <w:pPr>
              <w:pStyle w:val="14"/>
              <w:rPr>
                <w:rFonts w:hint="eastAsia" w:ascii="宋体" w:hAnsi="宋体" w:eastAsia="宋体" w:cs="宋体"/>
                <w:b/>
                <w:sz w:val="21"/>
                <w:szCs w:val="21"/>
                <w:highlight w:val="none"/>
              </w:rPr>
            </w:pPr>
          </w:p>
        </w:tc>
        <w:tc>
          <w:tcPr>
            <w:tcW w:w="1264" w:type="pct"/>
          </w:tcPr>
          <w:p w14:paraId="4E2DE313">
            <w:pPr>
              <w:pStyle w:val="14"/>
              <w:rPr>
                <w:rFonts w:hint="eastAsia" w:ascii="宋体" w:hAnsi="宋体" w:eastAsia="宋体" w:cs="宋体"/>
                <w:b/>
                <w:sz w:val="21"/>
                <w:szCs w:val="21"/>
                <w:highlight w:val="none"/>
              </w:rPr>
            </w:pPr>
          </w:p>
        </w:tc>
        <w:tc>
          <w:tcPr>
            <w:tcW w:w="1144" w:type="pct"/>
          </w:tcPr>
          <w:p w14:paraId="17C9814F">
            <w:pPr>
              <w:pStyle w:val="14"/>
              <w:rPr>
                <w:rFonts w:hint="eastAsia" w:ascii="宋体" w:hAnsi="宋体" w:eastAsia="宋体" w:cs="宋体"/>
                <w:b/>
                <w:sz w:val="21"/>
                <w:szCs w:val="21"/>
                <w:highlight w:val="none"/>
              </w:rPr>
            </w:pPr>
          </w:p>
        </w:tc>
        <w:tc>
          <w:tcPr>
            <w:tcW w:w="688" w:type="pct"/>
          </w:tcPr>
          <w:p w14:paraId="1BB82592">
            <w:pPr>
              <w:pStyle w:val="14"/>
              <w:rPr>
                <w:rFonts w:hint="eastAsia" w:ascii="宋体" w:hAnsi="宋体" w:eastAsia="宋体" w:cs="宋体"/>
                <w:b/>
                <w:sz w:val="21"/>
                <w:szCs w:val="21"/>
                <w:highlight w:val="none"/>
              </w:rPr>
            </w:pPr>
          </w:p>
        </w:tc>
        <w:tc>
          <w:tcPr>
            <w:tcW w:w="611" w:type="pct"/>
          </w:tcPr>
          <w:p w14:paraId="084A4F44">
            <w:pPr>
              <w:pStyle w:val="14"/>
              <w:rPr>
                <w:rFonts w:hint="eastAsia" w:ascii="宋体" w:hAnsi="宋体" w:eastAsia="宋体" w:cs="宋体"/>
                <w:b/>
                <w:sz w:val="21"/>
                <w:szCs w:val="21"/>
                <w:highlight w:val="none"/>
              </w:rPr>
            </w:pPr>
          </w:p>
        </w:tc>
        <w:tc>
          <w:tcPr>
            <w:tcW w:w="819" w:type="pct"/>
          </w:tcPr>
          <w:p w14:paraId="0559AEE3">
            <w:pPr>
              <w:pStyle w:val="14"/>
              <w:rPr>
                <w:rFonts w:hint="eastAsia" w:ascii="宋体" w:hAnsi="宋体" w:eastAsia="宋体" w:cs="宋体"/>
                <w:b/>
                <w:sz w:val="21"/>
                <w:szCs w:val="21"/>
                <w:highlight w:val="none"/>
              </w:rPr>
            </w:pPr>
          </w:p>
        </w:tc>
      </w:tr>
      <w:tr w14:paraId="30FF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45BE15">
            <w:pPr>
              <w:pStyle w:val="14"/>
              <w:rPr>
                <w:rFonts w:hint="eastAsia" w:ascii="宋体" w:hAnsi="宋体" w:eastAsia="宋体" w:cs="宋体"/>
                <w:b/>
                <w:sz w:val="21"/>
                <w:szCs w:val="21"/>
                <w:highlight w:val="none"/>
              </w:rPr>
            </w:pPr>
          </w:p>
        </w:tc>
        <w:tc>
          <w:tcPr>
            <w:tcW w:w="1264" w:type="pct"/>
          </w:tcPr>
          <w:p w14:paraId="7EDA7E06">
            <w:pPr>
              <w:pStyle w:val="14"/>
              <w:rPr>
                <w:rFonts w:hint="eastAsia" w:ascii="宋体" w:hAnsi="宋体" w:eastAsia="宋体" w:cs="宋体"/>
                <w:b/>
                <w:sz w:val="21"/>
                <w:szCs w:val="21"/>
                <w:highlight w:val="none"/>
              </w:rPr>
            </w:pPr>
          </w:p>
        </w:tc>
        <w:tc>
          <w:tcPr>
            <w:tcW w:w="1144" w:type="pct"/>
          </w:tcPr>
          <w:p w14:paraId="34155CF1">
            <w:pPr>
              <w:pStyle w:val="14"/>
              <w:rPr>
                <w:rFonts w:hint="eastAsia" w:ascii="宋体" w:hAnsi="宋体" w:eastAsia="宋体" w:cs="宋体"/>
                <w:b/>
                <w:sz w:val="21"/>
                <w:szCs w:val="21"/>
                <w:highlight w:val="none"/>
              </w:rPr>
            </w:pPr>
          </w:p>
        </w:tc>
        <w:tc>
          <w:tcPr>
            <w:tcW w:w="688" w:type="pct"/>
          </w:tcPr>
          <w:p w14:paraId="0985FC3B">
            <w:pPr>
              <w:pStyle w:val="14"/>
              <w:rPr>
                <w:rFonts w:hint="eastAsia" w:ascii="宋体" w:hAnsi="宋体" w:eastAsia="宋体" w:cs="宋体"/>
                <w:b/>
                <w:sz w:val="21"/>
                <w:szCs w:val="21"/>
                <w:highlight w:val="none"/>
              </w:rPr>
            </w:pPr>
          </w:p>
        </w:tc>
        <w:tc>
          <w:tcPr>
            <w:tcW w:w="611" w:type="pct"/>
          </w:tcPr>
          <w:p w14:paraId="294A23CE">
            <w:pPr>
              <w:pStyle w:val="14"/>
              <w:rPr>
                <w:rFonts w:hint="eastAsia" w:ascii="宋体" w:hAnsi="宋体" w:eastAsia="宋体" w:cs="宋体"/>
                <w:b/>
                <w:sz w:val="21"/>
                <w:szCs w:val="21"/>
                <w:highlight w:val="none"/>
              </w:rPr>
            </w:pPr>
          </w:p>
        </w:tc>
        <w:tc>
          <w:tcPr>
            <w:tcW w:w="819" w:type="pct"/>
          </w:tcPr>
          <w:p w14:paraId="084B2A6D">
            <w:pPr>
              <w:pStyle w:val="14"/>
              <w:rPr>
                <w:rFonts w:hint="eastAsia" w:ascii="宋体" w:hAnsi="宋体" w:eastAsia="宋体" w:cs="宋体"/>
                <w:b/>
                <w:sz w:val="21"/>
                <w:szCs w:val="21"/>
                <w:highlight w:val="none"/>
              </w:rPr>
            </w:pPr>
          </w:p>
        </w:tc>
      </w:tr>
      <w:tr w14:paraId="13AA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40AC56">
            <w:pPr>
              <w:pStyle w:val="14"/>
              <w:rPr>
                <w:rFonts w:hint="eastAsia" w:ascii="宋体" w:hAnsi="宋体" w:eastAsia="宋体" w:cs="宋体"/>
                <w:b/>
                <w:sz w:val="21"/>
                <w:szCs w:val="21"/>
                <w:highlight w:val="none"/>
              </w:rPr>
            </w:pPr>
          </w:p>
        </w:tc>
        <w:tc>
          <w:tcPr>
            <w:tcW w:w="1264" w:type="pct"/>
          </w:tcPr>
          <w:p w14:paraId="368312F6">
            <w:pPr>
              <w:pStyle w:val="14"/>
              <w:rPr>
                <w:rFonts w:hint="eastAsia" w:ascii="宋体" w:hAnsi="宋体" w:eastAsia="宋体" w:cs="宋体"/>
                <w:b/>
                <w:sz w:val="21"/>
                <w:szCs w:val="21"/>
                <w:highlight w:val="none"/>
              </w:rPr>
            </w:pPr>
          </w:p>
        </w:tc>
        <w:tc>
          <w:tcPr>
            <w:tcW w:w="1144" w:type="pct"/>
          </w:tcPr>
          <w:p w14:paraId="09806F02">
            <w:pPr>
              <w:pStyle w:val="14"/>
              <w:rPr>
                <w:rFonts w:hint="eastAsia" w:ascii="宋体" w:hAnsi="宋体" w:eastAsia="宋体" w:cs="宋体"/>
                <w:b/>
                <w:sz w:val="21"/>
                <w:szCs w:val="21"/>
                <w:highlight w:val="none"/>
              </w:rPr>
            </w:pPr>
          </w:p>
        </w:tc>
        <w:tc>
          <w:tcPr>
            <w:tcW w:w="688" w:type="pct"/>
          </w:tcPr>
          <w:p w14:paraId="138E9F01">
            <w:pPr>
              <w:pStyle w:val="14"/>
              <w:rPr>
                <w:rFonts w:hint="eastAsia" w:ascii="宋体" w:hAnsi="宋体" w:eastAsia="宋体" w:cs="宋体"/>
                <w:b/>
                <w:sz w:val="21"/>
                <w:szCs w:val="21"/>
                <w:highlight w:val="none"/>
              </w:rPr>
            </w:pPr>
          </w:p>
        </w:tc>
        <w:tc>
          <w:tcPr>
            <w:tcW w:w="611" w:type="pct"/>
          </w:tcPr>
          <w:p w14:paraId="2FB898F1">
            <w:pPr>
              <w:pStyle w:val="14"/>
              <w:rPr>
                <w:rFonts w:hint="eastAsia" w:ascii="宋体" w:hAnsi="宋体" w:eastAsia="宋体" w:cs="宋体"/>
                <w:b/>
                <w:sz w:val="21"/>
                <w:szCs w:val="21"/>
                <w:highlight w:val="none"/>
              </w:rPr>
            </w:pPr>
          </w:p>
        </w:tc>
        <w:tc>
          <w:tcPr>
            <w:tcW w:w="819" w:type="pct"/>
          </w:tcPr>
          <w:p w14:paraId="652735E4">
            <w:pPr>
              <w:pStyle w:val="14"/>
              <w:rPr>
                <w:rFonts w:hint="eastAsia" w:ascii="宋体" w:hAnsi="宋体" w:eastAsia="宋体" w:cs="宋体"/>
                <w:b/>
                <w:sz w:val="21"/>
                <w:szCs w:val="21"/>
                <w:highlight w:val="none"/>
              </w:rPr>
            </w:pPr>
          </w:p>
        </w:tc>
      </w:tr>
      <w:tr w14:paraId="4202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068725">
            <w:pPr>
              <w:pStyle w:val="14"/>
              <w:rPr>
                <w:rFonts w:hint="eastAsia" w:ascii="宋体" w:hAnsi="宋体" w:eastAsia="宋体" w:cs="宋体"/>
                <w:b/>
                <w:sz w:val="21"/>
                <w:szCs w:val="21"/>
                <w:highlight w:val="none"/>
              </w:rPr>
            </w:pPr>
          </w:p>
        </w:tc>
        <w:tc>
          <w:tcPr>
            <w:tcW w:w="1264" w:type="pct"/>
          </w:tcPr>
          <w:p w14:paraId="3EDBEABB">
            <w:pPr>
              <w:pStyle w:val="14"/>
              <w:rPr>
                <w:rFonts w:hint="eastAsia" w:ascii="宋体" w:hAnsi="宋体" w:eastAsia="宋体" w:cs="宋体"/>
                <w:b/>
                <w:sz w:val="21"/>
                <w:szCs w:val="21"/>
                <w:highlight w:val="none"/>
              </w:rPr>
            </w:pPr>
          </w:p>
        </w:tc>
        <w:tc>
          <w:tcPr>
            <w:tcW w:w="1144" w:type="pct"/>
          </w:tcPr>
          <w:p w14:paraId="14835B96">
            <w:pPr>
              <w:pStyle w:val="14"/>
              <w:rPr>
                <w:rFonts w:hint="eastAsia" w:ascii="宋体" w:hAnsi="宋体" w:eastAsia="宋体" w:cs="宋体"/>
                <w:b/>
                <w:sz w:val="21"/>
                <w:szCs w:val="21"/>
                <w:highlight w:val="none"/>
              </w:rPr>
            </w:pPr>
          </w:p>
        </w:tc>
        <w:tc>
          <w:tcPr>
            <w:tcW w:w="688" w:type="pct"/>
          </w:tcPr>
          <w:p w14:paraId="60F59C6A">
            <w:pPr>
              <w:pStyle w:val="14"/>
              <w:rPr>
                <w:rFonts w:hint="eastAsia" w:ascii="宋体" w:hAnsi="宋体" w:eastAsia="宋体" w:cs="宋体"/>
                <w:b/>
                <w:sz w:val="21"/>
                <w:szCs w:val="21"/>
                <w:highlight w:val="none"/>
              </w:rPr>
            </w:pPr>
          </w:p>
        </w:tc>
        <w:tc>
          <w:tcPr>
            <w:tcW w:w="611" w:type="pct"/>
          </w:tcPr>
          <w:p w14:paraId="0B6FD639">
            <w:pPr>
              <w:pStyle w:val="14"/>
              <w:rPr>
                <w:rFonts w:hint="eastAsia" w:ascii="宋体" w:hAnsi="宋体" w:eastAsia="宋体" w:cs="宋体"/>
                <w:b/>
                <w:sz w:val="21"/>
                <w:szCs w:val="21"/>
                <w:highlight w:val="none"/>
              </w:rPr>
            </w:pPr>
          </w:p>
        </w:tc>
        <w:tc>
          <w:tcPr>
            <w:tcW w:w="819" w:type="pct"/>
          </w:tcPr>
          <w:p w14:paraId="2EF8EEE6">
            <w:pPr>
              <w:pStyle w:val="14"/>
              <w:rPr>
                <w:rFonts w:hint="eastAsia" w:ascii="宋体" w:hAnsi="宋体" w:eastAsia="宋体" w:cs="宋体"/>
                <w:b/>
                <w:sz w:val="21"/>
                <w:szCs w:val="21"/>
                <w:highlight w:val="none"/>
              </w:rPr>
            </w:pPr>
          </w:p>
        </w:tc>
      </w:tr>
      <w:tr w14:paraId="2E88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ED97DB">
            <w:pPr>
              <w:pStyle w:val="14"/>
              <w:rPr>
                <w:rFonts w:hint="eastAsia" w:ascii="宋体" w:hAnsi="宋体" w:eastAsia="宋体" w:cs="宋体"/>
                <w:b/>
                <w:sz w:val="21"/>
                <w:szCs w:val="21"/>
                <w:highlight w:val="none"/>
              </w:rPr>
            </w:pPr>
          </w:p>
        </w:tc>
        <w:tc>
          <w:tcPr>
            <w:tcW w:w="1264" w:type="pct"/>
          </w:tcPr>
          <w:p w14:paraId="1DAC01EF">
            <w:pPr>
              <w:pStyle w:val="14"/>
              <w:rPr>
                <w:rFonts w:hint="eastAsia" w:ascii="宋体" w:hAnsi="宋体" w:eastAsia="宋体" w:cs="宋体"/>
                <w:b/>
                <w:sz w:val="21"/>
                <w:szCs w:val="21"/>
                <w:highlight w:val="none"/>
              </w:rPr>
            </w:pPr>
          </w:p>
        </w:tc>
        <w:tc>
          <w:tcPr>
            <w:tcW w:w="1144" w:type="pct"/>
          </w:tcPr>
          <w:p w14:paraId="32E35539">
            <w:pPr>
              <w:pStyle w:val="14"/>
              <w:rPr>
                <w:rFonts w:hint="eastAsia" w:ascii="宋体" w:hAnsi="宋体" w:eastAsia="宋体" w:cs="宋体"/>
                <w:b/>
                <w:sz w:val="21"/>
                <w:szCs w:val="21"/>
                <w:highlight w:val="none"/>
              </w:rPr>
            </w:pPr>
          </w:p>
        </w:tc>
        <w:tc>
          <w:tcPr>
            <w:tcW w:w="688" w:type="pct"/>
          </w:tcPr>
          <w:p w14:paraId="0EE61D56">
            <w:pPr>
              <w:pStyle w:val="14"/>
              <w:rPr>
                <w:rFonts w:hint="eastAsia" w:ascii="宋体" w:hAnsi="宋体" w:eastAsia="宋体" w:cs="宋体"/>
                <w:b/>
                <w:sz w:val="21"/>
                <w:szCs w:val="21"/>
                <w:highlight w:val="none"/>
              </w:rPr>
            </w:pPr>
          </w:p>
        </w:tc>
        <w:tc>
          <w:tcPr>
            <w:tcW w:w="611" w:type="pct"/>
          </w:tcPr>
          <w:p w14:paraId="5166D2D1">
            <w:pPr>
              <w:pStyle w:val="14"/>
              <w:rPr>
                <w:rFonts w:hint="eastAsia" w:ascii="宋体" w:hAnsi="宋体" w:eastAsia="宋体" w:cs="宋体"/>
                <w:b/>
                <w:sz w:val="21"/>
                <w:szCs w:val="21"/>
                <w:highlight w:val="none"/>
              </w:rPr>
            </w:pPr>
          </w:p>
        </w:tc>
        <w:tc>
          <w:tcPr>
            <w:tcW w:w="819" w:type="pct"/>
          </w:tcPr>
          <w:p w14:paraId="4ED40124">
            <w:pPr>
              <w:pStyle w:val="14"/>
              <w:rPr>
                <w:rFonts w:hint="eastAsia" w:ascii="宋体" w:hAnsi="宋体" w:eastAsia="宋体" w:cs="宋体"/>
                <w:b/>
                <w:sz w:val="21"/>
                <w:szCs w:val="21"/>
                <w:highlight w:val="none"/>
              </w:rPr>
            </w:pPr>
          </w:p>
        </w:tc>
      </w:tr>
      <w:tr w14:paraId="574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575DF9">
            <w:pPr>
              <w:pStyle w:val="14"/>
              <w:rPr>
                <w:rFonts w:hint="eastAsia" w:ascii="宋体" w:hAnsi="宋体" w:eastAsia="宋体" w:cs="宋体"/>
                <w:b/>
                <w:sz w:val="21"/>
                <w:szCs w:val="21"/>
                <w:highlight w:val="none"/>
              </w:rPr>
            </w:pPr>
          </w:p>
        </w:tc>
        <w:tc>
          <w:tcPr>
            <w:tcW w:w="1264" w:type="pct"/>
          </w:tcPr>
          <w:p w14:paraId="23016761">
            <w:pPr>
              <w:pStyle w:val="14"/>
              <w:rPr>
                <w:rFonts w:hint="eastAsia" w:ascii="宋体" w:hAnsi="宋体" w:eastAsia="宋体" w:cs="宋体"/>
                <w:b/>
                <w:sz w:val="21"/>
                <w:szCs w:val="21"/>
                <w:highlight w:val="none"/>
              </w:rPr>
            </w:pPr>
          </w:p>
        </w:tc>
        <w:tc>
          <w:tcPr>
            <w:tcW w:w="1144" w:type="pct"/>
          </w:tcPr>
          <w:p w14:paraId="08545D65">
            <w:pPr>
              <w:pStyle w:val="14"/>
              <w:rPr>
                <w:rFonts w:hint="eastAsia" w:ascii="宋体" w:hAnsi="宋体" w:eastAsia="宋体" w:cs="宋体"/>
                <w:b/>
                <w:sz w:val="21"/>
                <w:szCs w:val="21"/>
                <w:highlight w:val="none"/>
              </w:rPr>
            </w:pPr>
          </w:p>
        </w:tc>
        <w:tc>
          <w:tcPr>
            <w:tcW w:w="688" w:type="pct"/>
          </w:tcPr>
          <w:p w14:paraId="4641A58D">
            <w:pPr>
              <w:pStyle w:val="14"/>
              <w:rPr>
                <w:rFonts w:hint="eastAsia" w:ascii="宋体" w:hAnsi="宋体" w:eastAsia="宋体" w:cs="宋体"/>
                <w:b/>
                <w:sz w:val="21"/>
                <w:szCs w:val="21"/>
                <w:highlight w:val="none"/>
              </w:rPr>
            </w:pPr>
          </w:p>
        </w:tc>
        <w:tc>
          <w:tcPr>
            <w:tcW w:w="611" w:type="pct"/>
          </w:tcPr>
          <w:p w14:paraId="1047F094">
            <w:pPr>
              <w:pStyle w:val="14"/>
              <w:rPr>
                <w:rFonts w:hint="eastAsia" w:ascii="宋体" w:hAnsi="宋体" w:eastAsia="宋体" w:cs="宋体"/>
                <w:b/>
                <w:sz w:val="21"/>
                <w:szCs w:val="21"/>
                <w:highlight w:val="none"/>
              </w:rPr>
            </w:pPr>
          </w:p>
        </w:tc>
        <w:tc>
          <w:tcPr>
            <w:tcW w:w="819" w:type="pct"/>
          </w:tcPr>
          <w:p w14:paraId="445C4374">
            <w:pPr>
              <w:pStyle w:val="14"/>
              <w:rPr>
                <w:rFonts w:hint="eastAsia" w:ascii="宋体" w:hAnsi="宋体" w:eastAsia="宋体" w:cs="宋体"/>
                <w:b/>
                <w:sz w:val="21"/>
                <w:szCs w:val="21"/>
                <w:highlight w:val="none"/>
              </w:rPr>
            </w:pPr>
          </w:p>
        </w:tc>
      </w:tr>
      <w:tr w14:paraId="2931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1679C8">
            <w:pPr>
              <w:pStyle w:val="14"/>
              <w:rPr>
                <w:rFonts w:hint="eastAsia" w:ascii="宋体" w:hAnsi="宋体" w:eastAsia="宋体" w:cs="宋体"/>
                <w:b/>
                <w:sz w:val="21"/>
                <w:szCs w:val="21"/>
                <w:highlight w:val="none"/>
              </w:rPr>
            </w:pPr>
          </w:p>
        </w:tc>
        <w:tc>
          <w:tcPr>
            <w:tcW w:w="1264" w:type="pct"/>
          </w:tcPr>
          <w:p w14:paraId="39C45959">
            <w:pPr>
              <w:pStyle w:val="14"/>
              <w:rPr>
                <w:rFonts w:hint="eastAsia" w:ascii="宋体" w:hAnsi="宋体" w:eastAsia="宋体" w:cs="宋体"/>
                <w:b/>
                <w:sz w:val="21"/>
                <w:szCs w:val="21"/>
                <w:highlight w:val="none"/>
              </w:rPr>
            </w:pPr>
          </w:p>
        </w:tc>
        <w:tc>
          <w:tcPr>
            <w:tcW w:w="1144" w:type="pct"/>
          </w:tcPr>
          <w:p w14:paraId="5039D941">
            <w:pPr>
              <w:pStyle w:val="14"/>
              <w:rPr>
                <w:rFonts w:hint="eastAsia" w:ascii="宋体" w:hAnsi="宋体" w:eastAsia="宋体" w:cs="宋体"/>
                <w:b/>
                <w:sz w:val="21"/>
                <w:szCs w:val="21"/>
                <w:highlight w:val="none"/>
              </w:rPr>
            </w:pPr>
          </w:p>
        </w:tc>
        <w:tc>
          <w:tcPr>
            <w:tcW w:w="688" w:type="pct"/>
          </w:tcPr>
          <w:p w14:paraId="4334EB87">
            <w:pPr>
              <w:pStyle w:val="14"/>
              <w:rPr>
                <w:rFonts w:hint="eastAsia" w:ascii="宋体" w:hAnsi="宋体" w:eastAsia="宋体" w:cs="宋体"/>
                <w:b/>
                <w:sz w:val="21"/>
                <w:szCs w:val="21"/>
                <w:highlight w:val="none"/>
              </w:rPr>
            </w:pPr>
          </w:p>
        </w:tc>
        <w:tc>
          <w:tcPr>
            <w:tcW w:w="611" w:type="pct"/>
          </w:tcPr>
          <w:p w14:paraId="08239305">
            <w:pPr>
              <w:pStyle w:val="14"/>
              <w:rPr>
                <w:rFonts w:hint="eastAsia" w:ascii="宋体" w:hAnsi="宋体" w:eastAsia="宋体" w:cs="宋体"/>
                <w:b/>
                <w:sz w:val="21"/>
                <w:szCs w:val="21"/>
                <w:highlight w:val="none"/>
              </w:rPr>
            </w:pPr>
          </w:p>
        </w:tc>
        <w:tc>
          <w:tcPr>
            <w:tcW w:w="819" w:type="pct"/>
          </w:tcPr>
          <w:p w14:paraId="165E1584">
            <w:pPr>
              <w:pStyle w:val="14"/>
              <w:rPr>
                <w:rFonts w:hint="eastAsia" w:ascii="宋体" w:hAnsi="宋体" w:eastAsia="宋体" w:cs="宋体"/>
                <w:b/>
                <w:sz w:val="21"/>
                <w:szCs w:val="21"/>
                <w:highlight w:val="none"/>
              </w:rPr>
            </w:pPr>
          </w:p>
        </w:tc>
      </w:tr>
      <w:tr w14:paraId="032D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7F60A1">
            <w:pPr>
              <w:pStyle w:val="14"/>
              <w:rPr>
                <w:rFonts w:hint="eastAsia" w:ascii="宋体" w:hAnsi="宋体" w:eastAsia="宋体" w:cs="宋体"/>
                <w:b/>
                <w:sz w:val="21"/>
                <w:szCs w:val="21"/>
                <w:highlight w:val="none"/>
              </w:rPr>
            </w:pPr>
          </w:p>
        </w:tc>
        <w:tc>
          <w:tcPr>
            <w:tcW w:w="1264" w:type="pct"/>
          </w:tcPr>
          <w:p w14:paraId="3FA0BCB4">
            <w:pPr>
              <w:pStyle w:val="14"/>
              <w:rPr>
                <w:rFonts w:hint="eastAsia" w:ascii="宋体" w:hAnsi="宋体" w:eastAsia="宋体" w:cs="宋体"/>
                <w:b/>
                <w:sz w:val="21"/>
                <w:szCs w:val="21"/>
                <w:highlight w:val="none"/>
              </w:rPr>
            </w:pPr>
          </w:p>
        </w:tc>
        <w:tc>
          <w:tcPr>
            <w:tcW w:w="1144" w:type="pct"/>
          </w:tcPr>
          <w:p w14:paraId="7C42CB3F">
            <w:pPr>
              <w:pStyle w:val="14"/>
              <w:rPr>
                <w:rFonts w:hint="eastAsia" w:ascii="宋体" w:hAnsi="宋体" w:eastAsia="宋体" w:cs="宋体"/>
                <w:b/>
                <w:sz w:val="21"/>
                <w:szCs w:val="21"/>
                <w:highlight w:val="none"/>
              </w:rPr>
            </w:pPr>
          </w:p>
        </w:tc>
        <w:tc>
          <w:tcPr>
            <w:tcW w:w="688" w:type="pct"/>
          </w:tcPr>
          <w:p w14:paraId="723CDED6">
            <w:pPr>
              <w:pStyle w:val="14"/>
              <w:rPr>
                <w:rFonts w:hint="eastAsia" w:ascii="宋体" w:hAnsi="宋体" w:eastAsia="宋体" w:cs="宋体"/>
                <w:b/>
                <w:sz w:val="21"/>
                <w:szCs w:val="21"/>
                <w:highlight w:val="none"/>
              </w:rPr>
            </w:pPr>
          </w:p>
        </w:tc>
        <w:tc>
          <w:tcPr>
            <w:tcW w:w="611" w:type="pct"/>
          </w:tcPr>
          <w:p w14:paraId="5F55DF41">
            <w:pPr>
              <w:pStyle w:val="14"/>
              <w:rPr>
                <w:rFonts w:hint="eastAsia" w:ascii="宋体" w:hAnsi="宋体" w:eastAsia="宋体" w:cs="宋体"/>
                <w:b/>
                <w:sz w:val="21"/>
                <w:szCs w:val="21"/>
                <w:highlight w:val="none"/>
              </w:rPr>
            </w:pPr>
          </w:p>
        </w:tc>
        <w:tc>
          <w:tcPr>
            <w:tcW w:w="819" w:type="pct"/>
          </w:tcPr>
          <w:p w14:paraId="164132E2">
            <w:pPr>
              <w:pStyle w:val="14"/>
              <w:rPr>
                <w:rFonts w:hint="eastAsia" w:ascii="宋体" w:hAnsi="宋体" w:eastAsia="宋体" w:cs="宋体"/>
                <w:b/>
                <w:sz w:val="21"/>
                <w:szCs w:val="21"/>
                <w:highlight w:val="none"/>
              </w:rPr>
            </w:pPr>
          </w:p>
        </w:tc>
      </w:tr>
      <w:tr w14:paraId="6D61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B73316">
            <w:pPr>
              <w:pStyle w:val="14"/>
              <w:rPr>
                <w:rFonts w:hint="eastAsia" w:ascii="宋体" w:hAnsi="宋体" w:eastAsia="宋体" w:cs="宋体"/>
                <w:b/>
                <w:sz w:val="21"/>
                <w:szCs w:val="21"/>
                <w:highlight w:val="none"/>
              </w:rPr>
            </w:pPr>
          </w:p>
        </w:tc>
        <w:tc>
          <w:tcPr>
            <w:tcW w:w="1264" w:type="pct"/>
          </w:tcPr>
          <w:p w14:paraId="1364CFA5">
            <w:pPr>
              <w:pStyle w:val="14"/>
              <w:rPr>
                <w:rFonts w:hint="eastAsia" w:ascii="宋体" w:hAnsi="宋体" w:eastAsia="宋体" w:cs="宋体"/>
                <w:b/>
                <w:sz w:val="21"/>
                <w:szCs w:val="21"/>
                <w:highlight w:val="none"/>
              </w:rPr>
            </w:pPr>
          </w:p>
        </w:tc>
        <w:tc>
          <w:tcPr>
            <w:tcW w:w="1144" w:type="pct"/>
          </w:tcPr>
          <w:p w14:paraId="39C48EAC">
            <w:pPr>
              <w:pStyle w:val="14"/>
              <w:rPr>
                <w:rFonts w:hint="eastAsia" w:ascii="宋体" w:hAnsi="宋体" w:eastAsia="宋体" w:cs="宋体"/>
                <w:b/>
                <w:sz w:val="21"/>
                <w:szCs w:val="21"/>
                <w:highlight w:val="none"/>
              </w:rPr>
            </w:pPr>
          </w:p>
        </w:tc>
        <w:tc>
          <w:tcPr>
            <w:tcW w:w="688" w:type="pct"/>
          </w:tcPr>
          <w:p w14:paraId="416D7951">
            <w:pPr>
              <w:pStyle w:val="14"/>
              <w:rPr>
                <w:rFonts w:hint="eastAsia" w:ascii="宋体" w:hAnsi="宋体" w:eastAsia="宋体" w:cs="宋体"/>
                <w:b/>
                <w:sz w:val="21"/>
                <w:szCs w:val="21"/>
                <w:highlight w:val="none"/>
              </w:rPr>
            </w:pPr>
          </w:p>
        </w:tc>
        <w:tc>
          <w:tcPr>
            <w:tcW w:w="611" w:type="pct"/>
          </w:tcPr>
          <w:p w14:paraId="71A3B820">
            <w:pPr>
              <w:pStyle w:val="14"/>
              <w:rPr>
                <w:rFonts w:hint="eastAsia" w:ascii="宋体" w:hAnsi="宋体" w:eastAsia="宋体" w:cs="宋体"/>
                <w:b/>
                <w:sz w:val="21"/>
                <w:szCs w:val="21"/>
                <w:highlight w:val="none"/>
              </w:rPr>
            </w:pPr>
          </w:p>
        </w:tc>
        <w:tc>
          <w:tcPr>
            <w:tcW w:w="819" w:type="pct"/>
          </w:tcPr>
          <w:p w14:paraId="77224088">
            <w:pPr>
              <w:pStyle w:val="14"/>
              <w:rPr>
                <w:rFonts w:hint="eastAsia" w:ascii="宋体" w:hAnsi="宋体" w:eastAsia="宋体" w:cs="宋体"/>
                <w:b/>
                <w:sz w:val="21"/>
                <w:szCs w:val="21"/>
                <w:highlight w:val="none"/>
              </w:rPr>
            </w:pPr>
          </w:p>
        </w:tc>
      </w:tr>
    </w:tbl>
    <w:p w14:paraId="01DE0777">
      <w:pPr>
        <w:spacing w:line="0" w:lineRule="atLeast"/>
        <w:rPr>
          <w:rFonts w:hint="eastAsia" w:ascii="宋体" w:hAnsi="宋体" w:eastAsia="宋体" w:cs="宋体"/>
          <w:sz w:val="21"/>
          <w:szCs w:val="21"/>
          <w:highlight w:val="none"/>
        </w:rPr>
      </w:pPr>
      <w:r>
        <w:rPr>
          <w:rFonts w:hint="eastAsia" w:ascii="宋体" w:hAnsi="宋体" w:eastAsia="宋体" w:cs="宋体"/>
          <w:sz w:val="21"/>
          <w:szCs w:val="21"/>
          <w:highlight w:val="none"/>
        </w:rPr>
        <w:t>注：</w:t>
      </w:r>
      <w:r>
        <w:rPr>
          <w:rFonts w:hint="eastAsia" w:ascii="宋体" w:hAnsi="宋体" w:eastAsia="宋体" w:cs="宋体"/>
          <w:kern w:val="0"/>
          <w:sz w:val="21"/>
          <w:szCs w:val="21"/>
          <w:highlight w:val="none"/>
        </w:rPr>
        <w:t>提供近三年同类产品的制造销售业绩（用户名单、联系方式）</w:t>
      </w:r>
      <w:r>
        <w:rPr>
          <w:rFonts w:hint="eastAsia" w:ascii="宋体" w:hAnsi="宋体" w:eastAsia="宋体" w:cs="宋体"/>
          <w:sz w:val="21"/>
          <w:szCs w:val="21"/>
          <w:highlight w:val="none"/>
        </w:rPr>
        <w:t>，并附合同复印件。</w:t>
      </w:r>
    </w:p>
    <w:p w14:paraId="52F56AD5">
      <w:pPr>
        <w:tabs>
          <w:tab w:val="left" w:pos="1578"/>
          <w:tab w:val="left" w:pos="10083"/>
        </w:tabs>
        <w:spacing w:line="500" w:lineRule="exact"/>
        <w:rPr>
          <w:rFonts w:hint="eastAsia" w:ascii="宋体" w:hAnsi="宋体" w:eastAsia="宋体" w:cs="宋体"/>
          <w:sz w:val="21"/>
          <w:szCs w:val="21"/>
          <w:highlight w:val="none"/>
        </w:rPr>
      </w:pPr>
    </w:p>
    <w:p w14:paraId="79C3D4E3">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035A8142">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3B9AF5DB">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7C952FEF">
      <w:pPr>
        <w:rPr>
          <w:rFonts w:hint="eastAsia" w:ascii="宋体" w:hAnsi="宋体" w:eastAsia="宋体" w:cs="宋体"/>
          <w:b/>
          <w:bCs/>
          <w:color w:val="000000"/>
          <w:sz w:val="21"/>
          <w:szCs w:val="21"/>
          <w:highlight w:val="none"/>
        </w:rPr>
      </w:pPr>
    </w:p>
    <w:p w14:paraId="2B54A84A">
      <w:pPr>
        <w:rPr>
          <w:rFonts w:hint="eastAsia" w:ascii="宋体" w:hAnsi="宋体" w:eastAsia="宋体" w:cs="宋体"/>
          <w:b/>
          <w:bCs/>
          <w:color w:val="000000"/>
          <w:sz w:val="21"/>
          <w:szCs w:val="21"/>
          <w:highlight w:val="none"/>
        </w:rPr>
      </w:pPr>
    </w:p>
    <w:p w14:paraId="22AAA6B9">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14:paraId="1DFB00AF">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附件6 质量承诺函</w:t>
      </w:r>
    </w:p>
    <w:p w14:paraId="349F43D4">
      <w:pPr>
        <w:spacing w:line="2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0AA323F6">
      <w:pPr>
        <w:spacing w:line="360" w:lineRule="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en-US" w:eastAsia="zh-CN"/>
        </w:rPr>
        <w:t xml:space="preserve"> </w:t>
      </w:r>
    </w:p>
    <w:p w14:paraId="4673B601">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14:paraId="1941320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我代表(投标单位名称)为保证中标产品的质量特作如下承诺：</w:t>
      </w:r>
    </w:p>
    <w:p w14:paraId="087B8429">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C4C1821">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E78AD3B">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26271B2B">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73527EDA">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2F836FAF">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3976569F">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B7B1D54">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3AAAF1E8">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6634C4D7">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2F634BAA">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25B0999">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37DA7E36">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7514A9D6">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7BF653AE">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21AF722A">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5AF046A4">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7768AA88">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21A883C">
      <w:pPr>
        <w:spacing w:line="360" w:lineRule="auto"/>
        <w:ind w:left="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5993634C">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108335DD">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60CB366F">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0027C7D0">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14:paraId="62D48909">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附件7 开标一览表</w:t>
      </w:r>
    </w:p>
    <w:p w14:paraId="4DF9B2AD">
      <w:pPr>
        <w:pStyle w:val="37"/>
        <w:ind w:firstLine="482"/>
        <w:rPr>
          <w:rFonts w:hint="eastAsia" w:ascii="宋体" w:hAnsi="宋体" w:eastAsia="宋体" w:cs="宋体"/>
          <w:b/>
          <w:sz w:val="21"/>
          <w:szCs w:val="21"/>
          <w:highlight w:val="none"/>
        </w:rPr>
      </w:pPr>
      <w:r>
        <w:rPr>
          <w:rFonts w:hint="eastAsia" w:ascii="宋体" w:hAnsi="宋体" w:eastAsia="宋体" w:cs="宋体"/>
          <w:b/>
          <w:sz w:val="21"/>
          <w:szCs w:val="21"/>
          <w:highlight w:val="none"/>
        </w:rPr>
        <w:t>《开标一览表》单独封存，以备唱标使用</w:t>
      </w:r>
    </w:p>
    <w:p w14:paraId="4E70DA78">
      <w:pPr>
        <w:pStyle w:val="37"/>
        <w:ind w:firstLine="48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科技</w:t>
      </w:r>
      <w:r>
        <w:rPr>
          <w:rFonts w:hint="eastAsia" w:ascii="宋体" w:hAnsi="宋体" w:eastAsia="宋体" w:cs="宋体"/>
          <w:sz w:val="21"/>
          <w:szCs w:val="21"/>
          <w:highlight w:val="none"/>
          <w:u w:val="single"/>
          <w:lang w:val="en-US" w:eastAsia="zh-CN"/>
        </w:rPr>
        <w:t>大厦照明升级</w:t>
      </w:r>
      <w:r>
        <w:rPr>
          <w:rFonts w:hint="eastAsia" w:ascii="宋体" w:hAnsi="宋体" w:eastAsia="宋体" w:cs="宋体"/>
          <w:sz w:val="21"/>
          <w:szCs w:val="21"/>
          <w:highlight w:val="none"/>
          <w:u w:val="single"/>
        </w:rPr>
        <w:t>改造项目</w:t>
      </w:r>
      <w:r>
        <w:rPr>
          <w:rFonts w:hint="eastAsia" w:ascii="宋体" w:hAnsi="宋体" w:eastAsia="宋体" w:cs="宋体"/>
          <w:sz w:val="21"/>
          <w:szCs w:val="21"/>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299"/>
        <w:gridCol w:w="1305"/>
        <w:gridCol w:w="1169"/>
        <w:gridCol w:w="1134"/>
        <w:gridCol w:w="1782"/>
        <w:gridCol w:w="1300"/>
      </w:tblGrid>
      <w:tr w14:paraId="38D6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86" w:type="dxa"/>
            <w:gridSpan w:val="7"/>
            <w:vAlign w:val="center"/>
          </w:tcPr>
          <w:p w14:paraId="7FD1E44E">
            <w:pPr>
              <w:pStyle w:val="39"/>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科技</w:t>
            </w:r>
            <w:r>
              <w:rPr>
                <w:rFonts w:hint="eastAsia" w:ascii="宋体" w:hAnsi="宋体" w:eastAsia="宋体" w:cs="宋体"/>
                <w:sz w:val="21"/>
                <w:szCs w:val="21"/>
                <w:highlight w:val="none"/>
                <w:lang w:val="en-US" w:eastAsia="zh-CN"/>
              </w:rPr>
              <w:t>大厦照明升级</w:t>
            </w:r>
            <w:r>
              <w:rPr>
                <w:rFonts w:hint="eastAsia" w:ascii="宋体" w:hAnsi="宋体" w:eastAsia="宋体" w:cs="宋体"/>
                <w:sz w:val="21"/>
                <w:szCs w:val="21"/>
                <w:highlight w:val="none"/>
              </w:rPr>
              <w:t>改造项目</w:t>
            </w:r>
          </w:p>
        </w:tc>
      </w:tr>
      <w:tr w14:paraId="16A5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297" w:type="dxa"/>
            <w:vAlign w:val="center"/>
          </w:tcPr>
          <w:p w14:paraId="7AFA9A5E">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99" w:type="dxa"/>
            <w:vAlign w:val="center"/>
          </w:tcPr>
          <w:p w14:paraId="37CF2991">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1305" w:type="dxa"/>
            <w:vAlign w:val="center"/>
          </w:tcPr>
          <w:p w14:paraId="6D479734">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投标总价</w:t>
            </w:r>
          </w:p>
          <w:p w14:paraId="0887E404">
            <w:pPr>
              <w:pStyle w:val="39"/>
              <w:spacing w:before="240"/>
              <w:rPr>
                <w:rFonts w:hint="eastAsia" w:ascii="宋体" w:hAnsi="宋体" w:eastAsia="宋体" w:cs="宋体"/>
                <w:sz w:val="21"/>
                <w:szCs w:val="21"/>
                <w:highlight w:val="none"/>
              </w:rPr>
            </w:pPr>
            <w:r>
              <w:rPr>
                <w:rFonts w:hint="eastAsia" w:ascii="宋体" w:hAnsi="宋体" w:eastAsia="宋体" w:cs="宋体"/>
                <w:sz w:val="21"/>
                <w:szCs w:val="21"/>
                <w:highlight w:val="none"/>
              </w:rPr>
              <w:t>（元）</w:t>
            </w:r>
          </w:p>
        </w:tc>
        <w:tc>
          <w:tcPr>
            <w:tcW w:w="1169" w:type="dxa"/>
            <w:vAlign w:val="center"/>
          </w:tcPr>
          <w:p w14:paraId="1CC177A3">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不含税价</w:t>
            </w:r>
          </w:p>
        </w:tc>
        <w:tc>
          <w:tcPr>
            <w:tcW w:w="1134" w:type="dxa"/>
            <w:vAlign w:val="center"/>
          </w:tcPr>
          <w:p w14:paraId="4A462F94">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税率</w:t>
            </w:r>
          </w:p>
        </w:tc>
        <w:tc>
          <w:tcPr>
            <w:tcW w:w="1782" w:type="dxa"/>
            <w:vAlign w:val="center"/>
          </w:tcPr>
          <w:p w14:paraId="536E56F0">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付款方式及比例如何响应</w:t>
            </w:r>
          </w:p>
        </w:tc>
        <w:tc>
          <w:tcPr>
            <w:tcW w:w="1300" w:type="dxa"/>
            <w:vAlign w:val="center"/>
          </w:tcPr>
          <w:p w14:paraId="7F971D49">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付款方式及比例是否偏离</w:t>
            </w:r>
          </w:p>
        </w:tc>
      </w:tr>
      <w:tr w14:paraId="6FEE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14:paraId="595CF201">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99" w:type="dxa"/>
            <w:vAlign w:val="center"/>
          </w:tcPr>
          <w:p w14:paraId="6CF6BB33">
            <w:pPr>
              <w:pStyle w:val="3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p>
          <w:p w14:paraId="201499B1">
            <w:pPr>
              <w:pStyle w:val="39"/>
              <w:rPr>
                <w:rFonts w:hint="eastAsia" w:ascii="宋体" w:hAnsi="宋体" w:eastAsia="宋体" w:cs="宋体"/>
                <w:sz w:val="21"/>
                <w:szCs w:val="21"/>
                <w:highlight w:val="none"/>
                <w:lang w:val="en-US" w:eastAsia="zh-CN"/>
              </w:rPr>
            </w:pPr>
          </w:p>
          <w:p w14:paraId="5D2E9E81">
            <w:pPr>
              <w:pStyle w:val="39"/>
              <w:rPr>
                <w:rFonts w:hint="eastAsia" w:ascii="宋体" w:hAnsi="宋体" w:eastAsia="宋体" w:cs="宋体"/>
                <w:sz w:val="21"/>
                <w:szCs w:val="21"/>
                <w:highlight w:val="none"/>
                <w:lang w:val="en-US" w:eastAsia="zh-CN"/>
              </w:rPr>
            </w:pPr>
          </w:p>
          <w:p w14:paraId="5DE7451D">
            <w:pPr>
              <w:pStyle w:val="39"/>
              <w:rPr>
                <w:rFonts w:hint="eastAsia" w:ascii="宋体" w:hAnsi="宋体" w:eastAsia="宋体" w:cs="宋体"/>
                <w:sz w:val="21"/>
                <w:szCs w:val="21"/>
                <w:highlight w:val="none"/>
                <w:lang w:val="en-US" w:eastAsia="zh-CN"/>
              </w:rPr>
            </w:pPr>
          </w:p>
        </w:tc>
        <w:tc>
          <w:tcPr>
            <w:tcW w:w="1305" w:type="dxa"/>
            <w:vAlign w:val="center"/>
          </w:tcPr>
          <w:p w14:paraId="2E48AAC2">
            <w:pPr>
              <w:pStyle w:val="39"/>
              <w:rPr>
                <w:rFonts w:hint="eastAsia" w:ascii="宋体" w:hAnsi="宋体" w:eastAsia="宋体" w:cs="宋体"/>
                <w:sz w:val="21"/>
                <w:szCs w:val="21"/>
                <w:highlight w:val="none"/>
              </w:rPr>
            </w:pPr>
          </w:p>
        </w:tc>
        <w:tc>
          <w:tcPr>
            <w:tcW w:w="1169" w:type="dxa"/>
            <w:vAlign w:val="center"/>
          </w:tcPr>
          <w:p w14:paraId="58F96B8D">
            <w:pPr>
              <w:pStyle w:val="39"/>
              <w:rPr>
                <w:rFonts w:hint="eastAsia" w:ascii="宋体" w:hAnsi="宋体" w:eastAsia="宋体" w:cs="宋体"/>
                <w:sz w:val="21"/>
                <w:szCs w:val="21"/>
                <w:highlight w:val="none"/>
              </w:rPr>
            </w:pPr>
          </w:p>
        </w:tc>
        <w:tc>
          <w:tcPr>
            <w:tcW w:w="1134" w:type="dxa"/>
            <w:vAlign w:val="center"/>
          </w:tcPr>
          <w:p w14:paraId="05E3343C">
            <w:pPr>
              <w:pStyle w:val="39"/>
              <w:rPr>
                <w:rFonts w:hint="eastAsia" w:ascii="宋体" w:hAnsi="宋体" w:eastAsia="宋体" w:cs="宋体"/>
                <w:sz w:val="21"/>
                <w:szCs w:val="21"/>
                <w:highlight w:val="none"/>
              </w:rPr>
            </w:pPr>
          </w:p>
        </w:tc>
        <w:tc>
          <w:tcPr>
            <w:tcW w:w="1782" w:type="dxa"/>
            <w:vAlign w:val="center"/>
          </w:tcPr>
          <w:p w14:paraId="763346E9">
            <w:pPr>
              <w:pStyle w:val="39"/>
              <w:rPr>
                <w:rFonts w:hint="eastAsia" w:ascii="宋体" w:hAnsi="宋体" w:eastAsia="宋体" w:cs="宋体"/>
                <w:sz w:val="21"/>
                <w:szCs w:val="21"/>
                <w:highlight w:val="none"/>
              </w:rPr>
            </w:pPr>
          </w:p>
        </w:tc>
        <w:tc>
          <w:tcPr>
            <w:tcW w:w="1300" w:type="dxa"/>
            <w:vAlign w:val="center"/>
          </w:tcPr>
          <w:p w14:paraId="5047A0AD">
            <w:pPr>
              <w:pStyle w:val="39"/>
              <w:rPr>
                <w:rFonts w:hint="eastAsia" w:ascii="宋体" w:hAnsi="宋体" w:eastAsia="宋体" w:cs="宋体"/>
                <w:sz w:val="21"/>
                <w:szCs w:val="21"/>
                <w:highlight w:val="none"/>
              </w:rPr>
            </w:pPr>
          </w:p>
        </w:tc>
      </w:tr>
    </w:tbl>
    <w:p w14:paraId="4BB0D721">
      <w:pPr>
        <w:pStyle w:val="37"/>
        <w:ind w:firstLine="480"/>
        <w:rPr>
          <w:rFonts w:hint="eastAsia" w:ascii="宋体" w:hAnsi="宋体" w:eastAsia="宋体" w:cs="宋体"/>
          <w:sz w:val="21"/>
          <w:szCs w:val="21"/>
          <w:highlight w:val="none"/>
        </w:rPr>
      </w:pPr>
    </w:p>
    <w:p w14:paraId="6FBC0095">
      <w:pPr>
        <w:pStyle w:val="37"/>
        <w:ind w:firstLine="0" w:firstLineChars="0"/>
        <w:rPr>
          <w:rFonts w:hint="eastAsia" w:ascii="宋体" w:hAnsi="宋体" w:eastAsia="宋体" w:cs="宋体"/>
          <w:sz w:val="21"/>
          <w:szCs w:val="21"/>
          <w:highlight w:val="none"/>
        </w:rPr>
      </w:pPr>
      <w:r>
        <w:rPr>
          <w:rFonts w:hint="eastAsia" w:ascii="宋体" w:hAnsi="宋体" w:eastAsia="宋体" w:cs="宋体"/>
          <w:b/>
          <w:bCs/>
          <w:sz w:val="21"/>
          <w:szCs w:val="21"/>
          <w:highlight w:val="none"/>
        </w:rPr>
        <w:t>注：</w:t>
      </w:r>
    </w:p>
    <w:p w14:paraId="375EDE5D">
      <w:pPr>
        <w:spacing w:line="52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1、此表中的报价必须与相应的报价明细表中的报价一致。</w:t>
      </w:r>
    </w:p>
    <w:p w14:paraId="05E85794">
      <w:pPr>
        <w:spacing w:line="30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2、附件789单独封装一份，否则不予唱标。</w:t>
      </w:r>
    </w:p>
    <w:p w14:paraId="43811580">
      <w:pPr>
        <w:spacing w:line="30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3、需写明含税价、不含税价格、税率，总价按照预计数量计算。</w:t>
      </w:r>
    </w:p>
    <w:p w14:paraId="58BB39D3">
      <w:pPr>
        <w:pStyle w:val="3"/>
        <w:spacing w:before="0" w:after="0" w:line="360" w:lineRule="auto"/>
        <w:rPr>
          <w:rFonts w:hint="eastAsia" w:ascii="宋体" w:hAnsi="宋体" w:eastAsia="宋体" w:cs="宋体"/>
          <w:sz w:val="21"/>
          <w:szCs w:val="21"/>
          <w:highlight w:val="none"/>
        </w:rPr>
      </w:pPr>
    </w:p>
    <w:p w14:paraId="53F04D14">
      <w:pPr>
        <w:spacing w:line="660" w:lineRule="exact"/>
        <w:rPr>
          <w:rFonts w:hint="eastAsia" w:ascii="宋体" w:hAnsi="宋体" w:eastAsia="宋体" w:cs="宋体"/>
          <w:sz w:val="21"/>
          <w:szCs w:val="21"/>
          <w:highlight w:val="none"/>
        </w:rPr>
      </w:pPr>
    </w:p>
    <w:p w14:paraId="3214AC96">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24215C87">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41A7BAAC">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1674751A">
      <w:pPr>
        <w:ind w:firstLine="480"/>
        <w:rPr>
          <w:rFonts w:hint="eastAsia" w:ascii="宋体" w:hAnsi="宋体" w:eastAsia="宋体" w:cs="宋体"/>
          <w:color w:val="000000"/>
          <w:sz w:val="21"/>
          <w:szCs w:val="21"/>
          <w:highlight w:val="none"/>
        </w:rPr>
      </w:pPr>
    </w:p>
    <w:p w14:paraId="7B81A65A">
      <w:pPr>
        <w:ind w:firstLine="480"/>
        <w:rPr>
          <w:rFonts w:hint="eastAsia" w:ascii="宋体" w:hAnsi="宋体" w:eastAsia="宋体" w:cs="宋体"/>
          <w:b/>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14:paraId="0C91DA19">
      <w:pPr>
        <w:pStyle w:val="38"/>
        <w:rPr>
          <w:rFonts w:hint="eastAsia" w:ascii="宋体" w:hAnsi="宋体" w:eastAsia="宋体" w:cs="宋体"/>
          <w:sz w:val="21"/>
          <w:szCs w:val="21"/>
          <w:highlight w:val="none"/>
        </w:rPr>
      </w:pPr>
      <w:bookmarkStart w:id="18" w:name="_Toc639008"/>
      <w:bookmarkStart w:id="19" w:name="_Toc353881017"/>
      <w:bookmarkStart w:id="20" w:name="_Toc26556"/>
      <w:r>
        <w:rPr>
          <w:rFonts w:hint="eastAsia" w:ascii="宋体" w:hAnsi="宋体" w:eastAsia="宋体" w:cs="宋体"/>
          <w:sz w:val="21"/>
          <w:szCs w:val="21"/>
          <w:highlight w:val="none"/>
        </w:rPr>
        <w:t>附件8 投标报价明细表</w:t>
      </w:r>
      <w:bookmarkEnd w:id="18"/>
      <w:bookmarkEnd w:id="19"/>
      <w:bookmarkEnd w:id="20"/>
      <w:r>
        <w:rPr>
          <w:rFonts w:hint="eastAsia" w:ascii="宋体" w:hAnsi="宋体" w:eastAsia="宋体" w:cs="宋体"/>
          <w:sz w:val="21"/>
          <w:szCs w:val="21"/>
          <w:highlight w:val="none"/>
        </w:rPr>
        <w:t>（写清各项备件价格）</w:t>
      </w:r>
    </w:p>
    <w:p w14:paraId="7409A53B">
      <w:pPr>
        <w:pStyle w:val="37"/>
        <w:ind w:firstLine="630" w:firstLineChars="300"/>
        <w:rPr>
          <w:rFonts w:hint="eastAsia" w:ascii="宋体" w:hAnsi="宋体" w:eastAsia="宋体" w:cs="宋体"/>
          <w:sz w:val="21"/>
          <w:szCs w:val="21"/>
          <w:highlight w:val="none"/>
        </w:rPr>
      </w:pPr>
    </w:p>
    <w:p w14:paraId="6FD74BC7">
      <w:pPr>
        <w:pStyle w:val="37"/>
        <w:ind w:firstLine="630" w:firstLineChars="3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sz w:val="21"/>
          <w:szCs w:val="21"/>
          <w:highlight w:val="none"/>
          <w:u w:val="single"/>
        </w:rPr>
        <w:t>科技</w:t>
      </w:r>
      <w:r>
        <w:rPr>
          <w:rFonts w:hint="eastAsia" w:ascii="宋体" w:hAnsi="宋体" w:eastAsia="宋体" w:cs="宋体"/>
          <w:sz w:val="21"/>
          <w:szCs w:val="21"/>
          <w:highlight w:val="none"/>
          <w:u w:val="single"/>
          <w:lang w:val="en-US" w:eastAsia="zh-CN"/>
        </w:rPr>
        <w:t>大厦照明升级</w:t>
      </w:r>
      <w:r>
        <w:rPr>
          <w:rFonts w:hint="eastAsia" w:ascii="宋体" w:hAnsi="宋体" w:eastAsia="宋体" w:cs="宋体"/>
          <w:sz w:val="21"/>
          <w:szCs w:val="21"/>
          <w:highlight w:val="none"/>
          <w:u w:val="single"/>
        </w:rPr>
        <w:t>改造项目</w:t>
      </w:r>
      <w:r>
        <w:rPr>
          <w:rFonts w:hint="eastAsia" w:ascii="宋体" w:hAnsi="宋体" w:eastAsia="宋体" w:cs="宋体"/>
          <w:color w:val="auto"/>
          <w:kern w:val="0"/>
          <w:sz w:val="21"/>
          <w:szCs w:val="21"/>
          <w:highlight w:val="none"/>
          <w:u w:val="single"/>
          <w:lang w:val="en-US" w:eastAsia="zh-CN"/>
        </w:rPr>
        <w:t xml:space="preserve">  </w:t>
      </w:r>
    </w:p>
    <w:tbl>
      <w:tblPr>
        <w:tblStyle w:val="20"/>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1096"/>
        <w:gridCol w:w="1801"/>
        <w:gridCol w:w="1044"/>
        <w:gridCol w:w="792"/>
        <w:gridCol w:w="889"/>
        <w:gridCol w:w="661"/>
        <w:gridCol w:w="1145"/>
        <w:gridCol w:w="1061"/>
        <w:gridCol w:w="1034"/>
        <w:gridCol w:w="4057"/>
      </w:tblGrid>
      <w:tr w14:paraId="05CE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423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E63F">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改造清单</w:t>
            </w:r>
          </w:p>
        </w:tc>
      </w:tr>
      <w:tr w14:paraId="200C2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24C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F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w:t>
            </w: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1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4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6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9F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D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单价</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9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施工单价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（含安装调试</w:t>
            </w:r>
            <w:r>
              <w:rPr>
                <w:rFonts w:hint="eastAsia" w:ascii="宋体" w:hAnsi="宋体" w:cs="宋体"/>
                <w:i w:val="0"/>
                <w:iCs w:val="0"/>
                <w:color w:val="000000"/>
                <w:kern w:val="0"/>
                <w:sz w:val="22"/>
                <w:szCs w:val="22"/>
                <w:u w:val="none"/>
                <w:lang w:val="en-US" w:eastAsia="zh-CN" w:bidi="ar"/>
              </w:rPr>
              <w:t>辅材等</w:t>
            </w:r>
            <w:r>
              <w:rPr>
                <w:rFonts w:hint="eastAsia" w:ascii="宋体" w:hAnsi="宋体" w:eastAsia="宋体" w:cs="宋体"/>
                <w:i w:val="0"/>
                <w:iCs w:val="0"/>
                <w:color w:val="000000"/>
                <w:kern w:val="0"/>
                <w:sz w:val="22"/>
                <w:szCs w:val="22"/>
                <w:u w:val="none"/>
                <w:lang w:val="en-US" w:eastAsia="zh-CN" w:bidi="ar"/>
              </w:rPr>
              <w:t>）</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3E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单价合计</w:t>
            </w:r>
          </w:p>
          <w:p w14:paraId="74DE1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E0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总价合计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（未税）</w:t>
            </w: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C7CB">
            <w:pPr>
              <w:keepNext w:val="0"/>
              <w:keepLines w:val="0"/>
              <w:pageBreakBefore w:val="0"/>
              <w:widowControl/>
              <w:suppressLineNumbers w:val="0"/>
              <w:kinsoku/>
              <w:wordWrap/>
              <w:overflowPunct/>
              <w:topLinePunct w:val="0"/>
              <w:autoSpaceDE/>
              <w:autoSpaceDN/>
              <w:bidi w:val="0"/>
              <w:adjustRightInd/>
              <w:spacing w:line="192"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73FA6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93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B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办公区域</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D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无线智慧物联-空调控制面板</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9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空调控制面板</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58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8</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20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E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67E2">
            <w:pPr>
              <w:jc w:val="center"/>
              <w:rPr>
                <w:rFonts w:hint="default" w:ascii="宋体" w:hAnsi="宋体" w:eastAsia="宋体" w:cs="宋体"/>
                <w:i w:val="0"/>
                <w:iCs w:val="0"/>
                <w:color w:val="000000"/>
                <w:sz w:val="22"/>
                <w:szCs w:val="22"/>
                <w:u w:val="none"/>
                <w:lang w:val="en-US" w:eastAsia="zh-CN"/>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08C13">
            <w:pPr>
              <w:jc w:val="center"/>
              <w:rPr>
                <w:rFonts w:hint="default" w:ascii="宋体" w:hAnsi="宋体" w:eastAsia="宋体" w:cs="宋体"/>
                <w:i w:val="0"/>
                <w:iCs w:val="0"/>
                <w:color w:val="000000"/>
                <w:sz w:val="22"/>
                <w:szCs w:val="22"/>
                <w:u w:val="none"/>
                <w:lang w:val="en-US" w:eastAsia="zh-CN"/>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BF9D">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4CA4">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1E43">
            <w:pPr>
              <w:keepNext w:val="0"/>
              <w:keepLines w:val="0"/>
              <w:pageBreakBefore w:val="0"/>
              <w:widowControl/>
              <w:numPr>
                <w:ilvl w:val="0"/>
                <w:numId w:val="3"/>
              </w:numPr>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无线mesh组网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3、恒温控制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4、与感知网络联动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5、支持全自动、半自动、手动</w:t>
            </w:r>
          </w:p>
        </w:tc>
      </w:tr>
      <w:tr w14:paraId="61E5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6"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6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EA97">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8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无线智慧物联-平板灯600*600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0E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EF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highlight w:val="none"/>
                <w:u w:val="none"/>
                <w:lang w:val="en-US" w:eastAsia="zh-CN" w:bidi="ar"/>
              </w:rPr>
              <w:t>2</w:t>
            </w:r>
            <w:r>
              <w:rPr>
                <w:rFonts w:hint="eastAsia" w:ascii="宋体" w:hAnsi="宋体" w:eastAsia="宋体" w:cs="宋体"/>
                <w:i w:val="0"/>
                <w:iCs w:val="0"/>
                <w:color w:val="000000"/>
                <w:kern w:val="0"/>
                <w:sz w:val="22"/>
                <w:szCs w:val="22"/>
                <w:u w:val="none"/>
                <w:lang w:val="en-US" w:eastAsia="zh-CN" w:bidi="ar"/>
              </w:rPr>
              <w:t>07</w:t>
            </w:r>
          </w:p>
          <w:p w14:paraId="305ACC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3A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AD96">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6C32">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17FEC">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7A4A">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1FA">
            <w:pPr>
              <w:keepNext w:val="0"/>
              <w:keepLines w:val="0"/>
              <w:pageBreakBefore w:val="0"/>
              <w:widowControl/>
              <w:numPr>
                <w:ilvl w:val="0"/>
                <w:numId w:val="4"/>
              </w:numPr>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无线分组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2.自由组网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3.分时分区控制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4.场景模式控制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5.本地控制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6.远程控制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7.支持开关联动,空调联动,新风联动、插座联动、窗帘联动等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8.</w:t>
            </w:r>
            <w:r>
              <w:rPr>
                <w:rFonts w:hint="eastAsia" w:ascii="宋体" w:hAnsi="宋体" w:cs="宋体"/>
                <w:i w:val="0"/>
                <w:iCs w:val="0"/>
                <w:color w:val="000000"/>
                <w:kern w:val="0"/>
                <w:sz w:val="22"/>
                <w:szCs w:val="22"/>
                <w:highlight w:val="none"/>
                <w:u w:val="none"/>
                <w:lang w:val="en-US" w:eastAsia="zh-CN" w:bidi="ar"/>
              </w:rPr>
              <w:t>雷达微波感应</w:t>
            </w:r>
            <w:r>
              <w:rPr>
                <w:rFonts w:hint="eastAsia" w:ascii="宋体" w:hAnsi="宋体" w:eastAsia="宋体" w:cs="宋体"/>
                <w:i w:val="0"/>
                <w:iCs w:val="0"/>
                <w:color w:val="000000"/>
                <w:kern w:val="0"/>
                <w:sz w:val="22"/>
                <w:szCs w:val="22"/>
                <w:highlight w:val="none"/>
                <w:u w:val="none"/>
                <w:lang w:val="en-US" w:eastAsia="zh-CN" w:bidi="ar"/>
              </w:rPr>
              <w:t>传感器接入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9.电源：PWM调光电源</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10.材质：铝+PC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11.色温：6500K</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12.功率：36W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13.光效：≥1</w:t>
            </w:r>
            <w:r>
              <w:rPr>
                <w:rFonts w:hint="eastAsia" w:ascii="宋体" w:hAnsi="宋体" w:cs="宋体"/>
                <w:i w:val="0"/>
                <w:iCs w:val="0"/>
                <w:color w:val="000000"/>
                <w:kern w:val="0"/>
                <w:sz w:val="22"/>
                <w:szCs w:val="22"/>
                <w:highlight w:val="none"/>
                <w:u w:val="none"/>
                <w:lang w:val="en-US" w:eastAsia="zh-CN" w:bidi="ar"/>
              </w:rPr>
              <w:t>6</w:t>
            </w:r>
            <w:r>
              <w:rPr>
                <w:rFonts w:hint="eastAsia" w:ascii="宋体" w:hAnsi="宋体" w:eastAsia="宋体" w:cs="宋体"/>
                <w:i w:val="0"/>
                <w:iCs w:val="0"/>
                <w:color w:val="000000"/>
                <w:kern w:val="0"/>
                <w:sz w:val="22"/>
                <w:szCs w:val="22"/>
                <w:highlight w:val="none"/>
                <w:u w:val="none"/>
                <w:lang w:val="en-US" w:eastAsia="zh-CN" w:bidi="ar"/>
              </w:rPr>
              <w:t>0lm/w</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14.尺寸：600*600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15.颜色：白色</w:t>
            </w:r>
          </w:p>
          <w:p w14:paraId="3F137D4D">
            <w:pPr>
              <w:keepNext w:val="0"/>
              <w:keepLines w:val="0"/>
              <w:pageBreakBefore w:val="0"/>
              <w:widowControl/>
              <w:numPr>
                <w:ilvl w:val="0"/>
                <w:numId w:val="4"/>
              </w:numPr>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增加备件</w:t>
            </w:r>
            <w:r>
              <w:rPr>
                <w:rFonts w:hint="eastAsia" w:ascii="宋体" w:hAnsi="宋体" w:cs="宋体"/>
                <w:i w:val="0"/>
                <w:iCs w:val="0"/>
                <w:color w:val="000000"/>
                <w:kern w:val="0"/>
                <w:sz w:val="22"/>
                <w:szCs w:val="22"/>
                <w:highlight w:val="none"/>
                <w:u w:val="single"/>
                <w:lang w:val="en-US" w:eastAsia="zh-CN" w:bidi="ar"/>
              </w:rPr>
              <w:t xml:space="preserve">   </w:t>
            </w:r>
            <w:r>
              <w:rPr>
                <w:rFonts w:hint="eastAsia" w:ascii="宋体" w:hAnsi="宋体" w:cs="宋体"/>
                <w:i w:val="0"/>
                <w:iCs w:val="0"/>
                <w:color w:val="000000"/>
                <w:kern w:val="0"/>
                <w:sz w:val="22"/>
                <w:szCs w:val="22"/>
                <w:highlight w:val="none"/>
                <w:u w:val="none"/>
                <w:lang w:val="en-US" w:eastAsia="zh-CN" w:bidi="ar"/>
              </w:rPr>
              <w:t>套</w:t>
            </w:r>
          </w:p>
        </w:tc>
      </w:tr>
      <w:tr w14:paraId="73E3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D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6B25">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6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无线智慧物联-平板灯300*600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7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8F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02</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9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EEE6">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3F03">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4FB5">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811A">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0768">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1.无线分组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2.自由组网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3.分时分区控制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4.场景模式控制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5.本地控制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7.支持开关联动,空调联动,新风联动、插座联动、窗帘联动等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w:t>
            </w:r>
            <w:r>
              <w:rPr>
                <w:rFonts w:hint="eastAsia" w:ascii="宋体" w:hAnsi="宋体" w:cs="宋体"/>
                <w:i w:val="0"/>
                <w:iCs w:val="0"/>
                <w:color w:val="000000"/>
                <w:kern w:val="0"/>
                <w:sz w:val="22"/>
                <w:szCs w:val="22"/>
                <w:u w:val="none"/>
                <w:lang w:val="en-US" w:eastAsia="zh-CN" w:bidi="ar"/>
              </w:rPr>
              <w:t>雷达微波感应</w:t>
            </w:r>
            <w:r>
              <w:rPr>
                <w:rFonts w:hint="eastAsia" w:ascii="宋体" w:hAnsi="宋体" w:eastAsia="宋体" w:cs="宋体"/>
                <w:i w:val="0"/>
                <w:iCs w:val="0"/>
                <w:color w:val="000000"/>
                <w:kern w:val="0"/>
                <w:sz w:val="22"/>
                <w:szCs w:val="22"/>
                <w:u w:val="none"/>
                <w:lang w:val="en-US" w:eastAsia="zh-CN" w:bidi="ar"/>
              </w:rPr>
              <w:t>传感器接入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9.电源：PWM调光电源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10.材质：铝+PC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11.色温：6500K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12.功率：24W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13.光效：≥1</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0lm/w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14.尺寸：600*600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15.颜色：白色</w:t>
            </w:r>
          </w:p>
        </w:tc>
      </w:tr>
      <w:tr w14:paraId="2CA6C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3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7FB4">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6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无线智慧物联-平板灯1200*300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D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AE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82</w:t>
            </w: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50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2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5BEE">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C5E5">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50B41">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4199">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7B3C">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1.无线分组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2.自由组网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3.分时分区控制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4.场景模式控制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5.本地控制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6.远程控制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7.支持开关联动,空调联动,新风联动、插座联动、窗帘联动等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w:t>
            </w:r>
            <w:r>
              <w:rPr>
                <w:rFonts w:hint="eastAsia" w:ascii="宋体" w:hAnsi="宋体" w:cs="宋体"/>
                <w:i w:val="0"/>
                <w:iCs w:val="0"/>
                <w:color w:val="000000"/>
                <w:kern w:val="0"/>
                <w:sz w:val="22"/>
                <w:szCs w:val="22"/>
                <w:u w:val="none"/>
                <w:lang w:val="en-US" w:eastAsia="zh-CN" w:bidi="ar"/>
              </w:rPr>
              <w:t>雷达微波感应</w:t>
            </w:r>
            <w:r>
              <w:rPr>
                <w:rFonts w:hint="eastAsia" w:ascii="宋体" w:hAnsi="宋体" w:eastAsia="宋体" w:cs="宋体"/>
                <w:i w:val="0"/>
                <w:iCs w:val="0"/>
                <w:color w:val="000000"/>
                <w:kern w:val="0"/>
                <w:sz w:val="22"/>
                <w:szCs w:val="22"/>
                <w:u w:val="none"/>
                <w:lang w:val="en-US" w:eastAsia="zh-CN" w:bidi="ar"/>
              </w:rPr>
              <w:t>传感器接入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9.电源：PWM调光电源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10.材质：铝+PC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11.色温：6500K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12.功率：36W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13.光效：≥1</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0lm/w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14.尺寸：600*600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15.颜色：白色</w:t>
            </w:r>
          </w:p>
        </w:tc>
      </w:tr>
      <w:tr w14:paraId="324E3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01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64C9">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3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无线智慧物联-场景面板6键</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7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手动控制面板</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0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20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F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89A9">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9FD8">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A7DC">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0DBF">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E390">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1、无线mesh组网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2、按键可定义场景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3、6键按键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4、AC 220V 零火取电</w:t>
            </w:r>
          </w:p>
        </w:tc>
      </w:tr>
      <w:tr w14:paraId="3195C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3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5F54">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1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8寸控制屏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7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单层总控</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0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9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215A">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7178">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8F4F">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95E4">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BE9D">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1、86盒安装/8.0寸屏/无线mesh通信/自定义UI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2、支持不少于30个键的自定义设置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3、按照现场需求可以灵活调整每个按键的功能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4、支持OTA升级，远程设置功能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5、作为单节点轮询时间不大于1S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6、作为单节点支持多跳，多信道，组网规模不小于60000</w:t>
            </w:r>
          </w:p>
        </w:tc>
      </w:tr>
      <w:tr w14:paraId="5C0A2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2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4CB2">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7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智能网关2</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D1AE">
            <w:pPr>
              <w:jc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A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1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AE47">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AA72">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65A0">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9052">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6A72">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输入：100-240VAC 50/60Hz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接口：网线/WI-FI/4G  根据现场环境可选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安装方式：壁挂、平放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功能：节点汇聚无线传感网络数据，下发服务器指令，上传服务器端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含网络部署、超五类网线等全部费用。</w:t>
            </w:r>
          </w:p>
        </w:tc>
      </w:tr>
      <w:tr w14:paraId="199B0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E2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96" w:type="dxa"/>
            <w:vMerge w:val="restart"/>
            <w:tcBorders>
              <w:top w:val="single" w:color="000000" w:sz="4" w:space="0"/>
              <w:left w:val="single" w:color="000000" w:sz="4" w:space="0"/>
              <w:right w:val="single" w:color="000000" w:sz="4" w:space="0"/>
            </w:tcBorders>
            <w:shd w:val="clear" w:color="auto" w:fill="auto"/>
            <w:noWrap/>
            <w:vAlign w:val="center"/>
          </w:tcPr>
          <w:p w14:paraId="142CF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公共区域</w:t>
            </w: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F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物联网支架灯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7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T8</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E0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25</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1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450A">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C27B">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C7C1">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E9F0">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CFEF">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含不锈钢吊链、灯具改造辅料及人工等全部费用</w:t>
            </w:r>
          </w:p>
        </w:tc>
      </w:tr>
      <w:tr w14:paraId="4843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3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96" w:type="dxa"/>
            <w:vMerge w:val="continue"/>
            <w:tcBorders>
              <w:left w:val="single" w:color="000000" w:sz="4" w:space="0"/>
              <w:right w:val="single" w:color="000000" w:sz="4" w:space="0"/>
            </w:tcBorders>
            <w:shd w:val="clear" w:color="auto" w:fill="auto"/>
            <w:noWrap/>
            <w:vAlign w:val="center"/>
          </w:tcPr>
          <w:p w14:paraId="3847C3BD">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8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物联网支架灯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7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T8</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C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27</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E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9101">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BAA08">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36B4">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38F2">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CEE8">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不含吊链、灯具改造辅料费用</w:t>
            </w:r>
          </w:p>
        </w:tc>
      </w:tr>
      <w:tr w14:paraId="60912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E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96" w:type="dxa"/>
            <w:vMerge w:val="continue"/>
            <w:tcBorders>
              <w:left w:val="single" w:color="000000" w:sz="4" w:space="0"/>
              <w:right w:val="single" w:color="000000" w:sz="4" w:space="0"/>
            </w:tcBorders>
            <w:shd w:val="clear" w:color="auto" w:fill="auto"/>
            <w:noWrap/>
            <w:vAlign w:val="center"/>
          </w:tcPr>
          <w:p w14:paraId="11164C65">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9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物联网筒灯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3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1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10</w:t>
            </w:r>
            <w:r>
              <w:rPr>
                <w:rFonts w:hint="eastAsia" w:ascii="宋体" w:hAnsi="宋体" w:eastAsia="宋体" w:cs="宋体"/>
                <w:i w:val="0"/>
                <w:iCs w:val="0"/>
                <w:color w:val="000000"/>
                <w:kern w:val="0"/>
                <w:sz w:val="22"/>
                <w:szCs w:val="22"/>
                <w:u w:val="none"/>
                <w:lang w:val="en-US" w:eastAsia="zh-CN" w:bidi="ar"/>
              </w:rPr>
              <w:t>50</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D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C357">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7A130">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340A">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6BD25">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31A6">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4寸</w:t>
            </w:r>
          </w:p>
        </w:tc>
      </w:tr>
      <w:tr w14:paraId="7DEE1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A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6" w:type="dxa"/>
            <w:vMerge w:val="continue"/>
            <w:tcBorders>
              <w:left w:val="single" w:color="000000" w:sz="4" w:space="0"/>
              <w:right w:val="single" w:color="000000" w:sz="4" w:space="0"/>
            </w:tcBorders>
            <w:shd w:val="clear" w:color="auto" w:fill="auto"/>
            <w:noWrap/>
            <w:vAlign w:val="center"/>
          </w:tcPr>
          <w:p w14:paraId="554085B5">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6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物联网筒灯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8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E8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49</w:t>
            </w:r>
            <w:r>
              <w:rPr>
                <w:rFonts w:hint="eastAsia" w:ascii="宋体" w:hAnsi="宋体" w:cs="宋体"/>
                <w:i w:val="0"/>
                <w:iCs w:val="0"/>
                <w:color w:val="000000"/>
                <w:kern w:val="0"/>
                <w:sz w:val="22"/>
                <w:szCs w:val="22"/>
                <w:u w:val="none"/>
                <w:lang w:val="en-US" w:eastAsia="zh-CN" w:bidi="ar"/>
              </w:rPr>
              <w:t>（其中备件</w:t>
            </w:r>
            <w:r>
              <w:rPr>
                <w:rFonts w:hint="eastAsia" w:ascii="宋体" w:hAnsi="宋体" w:cs="宋体"/>
                <w:i w:val="0"/>
                <w:iCs w:val="0"/>
                <w:color w:val="000000"/>
                <w:kern w:val="0"/>
                <w:sz w:val="22"/>
                <w:szCs w:val="22"/>
                <w:u w:val="single"/>
                <w:lang w:val="en-US" w:eastAsia="zh-CN" w:bidi="ar"/>
              </w:rPr>
              <w:t>100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5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233F">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4F10">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716D">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55F6">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EA25">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6寸</w:t>
            </w:r>
          </w:p>
        </w:tc>
      </w:tr>
      <w:tr w14:paraId="2976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E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96" w:type="dxa"/>
            <w:vMerge w:val="continue"/>
            <w:tcBorders>
              <w:left w:val="single" w:color="000000" w:sz="4" w:space="0"/>
              <w:right w:val="single" w:color="000000" w:sz="4" w:space="0"/>
            </w:tcBorders>
            <w:shd w:val="clear" w:color="auto" w:fill="auto"/>
            <w:noWrap/>
            <w:vAlign w:val="center"/>
          </w:tcPr>
          <w:p w14:paraId="4129B02A">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A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照度传感器</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1E8F">
            <w:pPr>
              <w:jc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2C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A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BFA3">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8678">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B274">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57A0">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5A37">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自然光符合照明条件时灯具不开</w:t>
            </w:r>
          </w:p>
        </w:tc>
      </w:tr>
      <w:tr w14:paraId="0262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4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96" w:type="dxa"/>
            <w:vMerge w:val="continue"/>
            <w:tcBorders>
              <w:left w:val="single" w:color="000000" w:sz="4" w:space="0"/>
              <w:right w:val="single" w:color="000000" w:sz="4" w:space="0"/>
            </w:tcBorders>
            <w:shd w:val="clear" w:color="auto" w:fill="auto"/>
            <w:noWrap/>
            <w:vAlign w:val="center"/>
          </w:tcPr>
          <w:p w14:paraId="77C79191">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AB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智能网关1</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6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5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A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0769">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9BB5">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8A38">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416A">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BBCE">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智慧照明接入，包括地下室</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每层一个</w:t>
            </w:r>
          </w:p>
        </w:tc>
      </w:tr>
      <w:tr w14:paraId="51C08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66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1096" w:type="dxa"/>
            <w:vMerge w:val="continue"/>
            <w:tcBorders>
              <w:left w:val="single" w:color="000000" w:sz="4" w:space="0"/>
              <w:bottom w:val="single" w:color="000000" w:sz="4" w:space="0"/>
              <w:right w:val="single" w:color="000000" w:sz="4" w:space="0"/>
            </w:tcBorders>
            <w:shd w:val="clear" w:color="auto" w:fill="auto"/>
            <w:noWrap/>
            <w:vAlign w:val="center"/>
          </w:tcPr>
          <w:p w14:paraId="1070BD1D">
            <w:pPr>
              <w:jc w:val="cente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0C1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物联网吸顶灯</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760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18W</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9FE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280（其中备件</w:t>
            </w:r>
            <w:r>
              <w:rPr>
                <w:rFonts w:hint="eastAsia" w:ascii="宋体" w:hAnsi="宋体" w:cs="宋体"/>
                <w:i w:val="0"/>
                <w:iCs w:val="0"/>
                <w:color w:val="000000"/>
                <w:kern w:val="0"/>
                <w:sz w:val="22"/>
                <w:szCs w:val="22"/>
                <w:u w:val="single"/>
                <w:lang w:val="en-US" w:eastAsia="zh-CN" w:bidi="ar"/>
              </w:rPr>
              <w:t>20</w:t>
            </w:r>
            <w:r>
              <w:rPr>
                <w:rFonts w:hint="eastAsia" w:ascii="宋体" w:hAnsi="宋体" w:cs="宋体"/>
                <w:i w:val="0"/>
                <w:iCs w:val="0"/>
                <w:color w:val="000000"/>
                <w:kern w:val="0"/>
                <w:sz w:val="22"/>
                <w:szCs w:val="22"/>
                <w:u w:val="none"/>
                <w:lang w:val="en-US" w:eastAsia="zh-CN" w:bidi="ar"/>
              </w:rPr>
              <w:t xml:space="preserve">  个）</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AF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EFEB">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3ABE">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C779">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6E0A">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56B9">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步梯间吸顶灯18W，6500K，320mm白色雷达带光感（</w:t>
            </w:r>
            <w:r>
              <w:rPr>
                <w:rFonts w:hint="eastAsia" w:ascii="宋体" w:hAnsi="宋体" w:cs="宋体"/>
                <w:i w:val="0"/>
                <w:iCs w:val="0"/>
                <w:color w:val="000000"/>
                <w:kern w:val="0"/>
                <w:sz w:val="22"/>
                <w:szCs w:val="22"/>
                <w:highlight w:val="yellow"/>
                <w:u w:val="none"/>
                <w:lang w:val="en-US" w:eastAsia="zh-CN" w:bidi="ar"/>
              </w:rPr>
              <w:t>不含应急电源</w:t>
            </w:r>
            <w:r>
              <w:rPr>
                <w:rFonts w:hint="eastAsia" w:ascii="宋体" w:hAnsi="宋体" w:cs="宋体"/>
                <w:i w:val="0"/>
                <w:iCs w:val="0"/>
                <w:color w:val="000000"/>
                <w:kern w:val="0"/>
                <w:sz w:val="22"/>
                <w:szCs w:val="22"/>
                <w:u w:val="none"/>
                <w:lang w:val="en-US" w:eastAsia="zh-CN" w:bidi="ar"/>
              </w:rPr>
              <w:t>）</w:t>
            </w:r>
          </w:p>
        </w:tc>
      </w:tr>
      <w:tr w14:paraId="7E87C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8EF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5</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1453">
            <w:pP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C7D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highlight w:val="yellow"/>
                <w:u w:val="none"/>
                <w:lang w:val="en-US" w:eastAsia="zh-CN" w:bidi="ar"/>
              </w:rPr>
              <w:t>总控电脑</w:t>
            </w:r>
            <w:r>
              <w:rPr>
                <w:rFonts w:hint="eastAsia" w:ascii="宋体" w:hAnsi="宋体" w:cs="宋体"/>
                <w:i w:val="0"/>
                <w:iCs w:val="0"/>
                <w:color w:val="000000"/>
                <w:kern w:val="0"/>
                <w:sz w:val="22"/>
                <w:szCs w:val="22"/>
                <w:highlight w:val="yellow"/>
                <w:u w:val="none"/>
                <w:lang w:val="en-US" w:eastAsia="zh-CN" w:bidi="ar"/>
              </w:rPr>
              <w:t>调试</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D02E">
            <w:pPr>
              <w:jc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C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4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项</w:t>
            </w:r>
          </w:p>
        </w:tc>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5D62">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0E07">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E36C">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3327">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3B32">
            <w:pPr>
              <w:keepNext w:val="0"/>
              <w:keepLines w:val="0"/>
              <w:pageBreakBefore w:val="0"/>
              <w:widowControl/>
              <w:kinsoku/>
              <w:wordWrap/>
              <w:overflowPunct/>
              <w:topLinePunct w:val="0"/>
              <w:autoSpaceDE/>
              <w:autoSpaceDN/>
              <w:bidi w:val="0"/>
              <w:adjustRightInd/>
              <w:spacing w:line="192" w:lineRule="auto"/>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highlight w:val="yellow"/>
                <w:u w:val="none"/>
                <w:lang w:val="en-US" w:eastAsia="zh-CN"/>
              </w:rPr>
              <w:t>甲供材乙方负责调试（位置待定）</w:t>
            </w:r>
          </w:p>
        </w:tc>
      </w:tr>
      <w:tr w14:paraId="12A2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4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6</w:t>
            </w:r>
          </w:p>
        </w:tc>
        <w:tc>
          <w:tcPr>
            <w:tcW w:w="1096" w:type="dxa"/>
            <w:tcBorders>
              <w:top w:val="single" w:color="000000" w:sz="4" w:space="0"/>
              <w:left w:val="single" w:color="000000" w:sz="4" w:space="0"/>
              <w:bottom w:val="nil"/>
              <w:right w:val="single" w:color="000000" w:sz="4" w:space="0"/>
            </w:tcBorders>
            <w:shd w:val="clear" w:color="auto" w:fill="auto"/>
            <w:noWrap/>
            <w:vAlign w:val="center"/>
          </w:tcPr>
          <w:p w14:paraId="6DC69498">
            <w:pPr>
              <w:rPr>
                <w:rFonts w:hint="eastAsia" w:ascii="宋体" w:hAnsi="宋体" w:eastAsia="宋体" w:cs="宋体"/>
                <w:i w:val="0"/>
                <w:iCs w:val="0"/>
                <w:color w:val="000000"/>
                <w:sz w:val="22"/>
                <w:szCs w:val="22"/>
                <w:u w:val="none"/>
              </w:rPr>
            </w:pPr>
          </w:p>
        </w:tc>
        <w:tc>
          <w:tcPr>
            <w:tcW w:w="1801" w:type="dxa"/>
            <w:tcBorders>
              <w:top w:val="single" w:color="000000" w:sz="4" w:space="0"/>
              <w:left w:val="single" w:color="000000" w:sz="4" w:space="0"/>
              <w:bottom w:val="nil"/>
              <w:right w:val="single" w:color="000000" w:sz="4" w:space="0"/>
            </w:tcBorders>
            <w:shd w:val="clear" w:color="auto" w:fill="auto"/>
            <w:vAlign w:val="center"/>
          </w:tcPr>
          <w:p w14:paraId="68AABF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网络服务器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交换机</w:t>
            </w:r>
          </w:p>
        </w:tc>
        <w:tc>
          <w:tcPr>
            <w:tcW w:w="1044" w:type="dxa"/>
            <w:tcBorders>
              <w:top w:val="single" w:color="000000" w:sz="4" w:space="0"/>
              <w:left w:val="single" w:color="000000" w:sz="4" w:space="0"/>
              <w:bottom w:val="nil"/>
              <w:right w:val="nil"/>
            </w:tcBorders>
            <w:shd w:val="clear" w:color="auto" w:fill="auto"/>
            <w:vAlign w:val="center"/>
          </w:tcPr>
          <w:p w14:paraId="04638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（含软件）</w:t>
            </w:r>
          </w:p>
        </w:tc>
        <w:tc>
          <w:tcPr>
            <w:tcW w:w="792" w:type="dxa"/>
            <w:tcBorders>
              <w:top w:val="single" w:color="000000" w:sz="4" w:space="0"/>
              <w:left w:val="single" w:color="000000" w:sz="4" w:space="0"/>
              <w:bottom w:val="nil"/>
              <w:right w:val="single" w:color="000000" w:sz="4" w:space="0"/>
            </w:tcBorders>
            <w:shd w:val="clear" w:color="auto" w:fill="auto"/>
            <w:noWrap/>
            <w:vAlign w:val="center"/>
          </w:tcPr>
          <w:p w14:paraId="71DEEA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89" w:type="dxa"/>
            <w:tcBorders>
              <w:top w:val="single" w:color="000000" w:sz="4" w:space="0"/>
              <w:left w:val="single" w:color="000000" w:sz="4" w:space="0"/>
              <w:bottom w:val="nil"/>
              <w:right w:val="single" w:color="000000" w:sz="4" w:space="0"/>
            </w:tcBorders>
            <w:shd w:val="clear" w:color="auto" w:fill="auto"/>
            <w:noWrap/>
            <w:vAlign w:val="center"/>
          </w:tcPr>
          <w:p w14:paraId="2A9493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61" w:type="dxa"/>
            <w:tcBorders>
              <w:top w:val="single" w:color="000000" w:sz="4" w:space="0"/>
              <w:left w:val="single" w:color="000000" w:sz="4" w:space="0"/>
              <w:bottom w:val="nil"/>
              <w:right w:val="single" w:color="000000" w:sz="4" w:space="0"/>
            </w:tcBorders>
            <w:shd w:val="clear" w:color="auto" w:fill="auto"/>
            <w:noWrap/>
            <w:vAlign w:val="center"/>
          </w:tcPr>
          <w:p w14:paraId="67F74307">
            <w:pPr>
              <w:jc w:val="center"/>
              <w:rPr>
                <w:rFonts w:hint="eastAsia" w:ascii="宋体" w:hAnsi="宋体" w:eastAsia="宋体" w:cs="宋体"/>
                <w:i w:val="0"/>
                <w:iCs w:val="0"/>
                <w:color w:val="000000"/>
                <w:sz w:val="22"/>
                <w:szCs w:val="22"/>
                <w:u w:val="none"/>
              </w:rPr>
            </w:pPr>
          </w:p>
        </w:tc>
        <w:tc>
          <w:tcPr>
            <w:tcW w:w="1145" w:type="dxa"/>
            <w:tcBorders>
              <w:top w:val="single" w:color="000000" w:sz="4" w:space="0"/>
              <w:left w:val="single" w:color="000000" w:sz="4" w:space="0"/>
              <w:bottom w:val="nil"/>
              <w:right w:val="single" w:color="000000" w:sz="4" w:space="0"/>
            </w:tcBorders>
            <w:shd w:val="clear" w:color="auto" w:fill="auto"/>
            <w:noWrap/>
            <w:vAlign w:val="center"/>
          </w:tcPr>
          <w:p w14:paraId="25C15127">
            <w:pPr>
              <w:jc w:val="center"/>
              <w:rPr>
                <w:rFonts w:hint="eastAsia" w:ascii="宋体" w:hAnsi="宋体" w:eastAsia="宋体" w:cs="宋体"/>
                <w:i w:val="0"/>
                <w:iCs w:val="0"/>
                <w:color w:val="000000"/>
                <w:sz w:val="22"/>
                <w:szCs w:val="22"/>
                <w:u w:val="none"/>
              </w:rPr>
            </w:pPr>
          </w:p>
        </w:tc>
        <w:tc>
          <w:tcPr>
            <w:tcW w:w="1061" w:type="dxa"/>
            <w:tcBorders>
              <w:top w:val="single" w:color="000000" w:sz="4" w:space="0"/>
              <w:left w:val="single" w:color="000000" w:sz="4" w:space="0"/>
              <w:bottom w:val="nil"/>
              <w:right w:val="single" w:color="000000" w:sz="4" w:space="0"/>
            </w:tcBorders>
            <w:shd w:val="clear" w:color="auto" w:fill="auto"/>
            <w:noWrap/>
            <w:vAlign w:val="center"/>
          </w:tcPr>
          <w:p w14:paraId="69FF6B23">
            <w:pPr>
              <w:jc w:val="center"/>
              <w:rPr>
                <w:rFonts w:hint="eastAsia" w:ascii="宋体" w:hAnsi="宋体" w:eastAsia="宋体" w:cs="宋体"/>
                <w:i w:val="0"/>
                <w:iCs w:val="0"/>
                <w:color w:val="000000"/>
                <w:sz w:val="22"/>
                <w:szCs w:val="22"/>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279D">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523C">
            <w:pPr>
              <w:keepNext w:val="0"/>
              <w:keepLines w:val="0"/>
              <w:pageBreakBefore w:val="0"/>
              <w:widowControl/>
              <w:suppressLineNumbers w:val="0"/>
              <w:kinsoku/>
              <w:wordWrap/>
              <w:overflowPunct/>
              <w:topLinePunct w:val="0"/>
              <w:autoSpaceDE/>
              <w:autoSpaceDN/>
              <w:bidi w:val="0"/>
              <w:adjustRightInd/>
              <w:spacing w:line="192"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含网络调试、软件、硬件</w:t>
            </w:r>
            <w:r>
              <w:rPr>
                <w:rFonts w:hint="eastAsia" w:ascii="宋体" w:hAnsi="宋体" w:cs="宋体"/>
                <w:i w:val="0"/>
                <w:iCs w:val="0"/>
                <w:color w:val="000000"/>
                <w:kern w:val="0"/>
                <w:sz w:val="22"/>
                <w:szCs w:val="22"/>
                <w:u w:val="none"/>
                <w:lang w:val="en-US" w:eastAsia="zh-CN" w:bidi="ar"/>
              </w:rPr>
              <w:t>、辅材</w:t>
            </w:r>
            <w:r>
              <w:rPr>
                <w:rFonts w:hint="eastAsia" w:ascii="宋体" w:hAnsi="宋体" w:eastAsia="宋体" w:cs="宋体"/>
                <w:i w:val="0"/>
                <w:iCs w:val="0"/>
                <w:color w:val="000000"/>
                <w:kern w:val="0"/>
                <w:sz w:val="22"/>
                <w:szCs w:val="22"/>
                <w:u w:val="none"/>
                <w:lang w:val="en-US" w:eastAsia="zh-CN" w:bidi="ar"/>
              </w:rPr>
              <w:t>等全费用，</w:t>
            </w:r>
            <w:r>
              <w:rPr>
                <w:rFonts w:hint="eastAsia" w:ascii="宋体" w:hAnsi="宋体" w:eastAsia="宋体" w:cs="宋体"/>
                <w:i w:val="0"/>
                <w:iCs w:val="0"/>
                <w:color w:val="000000"/>
                <w:kern w:val="0"/>
                <w:sz w:val="22"/>
                <w:szCs w:val="22"/>
                <w:highlight w:val="yellow"/>
                <w:u w:val="none"/>
                <w:lang w:val="en-US" w:eastAsia="zh-CN" w:bidi="ar"/>
              </w:rPr>
              <w:t>本项目软件、平台等无任何后期费用。</w:t>
            </w:r>
          </w:p>
        </w:tc>
      </w:tr>
      <w:tr w14:paraId="7DAA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1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7</w:t>
            </w:r>
          </w:p>
        </w:tc>
        <w:tc>
          <w:tcPr>
            <w:tcW w:w="848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D3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不含税总价</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0E20">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9DE6">
            <w:pPr>
              <w:rPr>
                <w:rFonts w:hint="eastAsia" w:ascii="宋体" w:hAnsi="宋体" w:eastAsia="宋体" w:cs="宋体"/>
                <w:i w:val="0"/>
                <w:iCs w:val="0"/>
                <w:color w:val="000000"/>
                <w:sz w:val="22"/>
                <w:szCs w:val="22"/>
                <w:u w:val="none"/>
              </w:rPr>
            </w:pPr>
          </w:p>
        </w:tc>
      </w:tr>
      <w:tr w14:paraId="2B032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F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p>
        </w:tc>
        <w:tc>
          <w:tcPr>
            <w:tcW w:w="848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C257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  %</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287E">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E556">
            <w:pPr>
              <w:rPr>
                <w:rFonts w:hint="eastAsia" w:ascii="宋体" w:hAnsi="宋体" w:eastAsia="宋体" w:cs="宋体"/>
                <w:i w:val="0"/>
                <w:iCs w:val="0"/>
                <w:color w:val="000000"/>
                <w:sz w:val="22"/>
                <w:szCs w:val="22"/>
                <w:u w:val="none"/>
              </w:rPr>
            </w:pPr>
          </w:p>
        </w:tc>
      </w:tr>
      <w:tr w14:paraId="20AC6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6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9</w:t>
            </w:r>
          </w:p>
        </w:tc>
        <w:tc>
          <w:tcPr>
            <w:tcW w:w="848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8FE7">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费用合计</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53D5">
            <w:pPr>
              <w:jc w:val="center"/>
              <w:rPr>
                <w:rFonts w:hint="eastAsia" w:ascii="宋体" w:hAnsi="宋体" w:eastAsia="宋体" w:cs="宋体"/>
                <w:i w:val="0"/>
                <w:iCs w:val="0"/>
                <w:color w:val="000000"/>
                <w:sz w:val="22"/>
                <w:szCs w:val="22"/>
                <w:u w:val="none"/>
              </w:rPr>
            </w:pPr>
          </w:p>
        </w:tc>
        <w:tc>
          <w:tcPr>
            <w:tcW w:w="4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5AA7">
            <w:pPr>
              <w:rPr>
                <w:rFonts w:hint="eastAsia" w:ascii="宋体" w:hAnsi="宋体" w:eastAsia="宋体" w:cs="宋体"/>
                <w:i w:val="0"/>
                <w:iCs w:val="0"/>
                <w:color w:val="000000"/>
                <w:sz w:val="22"/>
                <w:szCs w:val="22"/>
                <w:u w:val="none"/>
              </w:rPr>
            </w:pPr>
          </w:p>
        </w:tc>
      </w:tr>
    </w:tbl>
    <w:p w14:paraId="217C5415">
      <w:pPr>
        <w:pStyle w:val="37"/>
        <w:ind w:left="482" w:hanging="422" w:hangingChars="200"/>
        <w:rPr>
          <w:rFonts w:hint="eastAsia" w:ascii="宋体" w:hAnsi="宋体" w:eastAsia="宋体" w:cs="宋体"/>
          <w:b/>
          <w:sz w:val="21"/>
          <w:szCs w:val="21"/>
          <w:highlight w:val="none"/>
        </w:rPr>
      </w:pPr>
    </w:p>
    <w:p w14:paraId="6EDE6760">
      <w:pPr>
        <w:pStyle w:val="37"/>
        <w:ind w:firstLine="482"/>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注：1、需写明含税价、不含税价格、税率。</w:t>
      </w:r>
    </w:p>
    <w:p w14:paraId="7093BA75">
      <w:pPr>
        <w:pStyle w:val="37"/>
        <w:numPr>
          <w:ilvl w:val="0"/>
          <w:numId w:val="5"/>
        </w:numPr>
        <w:ind w:firstLine="843" w:firstLineChars="400"/>
        <w:rPr>
          <w:rFonts w:hint="eastAsia" w:ascii="宋体" w:hAnsi="宋体" w:eastAsia="宋体" w:cs="宋体"/>
          <w:b/>
          <w:bCs w:val="0"/>
          <w:sz w:val="21"/>
          <w:szCs w:val="21"/>
          <w:highlight w:val="none"/>
          <w:vertAlign w:val="baseline"/>
          <w:lang w:val="en-US" w:eastAsia="zh-CN"/>
        </w:rPr>
      </w:pPr>
      <w:r>
        <w:rPr>
          <w:rFonts w:hint="eastAsia" w:ascii="宋体" w:hAnsi="宋体" w:eastAsia="宋体" w:cs="宋体"/>
          <w:b/>
          <w:bCs w:val="0"/>
          <w:sz w:val="21"/>
          <w:szCs w:val="21"/>
          <w:highlight w:val="none"/>
          <w:vertAlign w:val="baseline"/>
          <w:lang w:val="en-US" w:eastAsia="zh-CN"/>
        </w:rPr>
        <w:t>我公司采用的品牌是：</w:t>
      </w:r>
      <w:r>
        <w:rPr>
          <w:rFonts w:hint="eastAsia" w:ascii="宋体" w:hAnsi="宋体" w:eastAsia="宋体" w:cs="宋体"/>
          <w:b/>
          <w:bCs w:val="0"/>
          <w:sz w:val="21"/>
          <w:szCs w:val="21"/>
          <w:highlight w:val="none"/>
          <w:u w:val="single"/>
          <w:vertAlign w:val="baseline"/>
          <w:lang w:val="en-US" w:eastAsia="zh-CN"/>
        </w:rPr>
        <w:t xml:space="preserve">            .</w:t>
      </w:r>
      <w:r>
        <w:rPr>
          <w:rFonts w:hint="eastAsia" w:eastAsia="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推荐品牌：</w:t>
      </w:r>
      <w:r>
        <w:rPr>
          <w:rFonts w:hint="eastAsia" w:eastAsia="宋体" w:cs="宋体"/>
          <w:b/>
          <w:bCs w:val="0"/>
          <w:sz w:val="21"/>
          <w:szCs w:val="21"/>
          <w:highlight w:val="none"/>
          <w:vertAlign w:val="baseline"/>
          <w:lang w:val="en-US" w:eastAsia="zh-CN"/>
        </w:rPr>
        <w:t>佛山照明、</w:t>
      </w:r>
      <w:r>
        <w:rPr>
          <w:rFonts w:hint="eastAsia" w:ascii="宋体" w:hAnsi="宋体" w:eastAsia="宋体" w:cs="宋体"/>
          <w:b/>
          <w:bCs w:val="0"/>
          <w:sz w:val="21"/>
          <w:szCs w:val="21"/>
          <w:highlight w:val="none"/>
          <w:vertAlign w:val="baseline"/>
          <w:lang w:val="en-US" w:eastAsia="zh-CN"/>
        </w:rPr>
        <w:t>三雄极光、欧普</w:t>
      </w:r>
      <w:r>
        <w:rPr>
          <w:rFonts w:hint="eastAsia" w:eastAsia="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雷士</w:t>
      </w:r>
      <w:r>
        <w:rPr>
          <w:rFonts w:hint="eastAsia" w:eastAsia="宋体" w:cs="宋体"/>
          <w:b/>
          <w:bCs w:val="0"/>
          <w:sz w:val="21"/>
          <w:szCs w:val="21"/>
          <w:highlight w:val="none"/>
          <w:vertAlign w:val="baseline"/>
          <w:lang w:val="en-US" w:eastAsia="zh-CN"/>
        </w:rPr>
        <w:t>、TCL、飞利浦等）</w:t>
      </w:r>
      <w:r>
        <w:rPr>
          <w:rFonts w:hint="eastAsia" w:ascii="宋体" w:hAnsi="宋体" w:eastAsia="宋体" w:cs="宋体"/>
          <w:b/>
          <w:bCs w:val="0"/>
          <w:sz w:val="21"/>
          <w:szCs w:val="21"/>
          <w:highlight w:val="none"/>
          <w:vertAlign w:val="baseline"/>
          <w:lang w:val="en-US" w:eastAsia="zh-CN"/>
        </w:rPr>
        <w:t>。</w:t>
      </w:r>
    </w:p>
    <w:p w14:paraId="2F511AB8">
      <w:pPr>
        <w:pStyle w:val="37"/>
        <w:numPr>
          <w:ilvl w:val="0"/>
          <w:numId w:val="5"/>
        </w:numPr>
        <w:ind w:firstLine="843" w:firstLineChars="400"/>
        <w:rPr>
          <w:rFonts w:hint="eastAsia" w:ascii="宋体" w:hAnsi="宋体" w:eastAsia="宋体" w:cs="宋体"/>
          <w:b/>
          <w:bCs w:val="0"/>
          <w:sz w:val="21"/>
          <w:szCs w:val="21"/>
          <w:highlight w:val="none"/>
          <w:vertAlign w:val="baseline"/>
          <w:lang w:val="en-US" w:eastAsia="zh-CN"/>
        </w:rPr>
      </w:pPr>
      <w:r>
        <w:rPr>
          <w:rFonts w:hint="eastAsia" w:eastAsia="宋体" w:cs="宋体"/>
          <w:b/>
          <w:bCs w:val="0"/>
          <w:sz w:val="21"/>
          <w:szCs w:val="21"/>
          <w:highlight w:val="none"/>
          <w:vertAlign w:val="baseline"/>
          <w:lang w:val="en-US" w:eastAsia="zh-CN"/>
        </w:rPr>
        <w:t>旧灯拆除清运，旧灯价值在报价中折算（在总报价中折算）。</w:t>
      </w:r>
    </w:p>
    <w:p w14:paraId="5B0D6727">
      <w:pPr>
        <w:pStyle w:val="37"/>
        <w:numPr>
          <w:ilvl w:val="0"/>
          <w:numId w:val="5"/>
        </w:numPr>
        <w:ind w:firstLine="843" w:firstLineChars="400"/>
        <w:rPr>
          <w:rFonts w:hint="eastAsia" w:ascii="宋体" w:hAnsi="宋体" w:eastAsia="宋体" w:cs="宋体"/>
          <w:b/>
          <w:bCs w:val="0"/>
          <w:sz w:val="21"/>
          <w:szCs w:val="21"/>
          <w:highlight w:val="none"/>
          <w:vertAlign w:val="baseline"/>
          <w:lang w:val="en-US" w:eastAsia="zh-CN"/>
        </w:rPr>
      </w:pPr>
      <w:r>
        <w:rPr>
          <w:rFonts w:hint="eastAsia" w:eastAsia="宋体" w:cs="宋体"/>
          <w:b/>
          <w:bCs w:val="0"/>
          <w:sz w:val="21"/>
          <w:szCs w:val="21"/>
          <w:highlight w:val="none"/>
          <w:vertAlign w:val="baseline"/>
          <w:lang w:val="en-US" w:eastAsia="zh-CN"/>
        </w:rPr>
        <w:t>以上清单数量为预估，结算金额以最终审定额为准。</w:t>
      </w:r>
    </w:p>
    <w:p w14:paraId="683C3551">
      <w:pPr>
        <w:pStyle w:val="37"/>
        <w:numPr>
          <w:ilvl w:val="0"/>
          <w:numId w:val="0"/>
        </w:numPr>
        <w:rPr>
          <w:rFonts w:hint="default" w:ascii="宋体" w:hAnsi="宋体" w:eastAsia="宋体" w:cs="宋体"/>
          <w:b/>
          <w:bCs w:val="0"/>
          <w:sz w:val="21"/>
          <w:szCs w:val="21"/>
          <w:highlight w:val="none"/>
          <w:vertAlign w:val="baseline"/>
          <w:lang w:val="en-US" w:eastAsia="zh-CN"/>
        </w:rPr>
      </w:pPr>
    </w:p>
    <w:p w14:paraId="57F09490">
      <w:pPr>
        <w:spacing w:line="6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24B21885">
      <w:pPr>
        <w:spacing w:line="6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14AE95F1">
      <w:pPr>
        <w:spacing w:line="66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46C14C9F">
      <w:pPr>
        <w:jc w:val="left"/>
        <w:rPr>
          <w:rFonts w:hint="eastAsia" w:ascii="宋体" w:hAnsi="宋体" w:eastAsia="宋体" w:cs="宋体"/>
          <w:b/>
          <w:bCs/>
          <w:color w:val="000000"/>
          <w:sz w:val="21"/>
          <w:szCs w:val="21"/>
          <w:highlight w:val="none"/>
        </w:rPr>
        <w:sectPr>
          <w:pgSz w:w="16838" w:h="11906" w:orient="landscape"/>
          <w:pgMar w:top="1418" w:right="1588" w:bottom="1418" w:left="1134" w:header="851" w:footer="992" w:gutter="0"/>
          <w:pgNumType w:fmt="numberInDash"/>
          <w:cols w:space="720" w:num="1"/>
          <w:titlePg/>
          <w:docGrid w:type="lines" w:linePitch="312" w:charSpace="0"/>
        </w:sectPr>
      </w:pPr>
    </w:p>
    <w:p w14:paraId="0C32F858">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附件9 商务条款偏离表</w:t>
      </w:r>
    </w:p>
    <w:tbl>
      <w:tblPr>
        <w:tblStyle w:val="20"/>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149DC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15E0A94">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1588" w:type="pct"/>
            <w:tcBorders>
              <w:top w:val="single" w:color="auto" w:sz="4" w:space="0"/>
              <w:left w:val="single" w:color="auto" w:sz="4" w:space="0"/>
              <w:bottom w:val="single" w:color="auto" w:sz="4" w:space="0"/>
              <w:right w:val="single" w:color="auto" w:sz="4" w:space="0"/>
            </w:tcBorders>
            <w:vAlign w:val="center"/>
          </w:tcPr>
          <w:p w14:paraId="12E54D26">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14:paraId="0FF62F5E">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148ED8C">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是否偏离</w:t>
            </w:r>
          </w:p>
          <w:p w14:paraId="0F5C05FE">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（提供说明）</w:t>
            </w:r>
          </w:p>
        </w:tc>
      </w:tr>
      <w:tr w14:paraId="2EBBB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910" w:type="pct"/>
            <w:tcBorders>
              <w:top w:val="single" w:color="auto" w:sz="4" w:space="0"/>
              <w:left w:val="single" w:color="auto" w:sz="4" w:space="0"/>
              <w:bottom w:val="single" w:color="auto" w:sz="4" w:space="0"/>
              <w:right w:val="single" w:color="auto" w:sz="4" w:space="0"/>
            </w:tcBorders>
            <w:vAlign w:val="center"/>
          </w:tcPr>
          <w:p w14:paraId="52D5D73C">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vAlign w:val="center"/>
          </w:tcPr>
          <w:p w14:paraId="1FB75098">
            <w:pPr>
              <w:pStyle w:val="39"/>
              <w:rPr>
                <w:rFonts w:hint="eastAsia" w:ascii="宋体" w:hAnsi="宋体" w:eastAsia="宋体" w:cs="宋体"/>
                <w:sz w:val="21"/>
                <w:szCs w:val="21"/>
                <w:highlight w:val="none"/>
              </w:rPr>
            </w:pPr>
          </w:p>
        </w:tc>
        <w:tc>
          <w:tcPr>
            <w:tcW w:w="1594" w:type="pct"/>
            <w:tcBorders>
              <w:top w:val="single" w:color="auto" w:sz="4" w:space="0"/>
              <w:left w:val="single" w:color="auto" w:sz="4" w:space="0"/>
              <w:bottom w:val="single" w:color="auto" w:sz="4" w:space="0"/>
              <w:right w:val="single" w:color="auto" w:sz="4" w:space="0"/>
            </w:tcBorders>
            <w:vAlign w:val="center"/>
          </w:tcPr>
          <w:p w14:paraId="2C92C1F9">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5701D324">
            <w:pPr>
              <w:pStyle w:val="39"/>
              <w:rPr>
                <w:rFonts w:hint="eastAsia" w:ascii="宋体" w:hAnsi="宋体" w:eastAsia="宋体" w:cs="宋体"/>
                <w:sz w:val="21"/>
                <w:szCs w:val="21"/>
                <w:highlight w:val="none"/>
              </w:rPr>
            </w:pPr>
          </w:p>
        </w:tc>
      </w:tr>
      <w:tr w14:paraId="5A5C3F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81B5A7E">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tcPr>
          <w:p w14:paraId="046F57A2">
            <w:pPr>
              <w:pStyle w:val="37"/>
              <w:ind w:firstLine="0" w:firstLineChars="0"/>
              <w:jc w:val="center"/>
              <w:rPr>
                <w:rFonts w:hint="eastAsia" w:ascii="宋体" w:hAnsi="宋体" w:eastAsia="宋体" w:cs="宋体"/>
                <w:b/>
                <w:color w:val="auto"/>
                <w:sz w:val="21"/>
                <w:szCs w:val="21"/>
                <w:highlight w:val="none"/>
                <w:lang w:val="en-US" w:eastAsia="zh-CN"/>
              </w:rPr>
            </w:pPr>
          </w:p>
        </w:tc>
        <w:tc>
          <w:tcPr>
            <w:tcW w:w="1594" w:type="pct"/>
            <w:tcBorders>
              <w:top w:val="single" w:color="auto" w:sz="4" w:space="0"/>
              <w:left w:val="single" w:color="auto" w:sz="4" w:space="0"/>
              <w:bottom w:val="single" w:color="auto" w:sz="4" w:space="0"/>
              <w:right w:val="single" w:color="auto" w:sz="4" w:space="0"/>
            </w:tcBorders>
          </w:tcPr>
          <w:p w14:paraId="0B0F7A09">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5F799DBE">
            <w:pPr>
              <w:pStyle w:val="39"/>
              <w:rPr>
                <w:rFonts w:hint="eastAsia" w:ascii="宋体" w:hAnsi="宋体" w:eastAsia="宋体" w:cs="宋体"/>
                <w:sz w:val="21"/>
                <w:szCs w:val="21"/>
                <w:highlight w:val="none"/>
              </w:rPr>
            </w:pPr>
          </w:p>
        </w:tc>
      </w:tr>
      <w:tr w14:paraId="7A860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10" w:type="pct"/>
            <w:tcBorders>
              <w:top w:val="single" w:color="auto" w:sz="4" w:space="0"/>
              <w:left w:val="single" w:color="auto" w:sz="4" w:space="0"/>
              <w:bottom w:val="single" w:color="auto" w:sz="4" w:space="0"/>
              <w:right w:val="single" w:color="auto" w:sz="4" w:space="0"/>
            </w:tcBorders>
            <w:vAlign w:val="center"/>
          </w:tcPr>
          <w:p w14:paraId="041E874F">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vAlign w:val="center"/>
          </w:tcPr>
          <w:p w14:paraId="2B87E030">
            <w:pPr>
              <w:pStyle w:val="39"/>
              <w:rPr>
                <w:rFonts w:hint="eastAsia" w:ascii="宋体" w:hAnsi="宋体" w:eastAsia="宋体" w:cs="宋体"/>
                <w:sz w:val="21"/>
                <w:szCs w:val="21"/>
                <w:highlight w:val="none"/>
              </w:rPr>
            </w:pPr>
          </w:p>
        </w:tc>
        <w:tc>
          <w:tcPr>
            <w:tcW w:w="1594" w:type="pct"/>
            <w:tcBorders>
              <w:top w:val="single" w:color="auto" w:sz="4" w:space="0"/>
              <w:left w:val="single" w:color="auto" w:sz="4" w:space="0"/>
              <w:bottom w:val="single" w:color="auto" w:sz="4" w:space="0"/>
              <w:right w:val="single" w:color="auto" w:sz="4" w:space="0"/>
            </w:tcBorders>
            <w:vAlign w:val="center"/>
          </w:tcPr>
          <w:p w14:paraId="3091B22F">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14:paraId="05D48A97">
            <w:pPr>
              <w:pStyle w:val="39"/>
              <w:rPr>
                <w:rFonts w:hint="eastAsia" w:ascii="宋体" w:hAnsi="宋体" w:eastAsia="宋体" w:cs="宋体"/>
                <w:sz w:val="21"/>
                <w:szCs w:val="21"/>
                <w:highlight w:val="none"/>
              </w:rPr>
            </w:pPr>
          </w:p>
        </w:tc>
      </w:tr>
    </w:tbl>
    <w:p w14:paraId="4E9AA7EF">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                   授权代表签字：            日期：</w:t>
      </w:r>
    </w:p>
    <w:p w14:paraId="498C0C3B">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注：为避免歧义，无偏离也应要提报该表，并注明“无”字。如无该表则即使在其它部分已反映，将也被视为“无偏离”。</w:t>
      </w:r>
    </w:p>
    <w:p w14:paraId="39430250">
      <w:pPr>
        <w:rPr>
          <w:rFonts w:hint="eastAsia" w:ascii="宋体" w:hAnsi="宋体" w:eastAsia="宋体" w:cs="宋体"/>
          <w:sz w:val="21"/>
          <w:szCs w:val="21"/>
          <w:highlight w:val="none"/>
        </w:rPr>
      </w:pPr>
    </w:p>
    <w:p w14:paraId="2A21134B">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14:paraId="47878A3A">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附件10 服务承诺函</w:t>
      </w:r>
    </w:p>
    <w:p w14:paraId="71E1761C">
      <w:pPr>
        <w:spacing w:line="240" w:lineRule="exact"/>
        <w:jc w:val="center"/>
        <w:rPr>
          <w:rFonts w:hint="eastAsia" w:ascii="宋体" w:hAnsi="宋体" w:eastAsia="宋体" w:cs="宋体"/>
          <w:b/>
          <w:bCs/>
          <w:sz w:val="21"/>
          <w:szCs w:val="21"/>
          <w:highlight w:val="none"/>
        </w:rPr>
      </w:pPr>
    </w:p>
    <w:p w14:paraId="0183F34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rPr>
        <w:t xml:space="preserve">               </w:t>
      </w:r>
    </w:p>
    <w:p w14:paraId="5E1D3DBE">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14:paraId="436037F6">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我代表（投标单位名称）对中标合同产品的服务作如下承诺：</w:t>
      </w:r>
    </w:p>
    <w:p w14:paraId="6572B529">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CD80BE2">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36819A83">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414D62F">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1421E94E">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65833A97">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F724B31">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6189C21E">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487863C8">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5F1B49BD">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0B1232C">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4A74C67E">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50C51CAB">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5A6E7D87">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7FF2B9C0">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DC8530B">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4C1D43ED">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14:paraId="01FD4F96">
      <w:pPr>
        <w:spacing w:line="360" w:lineRule="auto"/>
        <w:ind w:firstLine="420" w:firstLineChars="200"/>
        <w:rPr>
          <w:rFonts w:hint="eastAsia" w:ascii="宋体" w:hAnsi="宋体" w:eastAsia="宋体" w:cs="宋体"/>
          <w:sz w:val="21"/>
          <w:szCs w:val="21"/>
          <w:highlight w:val="none"/>
          <w:u w:val="single"/>
        </w:rPr>
      </w:pPr>
    </w:p>
    <w:p w14:paraId="031B72DC">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14:paraId="45EA1853">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14:paraId="3B345A8B">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日  期：       年    月    日</w:t>
      </w:r>
    </w:p>
    <w:p w14:paraId="3BA1A2C8">
      <w:pPr>
        <w:rPr>
          <w:rFonts w:hint="eastAsia" w:ascii="宋体" w:hAnsi="宋体" w:eastAsia="宋体" w:cs="宋体"/>
          <w:b/>
          <w:bCs/>
          <w:color w:val="000000"/>
          <w:sz w:val="21"/>
          <w:szCs w:val="21"/>
          <w:highlight w:val="none"/>
        </w:rPr>
      </w:pPr>
      <w:bookmarkStart w:id="21" w:name="_Toc9193"/>
      <w:bookmarkStart w:id="22" w:name="_Toc639013"/>
      <w:bookmarkStart w:id="23" w:name="_Toc353881022"/>
    </w:p>
    <w:p w14:paraId="60FA2A2B">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bookmarkEnd w:id="21"/>
    <w:bookmarkEnd w:id="22"/>
    <w:bookmarkEnd w:id="23"/>
    <w:p w14:paraId="6B16EBA2">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附件1</w:t>
      </w:r>
      <w:bookmarkStart w:id="24" w:name="_Toc92678174"/>
      <w:bookmarkStart w:id="25" w:name="_Toc212369556"/>
      <w:bookmarkStart w:id="26" w:name="_Toc15535"/>
      <w:bookmarkStart w:id="27" w:name="_Toc639014"/>
      <w:bookmarkStart w:id="28" w:name="_Toc353881023"/>
      <w:r>
        <w:rPr>
          <w:rFonts w:hint="eastAsia" w:ascii="宋体" w:hAnsi="宋体" w:eastAsia="宋体" w:cs="宋体"/>
          <w:sz w:val="21"/>
          <w:szCs w:val="21"/>
          <w:highlight w:val="none"/>
        </w:rPr>
        <w:t>1投标文件封面及封口</w:t>
      </w:r>
      <w:bookmarkEnd w:id="24"/>
      <w:r>
        <w:rPr>
          <w:rFonts w:hint="eastAsia" w:ascii="宋体" w:hAnsi="宋体" w:eastAsia="宋体" w:cs="宋体"/>
          <w:sz w:val="21"/>
          <w:szCs w:val="21"/>
          <w:highlight w:val="none"/>
        </w:rPr>
        <w:t>格式</w:t>
      </w:r>
      <w:bookmarkEnd w:id="25"/>
      <w:bookmarkEnd w:id="26"/>
      <w:bookmarkEnd w:id="27"/>
      <w:bookmarkEnd w:id="28"/>
    </w:p>
    <w:p w14:paraId="50923BCD">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封面格式：</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215D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CA283B0">
            <w:pPr>
              <w:pStyle w:val="39"/>
              <w:rPr>
                <w:rFonts w:hint="eastAsia" w:ascii="宋体" w:hAnsi="宋体" w:eastAsia="宋体" w:cs="宋体"/>
                <w:sz w:val="21"/>
                <w:szCs w:val="21"/>
                <w:highlight w:val="none"/>
              </w:rPr>
            </w:pPr>
          </w:p>
          <w:p w14:paraId="6F488899">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投标文件</w:t>
            </w:r>
          </w:p>
          <w:p w14:paraId="58AF0FCF">
            <w:pPr>
              <w:pStyle w:val="39"/>
              <w:jc w:val="both"/>
              <w:rPr>
                <w:rFonts w:hint="eastAsia" w:ascii="宋体" w:hAnsi="宋体" w:eastAsia="宋体" w:cs="宋体"/>
                <w:sz w:val="21"/>
                <w:szCs w:val="21"/>
                <w:highlight w:val="none"/>
              </w:rPr>
            </w:pPr>
          </w:p>
          <w:p w14:paraId="0FCC907D">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（1正本/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副本）</w:t>
            </w:r>
          </w:p>
          <w:p w14:paraId="3B8A30B8">
            <w:pPr>
              <w:pStyle w:val="39"/>
              <w:rPr>
                <w:rFonts w:hint="eastAsia" w:ascii="宋体" w:hAnsi="宋体" w:eastAsia="宋体" w:cs="宋体"/>
                <w:sz w:val="21"/>
                <w:szCs w:val="21"/>
                <w:highlight w:val="none"/>
              </w:rPr>
            </w:pPr>
          </w:p>
          <w:p w14:paraId="47FA1DB1">
            <w:pPr>
              <w:pStyle w:val="39"/>
              <w:rPr>
                <w:rFonts w:hint="eastAsia" w:ascii="宋体" w:hAnsi="宋体" w:eastAsia="宋体" w:cs="宋体"/>
                <w:sz w:val="21"/>
                <w:szCs w:val="21"/>
                <w:highlight w:val="none"/>
              </w:rPr>
            </w:pPr>
          </w:p>
          <w:p w14:paraId="25A1F4FC">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p w14:paraId="11F6DD00">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投标人名称（公章）：</w:t>
            </w:r>
          </w:p>
          <w:p w14:paraId="58648008">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地址：</w:t>
            </w:r>
          </w:p>
          <w:p w14:paraId="2C26F541">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授权代表电话：</w:t>
            </w:r>
          </w:p>
          <w:p w14:paraId="1B740E98">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传真：</w:t>
            </w:r>
          </w:p>
          <w:p w14:paraId="113BBD51">
            <w:pPr>
              <w:pStyle w:val="39"/>
              <w:rPr>
                <w:rFonts w:hint="eastAsia" w:ascii="宋体" w:hAnsi="宋体" w:eastAsia="宋体" w:cs="宋体"/>
                <w:sz w:val="21"/>
                <w:szCs w:val="21"/>
                <w:highlight w:val="none"/>
              </w:rPr>
            </w:pPr>
          </w:p>
          <w:p w14:paraId="415DB110">
            <w:pPr>
              <w:pStyle w:val="39"/>
              <w:rPr>
                <w:rFonts w:hint="eastAsia" w:ascii="宋体" w:hAnsi="宋体" w:eastAsia="宋体" w:cs="宋体"/>
                <w:sz w:val="21"/>
                <w:szCs w:val="21"/>
                <w:highlight w:val="none"/>
              </w:rPr>
            </w:pPr>
          </w:p>
        </w:tc>
      </w:tr>
    </w:tbl>
    <w:p w14:paraId="1148DF82">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                   授权代表签字：                  日期</w:t>
      </w:r>
    </w:p>
    <w:p w14:paraId="57D5BACF">
      <w:pPr>
        <w:pStyle w:val="40"/>
        <w:rPr>
          <w:rFonts w:hint="eastAsia" w:ascii="宋体" w:hAnsi="宋体" w:eastAsia="宋体" w:cs="宋体"/>
          <w:sz w:val="21"/>
          <w:szCs w:val="21"/>
          <w:highlight w:val="none"/>
        </w:rPr>
        <w:sectPr>
          <w:headerReference r:id="rId13" w:type="default"/>
          <w:footerReference r:id="rId14" w:type="default"/>
          <w:pgSz w:w="11907" w:h="16840"/>
          <w:pgMar w:top="1785" w:right="1418" w:bottom="1418" w:left="1418" w:header="724" w:footer="851" w:gutter="0"/>
          <w:cols w:space="720" w:num="1"/>
          <w:docGrid w:linePitch="290" w:charSpace="-3931"/>
        </w:sectPr>
      </w:pPr>
      <w:bookmarkStart w:id="29" w:name="_Toc465187638"/>
    </w:p>
    <w:p w14:paraId="731288D1">
      <w:pPr>
        <w:pStyle w:val="10"/>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附件12 SRM非生产供应商注册操作手册</w:t>
      </w:r>
    </w:p>
    <w:p w14:paraId="08556093">
      <w:pPr>
        <w:adjustRightInd w:val="0"/>
        <w:snapToGrid w:val="0"/>
        <w:jc w:val="left"/>
        <w:rPr>
          <w:rFonts w:hint="eastAsia" w:ascii="宋体" w:hAnsi="宋体" w:eastAsia="宋体" w:cs="宋体"/>
          <w:sz w:val="21"/>
          <w:szCs w:val="21"/>
          <w:highlight w:val="none"/>
        </w:rPr>
      </w:pPr>
    </w:p>
    <w:p w14:paraId="6B69BFFC">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浏览器中输入地址;</w:t>
      </w:r>
    </w:p>
    <w:p w14:paraId="20A626BE">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\l "/login" \t "dlt"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w:t>
      </w:r>
      <w:r>
        <w:rPr>
          <w:rFonts w:hint="eastAsia" w:ascii="宋体" w:hAnsi="宋体" w:eastAsia="宋体" w:cs="宋体"/>
          <w:sz w:val="21"/>
          <w:szCs w:val="21"/>
          <w:highlight w:val="none"/>
        </w:rPr>
        <w:fldChar w:fldCharType="end"/>
      </w:r>
    </w:p>
    <w:p w14:paraId="17751B91">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1.点击立即注册</w:t>
      </w:r>
    </w:p>
    <w:p w14:paraId="682D7035">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933065"/>
            <wp:effectExtent l="0" t="0" r="12065" b="63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0"/>
                    <a:stretch>
                      <a:fillRect/>
                    </a:stretch>
                  </pic:blipFill>
                  <pic:spPr>
                    <a:xfrm>
                      <a:off x="0" y="0"/>
                      <a:ext cx="5760085" cy="2933377"/>
                    </a:xfrm>
                    <a:prstGeom prst="rect">
                      <a:avLst/>
                    </a:prstGeom>
                  </pic:spPr>
                </pic:pic>
              </a:graphicData>
            </a:graphic>
          </wp:inline>
        </w:drawing>
      </w:r>
    </w:p>
    <w:p w14:paraId="1AB6D92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2.填写手机号码（没有注册过的）</w:t>
      </w:r>
    </w:p>
    <w:p w14:paraId="7DA211D2">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766695"/>
            <wp:effectExtent l="0" t="0" r="12065" b="1460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21"/>
                    <a:stretch>
                      <a:fillRect/>
                    </a:stretch>
                  </pic:blipFill>
                  <pic:spPr>
                    <a:xfrm>
                      <a:off x="0" y="0"/>
                      <a:ext cx="5760085" cy="2766707"/>
                    </a:xfrm>
                    <a:prstGeom prst="rect">
                      <a:avLst/>
                    </a:prstGeom>
                  </pic:spPr>
                </pic:pic>
              </a:graphicData>
            </a:graphic>
          </wp:inline>
        </w:drawing>
      </w:r>
    </w:p>
    <w:p w14:paraId="4E54EF8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3.注册成功登录这个手机号码的账号进入系统，点击供应商注册</w:t>
      </w:r>
    </w:p>
    <w:p w14:paraId="630385E7">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69565"/>
            <wp:effectExtent l="0" t="0" r="12065" b="698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2"/>
                    <a:stretch>
                      <a:fillRect/>
                    </a:stretch>
                  </pic:blipFill>
                  <pic:spPr>
                    <a:xfrm>
                      <a:off x="0" y="0"/>
                      <a:ext cx="5760085" cy="2870054"/>
                    </a:xfrm>
                    <a:prstGeom prst="rect">
                      <a:avLst/>
                    </a:prstGeom>
                  </pic:spPr>
                </pic:pic>
              </a:graphicData>
            </a:graphic>
          </wp:inline>
        </w:drawing>
      </w:r>
    </w:p>
    <w:p w14:paraId="6506914C">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4.点击新增</w:t>
      </w:r>
    </w:p>
    <w:p w14:paraId="03D65FB8">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53055"/>
            <wp:effectExtent l="0" t="0" r="1206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53375"/>
                    </a:xfrm>
                    <a:prstGeom prst="rect">
                      <a:avLst/>
                    </a:prstGeom>
                  </pic:spPr>
                </pic:pic>
              </a:graphicData>
            </a:graphic>
          </wp:inline>
        </w:drawing>
      </w:r>
    </w:p>
    <w:p w14:paraId="3089DF50">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w:t>
      </w:r>
      <w:r>
        <w:rPr>
          <w:rFonts w:hint="eastAsia" w:ascii="宋体" w:hAnsi="宋体" w:eastAsia="宋体" w:cs="宋体"/>
          <w:color w:val="000000"/>
          <w:sz w:val="21"/>
          <w:szCs w:val="21"/>
          <w:highlight w:val="none"/>
        </w:rPr>
        <w:t>.按要求填写所有信息，注意非生产类要填写合作单位，最后提交审批</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具体注册流程详见登录页-供应商用户手册</w:t>
      </w:r>
      <w:r>
        <w:rPr>
          <w:rFonts w:hint="eastAsia" w:ascii="宋体" w:hAnsi="宋体" w:eastAsia="宋体" w:cs="宋体"/>
          <w:color w:val="000000"/>
          <w:sz w:val="21"/>
          <w:szCs w:val="21"/>
          <w:highlight w:val="none"/>
          <w:lang w:eastAsia="zh-CN"/>
        </w:rPr>
        <w:t>）</w:t>
      </w:r>
    </w:p>
    <w:p w14:paraId="0C99E787">
      <w:pPr>
        <w:spacing w:line="360" w:lineRule="auto"/>
        <w:rPr>
          <w:rFonts w:hint="eastAsia" w:ascii="宋体" w:hAnsi="宋体" w:eastAsia="宋体" w:cs="宋体"/>
          <w:sz w:val="21"/>
          <w:szCs w:val="21"/>
          <w:highlight w:val="none"/>
        </w:rPr>
      </w:pPr>
    </w:p>
    <w:p w14:paraId="4163B322">
      <w:pPr>
        <w:rPr>
          <w:rFonts w:hint="eastAsia" w:ascii="宋体" w:hAnsi="宋体" w:eastAsia="宋体" w:cs="宋体"/>
          <w:color w:val="000000"/>
          <w:sz w:val="21"/>
          <w:szCs w:val="21"/>
          <w:highlight w:val="none"/>
        </w:rPr>
      </w:pPr>
    </w:p>
    <w:p w14:paraId="29D844A7">
      <w:pPr>
        <w:spacing w:line="360" w:lineRule="auto"/>
        <w:rPr>
          <w:rFonts w:hint="eastAsia" w:ascii="宋体" w:hAnsi="宋体" w:eastAsia="宋体" w:cs="宋体"/>
          <w:sz w:val="21"/>
          <w:szCs w:val="21"/>
          <w:highlight w:val="none"/>
        </w:rPr>
      </w:pPr>
    </w:p>
    <w:p w14:paraId="75FE697D">
      <w:pPr>
        <w:rPr>
          <w:rFonts w:hint="eastAsia" w:ascii="宋体" w:hAnsi="宋体" w:eastAsia="宋体" w:cs="宋体"/>
          <w:color w:val="000000"/>
          <w:sz w:val="21"/>
          <w:szCs w:val="21"/>
          <w:highlight w:val="none"/>
        </w:rPr>
      </w:pPr>
    </w:p>
    <w:p w14:paraId="60FCB8C6">
      <w:pPr>
        <w:rPr>
          <w:rFonts w:hint="eastAsia" w:ascii="宋体" w:hAnsi="宋体" w:eastAsia="宋体" w:cs="宋体"/>
          <w:sz w:val="21"/>
          <w:szCs w:val="21"/>
          <w:highlight w:val="none"/>
        </w:rPr>
      </w:pPr>
    </w:p>
    <w:p w14:paraId="426DFB97">
      <w:pPr>
        <w:pStyle w:val="10"/>
        <w:rPr>
          <w:rFonts w:hint="eastAsia" w:ascii="宋体" w:hAnsi="宋体" w:eastAsia="宋体" w:cs="宋体"/>
          <w:sz w:val="21"/>
          <w:szCs w:val="21"/>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1"/>
          <w:szCs w:val="21"/>
          <w:highlight w:val="none"/>
        </w:rPr>
        <w:drawing>
          <wp:inline distT="0" distB="0" distL="0" distR="0">
            <wp:extent cx="5760085" cy="2820035"/>
            <wp:effectExtent l="0" t="0" r="12065" b="1841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820042"/>
                    </a:xfrm>
                    <a:prstGeom prst="rect">
                      <a:avLst/>
                    </a:prstGeom>
                  </pic:spPr>
                </pic:pic>
              </a:graphicData>
            </a:graphic>
          </wp:inline>
        </w:drawing>
      </w:r>
      <w:r>
        <w:rPr>
          <w:rFonts w:hint="eastAsia" w:ascii="宋体" w:hAnsi="宋体" w:eastAsia="宋体" w:cs="宋体"/>
          <w:sz w:val="21"/>
          <w:szCs w:val="21"/>
          <w:highlight w:val="none"/>
        </w:rPr>
        <w:drawing>
          <wp:inline distT="0" distB="0" distL="0" distR="0">
            <wp:extent cx="5760085" cy="2809875"/>
            <wp:effectExtent l="0" t="0" r="1206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810122"/>
                    </a:xfrm>
                    <a:prstGeom prst="rect">
                      <a:avLst/>
                    </a:prstGeom>
                  </pic:spPr>
                </pic:pic>
              </a:graphicData>
            </a:graphic>
          </wp:inline>
        </w:drawing>
      </w:r>
    </w:p>
    <w:p w14:paraId="12182A3B">
      <w:pPr>
        <w:pStyle w:val="10"/>
        <w:ind w:firstLine="422" w:firstLineChars="200"/>
        <w:outlineLvl w:val="2"/>
        <w:rPr>
          <w:rFonts w:hint="eastAsia" w:ascii="宋体" w:hAnsi="宋体" w:eastAsia="宋体" w:cs="宋体"/>
          <w:b/>
          <w:color w:val="000000"/>
          <w:sz w:val="21"/>
          <w:szCs w:val="21"/>
          <w:highlight w:val="none"/>
        </w:rPr>
      </w:pPr>
      <w:r>
        <w:rPr>
          <w:rFonts w:hint="eastAsia" w:ascii="宋体" w:hAnsi="宋体" w:eastAsia="宋体" w:cs="宋体"/>
          <w:b/>
          <w:bCs/>
          <w:color w:val="000000"/>
          <w:sz w:val="21"/>
          <w:szCs w:val="21"/>
          <w:highlight w:val="none"/>
        </w:rPr>
        <w:t xml:space="preserve">附件13 </w:t>
      </w:r>
      <w:r>
        <w:rPr>
          <w:rFonts w:hint="eastAsia" w:ascii="宋体" w:hAnsi="宋体" w:eastAsia="宋体" w:cs="宋体"/>
          <w:b/>
          <w:color w:val="000000"/>
          <w:sz w:val="21"/>
          <w:szCs w:val="21"/>
          <w:highlight w:val="none"/>
        </w:rPr>
        <w:t>SRM系统供应商用户手册</w:t>
      </w:r>
    </w:p>
    <w:p w14:paraId="70B1761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系统网址：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\t "dlt" </w:instrText>
      </w:r>
      <w:r>
        <w:rPr>
          <w:rFonts w:hint="eastAsia" w:ascii="宋体" w:hAnsi="宋体" w:eastAsia="宋体" w:cs="宋体"/>
          <w:sz w:val="21"/>
          <w:szCs w:val="21"/>
          <w:highlight w:val="none"/>
        </w:rPr>
        <w:fldChar w:fldCharType="separate"/>
      </w:r>
      <w:r>
        <w:rPr>
          <w:rStyle w:val="26"/>
          <w:rFonts w:hint="eastAsia" w:ascii="宋体" w:hAnsi="宋体" w:eastAsia="宋体" w:cs="宋体"/>
          <w:sz w:val="21"/>
          <w:szCs w:val="21"/>
          <w:highlight w:val="none"/>
        </w:rPr>
        <w:t>http</w:t>
      </w:r>
      <w:r>
        <w:rPr>
          <w:rStyle w:val="26"/>
          <w:rFonts w:hint="eastAsia" w:ascii="宋体" w:hAnsi="宋体" w:eastAsia="宋体" w:cs="宋体"/>
          <w:sz w:val="21"/>
          <w:szCs w:val="21"/>
          <w:highlight w:val="none"/>
          <w:lang w:val="en-US" w:eastAsia="zh-CN"/>
        </w:rPr>
        <w:t>s</w:t>
      </w:r>
      <w:r>
        <w:rPr>
          <w:rStyle w:val="26"/>
          <w:rFonts w:hint="eastAsia" w:ascii="宋体" w:hAnsi="宋体" w:eastAsia="宋体" w:cs="宋体"/>
          <w:sz w:val="21"/>
          <w:szCs w:val="21"/>
          <w:highlight w:val="none"/>
        </w:rPr>
        <w:t>://ecaitong.sinotruk.com:8012/</w:t>
      </w:r>
      <w:r>
        <w:rPr>
          <w:rStyle w:val="26"/>
          <w:rFonts w:hint="eastAsia" w:ascii="宋体" w:hAnsi="宋体" w:eastAsia="宋体" w:cs="宋体"/>
          <w:sz w:val="21"/>
          <w:szCs w:val="21"/>
          <w:highlight w:val="none"/>
        </w:rPr>
        <w:fldChar w:fldCharType="end"/>
      </w:r>
    </w:p>
    <w:p w14:paraId="74AD9A99">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用 户 名：gys+供应商代码</w:t>
      </w:r>
    </w:p>
    <w:p w14:paraId="3A0375DB">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color w:val="000000"/>
          <w:sz w:val="21"/>
          <w:szCs w:val="21"/>
          <w:highlight w:val="none"/>
        </w:rPr>
        <w:t>初始密码：</w:t>
      </w:r>
      <w:r>
        <w:rPr>
          <w:rFonts w:hint="eastAsia" w:ascii="宋体" w:hAnsi="宋体" w:eastAsia="宋体" w:cs="宋体"/>
          <w:b/>
          <w:bCs/>
          <w:sz w:val="21"/>
          <w:szCs w:val="21"/>
          <w:highlight w:val="none"/>
          <w:lang w:val="en-US" w:eastAsia="zh-CN"/>
        </w:rPr>
        <w:t>详见注册成功后短信</w:t>
      </w:r>
    </w:p>
    <w:p w14:paraId="5343FA0C">
      <w:pPr>
        <w:spacing w:line="360" w:lineRule="auto"/>
        <w:rPr>
          <w:rFonts w:hint="eastAsia" w:ascii="宋体" w:hAnsi="宋体" w:eastAsia="宋体" w:cs="宋体"/>
          <w:b/>
          <w:bCs/>
          <w:sz w:val="21"/>
          <w:szCs w:val="21"/>
          <w:highlight w:val="none"/>
        </w:rPr>
      </w:pPr>
    </w:p>
    <w:p w14:paraId="2112AF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1.供应商应标</w:t>
      </w:r>
    </w:p>
    <w:p w14:paraId="3B43852B">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路径：招投标中心-非生产类招投标-供应商应标</w:t>
      </w:r>
    </w:p>
    <w:p w14:paraId="03CB81B9">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点击应标，上传文件之后点击提交。</w:t>
      </w:r>
    </w:p>
    <w:p w14:paraId="59914895">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269490"/>
            <wp:effectExtent l="0" t="0" r="12065" b="165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760085" cy="2269864"/>
                    </a:xfrm>
                    <a:prstGeom prst="rect">
                      <a:avLst/>
                    </a:prstGeom>
                  </pic:spPr>
                </pic:pic>
              </a:graphicData>
            </a:graphic>
          </wp:inline>
        </w:drawing>
      </w:r>
    </w:p>
    <w:p w14:paraId="5E26287F">
      <w:pPr>
        <w:rPr>
          <w:rFonts w:hint="eastAsia" w:ascii="宋体" w:hAnsi="宋体" w:eastAsia="宋体" w:cs="宋体"/>
          <w:sz w:val="21"/>
          <w:szCs w:val="21"/>
          <w:highlight w:val="none"/>
        </w:rPr>
      </w:pPr>
    </w:p>
    <w:p w14:paraId="4CB0569E">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2.供应商投标</w:t>
      </w:r>
    </w:p>
    <w:p w14:paraId="3BA2E13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路径：招投标中心-非生产类招投标-供应商投标</w:t>
      </w:r>
    </w:p>
    <w:p w14:paraId="683D3FB6">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0" distR="0">
            <wp:extent cx="5760085" cy="2125345"/>
            <wp:effectExtent l="0" t="0" r="1206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760085" cy="2125673"/>
                    </a:xfrm>
                    <a:prstGeom prst="rect">
                      <a:avLst/>
                    </a:prstGeom>
                  </pic:spPr>
                </pic:pic>
              </a:graphicData>
            </a:graphic>
          </wp:inline>
        </w:drawing>
      </w:r>
    </w:p>
    <w:p w14:paraId="6E4112A1">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点击投标按钮，进入详情页，输入投标报价并上传相应的附件。</w:t>
      </w:r>
    </w:p>
    <w:p w14:paraId="2D5E0E64">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668905"/>
            <wp:effectExtent l="0" t="0" r="15240" b="1714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669498"/>
                    </a:xfrm>
                    <a:prstGeom prst="rect">
                      <a:avLst/>
                    </a:prstGeom>
                  </pic:spPr>
                </pic:pic>
              </a:graphicData>
            </a:graphic>
          </wp:inline>
        </w:drawing>
      </w:r>
    </w:p>
    <w:p w14:paraId="19633EAB">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3.供应商技术标澄清函</w:t>
      </w:r>
    </w:p>
    <w:p w14:paraId="22654BF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路径：招投标中心-非生产类招投标-供应商技术标澄清函</w:t>
      </w:r>
    </w:p>
    <w:p w14:paraId="1463E93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点击编辑按钮进入系统，上传技术标澄清函。</w:t>
      </w:r>
    </w:p>
    <w:p w14:paraId="157B7EE2">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开标之后所有投标的供应商都可编辑提交，技术标入围之后 都不可编辑</w:t>
      </w:r>
      <w:r>
        <w:rPr>
          <w:rFonts w:hint="eastAsia" w:ascii="宋体" w:hAnsi="宋体" w:eastAsia="宋体" w:cs="宋体"/>
          <w:color w:val="000000"/>
          <w:sz w:val="21"/>
          <w:szCs w:val="21"/>
          <w:highlight w:val="none"/>
        </w:rPr>
        <w:drawing>
          <wp:inline distT="0" distB="0" distL="0" distR="0">
            <wp:extent cx="5490210" cy="1992630"/>
            <wp:effectExtent l="0" t="0" r="15240" b="762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490210" cy="1992743"/>
                    </a:xfrm>
                    <a:prstGeom prst="rect">
                      <a:avLst/>
                    </a:prstGeom>
                  </pic:spPr>
                </pic:pic>
              </a:graphicData>
            </a:graphic>
          </wp:inline>
        </w:drawing>
      </w:r>
    </w:p>
    <w:p w14:paraId="764050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4.供应商报价</w:t>
      </w:r>
    </w:p>
    <w:p w14:paraId="7ACC318A">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路径：招投标中心-非生产类招投标-供应商报价</w:t>
      </w:r>
    </w:p>
    <w:p w14:paraId="73B10F24">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点击报价按钮进入报价详情界面，请在此轮报价起止时间内报价，否则无法报价。</w:t>
      </w:r>
    </w:p>
    <w:p w14:paraId="2144F183">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5.供应商澄清报价</w:t>
      </w:r>
    </w:p>
    <w:p w14:paraId="77414A7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路径：招投标中心-非生产类招投标-供应商澄清报价</w:t>
      </w:r>
    </w:p>
    <w:p w14:paraId="0DBFA3B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招标发起人接收建议价的同时会给供应商发送澄清报价，供应商在此界面进行澄清报价，点击编辑按钮进入澄清报价详细界面，输入价格并上传澄清函，之后点击提交。</w:t>
      </w:r>
    </w:p>
    <w:p w14:paraId="29518178">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544445"/>
            <wp:effectExtent l="0" t="0" r="1524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0"/>
                    <a:stretch>
                      <a:fillRect/>
                    </a:stretch>
                  </pic:blipFill>
                  <pic:spPr>
                    <a:xfrm>
                      <a:off x="0" y="0"/>
                      <a:ext cx="5490210" cy="2544669"/>
                    </a:xfrm>
                    <a:prstGeom prst="rect">
                      <a:avLst/>
                    </a:prstGeom>
                  </pic:spPr>
                </pic:pic>
              </a:graphicData>
            </a:graphic>
          </wp:inline>
        </w:drawing>
      </w:r>
    </w:p>
    <w:p w14:paraId="2B7059DC">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6.供应商查看中标通知</w:t>
      </w:r>
    </w:p>
    <w:p w14:paraId="54176E72">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路径：招投标中心-非生产类招投标-中标项目</w:t>
      </w:r>
    </w:p>
    <w:p w14:paraId="060F7646">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点击查看进入查看中标项目详情</w:t>
      </w:r>
    </w:p>
    <w:p w14:paraId="67B7EE0E">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1956435"/>
            <wp:effectExtent l="0" t="0" r="12065" b="571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1"/>
                    <a:stretch>
                      <a:fillRect/>
                    </a:stretch>
                  </pic:blipFill>
                  <pic:spPr>
                    <a:xfrm>
                      <a:off x="0" y="0"/>
                      <a:ext cx="5760085" cy="1956600"/>
                    </a:xfrm>
                    <a:prstGeom prst="rect">
                      <a:avLst/>
                    </a:prstGeom>
                  </pic:spPr>
                </pic:pic>
              </a:graphicData>
            </a:graphic>
          </wp:inline>
        </w:drawing>
      </w:r>
    </w:p>
    <w:p w14:paraId="68B2E077">
      <w:pPr>
        <w:bidi w:val="0"/>
        <w:rPr>
          <w:rFonts w:hint="eastAsia" w:ascii="宋体" w:hAnsi="宋体" w:eastAsia="宋体" w:cs="宋体"/>
          <w:kern w:val="2"/>
          <w:sz w:val="21"/>
          <w:szCs w:val="21"/>
          <w:highlight w:val="none"/>
          <w:lang w:val="en-US" w:eastAsia="zh-CN" w:bidi="ar-SA"/>
        </w:rPr>
      </w:pPr>
    </w:p>
    <w:p w14:paraId="7CCAA1F5">
      <w:pPr>
        <w:bidi w:val="0"/>
        <w:rPr>
          <w:rFonts w:hint="eastAsia" w:ascii="宋体" w:hAnsi="宋体" w:eastAsia="宋体" w:cs="宋体"/>
          <w:sz w:val="21"/>
          <w:szCs w:val="21"/>
          <w:highlight w:val="none"/>
          <w:lang w:val="en-US" w:eastAsia="zh-CN"/>
        </w:rPr>
      </w:pPr>
    </w:p>
    <w:p w14:paraId="6B4CD29F">
      <w:pPr>
        <w:bidi w:val="0"/>
        <w:rPr>
          <w:rFonts w:hint="eastAsia" w:ascii="宋体" w:hAnsi="宋体" w:eastAsia="宋体" w:cs="宋体"/>
          <w:sz w:val="21"/>
          <w:szCs w:val="21"/>
          <w:highlight w:val="none"/>
          <w:lang w:val="en-US" w:eastAsia="zh-CN"/>
        </w:rPr>
      </w:pPr>
    </w:p>
    <w:p w14:paraId="1852970A">
      <w:pPr>
        <w:bidi w:val="0"/>
        <w:rPr>
          <w:rFonts w:hint="eastAsia" w:ascii="宋体" w:hAnsi="宋体" w:eastAsia="宋体" w:cs="宋体"/>
          <w:sz w:val="21"/>
          <w:szCs w:val="21"/>
          <w:highlight w:val="none"/>
          <w:lang w:val="en-US" w:eastAsia="zh-CN"/>
        </w:rPr>
      </w:pPr>
    </w:p>
    <w:p w14:paraId="60AB1EE5">
      <w:pPr>
        <w:bidi w:val="0"/>
        <w:rPr>
          <w:rFonts w:hint="eastAsia" w:ascii="宋体" w:hAnsi="宋体" w:eastAsia="宋体" w:cs="宋体"/>
          <w:sz w:val="21"/>
          <w:szCs w:val="21"/>
          <w:highlight w:val="none"/>
          <w:lang w:val="en-US" w:eastAsia="zh-CN"/>
        </w:rPr>
      </w:pPr>
    </w:p>
    <w:p w14:paraId="5DBBF688">
      <w:pPr>
        <w:bidi w:val="0"/>
        <w:rPr>
          <w:rFonts w:hint="eastAsia" w:ascii="宋体" w:hAnsi="宋体" w:eastAsia="宋体" w:cs="宋体"/>
          <w:sz w:val="21"/>
          <w:szCs w:val="21"/>
          <w:highlight w:val="none"/>
          <w:lang w:val="en-US" w:eastAsia="zh-CN"/>
        </w:rPr>
      </w:pPr>
    </w:p>
    <w:p w14:paraId="1550E819">
      <w:pPr>
        <w:bidi w:val="0"/>
        <w:rPr>
          <w:rFonts w:hint="eastAsia" w:ascii="宋体" w:hAnsi="宋体" w:eastAsia="宋体" w:cs="宋体"/>
          <w:sz w:val="21"/>
          <w:szCs w:val="21"/>
          <w:highlight w:val="none"/>
          <w:lang w:val="en-US" w:eastAsia="zh-CN"/>
        </w:rPr>
      </w:pPr>
    </w:p>
    <w:p w14:paraId="0BBCF1D8">
      <w:pPr>
        <w:bidi w:val="0"/>
        <w:rPr>
          <w:rFonts w:hint="eastAsia" w:ascii="宋体" w:hAnsi="宋体" w:eastAsia="宋体" w:cs="宋体"/>
          <w:sz w:val="21"/>
          <w:szCs w:val="21"/>
          <w:highlight w:val="none"/>
          <w:lang w:val="en-US" w:eastAsia="zh-CN"/>
        </w:rPr>
      </w:pPr>
    </w:p>
    <w:p w14:paraId="77971380">
      <w:pPr>
        <w:bidi w:val="0"/>
        <w:rPr>
          <w:rFonts w:hint="eastAsia" w:ascii="宋体" w:hAnsi="宋体" w:eastAsia="宋体" w:cs="宋体"/>
          <w:sz w:val="21"/>
          <w:szCs w:val="21"/>
          <w:highlight w:val="none"/>
          <w:lang w:val="en-US" w:eastAsia="zh-CN"/>
        </w:rPr>
      </w:pPr>
    </w:p>
    <w:p w14:paraId="11DAA7FB">
      <w:pPr>
        <w:bidi w:val="0"/>
        <w:rPr>
          <w:rFonts w:hint="eastAsia" w:ascii="宋体" w:hAnsi="宋体" w:eastAsia="宋体" w:cs="宋体"/>
          <w:sz w:val="21"/>
          <w:szCs w:val="21"/>
          <w:highlight w:val="none"/>
          <w:lang w:val="en-US" w:eastAsia="zh-CN"/>
        </w:rPr>
      </w:pPr>
    </w:p>
    <w:p w14:paraId="537C83AF">
      <w:pPr>
        <w:bidi w:val="0"/>
        <w:rPr>
          <w:rFonts w:hint="eastAsia" w:ascii="宋体" w:hAnsi="宋体" w:eastAsia="宋体" w:cs="宋体"/>
          <w:sz w:val="21"/>
          <w:szCs w:val="21"/>
          <w:highlight w:val="none"/>
          <w:lang w:val="en-US" w:eastAsia="zh-CN"/>
        </w:rPr>
      </w:pPr>
    </w:p>
    <w:p w14:paraId="45218067">
      <w:pPr>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附件14 技术标评分标准</w:t>
      </w:r>
    </w:p>
    <w:p w14:paraId="3207FCAE">
      <w:pPr>
        <w:pStyle w:val="3"/>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技术标评审表（</w:t>
      </w:r>
      <w:r>
        <w:rPr>
          <w:rFonts w:hint="eastAsia" w:ascii="宋体" w:hAnsi="宋体" w:eastAsia="宋体" w:cs="宋体"/>
          <w:sz w:val="21"/>
          <w:szCs w:val="21"/>
          <w:highlight w:val="none"/>
          <w:lang w:val="en-US"/>
        </w:rPr>
        <w:t>100</w:t>
      </w:r>
      <w:r>
        <w:rPr>
          <w:rFonts w:hint="eastAsia" w:ascii="宋体" w:hAnsi="宋体" w:eastAsia="宋体" w:cs="宋体"/>
          <w:sz w:val="21"/>
          <w:szCs w:val="21"/>
          <w:highlight w:val="none"/>
        </w:rPr>
        <w:t>分）</w:t>
      </w:r>
    </w:p>
    <w:tbl>
      <w:tblPr>
        <w:tblStyle w:val="20"/>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14:paraId="7C43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9" w:hRule="atLeast"/>
        </w:trPr>
        <w:tc>
          <w:tcPr>
            <w:tcW w:w="811" w:type="dxa"/>
            <w:vAlign w:val="center"/>
          </w:tcPr>
          <w:p w14:paraId="1F02727B">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评价类型</w:t>
            </w:r>
          </w:p>
        </w:tc>
        <w:tc>
          <w:tcPr>
            <w:tcW w:w="660" w:type="dxa"/>
            <w:vAlign w:val="center"/>
          </w:tcPr>
          <w:p w14:paraId="335A058B">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18" w:type="dxa"/>
            <w:vAlign w:val="center"/>
          </w:tcPr>
          <w:p w14:paraId="64A4C36B">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内   容</w:t>
            </w:r>
          </w:p>
        </w:tc>
        <w:tc>
          <w:tcPr>
            <w:tcW w:w="850" w:type="dxa"/>
            <w:vAlign w:val="center"/>
          </w:tcPr>
          <w:p w14:paraId="2AB38C76">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标准分</w:t>
            </w:r>
          </w:p>
        </w:tc>
        <w:tc>
          <w:tcPr>
            <w:tcW w:w="5840" w:type="dxa"/>
            <w:vAlign w:val="center"/>
          </w:tcPr>
          <w:p w14:paraId="24CBEEBE">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tc>
      </w:tr>
      <w:tr w14:paraId="3E35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14:paraId="0A208814">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w:t>
            </w:r>
          </w:p>
          <w:p w14:paraId="50BDF354">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100分</w:t>
            </w:r>
          </w:p>
        </w:tc>
        <w:tc>
          <w:tcPr>
            <w:tcW w:w="660" w:type="dxa"/>
            <w:vAlign w:val="center"/>
          </w:tcPr>
          <w:p w14:paraId="66EA0775">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18" w:type="dxa"/>
            <w:vAlign w:val="center"/>
          </w:tcPr>
          <w:p w14:paraId="77F3EB0E">
            <w:pPr>
              <w:spacing w:line="360" w:lineRule="auto"/>
              <w:jc w:val="center"/>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合同履约能力</w:t>
            </w:r>
          </w:p>
        </w:tc>
        <w:tc>
          <w:tcPr>
            <w:tcW w:w="850" w:type="dxa"/>
            <w:vAlign w:val="center"/>
          </w:tcPr>
          <w:p w14:paraId="391E0066">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40</w:t>
            </w:r>
          </w:p>
        </w:tc>
        <w:tc>
          <w:tcPr>
            <w:tcW w:w="5840" w:type="dxa"/>
            <w:vAlign w:val="center"/>
          </w:tcPr>
          <w:p w14:paraId="07B80BCF">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依据投标人的运营状况、经营业绩、以往合同履约情况（如有）、采购合同、财务状况、生产能力和服务体系评分，满分20分，每缺少一项扣除2分。</w:t>
            </w:r>
          </w:p>
          <w:p w14:paraId="45261A72">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加分项：</w:t>
            </w:r>
          </w:p>
          <w:p w14:paraId="2B9D15AB">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投标方针对本项目的设计方案讲解，智能设备、网络系统部署及设备的稳定性保障承诺</w:t>
            </w:r>
            <w:r>
              <w:rPr>
                <w:rFonts w:hint="eastAsia" w:ascii="宋体" w:hAnsi="宋体" w:eastAsia="宋体" w:cs="宋体"/>
                <w:sz w:val="21"/>
                <w:szCs w:val="21"/>
                <w:highlight w:val="none"/>
              </w:rPr>
              <w:t>，满分</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0分。</w:t>
            </w:r>
          </w:p>
        </w:tc>
      </w:tr>
      <w:tr w14:paraId="35E1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14:paraId="4BA99E0A">
            <w:pPr>
              <w:spacing w:line="360" w:lineRule="auto"/>
              <w:jc w:val="center"/>
              <w:rPr>
                <w:rFonts w:hint="eastAsia" w:ascii="宋体" w:hAnsi="宋体" w:eastAsia="宋体" w:cs="宋体"/>
                <w:sz w:val="21"/>
                <w:szCs w:val="21"/>
                <w:highlight w:val="none"/>
              </w:rPr>
            </w:pPr>
          </w:p>
        </w:tc>
        <w:tc>
          <w:tcPr>
            <w:tcW w:w="660" w:type="dxa"/>
            <w:vAlign w:val="center"/>
          </w:tcPr>
          <w:p w14:paraId="3F527CAF">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18" w:type="dxa"/>
            <w:vAlign w:val="center"/>
          </w:tcPr>
          <w:p w14:paraId="70B9E697">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供货周期</w:t>
            </w:r>
          </w:p>
        </w:tc>
        <w:tc>
          <w:tcPr>
            <w:tcW w:w="850" w:type="dxa"/>
            <w:vAlign w:val="center"/>
          </w:tcPr>
          <w:p w14:paraId="2F20008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5840" w:type="dxa"/>
            <w:vAlign w:val="center"/>
          </w:tcPr>
          <w:p w14:paraId="52F63B5C">
            <w:pPr>
              <w:keepNext w:val="0"/>
              <w:keepLines w:val="0"/>
              <w:widowControl/>
              <w:suppressLineNumbers w:val="0"/>
              <w:ind w:firstLine="420" w:firstLineChars="200"/>
              <w:jc w:val="left"/>
              <w:rPr>
                <w:rFonts w:hint="eastAsia" w:ascii="宋体" w:hAnsi="宋体" w:eastAsia="宋体" w:cs="宋体"/>
                <w:sz w:val="21"/>
                <w:szCs w:val="21"/>
                <w:highlight w:val="none"/>
              </w:rPr>
            </w:pPr>
            <w:r>
              <w:rPr>
                <w:rFonts w:hint="eastAsia" w:ascii="宋体" w:hAnsi="宋体" w:eastAsia="宋体" w:cs="宋体"/>
                <w:b w:val="0"/>
                <w:bCs/>
                <w:color w:val="000000"/>
                <w:sz w:val="21"/>
                <w:szCs w:val="21"/>
                <w:highlight w:val="none"/>
                <w:lang w:val="en-US" w:eastAsia="zh-CN"/>
              </w:rPr>
              <w:t>视供货、完工周期长短在0-20之间进行赋分，30天以内完成者15-20分，40天至10天以内完成者10-15分，50天至13天</w:t>
            </w:r>
            <w:r>
              <w:rPr>
                <w:rFonts w:hint="eastAsia" w:ascii="宋体" w:hAnsi="宋体" w:cs="宋体"/>
                <w:b w:val="0"/>
                <w:bCs/>
                <w:color w:val="000000"/>
                <w:sz w:val="21"/>
                <w:szCs w:val="21"/>
                <w:highlight w:val="none"/>
                <w:lang w:val="en-US" w:eastAsia="zh-CN"/>
              </w:rPr>
              <w:t>完成</w:t>
            </w:r>
            <w:r>
              <w:rPr>
                <w:rFonts w:hint="eastAsia" w:ascii="宋体" w:hAnsi="宋体" w:eastAsia="宋体" w:cs="宋体"/>
                <w:b w:val="0"/>
                <w:bCs/>
                <w:color w:val="000000"/>
                <w:sz w:val="21"/>
                <w:szCs w:val="21"/>
                <w:highlight w:val="none"/>
                <w:lang w:val="en-US" w:eastAsia="zh-CN"/>
              </w:rPr>
              <w:t>者0-10分。</w:t>
            </w:r>
          </w:p>
        </w:tc>
      </w:tr>
      <w:tr w14:paraId="7A7C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14:paraId="00B53402">
            <w:pPr>
              <w:spacing w:line="360" w:lineRule="auto"/>
              <w:jc w:val="center"/>
              <w:rPr>
                <w:rFonts w:hint="eastAsia" w:ascii="宋体" w:hAnsi="宋体" w:eastAsia="宋体" w:cs="宋体"/>
                <w:sz w:val="21"/>
                <w:szCs w:val="21"/>
                <w:highlight w:val="none"/>
              </w:rPr>
            </w:pPr>
          </w:p>
        </w:tc>
        <w:tc>
          <w:tcPr>
            <w:tcW w:w="660" w:type="dxa"/>
            <w:vAlign w:val="center"/>
          </w:tcPr>
          <w:p w14:paraId="758B5279">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18" w:type="dxa"/>
            <w:vAlign w:val="center"/>
          </w:tcPr>
          <w:p w14:paraId="5CF0A315">
            <w:pPr>
              <w:tabs>
                <w:tab w:val="left" w:pos="7854"/>
              </w:tabs>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售后服务</w:t>
            </w:r>
          </w:p>
        </w:tc>
        <w:tc>
          <w:tcPr>
            <w:tcW w:w="850" w:type="dxa"/>
            <w:vAlign w:val="center"/>
          </w:tcPr>
          <w:p w14:paraId="31CF662F">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5840" w:type="dxa"/>
            <w:vAlign w:val="center"/>
          </w:tcPr>
          <w:p w14:paraId="0206CFEE">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针对投标方的运营状况、经营范围、投标方近三年来同类产品销售业绩（具体案例以提供合同复印件为准）、在集团内服务质量情况进行考核。</w:t>
            </w:r>
          </w:p>
        </w:tc>
      </w:tr>
      <w:tr w14:paraId="6BA0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14:paraId="49E1935F">
            <w:pPr>
              <w:spacing w:line="360" w:lineRule="auto"/>
              <w:jc w:val="center"/>
              <w:rPr>
                <w:rFonts w:hint="eastAsia" w:ascii="宋体" w:hAnsi="宋体" w:eastAsia="宋体" w:cs="宋体"/>
                <w:sz w:val="21"/>
                <w:szCs w:val="21"/>
                <w:highlight w:val="none"/>
              </w:rPr>
            </w:pPr>
          </w:p>
        </w:tc>
        <w:tc>
          <w:tcPr>
            <w:tcW w:w="660" w:type="dxa"/>
            <w:vAlign w:val="center"/>
          </w:tcPr>
          <w:p w14:paraId="1AE2D984">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18" w:type="dxa"/>
            <w:vAlign w:val="center"/>
          </w:tcPr>
          <w:p w14:paraId="2B60F06D">
            <w:pPr>
              <w:tabs>
                <w:tab w:val="left" w:pos="7854"/>
              </w:tabs>
              <w:spacing w:line="30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现场答疑</w:t>
            </w:r>
          </w:p>
        </w:tc>
        <w:tc>
          <w:tcPr>
            <w:tcW w:w="850" w:type="dxa"/>
            <w:vAlign w:val="center"/>
          </w:tcPr>
          <w:p w14:paraId="7F08A6AC">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5840" w:type="dxa"/>
            <w:vAlign w:val="center"/>
          </w:tcPr>
          <w:p w14:paraId="717B1828">
            <w:pPr>
              <w:pStyle w:val="15"/>
              <w:ind w:left="0" w:leftChars="0" w:firstLine="0" w:firstLineChars="0"/>
              <w:rPr>
                <w:rFonts w:hint="eastAsia" w:ascii="宋体" w:hAnsi="宋体" w:eastAsia="宋体" w:cs="宋体"/>
                <w:bCs/>
                <w:sz w:val="21"/>
                <w:szCs w:val="21"/>
                <w:highlight w:val="none"/>
              </w:rPr>
            </w:pPr>
            <w:r>
              <w:rPr>
                <w:rFonts w:hint="eastAsia" w:ascii="宋体" w:hAnsi="宋体" w:eastAsia="宋体" w:cs="宋体"/>
                <w:b w:val="0"/>
                <w:bCs/>
                <w:kern w:val="2"/>
                <w:sz w:val="21"/>
                <w:szCs w:val="21"/>
                <w:highlight w:val="none"/>
                <w:lang w:val="en-US" w:eastAsia="zh-CN" w:bidi="ar-SA"/>
              </w:rPr>
              <w:t>投标人代表对</w:t>
            </w:r>
            <w:r>
              <w:rPr>
                <w:rFonts w:hint="eastAsia" w:ascii="宋体" w:hAnsi="宋体" w:cs="宋体"/>
                <w:b w:val="0"/>
                <w:bCs/>
                <w:kern w:val="2"/>
                <w:sz w:val="21"/>
                <w:szCs w:val="21"/>
                <w:highlight w:val="none"/>
                <w:lang w:val="en-US" w:eastAsia="zh-CN" w:bidi="ar-SA"/>
              </w:rPr>
              <w:t>本</w:t>
            </w:r>
            <w:r>
              <w:rPr>
                <w:rFonts w:hint="eastAsia" w:ascii="宋体" w:hAnsi="宋体" w:eastAsia="宋体" w:cs="宋体"/>
                <w:b w:val="0"/>
                <w:bCs/>
                <w:kern w:val="2"/>
                <w:sz w:val="21"/>
                <w:szCs w:val="21"/>
                <w:highlight w:val="none"/>
                <w:lang w:val="en-US" w:eastAsia="zh-CN" w:bidi="ar-SA"/>
              </w:rPr>
              <w:t>项目质量、安全及进度进行讲解，以及就该项目亮点回答评标专家现场提问，打分0-20分。</w:t>
            </w:r>
          </w:p>
        </w:tc>
      </w:tr>
      <w:tr w14:paraId="6725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14:paraId="7B195902">
            <w:pPr>
              <w:spacing w:line="360" w:lineRule="auto"/>
              <w:jc w:val="center"/>
              <w:rPr>
                <w:rFonts w:hint="eastAsia" w:ascii="宋体" w:hAnsi="宋体" w:eastAsia="宋体" w:cs="宋体"/>
                <w:sz w:val="21"/>
                <w:szCs w:val="21"/>
                <w:highlight w:val="none"/>
              </w:rPr>
            </w:pPr>
          </w:p>
        </w:tc>
        <w:tc>
          <w:tcPr>
            <w:tcW w:w="660" w:type="dxa"/>
            <w:vAlign w:val="center"/>
          </w:tcPr>
          <w:p w14:paraId="432F4BC3">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18" w:type="dxa"/>
            <w:vAlign w:val="center"/>
          </w:tcPr>
          <w:p w14:paraId="03DF4B1A">
            <w:pPr>
              <w:tabs>
                <w:tab w:val="left" w:pos="7854"/>
              </w:tabs>
              <w:spacing w:line="300" w:lineRule="exact"/>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响应及偏离</w:t>
            </w:r>
          </w:p>
        </w:tc>
        <w:tc>
          <w:tcPr>
            <w:tcW w:w="850" w:type="dxa"/>
            <w:vAlign w:val="center"/>
          </w:tcPr>
          <w:p w14:paraId="135E6D62">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5840" w:type="dxa"/>
            <w:vAlign w:val="center"/>
          </w:tcPr>
          <w:p w14:paraId="3465759C">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由评标委员会成员独立进行客观、公正的评价，根据各投标单位的核心产品的配置参数、技术偏离情况，在满足我司技术基本要求的前提下偏离，无偏离得满分10分，较大偏离每一项扣2分，一般偏离每一项扣1分，最低0分。</w:t>
            </w:r>
          </w:p>
        </w:tc>
      </w:tr>
    </w:tbl>
    <w:p w14:paraId="02111B67">
      <w:pPr>
        <w:rPr>
          <w:rFonts w:hint="eastAsia" w:ascii="宋体" w:hAnsi="宋体" w:eastAsia="宋体" w:cs="宋体"/>
          <w:sz w:val="21"/>
          <w:szCs w:val="21"/>
          <w:highlight w:val="none"/>
          <w:lang w:val="en-US" w:eastAsia="zh-CN"/>
        </w:rPr>
        <w:sectPr>
          <w:pgSz w:w="11907" w:h="16840"/>
          <w:pgMar w:top="1785" w:right="1418" w:bottom="1418" w:left="1418" w:header="724" w:footer="851" w:gutter="0"/>
          <w:cols w:space="720" w:num="1"/>
          <w:docGrid w:linePitch="290" w:charSpace="-3931"/>
        </w:sectPr>
      </w:pPr>
    </w:p>
    <w:bookmarkEnd w:id="29"/>
    <w:p w14:paraId="3DA48D25">
      <w:pPr>
        <w:pStyle w:val="17"/>
        <w:rPr>
          <w:rFonts w:hint="eastAsia" w:ascii="宋体" w:hAnsi="宋体" w:eastAsia="宋体" w:cs="宋体"/>
          <w:sz w:val="40"/>
          <w:szCs w:val="40"/>
          <w:highlight w:val="none"/>
        </w:rPr>
      </w:pPr>
      <w:r>
        <w:rPr>
          <w:rFonts w:hint="eastAsia" w:ascii="宋体" w:hAnsi="宋体" w:eastAsia="宋体" w:cs="宋体"/>
          <w:sz w:val="40"/>
          <w:szCs w:val="40"/>
          <w:highlight w:val="none"/>
        </w:rPr>
        <w:t>第三章  施工内容及技术要求</w:t>
      </w:r>
      <w:bookmarkEnd w:id="12"/>
      <w:bookmarkEnd w:id="13"/>
    </w:p>
    <w:p w14:paraId="2A31F862">
      <w:pPr>
        <w:numPr>
          <w:ilvl w:val="0"/>
          <w:numId w:val="0"/>
        </w:numPr>
        <w:ind w:firstLine="422" w:firstLineChars="200"/>
        <w:rPr>
          <w:rFonts w:hint="eastAsia" w:ascii="黑体" w:hAnsi="Times New Roman" w:eastAsia="黑体" w:cstheme="minorBidi"/>
          <w:sz w:val="32"/>
          <w:szCs w:val="32"/>
        </w:rPr>
      </w:pPr>
      <w:r>
        <w:rPr>
          <w:rFonts w:hint="eastAsia" w:ascii="宋体" w:hAnsi="宋体" w:eastAsia="宋体" w:cs="宋体"/>
          <w:b/>
          <w:bCs/>
          <w:sz w:val="21"/>
          <w:szCs w:val="21"/>
          <w:highlight w:val="none"/>
          <w:lang w:val="en-US" w:eastAsia="zh-CN"/>
        </w:rPr>
        <w:t>一、</w:t>
      </w:r>
      <w:r>
        <w:rPr>
          <w:rFonts w:hint="eastAsia" w:ascii="宋体" w:hAnsi="宋体" w:cs="宋体"/>
          <w:b/>
          <w:bCs w:val="0"/>
          <w:color w:val="auto"/>
          <w:sz w:val="21"/>
          <w:szCs w:val="21"/>
          <w:highlight w:val="none"/>
          <w:lang w:val="en-US" w:eastAsia="zh-CN"/>
        </w:rPr>
        <w:t>改造</w:t>
      </w:r>
      <w:r>
        <w:rPr>
          <w:rFonts w:hint="eastAsia" w:ascii="宋体" w:hAnsi="宋体" w:eastAsia="宋体" w:cs="宋体"/>
          <w:b/>
          <w:bCs w:val="0"/>
          <w:color w:val="auto"/>
          <w:sz w:val="21"/>
          <w:szCs w:val="21"/>
          <w:highlight w:val="none"/>
        </w:rPr>
        <w:t>方案</w:t>
      </w:r>
      <w:bookmarkStart w:id="30" w:name="_Toc24049"/>
      <w:bookmarkStart w:id="31" w:name="_Toc26699"/>
      <w:bookmarkStart w:id="32" w:name="_Toc490750820"/>
      <w:bookmarkStart w:id="33" w:name="_Toc385411768"/>
      <w:bookmarkStart w:id="34" w:name="_Toc10152"/>
      <w:bookmarkStart w:id="35" w:name="_Toc31558"/>
      <w:r>
        <w:rPr>
          <w:rFonts w:hint="eastAsia" w:ascii="宋体" w:hAnsi="宋体" w:cs="宋体"/>
          <w:b/>
          <w:bCs w:val="0"/>
          <w:color w:val="auto"/>
          <w:sz w:val="21"/>
          <w:szCs w:val="21"/>
          <w:highlight w:val="none"/>
          <w:lang w:val="en-US" w:eastAsia="zh-CN"/>
        </w:rPr>
        <w:t>及</w:t>
      </w:r>
      <w:r>
        <w:rPr>
          <w:rFonts w:hint="eastAsia" w:ascii="宋体" w:hAnsi="宋体" w:eastAsia="宋体" w:cs="宋体"/>
          <w:b/>
          <w:bCs w:val="0"/>
          <w:color w:val="auto"/>
          <w:sz w:val="21"/>
          <w:szCs w:val="21"/>
          <w:highlight w:val="none"/>
        </w:rPr>
        <w:t>技术要求</w:t>
      </w:r>
      <w:bookmarkEnd w:id="30"/>
      <w:bookmarkEnd w:id="31"/>
      <w:bookmarkEnd w:id="32"/>
      <w:bookmarkEnd w:id="33"/>
      <w:bookmarkEnd w:id="34"/>
      <w:bookmarkEnd w:id="35"/>
    </w:p>
    <w:p w14:paraId="45E882F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1.1改造方案</w:t>
      </w:r>
    </w:p>
    <w:p w14:paraId="0044FDC8">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1.1.1科技大厦地下车库</w:t>
      </w:r>
      <w:r>
        <w:rPr>
          <w:rFonts w:hint="eastAsia" w:asciiTheme="minorEastAsia" w:hAnsiTheme="minorEastAsia" w:eastAsiaTheme="minorEastAsia" w:cstheme="minorEastAsia"/>
          <w:b/>
          <w:bCs/>
          <w:sz w:val="21"/>
          <w:szCs w:val="21"/>
        </w:rPr>
        <w:t>改造方案</w:t>
      </w:r>
      <w:r>
        <w:rPr>
          <w:rFonts w:hint="eastAsia" w:asciiTheme="minorEastAsia" w:hAnsiTheme="minorEastAsia" w:eastAsiaTheme="minorEastAsia" w:cstheme="minorEastAsia"/>
          <w:sz w:val="21"/>
          <w:szCs w:val="21"/>
        </w:rPr>
        <w:t>：更换智能物联网灯具，增加智慧平台，将车库照明分为两部分，车位照明和车道照明。</w:t>
      </w:r>
    </w:p>
    <w:p w14:paraId="32F771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车位照明：旧灯更换为物联网感应灯管，感应到人、车入库时灯具全亮状态，人、车驶离后5s（可调整）保持灭灯状态。</w:t>
      </w:r>
    </w:p>
    <w:p w14:paraId="4C1A01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车道照明：旧灯更换为物联网感应灯管，车行驶在车道上，保持车头前部2-8支灯管亮灯（灯管数量可选择），车道没有行驶车辆时，灯管低亮或者熄灭。车库出入口处无车时灯管保持低亮度状态。</w:t>
      </w:r>
    </w:p>
    <w:p w14:paraId="0058E8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val="en-US" w:eastAsia="zh-CN"/>
        </w:rPr>
        <w:t>车</w:t>
      </w:r>
      <w:r>
        <w:rPr>
          <w:rFonts w:hint="eastAsia" w:asciiTheme="minorEastAsia" w:hAnsiTheme="minorEastAsia" w:eastAsiaTheme="minorEastAsia" w:cstheme="minorEastAsia"/>
          <w:sz w:val="21"/>
          <w:szCs w:val="21"/>
        </w:rPr>
        <w:t>库照明灯具</w:t>
      </w:r>
      <w:r>
        <w:rPr>
          <w:rFonts w:hint="eastAsia" w:asciiTheme="minorEastAsia" w:hAnsiTheme="minorEastAsia" w:eastAsiaTheme="minorEastAsia" w:cstheme="minorEastAsia"/>
          <w:sz w:val="21"/>
          <w:szCs w:val="21"/>
          <w:lang w:val="en-US" w:eastAsia="zh-CN"/>
        </w:rPr>
        <w:t>现全部安装在顶部</w:t>
      </w:r>
      <w:r>
        <w:rPr>
          <w:rFonts w:hint="eastAsia" w:asciiTheme="minorEastAsia" w:hAnsiTheme="minorEastAsia" w:eastAsiaTheme="minorEastAsia" w:cstheme="minorEastAsia"/>
          <w:sz w:val="21"/>
          <w:szCs w:val="21"/>
        </w:rPr>
        <w:t>受各种管道遮挡影响</w:t>
      </w:r>
      <w:r>
        <w:rPr>
          <w:rFonts w:hint="eastAsia" w:asciiTheme="minorEastAsia" w:hAnsiTheme="minorEastAsia" w:eastAsiaTheme="minorEastAsia" w:cstheme="minorEastAsia"/>
          <w:sz w:val="21"/>
          <w:szCs w:val="21"/>
          <w:lang w:val="en-US" w:eastAsia="zh-CN"/>
        </w:rPr>
        <w:t>照度，本次改造需要</w:t>
      </w:r>
      <w:r>
        <w:rPr>
          <w:rFonts w:hint="eastAsia" w:asciiTheme="minorEastAsia" w:hAnsiTheme="minorEastAsia" w:eastAsiaTheme="minorEastAsia" w:cstheme="minorEastAsia"/>
          <w:b/>
          <w:bCs/>
          <w:sz w:val="21"/>
          <w:szCs w:val="21"/>
          <w:lang w:val="en-US" w:eastAsia="zh-CN"/>
        </w:rPr>
        <w:t>采用吊链卡扣将灯具移至管道下方无遮挡处重新定位</w:t>
      </w:r>
      <w:r>
        <w:rPr>
          <w:rFonts w:hint="eastAsia" w:asciiTheme="minorEastAsia" w:hAnsiTheme="minorEastAsia" w:eastAsiaTheme="minorEastAsia" w:cstheme="minorEastAsia"/>
          <w:b/>
          <w:bCs/>
          <w:sz w:val="21"/>
          <w:szCs w:val="21"/>
        </w:rPr>
        <w:t>安装</w:t>
      </w:r>
      <w:r>
        <w:rPr>
          <w:rFonts w:hint="eastAsia" w:asciiTheme="minorEastAsia" w:hAnsiTheme="minorEastAsia" w:eastAsiaTheme="minorEastAsia" w:cstheme="minorEastAsia"/>
          <w:b/>
          <w:bCs/>
          <w:sz w:val="21"/>
          <w:szCs w:val="21"/>
          <w:lang w:eastAsia="zh-CN"/>
        </w:rPr>
        <w:t>。</w:t>
      </w:r>
    </w:p>
    <w:p w14:paraId="2D3DA4E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1.1.2科技大厦及营销中心办公区域照明</w:t>
      </w:r>
      <w:r>
        <w:rPr>
          <w:rFonts w:hint="eastAsia" w:asciiTheme="minorEastAsia" w:hAnsiTheme="minorEastAsia" w:eastAsiaTheme="minorEastAsia" w:cstheme="minorEastAsia"/>
          <w:b/>
          <w:bCs/>
          <w:sz w:val="21"/>
          <w:szCs w:val="21"/>
        </w:rPr>
        <w:t>改造方案</w:t>
      </w:r>
      <w:r>
        <w:rPr>
          <w:rFonts w:hint="eastAsia" w:asciiTheme="minorEastAsia" w:hAnsiTheme="minorEastAsia" w:eastAsiaTheme="minorEastAsia" w:cstheme="minorEastAsia"/>
          <w:sz w:val="21"/>
          <w:szCs w:val="21"/>
        </w:rPr>
        <w:t>：更换智能物联网灯具，增加智慧平台，将照明分为两部分，公共照明和办公照明。</w:t>
      </w:r>
    </w:p>
    <w:p w14:paraId="1FA95B3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共照明：走廊、卫生间、电梯厅、消防通道的旧灯更换为物联网感应灯具，根据不同的使用情况，设计不同的照明场景（感应模式、常开模式、午休模式、夜间模式、手动模式等）人来灯亮，人走灯灭，夜间每层设置3-5盏灯始终保持10%亮度，人来灯全亮（半亮）人走保持10%亮度。</w:t>
      </w:r>
    </w:p>
    <w:p w14:paraId="36E013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办公照明：旧灯更换为物联网感应灯具，</w:t>
      </w:r>
      <w:r>
        <w:rPr>
          <w:rFonts w:hint="eastAsia" w:asciiTheme="minorEastAsia" w:hAnsiTheme="minorEastAsia" w:eastAsiaTheme="minorEastAsia" w:cstheme="minorEastAsia"/>
          <w:b/>
          <w:bCs/>
          <w:sz w:val="21"/>
          <w:szCs w:val="21"/>
          <w:lang w:val="en-US" w:eastAsia="zh-CN"/>
        </w:rPr>
        <w:t>支持照度检测随着室内照度调节照明亮度</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根据不同的使用情况，设计不同的照明场景</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感应模式、常开模式、午休模式、夜间模式、手动模式等</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p>
    <w:p w14:paraId="0A44E086">
      <w:pPr>
        <w:ind w:firstLine="420" w:firstLineChars="200"/>
        <w:rPr>
          <w:rFonts w:ascii="宋体" w:hAnsi="宋体" w:cs="宋体"/>
          <w:b/>
          <w:iCs/>
          <w:szCs w:val="21"/>
          <w:highlight w:val="none"/>
        </w:rPr>
      </w:pPr>
      <w:r>
        <w:rPr>
          <w:rFonts w:hint="eastAsia" w:ascii="宋体" w:hAnsi="宋体" w:cs="宋体"/>
          <w:bCs/>
          <w:iCs/>
          <w:szCs w:val="21"/>
          <w:highlight w:val="none"/>
        </w:rPr>
        <w:t>智慧照明智能控制系统可实现以下功能：</w:t>
      </w:r>
    </w:p>
    <w:tbl>
      <w:tblPr>
        <w:tblStyle w:val="20"/>
        <w:tblW w:w="4997" w:type="pct"/>
        <w:tblInd w:w="0" w:type="dxa"/>
        <w:tblLayout w:type="autofit"/>
        <w:tblCellMar>
          <w:top w:w="0" w:type="dxa"/>
          <w:left w:w="108" w:type="dxa"/>
          <w:bottom w:w="0" w:type="dxa"/>
          <w:right w:w="108" w:type="dxa"/>
        </w:tblCellMar>
      </w:tblPr>
      <w:tblGrid>
        <w:gridCol w:w="846"/>
        <w:gridCol w:w="1586"/>
        <w:gridCol w:w="6848"/>
      </w:tblGrid>
      <w:tr w14:paraId="55D8BB71">
        <w:tblPrEx>
          <w:tblCellMar>
            <w:top w:w="0" w:type="dxa"/>
            <w:left w:w="108" w:type="dxa"/>
            <w:bottom w:w="0" w:type="dxa"/>
            <w:right w:w="108" w:type="dxa"/>
          </w:tblCellMar>
        </w:tblPrEx>
        <w:trPr>
          <w:trHeight w:val="29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0F661EF1">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序号</w:t>
            </w:r>
          </w:p>
        </w:tc>
        <w:tc>
          <w:tcPr>
            <w:tcW w:w="854" w:type="pct"/>
            <w:tcBorders>
              <w:top w:val="single" w:color="000000" w:sz="4" w:space="0"/>
              <w:left w:val="single" w:color="000000" w:sz="4" w:space="0"/>
              <w:bottom w:val="single" w:color="000000" w:sz="4" w:space="0"/>
              <w:right w:val="single" w:color="000000" w:sz="4" w:space="0"/>
            </w:tcBorders>
            <w:vAlign w:val="center"/>
          </w:tcPr>
          <w:p w14:paraId="5BBDC81C">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功能模块</w:t>
            </w:r>
          </w:p>
        </w:tc>
        <w:tc>
          <w:tcPr>
            <w:tcW w:w="3688" w:type="pct"/>
            <w:tcBorders>
              <w:top w:val="single" w:color="000000" w:sz="4" w:space="0"/>
              <w:left w:val="single" w:color="000000" w:sz="4" w:space="0"/>
              <w:bottom w:val="single" w:color="000000" w:sz="4" w:space="0"/>
              <w:right w:val="single" w:color="000000" w:sz="4" w:space="0"/>
            </w:tcBorders>
            <w:vAlign w:val="center"/>
          </w:tcPr>
          <w:p w14:paraId="1AB2BBBB">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详细内容</w:t>
            </w:r>
          </w:p>
        </w:tc>
      </w:tr>
      <w:tr w14:paraId="0F309B05">
        <w:tblPrEx>
          <w:tblCellMar>
            <w:top w:w="0" w:type="dxa"/>
            <w:left w:w="108" w:type="dxa"/>
            <w:bottom w:w="0" w:type="dxa"/>
            <w:right w:w="108" w:type="dxa"/>
          </w:tblCellMar>
        </w:tblPrEx>
        <w:trPr>
          <w:trHeight w:val="58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769BB4F7">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1</w:t>
            </w:r>
          </w:p>
        </w:tc>
        <w:tc>
          <w:tcPr>
            <w:tcW w:w="854" w:type="pct"/>
            <w:tcBorders>
              <w:top w:val="single" w:color="000000" w:sz="4" w:space="0"/>
              <w:left w:val="single" w:color="000000" w:sz="4" w:space="0"/>
              <w:bottom w:val="single" w:color="000000" w:sz="4" w:space="0"/>
              <w:right w:val="single" w:color="000000" w:sz="4" w:space="0"/>
            </w:tcBorders>
            <w:vAlign w:val="center"/>
          </w:tcPr>
          <w:p w14:paraId="4E7A5C8B">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可视化大屏</w:t>
            </w:r>
          </w:p>
        </w:tc>
        <w:tc>
          <w:tcPr>
            <w:tcW w:w="3688" w:type="pct"/>
            <w:tcBorders>
              <w:top w:val="single" w:color="000000" w:sz="4" w:space="0"/>
              <w:left w:val="single" w:color="000000" w:sz="4" w:space="0"/>
              <w:bottom w:val="single" w:color="000000" w:sz="4" w:space="0"/>
              <w:right w:val="single" w:color="000000" w:sz="4" w:space="0"/>
            </w:tcBorders>
            <w:vAlign w:val="center"/>
          </w:tcPr>
          <w:p w14:paraId="473D213A">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提供网关监测、灯具监测、能耗监测、策略展示、告警提醒、人车流量监测等数据可视化模块，提供地下停车场灯具布点图，并实时展示灯具状态；</w:t>
            </w:r>
          </w:p>
        </w:tc>
      </w:tr>
      <w:tr w14:paraId="71788A03">
        <w:tblPrEx>
          <w:tblCellMar>
            <w:top w:w="0" w:type="dxa"/>
            <w:left w:w="108" w:type="dxa"/>
            <w:bottom w:w="0" w:type="dxa"/>
            <w:right w:w="108" w:type="dxa"/>
          </w:tblCellMar>
        </w:tblPrEx>
        <w:trPr>
          <w:trHeight w:val="29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56B7C656">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2</w:t>
            </w:r>
          </w:p>
        </w:tc>
        <w:tc>
          <w:tcPr>
            <w:tcW w:w="854" w:type="pct"/>
            <w:tcBorders>
              <w:top w:val="single" w:color="000000" w:sz="4" w:space="0"/>
              <w:left w:val="single" w:color="000000" w:sz="4" w:space="0"/>
              <w:bottom w:val="single" w:color="000000" w:sz="4" w:space="0"/>
              <w:right w:val="single" w:color="000000" w:sz="4" w:space="0"/>
            </w:tcBorders>
            <w:vAlign w:val="center"/>
          </w:tcPr>
          <w:p w14:paraId="6340C1EF">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区域管理</w:t>
            </w:r>
          </w:p>
        </w:tc>
        <w:tc>
          <w:tcPr>
            <w:tcW w:w="3688" w:type="pct"/>
            <w:tcBorders>
              <w:top w:val="single" w:color="000000" w:sz="4" w:space="0"/>
              <w:left w:val="single" w:color="000000" w:sz="4" w:space="0"/>
              <w:bottom w:val="single" w:color="000000" w:sz="4" w:space="0"/>
              <w:right w:val="single" w:color="000000" w:sz="4" w:space="0"/>
            </w:tcBorders>
            <w:vAlign w:val="center"/>
          </w:tcPr>
          <w:p w14:paraId="465CCEDB">
            <w:pPr>
              <w:widowControl/>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支持对停车场进行分区管理，支持上传区域平面图并对灯具位置进行标注</w:t>
            </w:r>
          </w:p>
        </w:tc>
      </w:tr>
      <w:tr w14:paraId="180D264D">
        <w:tblPrEx>
          <w:tblCellMar>
            <w:top w:w="0" w:type="dxa"/>
            <w:left w:w="108" w:type="dxa"/>
            <w:bottom w:w="0" w:type="dxa"/>
            <w:right w:w="108" w:type="dxa"/>
          </w:tblCellMar>
        </w:tblPrEx>
        <w:trPr>
          <w:trHeight w:val="29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385388DB">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3</w:t>
            </w:r>
          </w:p>
        </w:tc>
        <w:tc>
          <w:tcPr>
            <w:tcW w:w="854" w:type="pct"/>
            <w:tcBorders>
              <w:top w:val="single" w:color="000000" w:sz="4" w:space="0"/>
              <w:left w:val="single" w:color="000000" w:sz="4" w:space="0"/>
              <w:bottom w:val="single" w:color="000000" w:sz="4" w:space="0"/>
              <w:right w:val="single" w:color="000000" w:sz="4" w:space="0"/>
            </w:tcBorders>
            <w:vAlign w:val="center"/>
          </w:tcPr>
          <w:p w14:paraId="77B60575">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网关管理</w:t>
            </w:r>
          </w:p>
        </w:tc>
        <w:tc>
          <w:tcPr>
            <w:tcW w:w="3688" w:type="pct"/>
            <w:tcBorders>
              <w:top w:val="single" w:color="000000" w:sz="4" w:space="0"/>
              <w:left w:val="single" w:color="000000" w:sz="4" w:space="0"/>
              <w:bottom w:val="single" w:color="000000" w:sz="4" w:space="0"/>
              <w:right w:val="single" w:color="000000" w:sz="4" w:space="0"/>
            </w:tcBorders>
            <w:vAlign w:val="center"/>
          </w:tcPr>
          <w:p w14:paraId="1CFC59C9">
            <w:pPr>
              <w:widowControl/>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支持对智能网关进行信息查询及远程控制</w:t>
            </w:r>
          </w:p>
        </w:tc>
      </w:tr>
      <w:tr w14:paraId="3B48307A">
        <w:tblPrEx>
          <w:tblCellMar>
            <w:top w:w="0" w:type="dxa"/>
            <w:left w:w="108" w:type="dxa"/>
            <w:bottom w:w="0" w:type="dxa"/>
            <w:right w:w="108" w:type="dxa"/>
          </w:tblCellMar>
        </w:tblPrEx>
        <w:trPr>
          <w:trHeight w:val="29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4B8306E1">
            <w:pPr>
              <w:widowControl/>
              <w:jc w:val="center"/>
              <w:textAlignment w:val="center"/>
              <w:rPr>
                <w:rFonts w:ascii="宋体" w:hAnsi="宋体" w:cs="宋体"/>
                <w:color w:val="000000"/>
                <w:szCs w:val="21"/>
                <w:highlight w:val="none"/>
              </w:rPr>
            </w:pPr>
            <w:r>
              <w:rPr>
                <w:rFonts w:hint="eastAsia" w:ascii="宋体" w:hAnsi="宋体" w:cs="宋体"/>
                <w:color w:val="000000"/>
                <w:szCs w:val="21"/>
                <w:highlight w:val="none"/>
              </w:rPr>
              <w:t>4</w:t>
            </w:r>
          </w:p>
        </w:tc>
        <w:tc>
          <w:tcPr>
            <w:tcW w:w="854" w:type="pct"/>
            <w:tcBorders>
              <w:top w:val="single" w:color="000000" w:sz="4" w:space="0"/>
              <w:left w:val="single" w:color="000000" w:sz="4" w:space="0"/>
              <w:bottom w:val="single" w:color="000000" w:sz="4" w:space="0"/>
              <w:right w:val="single" w:color="000000" w:sz="4" w:space="0"/>
            </w:tcBorders>
            <w:vAlign w:val="center"/>
          </w:tcPr>
          <w:p w14:paraId="7CABB456">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告警记录</w:t>
            </w:r>
          </w:p>
        </w:tc>
        <w:tc>
          <w:tcPr>
            <w:tcW w:w="3688" w:type="pct"/>
            <w:tcBorders>
              <w:top w:val="single" w:color="000000" w:sz="4" w:space="0"/>
              <w:left w:val="single" w:color="000000" w:sz="4" w:space="0"/>
              <w:bottom w:val="single" w:color="000000" w:sz="4" w:space="0"/>
              <w:right w:val="single" w:color="000000" w:sz="4" w:space="0"/>
            </w:tcBorders>
            <w:vAlign w:val="center"/>
          </w:tcPr>
          <w:p w14:paraId="623235D6">
            <w:pPr>
              <w:widowControl/>
              <w:jc w:val="left"/>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支持查看灯具异常告警信息</w:t>
            </w:r>
          </w:p>
        </w:tc>
      </w:tr>
      <w:tr w14:paraId="3DFC6688">
        <w:tblPrEx>
          <w:tblCellMar>
            <w:top w:w="0" w:type="dxa"/>
            <w:left w:w="108" w:type="dxa"/>
            <w:bottom w:w="0" w:type="dxa"/>
            <w:right w:w="108" w:type="dxa"/>
          </w:tblCellMar>
        </w:tblPrEx>
        <w:trPr>
          <w:trHeight w:val="580" w:hRule="atLeast"/>
        </w:trPr>
        <w:tc>
          <w:tcPr>
            <w:tcW w:w="456" w:type="pct"/>
            <w:tcBorders>
              <w:top w:val="single" w:color="000000" w:sz="4" w:space="0"/>
              <w:left w:val="single" w:color="000000" w:sz="4" w:space="0"/>
              <w:bottom w:val="single" w:color="000000" w:sz="4" w:space="0"/>
              <w:right w:val="single" w:color="000000" w:sz="4" w:space="0"/>
            </w:tcBorders>
            <w:vAlign w:val="center"/>
          </w:tcPr>
          <w:p w14:paraId="5B789B13">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5</w:t>
            </w:r>
          </w:p>
        </w:tc>
        <w:tc>
          <w:tcPr>
            <w:tcW w:w="854" w:type="pct"/>
            <w:tcBorders>
              <w:top w:val="single" w:color="000000" w:sz="4" w:space="0"/>
              <w:left w:val="single" w:color="000000" w:sz="4" w:space="0"/>
              <w:bottom w:val="single" w:color="000000" w:sz="4" w:space="0"/>
              <w:right w:val="single" w:color="000000" w:sz="4" w:space="0"/>
            </w:tcBorders>
            <w:vAlign w:val="center"/>
          </w:tcPr>
          <w:p w14:paraId="3CE2112D">
            <w:pPr>
              <w:widowControl/>
              <w:jc w:val="center"/>
              <w:textAlignment w:val="center"/>
              <w:rPr>
                <w:rFonts w:ascii="宋体" w:hAnsi="宋体" w:cs="宋体"/>
                <w:color w:val="000000"/>
                <w:szCs w:val="21"/>
                <w:highlight w:val="none"/>
              </w:rPr>
            </w:pPr>
            <w:r>
              <w:rPr>
                <w:rFonts w:hint="eastAsia" w:ascii="宋体" w:hAnsi="宋体" w:cs="宋体"/>
                <w:color w:val="000000"/>
                <w:kern w:val="0"/>
                <w:szCs w:val="21"/>
                <w:highlight w:val="none"/>
                <w:lang w:bidi="ar"/>
              </w:rPr>
              <w:t>个人中心</w:t>
            </w:r>
          </w:p>
        </w:tc>
        <w:tc>
          <w:tcPr>
            <w:tcW w:w="3688" w:type="pct"/>
            <w:tcBorders>
              <w:top w:val="single" w:color="000000" w:sz="4" w:space="0"/>
              <w:left w:val="single" w:color="000000" w:sz="4" w:space="0"/>
              <w:bottom w:val="single" w:color="000000" w:sz="4" w:space="0"/>
              <w:right w:val="single" w:color="000000" w:sz="4" w:space="0"/>
            </w:tcBorders>
            <w:vAlign w:val="center"/>
          </w:tcPr>
          <w:p w14:paraId="47B9CD0E">
            <w:pPr>
              <w:widowControl/>
              <w:jc w:val="left"/>
              <w:textAlignment w:val="center"/>
              <w:rPr>
                <w:rFonts w:ascii="宋体" w:hAnsi="宋体" w:cs="宋体"/>
                <w:color w:val="000000"/>
                <w:szCs w:val="21"/>
                <w:highlight w:val="none"/>
              </w:rPr>
            </w:pPr>
            <w:r>
              <w:rPr>
                <w:rFonts w:hint="eastAsia" w:ascii="宋体" w:hAnsi="宋体" w:cs="宋体"/>
                <w:bCs/>
                <w:iCs/>
                <w:szCs w:val="21"/>
                <w:highlight w:val="none"/>
              </w:rPr>
              <w:t>支持新增二级子账号，并对不同子账号分配不同功能权限和数据权限；</w:t>
            </w:r>
            <w:r>
              <w:rPr>
                <w:rFonts w:hint="eastAsia" w:ascii="宋体" w:hAnsi="宋体" w:cs="宋体"/>
                <w:color w:val="000000"/>
                <w:kern w:val="0"/>
                <w:szCs w:val="21"/>
                <w:highlight w:val="none"/>
                <w:lang w:bidi="ar"/>
              </w:rPr>
              <w:t>支持查看及编辑用户个人信息</w:t>
            </w:r>
          </w:p>
        </w:tc>
      </w:tr>
    </w:tbl>
    <w:p w14:paraId="49B97C9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rPr>
      </w:pPr>
    </w:p>
    <w:p w14:paraId="31635616">
      <w:pPr>
        <w:ind w:firstLine="422"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1.1.3空调系统改造方案：</w:t>
      </w:r>
      <w:r>
        <w:rPr>
          <w:rFonts w:hint="eastAsia" w:asciiTheme="minorEastAsia" w:hAnsiTheme="minorEastAsia" w:eastAsiaTheme="minorEastAsia" w:cstheme="minorEastAsia"/>
          <w:sz w:val="21"/>
          <w:szCs w:val="21"/>
          <w:lang w:val="en-US" w:eastAsia="zh-CN"/>
        </w:rPr>
        <w:t>旧空调面板更换为智能温控器面板，替换原空调控制面板；设备自带温湿度传感器,实现后台远程控制各区域空调系统的开启与关闭及温度调节。</w:t>
      </w:r>
    </w:p>
    <w:p w14:paraId="240A8863">
      <w:pPr>
        <w:ind w:firstLine="420" w:firstLineChars="200"/>
        <w:rPr>
          <w:rFonts w:ascii="宋体" w:hAnsi="宋体" w:cs="宋体"/>
          <w:kern w:val="0"/>
          <w:szCs w:val="21"/>
          <w:highlight w:val="none"/>
        </w:rPr>
      </w:pPr>
      <w:r>
        <w:rPr>
          <w:rFonts w:hint="eastAsia" w:ascii="宋体" w:hAnsi="宋体" w:cs="宋体"/>
          <w:kern w:val="0"/>
          <w:szCs w:val="21"/>
          <w:highlight w:val="none"/>
        </w:rPr>
        <w:t>1、空调控制现状</w:t>
      </w:r>
    </w:p>
    <w:p w14:paraId="431EFB08">
      <w:pPr>
        <w:ind w:firstLine="420" w:firstLineChars="200"/>
        <w:rPr>
          <w:rFonts w:ascii="宋体" w:hAnsi="宋体" w:cs="宋体"/>
          <w:kern w:val="0"/>
          <w:szCs w:val="21"/>
          <w:highlight w:val="none"/>
        </w:rPr>
      </w:pPr>
      <w:r>
        <w:rPr>
          <w:rFonts w:hint="eastAsia" w:ascii="宋体" w:hAnsi="宋体" w:cs="宋体"/>
          <w:kern w:val="0"/>
          <w:szCs w:val="21"/>
          <w:highlight w:val="none"/>
        </w:rPr>
        <w:t>整栋大厦现有空调系统末端风机盘管控制为传统空调温控面板控制，由现场人员自行调节，缺乏智能化与场景化操作选项，难以满足用户多样化需求。同时，传统面板缺乏实时能耗显示与智能节能建议功能，无法有效引导用户形成绿色使用习惯，与低碳趋势脱节。</w:t>
      </w:r>
    </w:p>
    <w:p w14:paraId="16913D2C">
      <w:pPr>
        <w:ind w:firstLine="420" w:firstLineChars="200"/>
        <w:rPr>
          <w:rFonts w:ascii="宋体" w:hAnsi="宋体" w:cs="宋体"/>
          <w:kern w:val="0"/>
          <w:szCs w:val="21"/>
          <w:highlight w:val="none"/>
        </w:rPr>
      </w:pPr>
      <w:r>
        <w:rPr>
          <w:rFonts w:hint="eastAsia" w:ascii="宋体" w:hAnsi="宋体" w:cs="宋体"/>
          <w:kern w:val="0"/>
          <w:szCs w:val="21"/>
          <w:highlight w:val="none"/>
        </w:rPr>
        <w:t>2、空调节能智能化升级服务技术要求</w:t>
      </w:r>
    </w:p>
    <w:p w14:paraId="6419800D">
      <w:pPr>
        <w:ind w:firstLine="420" w:firstLineChars="200"/>
        <w:rPr>
          <w:rFonts w:ascii="宋体" w:hAnsi="宋体" w:cs="宋体"/>
          <w:kern w:val="0"/>
          <w:szCs w:val="21"/>
          <w:highlight w:val="none"/>
        </w:rPr>
      </w:pPr>
      <w:r>
        <w:rPr>
          <w:rFonts w:hint="eastAsia" w:ascii="宋体" w:hAnsi="宋体" w:cs="宋体"/>
          <w:kern w:val="0"/>
          <w:szCs w:val="21"/>
          <w:highlight w:val="none"/>
        </w:rPr>
        <w:t>核心服务内容为智能空调控制服务升级、安装调试及联动调试等，同时提供空调面板与照明系统的联动控制服务，具体要求如下：远程控制功能：可远程控制空调末端风机盘管的全部工作状态，包括开机、调温、调节运行模式、关机等，实现无人值守状态下的精准管控；通信功能：确保通信稳定、高效，可实现多区域集中管控；环境温度采集功能：内置环境温度传感器，实时采集当前环境工作温度，为温度调节提供精准数据支撑；智能调节功能：通过平台指令，实现群控关机、统一调温、联动控温等功能，提升空调系统运行效率，最大化节约能耗。</w:t>
      </w:r>
    </w:p>
    <w:p w14:paraId="0981C8FB">
      <w:pPr>
        <w:ind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宋体" w:hAnsi="宋体" w:cs="宋体"/>
          <w:kern w:val="0"/>
          <w:szCs w:val="21"/>
          <w:highlight w:val="none"/>
        </w:rPr>
        <w:t>联动需求：需确保所提供的智能空调面板与升级后的智能照明系统完全兼容，可通过平台实现两者协同管控。</w:t>
      </w:r>
    </w:p>
    <w:p w14:paraId="4192234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改造后实现所有场景照明人来灯亮、人在灯亮，人走灯关的全自动运行模式；空调可实现后台控制和定时开启、关闭，实时查看区域环境温度；根据实际使用要求更改控制逻辑。</w:t>
      </w:r>
    </w:p>
    <w:p w14:paraId="67BFC078">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每层布置一个总控屏，本地控制本层区域内所有智能设备</w:t>
      </w:r>
    </w:p>
    <w:p w14:paraId="06AC0607">
      <w:pPr>
        <w:pStyle w:val="37"/>
        <w:ind w:left="0" w:leftChars="0" w:firstLine="422" w:firstLineChars="200"/>
        <w:rPr>
          <w:rFonts w:hint="eastAsia" w:ascii="宋体" w:hAnsi="宋体" w:eastAsia="宋体" w:cs="宋体"/>
          <w:b/>
          <w:bCs/>
          <w:sz w:val="21"/>
          <w:szCs w:val="21"/>
          <w:highlight w:val="none"/>
          <w:lang w:val="en-US" w:eastAsia="zh-CN"/>
        </w:rPr>
      </w:pPr>
      <w:r>
        <w:rPr>
          <w:rFonts w:hint="eastAsia" w:eastAsia="宋体" w:cs="宋体"/>
          <w:b/>
          <w:bCs/>
          <w:sz w:val="21"/>
          <w:szCs w:val="21"/>
          <w:highlight w:val="none"/>
          <w:vertAlign w:val="baseline"/>
          <w:lang w:val="en-US" w:eastAsia="zh-CN"/>
        </w:rPr>
        <w:t>1.1.4</w:t>
      </w:r>
      <w:r>
        <w:rPr>
          <w:rFonts w:hint="eastAsia" w:ascii="宋体" w:hAnsi="宋体" w:eastAsia="宋体" w:cs="宋体"/>
          <w:b/>
          <w:bCs/>
          <w:sz w:val="21"/>
          <w:szCs w:val="21"/>
          <w:highlight w:val="none"/>
          <w:vertAlign w:val="baseline"/>
          <w:lang w:val="en-US" w:eastAsia="zh-CN"/>
        </w:rPr>
        <w:t>推荐</w:t>
      </w:r>
      <w:r>
        <w:rPr>
          <w:rFonts w:hint="eastAsia" w:ascii="宋体" w:hAnsi="宋体" w:cs="宋体"/>
          <w:b/>
          <w:bCs/>
          <w:sz w:val="21"/>
          <w:szCs w:val="21"/>
          <w:highlight w:val="none"/>
          <w:vertAlign w:val="baseline"/>
          <w:lang w:val="en-US" w:eastAsia="zh-CN"/>
        </w:rPr>
        <w:t>灯具</w:t>
      </w:r>
      <w:r>
        <w:rPr>
          <w:rFonts w:hint="eastAsia" w:ascii="宋体" w:hAnsi="宋体" w:eastAsia="宋体" w:cs="宋体"/>
          <w:b/>
          <w:bCs/>
          <w:sz w:val="21"/>
          <w:szCs w:val="21"/>
          <w:highlight w:val="none"/>
          <w:vertAlign w:val="baseline"/>
          <w:lang w:val="en-US" w:eastAsia="zh-CN"/>
        </w:rPr>
        <w:t>品牌：</w:t>
      </w:r>
      <w:r>
        <w:rPr>
          <w:rFonts w:hint="eastAsia" w:eastAsia="宋体" w:cs="宋体"/>
          <w:b/>
          <w:bCs w:val="0"/>
          <w:sz w:val="21"/>
          <w:szCs w:val="21"/>
          <w:highlight w:val="none"/>
          <w:vertAlign w:val="baseline"/>
          <w:lang w:val="en-US" w:eastAsia="zh-CN"/>
        </w:rPr>
        <w:t>佛山照明、</w:t>
      </w:r>
      <w:r>
        <w:rPr>
          <w:rFonts w:hint="eastAsia" w:ascii="宋体" w:hAnsi="宋体" w:eastAsia="宋体" w:cs="宋体"/>
          <w:b/>
          <w:bCs w:val="0"/>
          <w:sz w:val="21"/>
          <w:szCs w:val="21"/>
          <w:highlight w:val="none"/>
          <w:vertAlign w:val="baseline"/>
          <w:lang w:val="en-US" w:eastAsia="zh-CN"/>
        </w:rPr>
        <w:t>三雄极光、欧普</w:t>
      </w:r>
      <w:r>
        <w:rPr>
          <w:rFonts w:hint="eastAsia" w:eastAsia="宋体" w:cs="宋体"/>
          <w:b/>
          <w:bCs w:val="0"/>
          <w:sz w:val="21"/>
          <w:szCs w:val="21"/>
          <w:highlight w:val="none"/>
          <w:vertAlign w:val="baseline"/>
          <w:lang w:val="en-US" w:eastAsia="zh-CN"/>
        </w:rPr>
        <w:t>、</w:t>
      </w:r>
      <w:r>
        <w:rPr>
          <w:rFonts w:hint="eastAsia" w:ascii="宋体" w:hAnsi="宋体" w:eastAsia="宋体" w:cs="宋体"/>
          <w:b/>
          <w:bCs w:val="0"/>
          <w:sz w:val="21"/>
          <w:szCs w:val="21"/>
          <w:highlight w:val="none"/>
          <w:vertAlign w:val="baseline"/>
          <w:lang w:val="en-US" w:eastAsia="zh-CN"/>
        </w:rPr>
        <w:t>雷士</w:t>
      </w:r>
      <w:r>
        <w:rPr>
          <w:rFonts w:hint="eastAsia" w:eastAsia="宋体" w:cs="宋体"/>
          <w:b/>
          <w:bCs w:val="0"/>
          <w:sz w:val="21"/>
          <w:szCs w:val="21"/>
          <w:highlight w:val="none"/>
          <w:vertAlign w:val="baseline"/>
          <w:lang w:val="en-US" w:eastAsia="zh-CN"/>
        </w:rPr>
        <w:t>、TCL、飞利浦等</w:t>
      </w:r>
      <w:r>
        <w:rPr>
          <w:rFonts w:hint="eastAsia" w:ascii="宋体" w:hAnsi="宋体" w:eastAsia="宋体" w:cs="宋体"/>
          <w:b/>
          <w:bCs w:val="0"/>
          <w:sz w:val="21"/>
          <w:szCs w:val="21"/>
          <w:highlight w:val="none"/>
          <w:vertAlign w:val="baseline"/>
          <w:lang w:val="en-US" w:eastAsia="zh-CN"/>
        </w:rPr>
        <w:t>。</w:t>
      </w:r>
    </w:p>
    <w:p w14:paraId="7580BF1E">
      <w:pPr>
        <w:pStyle w:val="7"/>
        <w:pageBreakBefore w:val="0"/>
        <w:kinsoku/>
        <w:wordWrap/>
        <w:overflowPunct/>
        <w:topLinePunct w:val="0"/>
        <w:autoSpaceDE/>
        <w:autoSpaceDN/>
        <w:bidi w:val="0"/>
        <w:snapToGrid w:val="0"/>
        <w:spacing w:line="360" w:lineRule="auto"/>
        <w:ind w:firstLine="422" w:firstLineChars="20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1.1.5供货周期满足招标方要求。</w:t>
      </w:r>
    </w:p>
    <w:p w14:paraId="7E4DBFFC">
      <w:pPr>
        <w:pStyle w:val="8"/>
        <w:ind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1.2 技术要求</w:t>
      </w:r>
    </w:p>
    <w:p w14:paraId="7EBE6EDA">
      <w:pPr>
        <w:ind w:left="420" w:leftChars="200" w:firstLine="0" w:firstLineChars="0"/>
        <w:rPr>
          <w:rFonts w:hint="default" w:ascii="宋体" w:hAnsi="宋体" w:eastAsia="宋体"/>
          <w:b/>
          <w:bCs/>
          <w:sz w:val="21"/>
          <w:lang w:val="en-US" w:eastAsia="zh-CN"/>
        </w:rPr>
      </w:pPr>
      <w:r>
        <w:rPr>
          <w:rFonts w:hint="eastAsia" w:ascii="宋体" w:hAnsi="宋体" w:eastAsia="宋体"/>
          <w:b/>
          <w:bCs/>
          <w:sz w:val="21"/>
          <w:lang w:val="en-US" w:eastAsia="zh-CN"/>
        </w:rPr>
        <w:t>1.2.1</w:t>
      </w:r>
      <w:r>
        <w:rPr>
          <w:rFonts w:hint="eastAsia" w:ascii="宋体" w:hAnsi="宋体"/>
          <w:b/>
          <w:bCs/>
          <w:sz w:val="21"/>
          <w:lang w:val="en-US" w:eastAsia="zh-CN"/>
        </w:rPr>
        <w:t>网络要求</w:t>
      </w:r>
    </w:p>
    <w:p w14:paraId="15B04C7E">
      <w:pPr>
        <w:ind w:left="840" w:leftChars="400" w:firstLine="0" w:firstLineChars="0"/>
        <w:rPr>
          <w:rFonts w:ascii="宋体" w:hAnsi="宋体" w:eastAsia="宋体"/>
          <w:b w:val="0"/>
          <w:sz w:val="21"/>
        </w:rPr>
      </w:pPr>
      <w:r>
        <w:rPr>
          <w:rFonts w:ascii="宋体" w:hAnsi="宋体" w:eastAsia="宋体"/>
          <w:b w:val="0"/>
          <w:sz w:val="21"/>
        </w:rPr>
        <w:t>组网方式：采用私有无线Mesh网状网络，支持自组网、自愈合，网络稳定性≥99.95%。</w:t>
      </w:r>
      <w:r>
        <w:rPr>
          <w:rFonts w:ascii="宋体" w:hAnsi="宋体" w:eastAsia="宋体"/>
          <w:b w:val="0"/>
          <w:sz w:val="21"/>
        </w:rPr>
        <w:br w:type="textWrapping"/>
      </w:r>
      <w:r>
        <w:rPr>
          <w:rFonts w:ascii="宋体" w:hAnsi="宋体" w:eastAsia="宋体"/>
          <w:b w:val="0"/>
          <w:sz w:val="21"/>
        </w:rPr>
        <w:t>通信距离：可视距离≥100m，支持多跳接力扩展覆盖范围。</w:t>
      </w:r>
      <w:r>
        <w:rPr>
          <w:rFonts w:ascii="宋体" w:hAnsi="宋体" w:eastAsia="宋体"/>
          <w:b w:val="0"/>
          <w:sz w:val="21"/>
        </w:rPr>
        <w:br w:type="textWrapping"/>
      </w:r>
      <w:r>
        <w:rPr>
          <w:rFonts w:ascii="宋体" w:hAnsi="宋体" w:eastAsia="宋体"/>
          <w:b w:val="0"/>
          <w:sz w:val="21"/>
        </w:rPr>
        <w:t>双向通信：支持控制指令下发和数据上行，单灯日能耗采集到达率≥99%。</w:t>
      </w:r>
      <w:r>
        <w:rPr>
          <w:rFonts w:ascii="宋体" w:hAnsi="宋体" w:eastAsia="宋体"/>
          <w:b w:val="0"/>
          <w:sz w:val="21"/>
        </w:rPr>
        <w:br w:type="textWrapping"/>
      </w:r>
      <w:r>
        <w:rPr>
          <w:rFonts w:ascii="宋体" w:hAnsi="宋体" w:eastAsia="宋体"/>
          <w:b w:val="0"/>
          <w:sz w:val="21"/>
        </w:rPr>
        <w:t>调光方式：支持PWM调光协议，0~100%无极柔性调光。</w:t>
      </w:r>
      <w:r>
        <w:rPr>
          <w:rFonts w:ascii="宋体" w:hAnsi="宋体" w:eastAsia="宋体"/>
          <w:b w:val="0"/>
          <w:sz w:val="21"/>
        </w:rPr>
        <w:br w:type="textWrapping"/>
      </w:r>
      <w:r>
        <w:rPr>
          <w:rFonts w:ascii="宋体" w:hAnsi="宋体" w:eastAsia="宋体"/>
          <w:b w:val="0"/>
          <w:sz w:val="21"/>
        </w:rPr>
        <w:t>频闪控制：深度防频闪，频闪百分比＜0.5%，符合GB/T 31831-2025要求。</w:t>
      </w:r>
      <w:r>
        <w:rPr>
          <w:rFonts w:ascii="宋体" w:hAnsi="宋体" w:eastAsia="宋体"/>
          <w:b w:val="0"/>
          <w:sz w:val="21"/>
        </w:rPr>
        <w:br w:type="textWrapping"/>
      </w:r>
      <w:r>
        <w:rPr>
          <w:rFonts w:ascii="宋体" w:hAnsi="宋体" w:eastAsia="宋体"/>
          <w:b w:val="0"/>
          <w:sz w:val="21"/>
        </w:rPr>
        <w:t>免配置交付：</w:t>
      </w:r>
      <w:r>
        <w:rPr>
          <w:rFonts w:hint="eastAsia" w:ascii="宋体" w:hAnsi="宋体" w:eastAsia="宋体"/>
          <w:b w:val="0"/>
          <w:sz w:val="21"/>
          <w:lang w:val="en-US" w:eastAsia="zh-CN"/>
        </w:rPr>
        <w:t>公共区域照明</w:t>
      </w:r>
      <w:r>
        <w:rPr>
          <w:rFonts w:ascii="宋体" w:hAnsi="宋体" w:eastAsia="宋体"/>
          <w:b w:val="0"/>
          <w:sz w:val="21"/>
        </w:rPr>
        <w:t>支持现场0配置交付，通电即配网；</w:t>
      </w:r>
    </w:p>
    <w:p w14:paraId="3B6A78BF">
      <w:pPr>
        <w:ind w:left="840" w:leftChars="400" w:firstLine="0" w:firstLineChars="0"/>
        <w:rPr>
          <w:rFonts w:hint="eastAsia" w:ascii="宋体" w:hAnsi="宋体"/>
          <w:b/>
          <w:bCs/>
          <w:sz w:val="21"/>
          <w:lang w:val="en-US" w:eastAsia="zh-CN"/>
        </w:rPr>
      </w:pPr>
      <w:r>
        <w:rPr>
          <w:rFonts w:hint="eastAsia" w:ascii="宋体" w:hAnsi="宋体"/>
          <w:b/>
          <w:bCs/>
          <w:sz w:val="21"/>
          <w:lang w:val="en-US" w:eastAsia="zh-CN"/>
        </w:rPr>
        <w:t>所有涉及控制设备类不允许连接外部互联网，可通过公司内部网络实现数据交互。</w:t>
      </w:r>
    </w:p>
    <w:p w14:paraId="0E0B383F">
      <w:pPr>
        <w:ind w:left="840" w:leftChars="400" w:firstLine="0" w:firstLineChars="0"/>
        <w:rPr>
          <w:rFonts w:hint="default" w:ascii="宋体" w:hAnsi="宋体"/>
          <w:b/>
          <w:bCs/>
          <w:sz w:val="21"/>
          <w:lang w:val="en-US" w:eastAsia="zh-CN"/>
        </w:rPr>
      </w:pPr>
      <w:r>
        <w:rPr>
          <w:rFonts w:hint="eastAsia" w:ascii="宋体" w:hAnsi="宋体"/>
          <w:b/>
          <w:bCs/>
          <w:sz w:val="21"/>
          <w:lang w:val="en-US" w:eastAsia="zh-CN"/>
        </w:rPr>
        <w:t>本项目</w:t>
      </w:r>
      <w:r>
        <w:rPr>
          <w:rFonts w:hint="default" w:ascii="宋体" w:hAnsi="宋体"/>
          <w:b/>
          <w:bCs/>
          <w:sz w:val="21"/>
          <w:lang w:val="en-US" w:eastAsia="zh-CN"/>
        </w:rPr>
        <w:t>软件、平台等无任何后期费用。</w:t>
      </w:r>
    </w:p>
    <w:p w14:paraId="4CABED63">
      <w:pPr>
        <w:pStyle w:val="8"/>
        <w:ind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1.2.2 地下车库物联网灯管</w:t>
      </w:r>
    </w:p>
    <w:p w14:paraId="28EB9DEC">
      <w:pPr>
        <w:pStyle w:val="8"/>
        <w:ind w:firstLine="422" w:firstLineChars="200"/>
        <w:rPr>
          <w:rFonts w:hint="eastAsia" w:ascii="宋体" w:hAnsi="宋体" w:eastAsia="宋体" w:cs="宋体"/>
          <w:b/>
          <w:bCs/>
          <w:kern w:val="2"/>
          <w:sz w:val="21"/>
          <w:szCs w:val="21"/>
          <w:highlight w:val="none"/>
          <w:lang w:val="en-US" w:eastAsia="zh-CN" w:bidi="ar-SA"/>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5761"/>
      </w:tblGrid>
      <w:tr w14:paraId="163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tcPr>
          <w:p w14:paraId="2A9E63A0">
            <w:pPr>
              <w:spacing w:after="0" w:line="240" w:lineRule="auto"/>
              <w:jc w:val="center"/>
            </w:pPr>
            <w:r>
              <w:rPr>
                <w:rFonts w:ascii="宋体" w:hAnsi="宋体" w:eastAsia="宋体"/>
                <w:b/>
                <w:sz w:val="21"/>
              </w:rPr>
              <w:t>类别</w:t>
            </w:r>
          </w:p>
        </w:tc>
        <w:tc>
          <w:tcPr>
            <w:tcW w:w="5761" w:type="dxa"/>
          </w:tcPr>
          <w:p w14:paraId="7B1996AC">
            <w:pPr>
              <w:spacing w:after="0" w:line="240" w:lineRule="auto"/>
              <w:jc w:val="center"/>
            </w:pPr>
            <w:r>
              <w:rPr>
                <w:rFonts w:ascii="宋体" w:hAnsi="宋体" w:eastAsia="宋体"/>
                <w:b/>
                <w:sz w:val="21"/>
              </w:rPr>
              <w:t>技术参数要求</w:t>
            </w:r>
          </w:p>
        </w:tc>
      </w:tr>
      <w:tr w14:paraId="269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17EDDA88">
            <w:pPr>
              <w:spacing w:after="0" w:line="240" w:lineRule="auto"/>
              <w:jc w:val="center"/>
            </w:pPr>
            <w:r>
              <w:rPr>
                <w:rFonts w:ascii="宋体" w:hAnsi="宋体" w:eastAsia="宋体"/>
                <w:b w:val="0"/>
                <w:sz w:val="20"/>
              </w:rPr>
              <w:t>电气参数</w:t>
            </w:r>
          </w:p>
        </w:tc>
        <w:tc>
          <w:tcPr>
            <w:tcW w:w="5761" w:type="dxa"/>
          </w:tcPr>
          <w:p w14:paraId="221E9D69">
            <w:pPr>
              <w:keepNext w:val="0"/>
              <w:keepLines w:val="0"/>
              <w:widowControl/>
              <w:suppressLineNumbers w:val="0"/>
              <w:jc w:val="left"/>
            </w:pPr>
            <w:r>
              <w:rPr>
                <w:rFonts w:ascii="宋体" w:hAnsi="宋体" w:eastAsia="宋体"/>
                <w:b w:val="0"/>
                <w:sz w:val="20"/>
              </w:rPr>
              <w:t>输入电压：AC 180V-265V；额定功率：1</w:t>
            </w:r>
            <w:r>
              <w:rPr>
                <w:rFonts w:hint="eastAsia" w:ascii="宋体" w:hAnsi="宋体"/>
                <w:b w:val="0"/>
                <w:sz w:val="20"/>
                <w:lang w:val="en-US" w:eastAsia="zh-CN"/>
              </w:rPr>
              <w:t>0</w:t>
            </w:r>
            <w:r>
              <w:rPr>
                <w:rFonts w:ascii="宋体" w:hAnsi="宋体" w:eastAsia="宋体"/>
                <w:b w:val="0"/>
                <w:sz w:val="20"/>
              </w:rPr>
              <w:t>W；调光范围：0~100%无极柔性调光；光效：≥1</w:t>
            </w:r>
            <w:r>
              <w:rPr>
                <w:rFonts w:hint="eastAsia" w:ascii="宋体" w:hAnsi="宋体" w:eastAsia="宋体"/>
                <w:b w:val="0"/>
                <w:sz w:val="20"/>
                <w:lang w:val="en-US" w:eastAsia="zh-CN"/>
              </w:rPr>
              <w:t>6</w:t>
            </w:r>
            <w:r>
              <w:rPr>
                <w:rFonts w:ascii="宋体" w:hAnsi="宋体" w:eastAsia="宋体"/>
                <w:b w:val="0"/>
                <w:sz w:val="20"/>
              </w:rPr>
              <w:t>0lm/W；显色指数：≥80；</w:t>
            </w:r>
            <w:r>
              <w:rPr>
                <w:rFonts w:hint="eastAsia" w:ascii="宋体" w:hAnsi="宋体" w:eastAsia="宋体"/>
                <w:b w:val="0"/>
                <w:sz w:val="20"/>
                <w:lang w:val="en-US" w:eastAsia="zh-CN"/>
              </w:rPr>
              <w:t>功率因数≥0.95</w:t>
            </w:r>
            <w:r>
              <w:rPr>
                <w:rFonts w:hint="eastAsia" w:ascii="宋体" w:hAnsi="宋体"/>
                <w:b w:val="0"/>
                <w:sz w:val="20"/>
                <w:lang w:val="en-US" w:eastAsia="zh-CN"/>
              </w:rPr>
              <w:t>；</w:t>
            </w:r>
            <w:r>
              <w:rPr>
                <w:rFonts w:ascii="宋体" w:hAnsi="宋体" w:eastAsia="宋体"/>
                <w:b w:val="0"/>
                <w:sz w:val="20"/>
              </w:rPr>
              <w:t>色温：</w:t>
            </w:r>
            <w:r>
              <w:rPr>
                <w:rFonts w:hint="eastAsia" w:ascii="宋体" w:hAnsi="宋体" w:eastAsia="宋体"/>
                <w:b w:val="0"/>
                <w:sz w:val="20"/>
                <w:lang w:val="en-US" w:eastAsia="zh-CN"/>
              </w:rPr>
              <w:t>6000-</w:t>
            </w:r>
            <w:r>
              <w:rPr>
                <w:rFonts w:ascii="宋体" w:hAnsi="宋体" w:eastAsia="宋体"/>
                <w:b w:val="0"/>
                <w:sz w:val="20"/>
              </w:rPr>
              <w:t>6500K；调光协议：PWM；电源：高品质调光驱动，通过智慧化控制实现驱动和灯珠处于常温工作。</w:t>
            </w:r>
          </w:p>
        </w:tc>
      </w:tr>
      <w:tr w14:paraId="2EF1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5D5820EC">
            <w:pPr>
              <w:spacing w:after="0" w:line="240" w:lineRule="auto"/>
              <w:jc w:val="center"/>
            </w:pPr>
            <w:r>
              <w:rPr>
                <w:rFonts w:ascii="宋体" w:hAnsi="宋体" w:eastAsia="宋体"/>
                <w:b w:val="0"/>
                <w:sz w:val="20"/>
              </w:rPr>
              <w:t>灯体材质</w:t>
            </w:r>
          </w:p>
        </w:tc>
        <w:tc>
          <w:tcPr>
            <w:tcW w:w="5761" w:type="dxa"/>
          </w:tcPr>
          <w:p w14:paraId="3AE36599">
            <w:pPr>
              <w:spacing w:after="0" w:line="240" w:lineRule="auto"/>
            </w:pPr>
            <w:r>
              <w:rPr>
                <w:rFonts w:hint="eastAsia" w:ascii="宋体" w:hAnsi="宋体"/>
                <w:b w:val="0"/>
                <w:sz w:val="20"/>
                <w:lang w:val="en-US" w:eastAsia="zh-CN"/>
              </w:rPr>
              <w:t>玻璃或其他，要求</w:t>
            </w:r>
            <w:r>
              <w:rPr>
                <w:rFonts w:ascii="宋体" w:hAnsi="宋体" w:eastAsia="宋体"/>
                <w:b w:val="0"/>
                <w:sz w:val="20"/>
              </w:rPr>
              <w:t>安全</w:t>
            </w:r>
            <w:r>
              <w:rPr>
                <w:rFonts w:hint="eastAsia" w:ascii="宋体" w:hAnsi="宋体"/>
                <w:b w:val="0"/>
                <w:sz w:val="20"/>
                <w:lang w:val="en-US" w:eastAsia="zh-CN"/>
              </w:rPr>
              <w:t>可靠</w:t>
            </w:r>
            <w:r>
              <w:rPr>
                <w:rFonts w:ascii="宋体" w:hAnsi="宋体" w:eastAsia="宋体"/>
                <w:b w:val="0"/>
                <w:sz w:val="20"/>
              </w:rPr>
              <w:t>不漏电，散热好，透光好，阻燃，长时间使用不发黄发脆。</w:t>
            </w:r>
          </w:p>
        </w:tc>
      </w:tr>
      <w:tr w14:paraId="458A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039FA67F">
            <w:pPr>
              <w:spacing w:after="0" w:line="240" w:lineRule="auto"/>
              <w:jc w:val="center"/>
            </w:pPr>
            <w:r>
              <w:rPr>
                <w:rFonts w:ascii="宋体" w:hAnsi="宋体" w:eastAsia="宋体"/>
                <w:b w:val="0"/>
                <w:sz w:val="20"/>
              </w:rPr>
              <w:t>产品尺寸</w:t>
            </w:r>
          </w:p>
        </w:tc>
        <w:tc>
          <w:tcPr>
            <w:tcW w:w="5761" w:type="dxa"/>
          </w:tcPr>
          <w:p w14:paraId="2625E48A">
            <w:pPr>
              <w:spacing w:after="0" w:line="240" w:lineRule="auto"/>
            </w:pPr>
            <w:r>
              <w:rPr>
                <w:rFonts w:ascii="宋体" w:hAnsi="宋体" w:eastAsia="宋体"/>
                <w:b w:val="0"/>
                <w:sz w:val="20"/>
              </w:rPr>
              <w:t>T8型，长度1200mm，适配原有灯架。</w:t>
            </w:r>
          </w:p>
        </w:tc>
      </w:tr>
      <w:tr w14:paraId="246F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3D8025A6">
            <w:pPr>
              <w:spacing w:after="0" w:line="240" w:lineRule="auto"/>
              <w:jc w:val="center"/>
            </w:pPr>
            <w:r>
              <w:rPr>
                <w:rFonts w:ascii="宋体" w:hAnsi="宋体" w:eastAsia="宋体"/>
                <w:b w:val="0"/>
                <w:sz w:val="20"/>
              </w:rPr>
              <w:t>使用寿命</w:t>
            </w:r>
          </w:p>
        </w:tc>
        <w:tc>
          <w:tcPr>
            <w:tcW w:w="5761" w:type="dxa"/>
          </w:tcPr>
          <w:p w14:paraId="6CC56183">
            <w:pPr>
              <w:spacing w:after="0" w:line="240" w:lineRule="auto"/>
            </w:pPr>
            <w:r>
              <w:rPr>
                <w:rFonts w:ascii="宋体" w:hAnsi="宋体" w:eastAsia="宋体"/>
                <w:b w:val="0"/>
                <w:sz w:val="20"/>
              </w:rPr>
              <w:t>整体寿命≥10年（智慧化控制实现驱动和灯珠处于常温工作，寿命比普通LED高3倍）；不发黄、不发脆；5年光衰不高于5%。</w:t>
            </w:r>
          </w:p>
        </w:tc>
      </w:tr>
      <w:tr w14:paraId="5FC6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5B3CCA84">
            <w:pPr>
              <w:spacing w:after="0" w:line="240" w:lineRule="auto"/>
              <w:jc w:val="center"/>
            </w:pPr>
            <w:r>
              <w:rPr>
                <w:rFonts w:ascii="宋体" w:hAnsi="宋体" w:eastAsia="宋体"/>
                <w:b w:val="0"/>
                <w:sz w:val="20"/>
              </w:rPr>
              <w:t>无线组网与容量</w:t>
            </w:r>
          </w:p>
        </w:tc>
        <w:tc>
          <w:tcPr>
            <w:tcW w:w="5761" w:type="dxa"/>
          </w:tcPr>
          <w:p w14:paraId="36DBE09B">
            <w:pPr>
              <w:spacing w:after="0" w:line="240" w:lineRule="auto"/>
            </w:pPr>
            <w:r>
              <w:rPr>
                <w:rFonts w:ascii="宋体" w:hAnsi="宋体" w:eastAsia="宋体"/>
                <w:b w:val="0"/>
                <w:sz w:val="20"/>
              </w:rPr>
              <w:t>无线网络频段：私有2.4GHz协议；组网方式：无线Mesh网络，支持65335个节点；控制协议：私有物联网控制协议；通信距离：可视距离≥100m，支持多跳接力通信；灯与灯距离无限制；网络特点：去中心化，不因一盏灯故障而导致网络中断，具有自组织、自适应、自感知、自学习、自管理、自愈合特点。</w:t>
            </w:r>
          </w:p>
        </w:tc>
      </w:tr>
      <w:tr w14:paraId="30C0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439EE421">
            <w:pPr>
              <w:spacing w:after="0" w:line="240" w:lineRule="auto"/>
              <w:jc w:val="center"/>
            </w:pPr>
            <w:r>
              <w:rPr>
                <w:rFonts w:ascii="宋体" w:hAnsi="宋体" w:eastAsia="宋体"/>
                <w:b w:val="0"/>
                <w:sz w:val="20"/>
              </w:rPr>
              <w:t>AI感知功能</w:t>
            </w:r>
          </w:p>
        </w:tc>
        <w:tc>
          <w:tcPr>
            <w:tcW w:w="5761" w:type="dxa"/>
          </w:tcPr>
          <w:p w14:paraId="3E22C1B7">
            <w:pPr>
              <w:spacing w:after="0" w:line="240" w:lineRule="auto"/>
            </w:pPr>
            <w:r>
              <w:rPr>
                <w:rFonts w:ascii="宋体" w:hAnsi="宋体" w:eastAsia="宋体"/>
                <w:b w:val="0"/>
                <w:sz w:val="20"/>
              </w:rPr>
              <w:t>传感器类型：</w:t>
            </w:r>
            <w:r>
              <w:rPr>
                <w:rFonts w:hint="eastAsia" w:ascii="宋体" w:hAnsi="宋体"/>
                <w:b w:val="0"/>
                <w:sz w:val="20"/>
                <w:lang w:val="en-US" w:eastAsia="zh-CN"/>
              </w:rPr>
              <w:t>雷达微波感应</w:t>
            </w:r>
            <w:r>
              <w:rPr>
                <w:rFonts w:ascii="宋体" w:hAnsi="宋体" w:eastAsia="宋体"/>
                <w:b w:val="0"/>
                <w:sz w:val="20"/>
              </w:rPr>
              <w:t>，感知距离和灵敏度可调；无感节能：每盏灯都能感知到人/车，提前点亮前方30-50米（距离可设置）范围的灯，人/车离开后灯自动休眠，随着人/车移动实现灯随人动效果。</w:t>
            </w:r>
          </w:p>
        </w:tc>
      </w:tr>
      <w:tr w14:paraId="4EAC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vAlign w:val="center"/>
          </w:tcPr>
          <w:p w14:paraId="458DF73A">
            <w:pPr>
              <w:spacing w:after="0" w:line="240" w:lineRule="auto"/>
              <w:jc w:val="center"/>
              <w:rPr>
                <w:rFonts w:hint="default" w:eastAsia="宋体"/>
                <w:lang w:val="en-US" w:eastAsia="zh-CN"/>
              </w:rPr>
            </w:pPr>
            <w:r>
              <w:rPr>
                <w:rFonts w:hint="eastAsia" w:ascii="宋体" w:hAnsi="宋体"/>
                <w:b w:val="0"/>
                <w:sz w:val="20"/>
                <w:lang w:val="en-US" w:eastAsia="zh-CN"/>
              </w:rPr>
              <w:t>吊链施工</w:t>
            </w:r>
          </w:p>
        </w:tc>
        <w:tc>
          <w:tcPr>
            <w:tcW w:w="5761" w:type="dxa"/>
            <w:vAlign w:val="center"/>
          </w:tcPr>
          <w:p w14:paraId="4FDFA459">
            <w:pPr>
              <w:spacing w:after="0" w:line="240" w:lineRule="auto"/>
              <w:rPr>
                <w:rFonts w:hint="eastAsia" w:eastAsia="宋体"/>
                <w:lang w:eastAsia="zh-CN"/>
              </w:rPr>
            </w:pPr>
            <w:r>
              <w:rPr>
                <w:rFonts w:hint="eastAsia" w:ascii="宋体" w:hAnsi="宋体" w:eastAsia="宋体"/>
                <w:b w:val="0"/>
                <w:sz w:val="20"/>
                <w:lang w:val="en-US" w:eastAsia="zh-CN"/>
              </w:rPr>
              <w:t>采用吊链卡扣将灯具移至管道下方无遮挡处重新定位</w:t>
            </w:r>
            <w:r>
              <w:rPr>
                <w:rFonts w:hint="eastAsia" w:ascii="宋体" w:hAnsi="宋体" w:eastAsia="宋体"/>
                <w:b w:val="0"/>
                <w:sz w:val="20"/>
              </w:rPr>
              <w:t>安装</w:t>
            </w:r>
            <w:r>
              <w:rPr>
                <w:rFonts w:hint="eastAsia" w:ascii="宋体" w:hAnsi="宋体" w:eastAsia="宋体"/>
                <w:b w:val="0"/>
                <w:sz w:val="20"/>
                <w:lang w:eastAsia="zh-CN"/>
              </w:rPr>
              <w:t>。</w:t>
            </w:r>
          </w:p>
        </w:tc>
      </w:tr>
    </w:tbl>
    <w:p w14:paraId="2D61F51C">
      <w:pPr>
        <w:pStyle w:val="8"/>
        <w:ind w:firstLine="422" w:firstLineChars="200"/>
        <w:rPr>
          <w:rFonts w:hint="eastAsia" w:ascii="宋体" w:hAnsi="宋体" w:eastAsia="宋体" w:cs="宋体"/>
          <w:b/>
          <w:bCs/>
          <w:kern w:val="2"/>
          <w:sz w:val="21"/>
          <w:szCs w:val="21"/>
          <w:highlight w:val="none"/>
          <w:lang w:val="en-US" w:eastAsia="zh-CN" w:bidi="ar-SA"/>
        </w:rPr>
      </w:pPr>
    </w:p>
    <w:p w14:paraId="67F6E0A7">
      <w:pPr>
        <w:pStyle w:val="8"/>
        <w:ind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1.2.3 物联网筒灯（4寸、6寸公共区域使用）</w:t>
      </w:r>
    </w:p>
    <w:p w14:paraId="19203B3D">
      <w:pPr>
        <w:pStyle w:val="8"/>
        <w:ind w:firstLine="422" w:firstLineChars="200"/>
        <w:rPr>
          <w:rFonts w:hint="eastAsia" w:ascii="宋体" w:hAnsi="宋体" w:eastAsia="宋体" w:cs="宋体"/>
          <w:b/>
          <w:bCs/>
          <w:kern w:val="2"/>
          <w:sz w:val="21"/>
          <w:szCs w:val="21"/>
          <w:highlight w:val="none"/>
          <w:lang w:val="en-US" w:eastAsia="zh-CN" w:bidi="ar-SA"/>
        </w:rPr>
      </w:pPr>
    </w:p>
    <w:tbl>
      <w:tblPr>
        <w:tblStyle w:val="21"/>
        <w:tblW w:w="0" w:type="auto"/>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5749"/>
      </w:tblGrid>
      <w:tr w14:paraId="5F4A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077D9E85">
            <w:pPr>
              <w:spacing w:after="0" w:line="240" w:lineRule="auto"/>
              <w:ind w:firstLine="803" w:firstLineChars="400"/>
            </w:pPr>
            <w:r>
              <w:rPr>
                <w:rFonts w:ascii="宋体" w:hAnsi="宋体" w:eastAsia="宋体"/>
                <w:b/>
                <w:sz w:val="20"/>
              </w:rPr>
              <w:t>类别</w:t>
            </w:r>
          </w:p>
        </w:tc>
        <w:tc>
          <w:tcPr>
            <w:tcW w:w="5749" w:type="dxa"/>
          </w:tcPr>
          <w:p w14:paraId="31CEA939">
            <w:pPr>
              <w:spacing w:after="0" w:line="240" w:lineRule="auto"/>
              <w:jc w:val="center"/>
            </w:pPr>
            <w:r>
              <w:rPr>
                <w:rFonts w:ascii="宋体" w:hAnsi="宋体" w:eastAsia="宋体"/>
                <w:b/>
                <w:sz w:val="21"/>
              </w:rPr>
              <w:t>技术参数要求</w:t>
            </w:r>
          </w:p>
        </w:tc>
      </w:tr>
      <w:tr w14:paraId="3E89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9879E62B">
            <w:pPr>
              <w:spacing w:after="0" w:line="240" w:lineRule="auto"/>
              <w:jc w:val="center"/>
            </w:pPr>
            <w:r>
              <w:rPr>
                <w:rFonts w:ascii="宋体" w:hAnsi="宋体" w:eastAsia="宋体"/>
                <w:b w:val="0"/>
                <w:sz w:val="20"/>
              </w:rPr>
              <w:t>电气参数</w:t>
            </w:r>
          </w:p>
        </w:tc>
        <w:tc>
          <w:tcPr>
            <w:tcW w:w="5749" w:type="dxa"/>
          </w:tcPr>
          <w:p w14:paraId="8933A359">
            <w:pPr>
              <w:spacing w:after="0" w:line="240" w:lineRule="auto"/>
            </w:pPr>
            <w:r>
              <w:rPr>
                <w:rFonts w:ascii="宋体" w:hAnsi="宋体" w:eastAsia="宋体"/>
                <w:b w:val="0"/>
                <w:sz w:val="20"/>
              </w:rPr>
              <w:t>输入电压：AC 180V-265V；额定功率：</w:t>
            </w:r>
            <w:r>
              <w:rPr>
                <w:rFonts w:hint="eastAsia" w:ascii="宋体" w:hAnsi="宋体"/>
                <w:b w:val="0"/>
                <w:sz w:val="20"/>
                <w:lang w:val="en-US" w:eastAsia="zh-CN"/>
              </w:rPr>
              <w:t>6W/</w:t>
            </w:r>
            <w:r>
              <w:rPr>
                <w:rFonts w:ascii="宋体" w:hAnsi="宋体" w:eastAsia="宋体"/>
                <w:b w:val="0"/>
                <w:sz w:val="20"/>
              </w:rPr>
              <w:t>12W；调光范围：0~100%无极柔性调光；光效：≥160lm/W；显色指数：≥80；色温：</w:t>
            </w:r>
            <w:r>
              <w:rPr>
                <w:rFonts w:hint="eastAsia" w:ascii="宋体" w:hAnsi="宋体"/>
                <w:b w:val="0"/>
                <w:sz w:val="20"/>
                <w:lang w:val="en-US" w:eastAsia="zh-CN"/>
              </w:rPr>
              <w:t>4000-</w:t>
            </w:r>
            <w:r>
              <w:rPr>
                <w:rFonts w:ascii="宋体" w:hAnsi="宋体" w:eastAsia="宋体"/>
                <w:b w:val="0"/>
                <w:sz w:val="20"/>
              </w:rPr>
              <w:t>6500K；调光协议：PWM。</w:t>
            </w:r>
          </w:p>
        </w:tc>
      </w:tr>
      <w:tr w14:paraId="1928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2BD6DC90">
            <w:pPr>
              <w:spacing w:after="0" w:line="240" w:lineRule="auto"/>
              <w:jc w:val="center"/>
            </w:pPr>
            <w:r>
              <w:rPr>
                <w:rFonts w:ascii="宋体" w:hAnsi="宋体" w:eastAsia="宋体"/>
                <w:b w:val="0"/>
                <w:sz w:val="20"/>
              </w:rPr>
              <w:t>产品尺寸</w:t>
            </w:r>
          </w:p>
        </w:tc>
        <w:tc>
          <w:tcPr>
            <w:tcW w:w="5749" w:type="dxa"/>
          </w:tcPr>
          <w:p w14:paraId="1B2DF08B">
            <w:pPr>
              <w:spacing w:after="0" w:line="240" w:lineRule="auto"/>
              <w:rPr>
                <w:rFonts w:ascii="宋体" w:hAnsi="宋体" w:eastAsia="宋体"/>
                <w:b w:val="0"/>
                <w:sz w:val="20"/>
              </w:rPr>
            </w:pPr>
            <w:r>
              <w:rPr>
                <w:rFonts w:ascii="宋体" w:hAnsi="宋体" w:eastAsia="宋体"/>
                <w:b w:val="0"/>
                <w:sz w:val="20"/>
              </w:rPr>
              <w:t>6寸筒灯，开孔尺寸：155-160mm，面径尺寸：180mm。</w:t>
            </w:r>
          </w:p>
          <w:p w14:paraId="3E7A98D8">
            <w:pPr>
              <w:spacing w:after="0" w:line="240" w:lineRule="auto"/>
              <w:rPr>
                <w:rFonts w:ascii="宋体" w:hAnsi="宋体" w:eastAsia="宋体"/>
                <w:b w:val="0"/>
                <w:sz w:val="20"/>
              </w:rPr>
            </w:pPr>
            <w:r>
              <w:rPr>
                <w:rFonts w:ascii="宋体" w:hAnsi="宋体" w:eastAsia="宋体"/>
                <w:b w:val="0"/>
                <w:sz w:val="20"/>
              </w:rPr>
              <w:t>4寸筒灯，开孔尺寸：120mm，面径尺寸：144mm。</w:t>
            </w:r>
          </w:p>
        </w:tc>
      </w:tr>
      <w:tr w14:paraId="0BE8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7C7CE962">
            <w:pPr>
              <w:spacing w:after="0" w:line="240" w:lineRule="auto"/>
              <w:jc w:val="center"/>
            </w:pPr>
            <w:r>
              <w:rPr>
                <w:rFonts w:ascii="宋体" w:hAnsi="宋体" w:eastAsia="宋体"/>
                <w:b w:val="0"/>
                <w:sz w:val="20"/>
              </w:rPr>
              <w:t>使用寿命</w:t>
            </w:r>
          </w:p>
        </w:tc>
        <w:tc>
          <w:tcPr>
            <w:tcW w:w="5749" w:type="dxa"/>
          </w:tcPr>
          <w:p w14:paraId="2901CB76">
            <w:pPr>
              <w:spacing w:after="0" w:line="240" w:lineRule="auto"/>
            </w:pPr>
            <w:r>
              <w:rPr>
                <w:rFonts w:ascii="宋体" w:hAnsi="宋体" w:eastAsia="宋体"/>
                <w:b w:val="0"/>
                <w:sz w:val="20"/>
              </w:rPr>
              <w:t>整体寿命≥10年（智慧化控制实现驱动和灯珠处于常温工作，寿命比普通LED高3倍）；5年光衰不高于</w:t>
            </w:r>
            <w:r>
              <w:rPr>
                <w:rFonts w:hint="eastAsia" w:ascii="宋体" w:hAnsi="宋体" w:eastAsia="宋体"/>
                <w:b w:val="0"/>
                <w:sz w:val="20"/>
                <w:lang w:val="en-US" w:eastAsia="zh-CN"/>
              </w:rPr>
              <w:t>5</w:t>
            </w:r>
            <w:r>
              <w:rPr>
                <w:rFonts w:ascii="宋体" w:hAnsi="宋体" w:eastAsia="宋体"/>
                <w:b w:val="0"/>
                <w:sz w:val="20"/>
              </w:rPr>
              <w:t>%。</w:t>
            </w:r>
          </w:p>
        </w:tc>
      </w:tr>
      <w:tr w14:paraId="8E42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7F2CA34C">
            <w:pPr>
              <w:spacing w:after="0" w:line="240" w:lineRule="auto"/>
              <w:jc w:val="center"/>
            </w:pPr>
            <w:r>
              <w:rPr>
                <w:rFonts w:ascii="宋体" w:hAnsi="宋体" w:eastAsia="宋体"/>
                <w:b w:val="0"/>
                <w:sz w:val="20"/>
              </w:rPr>
              <w:t>无线组网与容量</w:t>
            </w:r>
          </w:p>
        </w:tc>
        <w:tc>
          <w:tcPr>
            <w:tcW w:w="5749" w:type="dxa"/>
          </w:tcPr>
          <w:p w14:paraId="C4E2C603">
            <w:pPr>
              <w:spacing w:after="0" w:line="240" w:lineRule="auto"/>
            </w:pPr>
            <w:r>
              <w:rPr>
                <w:rFonts w:ascii="宋体" w:hAnsi="宋体" w:eastAsia="宋体"/>
                <w:b w:val="0"/>
                <w:sz w:val="20"/>
              </w:rPr>
              <w:t>无线网络频段：私有2.4GHz协议；组网方式：无线Mesh网络，支持65335个节点；控制协议：私有物联网控制协议；通信距离：可视距离≥100m，支持多跳接力通信；灯与灯距离无限制；网络特点：去中心化，不因一盏灯故障而导致网络中断，具有自组织、自适应、自感知、自学习、自管理、自愈合特点。</w:t>
            </w:r>
          </w:p>
        </w:tc>
      </w:tr>
      <w:tr w14:paraId="658B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DBAC5AD5">
            <w:pPr>
              <w:spacing w:after="0" w:line="240" w:lineRule="auto"/>
              <w:jc w:val="center"/>
            </w:pPr>
            <w:r>
              <w:rPr>
                <w:rFonts w:ascii="宋体" w:hAnsi="宋体" w:eastAsia="宋体"/>
                <w:b w:val="0"/>
                <w:sz w:val="20"/>
              </w:rPr>
              <w:t>AI感知功能</w:t>
            </w:r>
          </w:p>
        </w:tc>
        <w:tc>
          <w:tcPr>
            <w:tcW w:w="5749" w:type="dxa"/>
          </w:tcPr>
          <w:p w14:paraId="25BB7B68">
            <w:pPr>
              <w:spacing w:after="0" w:line="240" w:lineRule="auto"/>
            </w:pPr>
            <w:r>
              <w:rPr>
                <w:rFonts w:ascii="宋体" w:hAnsi="宋体" w:eastAsia="宋体"/>
                <w:b w:val="0"/>
                <w:sz w:val="20"/>
              </w:rPr>
              <w:t>FOLLOW ME、AI自学习、按需配置、云端管理四合一；手机、电脑控制，时间、灵敏度等参数可配置；无感节能：每盏灯都能感知到人，提前点亮前方区域的灯，人离开后灯自动休眠，随着人移动实现灯随人动效果。</w:t>
            </w:r>
          </w:p>
        </w:tc>
      </w:tr>
      <w:tr w14:paraId="60E0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049DF065">
            <w:pPr>
              <w:spacing w:after="0" w:line="240" w:lineRule="auto"/>
              <w:jc w:val="center"/>
            </w:pPr>
            <w:r>
              <w:rPr>
                <w:rFonts w:ascii="宋体" w:hAnsi="宋体" w:eastAsia="宋体"/>
                <w:b w:val="0"/>
                <w:sz w:val="20"/>
              </w:rPr>
              <w:t>节能效果</w:t>
            </w:r>
          </w:p>
        </w:tc>
        <w:tc>
          <w:tcPr>
            <w:tcW w:w="5749" w:type="dxa"/>
          </w:tcPr>
          <w:p w14:paraId="FD915CE0">
            <w:pPr>
              <w:spacing w:after="0" w:line="240" w:lineRule="auto"/>
            </w:pPr>
            <w:r>
              <w:rPr>
                <w:rFonts w:ascii="宋体" w:hAnsi="宋体" w:eastAsia="宋体"/>
                <w:b w:val="0"/>
                <w:sz w:val="20"/>
              </w:rPr>
              <w:t>高光效基础上通过智慧控制技术，公共区域节能率≥60%，相对常亮灯具，节能率70%以上。</w:t>
            </w:r>
          </w:p>
        </w:tc>
      </w:tr>
      <w:tr w14:paraId="0C73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dxa"/>
            <w:vAlign w:val="center"/>
          </w:tcPr>
          <w:p w14:paraId="5D0B6400">
            <w:pPr>
              <w:spacing w:after="0" w:line="240" w:lineRule="auto"/>
              <w:jc w:val="center"/>
              <w:rPr>
                <w:rFonts w:hint="default" w:eastAsia="宋体"/>
                <w:lang w:val="en-US" w:eastAsia="zh-CN"/>
              </w:rPr>
            </w:pPr>
            <w:r>
              <w:rPr>
                <w:rFonts w:hint="eastAsia" w:ascii="宋体" w:hAnsi="宋体"/>
                <w:b w:val="0"/>
                <w:sz w:val="20"/>
                <w:lang w:val="en-US" w:eastAsia="zh-CN"/>
              </w:rPr>
              <w:t>功能配置</w:t>
            </w:r>
          </w:p>
        </w:tc>
        <w:tc>
          <w:tcPr>
            <w:tcW w:w="5749" w:type="dxa"/>
          </w:tcPr>
          <w:p w14:paraId="E60F7C79">
            <w:pPr>
              <w:spacing w:after="0" w:line="240" w:lineRule="auto"/>
            </w:pPr>
            <w:r>
              <w:rPr>
                <w:rFonts w:ascii="宋体" w:hAnsi="宋体" w:eastAsia="宋体"/>
                <w:b w:val="0"/>
                <w:sz w:val="20"/>
              </w:rPr>
              <w:t>免配置交付：现场0配置交付，通电即配网，和普通LED安装方式一样；支持现场遥控器/手机APP微调亮灯模式，满足不同用户需求，效果所见即所得；可实现分时控制、远程控制、能耗统计与分析、人员分布数据采集、项目管理、多用户管理、图形化管理等功能。</w:t>
            </w:r>
          </w:p>
        </w:tc>
      </w:tr>
    </w:tbl>
    <w:p w14:paraId="3663408C">
      <w:pPr>
        <w:pStyle w:val="8"/>
        <w:ind w:firstLine="422" w:firstLineChars="200"/>
        <w:rPr>
          <w:rFonts w:hint="eastAsia" w:ascii="宋体" w:hAnsi="宋体" w:eastAsia="宋体" w:cs="宋体"/>
          <w:b/>
          <w:bCs/>
          <w:kern w:val="2"/>
          <w:sz w:val="21"/>
          <w:szCs w:val="21"/>
          <w:highlight w:val="none"/>
          <w:lang w:val="en-US" w:eastAsia="zh-CN" w:bidi="ar-SA"/>
        </w:rPr>
      </w:pPr>
    </w:p>
    <w:p w14:paraId="38EFD20F">
      <w:pPr>
        <w:pStyle w:val="3"/>
        <w:ind w:firstLine="422" w:firstLineChars="200"/>
      </w:pPr>
      <w:r>
        <w:rPr>
          <w:rFonts w:hint="eastAsia" w:ascii="宋体" w:hAnsi="宋体" w:cs="宋体"/>
          <w:b/>
          <w:bCs/>
          <w:color w:val="000000"/>
          <w:kern w:val="2"/>
          <w:sz w:val="21"/>
          <w:szCs w:val="21"/>
          <w:highlight w:val="none"/>
          <w:lang w:val="en-US" w:eastAsia="zh-CN" w:bidi="ar-SA"/>
        </w:rPr>
        <w:t>1.2.4</w:t>
      </w:r>
      <w:r>
        <w:rPr>
          <w:rFonts w:hint="eastAsia" w:ascii="宋体" w:hAnsi="宋体" w:eastAsia="宋体" w:cs="宋体"/>
          <w:b/>
          <w:bCs/>
          <w:color w:val="000000"/>
          <w:kern w:val="2"/>
          <w:sz w:val="21"/>
          <w:szCs w:val="21"/>
          <w:highlight w:val="none"/>
          <w:lang w:val="en-US" w:eastAsia="zh-CN" w:bidi="ar-SA"/>
        </w:rPr>
        <w:t>公共区域专用智慧网关</w:t>
      </w:r>
    </w:p>
    <w:p w14:paraId="70A24EC8">
      <w:pPr>
        <w:ind w:firstLine="420" w:firstLineChars="200"/>
        <w:rPr>
          <w:rFonts w:ascii="宋体" w:hAnsi="宋体" w:eastAsia="宋体"/>
          <w:b w:val="0"/>
          <w:sz w:val="21"/>
        </w:rPr>
      </w:pPr>
      <w:r>
        <w:rPr>
          <w:rFonts w:ascii="宋体" w:hAnsi="宋体" w:eastAsia="宋体"/>
          <w:b w:val="0"/>
          <w:sz w:val="21"/>
        </w:rPr>
        <w:t>本网关为公共区域专用，负责公共区域所有照明设备、感知设备的数据交互、控制指令下发及联动管控，不参与办公区域任何设备管控；支持自由组网配置、分组管控设置，所有数据同步至项目综合控制平台，实现与办公区域设备的统一管控、数据互通，确保公共区域智能化系统独立、稳定运行。</w:t>
      </w:r>
      <w:r>
        <w:rPr>
          <w:rFonts w:hint="eastAsia" w:ascii="宋体" w:hAnsi="宋体"/>
          <w:b w:val="0"/>
          <w:sz w:val="21"/>
          <w:lang w:val="en-US" w:eastAsia="zh-CN"/>
        </w:rPr>
        <w:t>所有网络必须安全稳定可靠确保</w:t>
      </w:r>
      <w:r>
        <w:rPr>
          <w:rFonts w:ascii="宋体" w:hAnsi="宋体" w:eastAsia="宋体"/>
          <w:b w:val="0"/>
          <w:sz w:val="21"/>
        </w:rPr>
        <w:t>服务器的指令发送到每盏灯。</w:t>
      </w:r>
    </w:p>
    <w:p w14:paraId="13F2823A">
      <w:pPr>
        <w:ind w:firstLine="420" w:firstLineChars="200"/>
        <w:rPr>
          <w:rFonts w:ascii="宋体" w:hAnsi="宋体" w:eastAsia="宋体"/>
          <w:b w:val="0"/>
          <w:sz w:val="21"/>
        </w:rPr>
      </w:pPr>
    </w:p>
    <w:tbl>
      <w:tblPr>
        <w:tblStyle w:val="21"/>
        <w:tblW w:w="0" w:type="auto"/>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5749"/>
      </w:tblGrid>
      <w:tr w14:paraId="12E1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3473D8CD">
            <w:pPr>
              <w:spacing w:after="0" w:line="240" w:lineRule="auto"/>
              <w:jc w:val="center"/>
            </w:pPr>
            <w:r>
              <w:rPr>
                <w:rFonts w:ascii="宋体" w:hAnsi="宋体" w:eastAsia="宋体"/>
                <w:b/>
                <w:sz w:val="21"/>
              </w:rPr>
              <w:t>类别</w:t>
            </w:r>
          </w:p>
        </w:tc>
        <w:tc>
          <w:tcPr>
            <w:tcW w:w="5749" w:type="dxa"/>
          </w:tcPr>
          <w:p w14:paraId="4719E79C">
            <w:pPr>
              <w:spacing w:after="0" w:line="240" w:lineRule="auto"/>
              <w:jc w:val="center"/>
            </w:pPr>
            <w:r>
              <w:rPr>
                <w:rFonts w:ascii="宋体" w:hAnsi="宋体" w:eastAsia="宋体"/>
                <w:b/>
                <w:sz w:val="21"/>
              </w:rPr>
              <w:t>技术参数要求</w:t>
            </w:r>
          </w:p>
        </w:tc>
      </w:tr>
      <w:tr w14:paraId="333C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04F5C17E">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电特性参数</w:t>
            </w:r>
          </w:p>
        </w:tc>
        <w:tc>
          <w:tcPr>
            <w:tcW w:w="5749" w:type="dxa"/>
            <w:vAlign w:val="center"/>
          </w:tcPr>
          <w:p w14:paraId="358E6699">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输入电压：AC 220V；频率：50/60Hz；功率因素：≥0.5；额定功率：0.7W。</w:t>
            </w:r>
          </w:p>
        </w:tc>
      </w:tr>
      <w:tr w14:paraId="3A8F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0D9D0633">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功能参数</w:t>
            </w:r>
          </w:p>
        </w:tc>
        <w:tc>
          <w:tcPr>
            <w:tcW w:w="5749" w:type="dxa"/>
            <w:vAlign w:val="center"/>
          </w:tcPr>
          <w:p w14:paraId="1F9BB9B9">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无线MESH（私有2.4GHz协议）；接入节点数量：≥1000盏灯；无线频段：2.4GHz；通信可视距离：≥100m；内置AI神经网络算法；</w:t>
            </w:r>
          </w:p>
        </w:tc>
      </w:tr>
      <w:tr w14:paraId="0962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3EECA18D">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物理参数</w:t>
            </w:r>
          </w:p>
        </w:tc>
        <w:tc>
          <w:tcPr>
            <w:tcW w:w="5749" w:type="dxa"/>
            <w:vAlign w:val="center"/>
          </w:tcPr>
          <w:p w14:paraId="7D8EC877">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主体材质：V0级阻燃材质；防护等级：IP65（适合多种安装环境）。</w:t>
            </w:r>
          </w:p>
        </w:tc>
      </w:tr>
      <w:tr w14:paraId="6029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2F41CA84">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环境参数</w:t>
            </w:r>
          </w:p>
        </w:tc>
        <w:tc>
          <w:tcPr>
            <w:tcW w:w="5749" w:type="dxa"/>
            <w:vAlign w:val="center"/>
          </w:tcPr>
          <w:p w14:paraId="66D62D5A">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工作环境：-40℃——+50℃；储藏环境：-25℃——+65℃。</w:t>
            </w:r>
          </w:p>
        </w:tc>
      </w:tr>
      <w:tr w14:paraId="7CCD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0ED126FC">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安装方式</w:t>
            </w:r>
          </w:p>
        </w:tc>
        <w:tc>
          <w:tcPr>
            <w:tcW w:w="5749" w:type="dxa"/>
            <w:vAlign w:val="center"/>
          </w:tcPr>
          <w:p w14:paraId="27AFD623">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平躺或垂直安装；安装于公共区域专用强/弱电间，与办公区域设备物理隔离。</w:t>
            </w:r>
          </w:p>
        </w:tc>
      </w:tr>
      <w:tr w14:paraId="2B94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06DF84DB">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设计寿命</w:t>
            </w:r>
          </w:p>
        </w:tc>
        <w:tc>
          <w:tcPr>
            <w:tcW w:w="5749" w:type="dxa"/>
            <w:vAlign w:val="center"/>
          </w:tcPr>
          <w:p w14:paraId="21F84363">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&gt;10年。</w:t>
            </w:r>
          </w:p>
        </w:tc>
      </w:tr>
      <w:tr w14:paraId="4895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1C9ADED6">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核心功能</w:t>
            </w:r>
          </w:p>
        </w:tc>
        <w:tc>
          <w:tcPr>
            <w:tcW w:w="5749" w:type="dxa"/>
            <w:vAlign w:val="center"/>
          </w:tcPr>
          <w:p w14:paraId="4EA6B866">
            <w:pPr>
              <w:spacing w:after="0" w:line="240" w:lineRule="auto"/>
              <w:jc w:val="left"/>
              <w:rPr>
                <w:rFonts w:hint="eastAsia" w:ascii="宋体" w:hAnsi="宋体"/>
                <w:b w:val="0"/>
                <w:sz w:val="20"/>
                <w:lang w:val="en-US" w:eastAsia="zh-CN"/>
              </w:rPr>
            </w:pPr>
            <w:r>
              <w:rPr>
                <w:rFonts w:hint="eastAsia" w:ascii="宋体" w:hAnsi="宋体"/>
                <w:b w:val="0"/>
                <w:sz w:val="20"/>
                <w:lang w:val="en-US" w:eastAsia="zh-CN"/>
              </w:rPr>
              <w:t>数据交互能力：可下发控制命令（组网配置、分组设置、亮度调节、开关控制等）至公共区域所有终端照明设备、感知设备；上行采集照明设备、感知设备的能耗、运行状态、环境数据，数据上传延迟≤3s，同步至综合控制平台；设备管理能力：单网关管理节点数量≥1000个，可覆盖全公共区域照明、感知设备，支持节点扩展、自由组网配置、任意分组设置，满足公共区域后续设备新增及分区管理需求；控制策略：支持分时、分区、场景化、分组控制策略下发，可按公共区域的楼层、区域、时段设定开关灯、亮度调节规则，从技术层面杜绝"长明灯"问题；支持光感联动策略配置，联动感知设备实现亮度自动调节,实现公共区域照明的智能化联动调控，减少人工干预；独立性：仅管控公共区域设备，与办公区域网关完全隔离，不共享任何控制逻辑及数据，确保公共区域系统稳定性；同时支持通过综合控制平台接收统一管控指令，实现两大区域协同管理；稳定性：工业级设计，高可靠，支持7×24小时不间断运行，节点数据获取成功率100%，年故障率≤0.05%。</w:t>
            </w:r>
          </w:p>
        </w:tc>
      </w:tr>
      <w:tr w14:paraId="0D28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14:paraId="0D4E5799">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安装与供电</w:t>
            </w:r>
          </w:p>
        </w:tc>
        <w:tc>
          <w:tcPr>
            <w:tcW w:w="5749" w:type="dxa"/>
            <w:vAlign w:val="center"/>
          </w:tcPr>
          <w:p w14:paraId="2BC4EDED">
            <w:pPr>
              <w:spacing w:after="0" w:line="240" w:lineRule="auto"/>
              <w:jc w:val="center"/>
              <w:rPr>
                <w:rFonts w:hint="eastAsia" w:ascii="宋体" w:hAnsi="宋体"/>
                <w:b w:val="0"/>
                <w:sz w:val="20"/>
                <w:lang w:val="en-US" w:eastAsia="zh-CN"/>
              </w:rPr>
            </w:pPr>
            <w:r>
              <w:rPr>
                <w:rFonts w:hint="eastAsia" w:ascii="宋体" w:hAnsi="宋体"/>
                <w:b w:val="0"/>
                <w:sz w:val="20"/>
                <w:lang w:val="en-US" w:eastAsia="zh-CN"/>
              </w:rPr>
              <w:t>输入电压：AC 220V/DC 9-12V，两种供电方式可选；安装方式：吸顶安装或壁挂安装，外观简洁，适配公共区域装修风格；防护等级：IP54，地下车库专用款防护等级≥IP65（适应潮湿环境）。</w:t>
            </w:r>
          </w:p>
        </w:tc>
      </w:tr>
    </w:tbl>
    <w:p w14:paraId="17C667F0">
      <w:pPr>
        <w:pStyle w:val="3"/>
        <w:ind w:firstLine="422" w:firstLineChars="200"/>
        <w:rPr>
          <w:rFonts w:hint="eastAsia" w:ascii="宋体" w:hAnsi="宋体" w:cs="宋体"/>
          <w:b/>
          <w:bCs/>
          <w:color w:val="000000"/>
          <w:kern w:val="2"/>
          <w:sz w:val="21"/>
          <w:szCs w:val="21"/>
          <w:highlight w:val="none"/>
          <w:lang w:val="en-US" w:eastAsia="zh-CN" w:bidi="ar-SA"/>
        </w:rPr>
      </w:pPr>
      <w:r>
        <w:rPr>
          <w:rFonts w:hint="eastAsia" w:ascii="宋体" w:hAnsi="宋体" w:cs="宋体"/>
          <w:b/>
          <w:bCs/>
          <w:color w:val="000000"/>
          <w:kern w:val="2"/>
          <w:sz w:val="21"/>
          <w:szCs w:val="21"/>
          <w:highlight w:val="none"/>
          <w:lang w:val="en-US" w:eastAsia="zh-CN" w:bidi="ar-SA"/>
        </w:rPr>
        <w:t>1.2.5办公区域智慧化改造技术参数要求</w:t>
      </w:r>
    </w:p>
    <w:p w14:paraId="248BEA64">
      <w:pPr>
        <w:ind w:firstLine="420" w:firstLineChars="200"/>
      </w:pPr>
      <w:r>
        <w:rPr>
          <w:rFonts w:ascii="宋体" w:hAnsi="宋体" w:eastAsia="宋体"/>
          <w:b w:val="0"/>
          <w:sz w:val="21"/>
        </w:rPr>
        <w:t>改造范围开放式办公区、独立办公室、大小型会议室等办公区域，实施照明系统智能化改造、空调面板智能化改造，配置办公区域专用AIoT智慧网关，部署配套感知设备，实现照明、空调的节能管控与智能联动，解决阳光充足情况下</w:t>
      </w:r>
      <w:r>
        <w:rPr>
          <w:rFonts w:hint="eastAsia" w:ascii="宋体" w:hAnsi="宋体"/>
          <w:b w:val="0"/>
          <w:sz w:val="21"/>
          <w:lang w:val="en-US" w:eastAsia="zh-CN"/>
        </w:rPr>
        <w:t>自动调节灯光</w:t>
      </w:r>
      <w:r>
        <w:rPr>
          <w:rFonts w:ascii="宋体" w:hAnsi="宋体" w:eastAsia="宋体"/>
          <w:b w:val="0"/>
          <w:sz w:val="21"/>
        </w:rPr>
        <w:t>、</w:t>
      </w:r>
      <w:r>
        <w:rPr>
          <w:rFonts w:hint="eastAsia" w:ascii="宋体" w:hAnsi="宋体"/>
          <w:b w:val="0"/>
          <w:sz w:val="21"/>
          <w:lang w:val="en-US" w:eastAsia="zh-CN"/>
        </w:rPr>
        <w:t>区域</w:t>
      </w:r>
      <w:r>
        <w:rPr>
          <w:rFonts w:ascii="宋体" w:hAnsi="宋体" w:eastAsia="宋体"/>
          <w:b w:val="0"/>
          <w:sz w:val="21"/>
        </w:rPr>
        <w:t>没人灯</w:t>
      </w:r>
      <w:r>
        <w:rPr>
          <w:rFonts w:hint="eastAsia" w:ascii="宋体" w:hAnsi="宋体"/>
          <w:b w:val="0"/>
          <w:sz w:val="21"/>
          <w:lang w:val="en-US" w:eastAsia="zh-CN"/>
        </w:rPr>
        <w:t>光自动关闭、</w:t>
      </w:r>
      <w:r>
        <w:rPr>
          <w:rFonts w:ascii="宋体" w:hAnsi="宋体" w:eastAsia="宋体"/>
          <w:b w:val="0"/>
          <w:sz w:val="21"/>
        </w:rPr>
        <w:t>下班</w:t>
      </w:r>
      <w:r>
        <w:rPr>
          <w:rFonts w:hint="eastAsia" w:ascii="宋体" w:hAnsi="宋体"/>
          <w:b w:val="0"/>
          <w:sz w:val="21"/>
          <w:lang w:val="en-US" w:eastAsia="zh-CN"/>
        </w:rPr>
        <w:t>时间</w:t>
      </w:r>
      <w:r>
        <w:rPr>
          <w:rFonts w:ascii="宋体" w:hAnsi="宋体" w:eastAsia="宋体"/>
          <w:b w:val="0"/>
          <w:sz w:val="21"/>
        </w:rPr>
        <w:t>空调</w:t>
      </w:r>
      <w:r>
        <w:rPr>
          <w:rFonts w:hint="eastAsia" w:ascii="宋体" w:hAnsi="宋体"/>
          <w:b w:val="0"/>
          <w:sz w:val="21"/>
          <w:lang w:val="en-US" w:eastAsia="zh-CN"/>
        </w:rPr>
        <w:t>自动关闭，空调面板具备温度检测、手动、自动调节功能</w:t>
      </w:r>
      <w:r>
        <w:rPr>
          <w:rFonts w:ascii="宋体" w:hAnsi="宋体" w:eastAsia="宋体"/>
          <w:b w:val="0"/>
          <w:sz w:val="21"/>
        </w:rPr>
        <w:t>；所有设备接入项目综合控制平台，与公共区域设备实现统一管控、数据互通，提升办公区域智能化水平与节能效果。</w:t>
      </w:r>
    </w:p>
    <w:p w14:paraId="6CE12954">
      <w:pPr>
        <w:pStyle w:val="3"/>
        <w:ind w:firstLine="422" w:firstLineChars="200"/>
      </w:pPr>
      <w:r>
        <w:rPr>
          <w:rFonts w:hint="eastAsia" w:ascii="宋体" w:hAnsi="宋体" w:cs="宋体"/>
          <w:b/>
          <w:bCs/>
          <w:color w:val="000000"/>
          <w:kern w:val="2"/>
          <w:sz w:val="21"/>
          <w:szCs w:val="21"/>
          <w:highlight w:val="none"/>
          <w:lang w:val="en-US" w:eastAsia="zh-CN" w:bidi="ar-SA"/>
        </w:rPr>
        <w:t>1.2.6物联网平板灯（开放式办公区/会议室专用）</w:t>
      </w:r>
    </w:p>
    <w:tbl>
      <w:tblPr>
        <w:tblStyle w:val="21"/>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4"/>
        <w:gridCol w:w="5737"/>
      </w:tblGrid>
      <w:tr w14:paraId="4DD9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tcPr>
          <w:p w14:paraId="002A307A">
            <w:pPr>
              <w:spacing w:after="0" w:line="240" w:lineRule="auto"/>
              <w:jc w:val="center"/>
            </w:pPr>
            <w:r>
              <w:rPr>
                <w:rFonts w:ascii="宋体" w:hAnsi="宋体" w:eastAsia="宋体"/>
                <w:b/>
                <w:sz w:val="21"/>
              </w:rPr>
              <w:t>类别</w:t>
            </w:r>
          </w:p>
        </w:tc>
        <w:tc>
          <w:tcPr>
            <w:tcW w:w="5737" w:type="dxa"/>
          </w:tcPr>
          <w:p w14:paraId="4612B04A">
            <w:pPr>
              <w:spacing w:after="0" w:line="240" w:lineRule="auto"/>
              <w:jc w:val="center"/>
            </w:pPr>
            <w:r>
              <w:rPr>
                <w:rFonts w:ascii="宋体" w:hAnsi="宋体" w:eastAsia="宋体"/>
                <w:b/>
                <w:sz w:val="21"/>
              </w:rPr>
              <w:t>技术参数要求</w:t>
            </w:r>
          </w:p>
        </w:tc>
      </w:tr>
      <w:tr w14:paraId="7F58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07360CB3">
            <w:pPr>
              <w:spacing w:after="0" w:line="240" w:lineRule="auto"/>
              <w:jc w:val="center"/>
            </w:pPr>
            <w:r>
              <w:rPr>
                <w:rFonts w:ascii="宋体" w:hAnsi="宋体" w:eastAsia="宋体"/>
                <w:b w:val="0"/>
                <w:sz w:val="20"/>
              </w:rPr>
              <w:t>电气参数</w:t>
            </w:r>
          </w:p>
        </w:tc>
        <w:tc>
          <w:tcPr>
            <w:tcW w:w="5737" w:type="dxa"/>
          </w:tcPr>
          <w:p w14:paraId="4AF9DCB8">
            <w:pPr>
              <w:spacing w:after="0" w:line="240" w:lineRule="auto"/>
            </w:pPr>
            <w:r>
              <w:rPr>
                <w:rFonts w:ascii="宋体" w:hAnsi="宋体" w:eastAsia="宋体"/>
                <w:b w:val="0"/>
                <w:sz w:val="20"/>
              </w:rPr>
              <w:t>输入电压：AC 110V-240V；额定功率：</w:t>
            </w:r>
            <w:r>
              <w:rPr>
                <w:rFonts w:hint="eastAsia" w:ascii="宋体" w:hAnsi="宋体"/>
                <w:b w:val="0"/>
                <w:sz w:val="20"/>
                <w:lang w:val="en-US" w:eastAsia="zh-CN"/>
              </w:rPr>
              <w:t>24/</w:t>
            </w:r>
            <w:r>
              <w:rPr>
                <w:rFonts w:ascii="宋体" w:hAnsi="宋体" w:eastAsia="宋体"/>
                <w:b w:val="0"/>
                <w:sz w:val="20"/>
              </w:rPr>
              <w:t>36W；调光范围：0~100%无极调光；光效：≥1</w:t>
            </w:r>
            <w:r>
              <w:rPr>
                <w:rFonts w:hint="eastAsia" w:ascii="宋体" w:hAnsi="宋体"/>
                <w:b w:val="0"/>
                <w:sz w:val="20"/>
                <w:lang w:val="en-US" w:eastAsia="zh-CN"/>
              </w:rPr>
              <w:t>6</w:t>
            </w:r>
            <w:r>
              <w:rPr>
                <w:rFonts w:ascii="宋体" w:hAnsi="宋体" w:eastAsia="宋体"/>
                <w:b w:val="0"/>
                <w:sz w:val="20"/>
              </w:rPr>
              <w:t>0lm/W；色温：6000K-6500K；电源：PWM调光电源；材质：铝+PC；颜色：白色；尺寸：600×600mm。</w:t>
            </w:r>
          </w:p>
        </w:tc>
      </w:tr>
      <w:tr w14:paraId="7167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776FEA73">
            <w:pPr>
              <w:spacing w:after="0" w:line="240" w:lineRule="auto"/>
              <w:jc w:val="center"/>
            </w:pPr>
            <w:r>
              <w:rPr>
                <w:rFonts w:ascii="宋体" w:hAnsi="宋体" w:eastAsia="宋体"/>
                <w:b w:val="0"/>
                <w:sz w:val="20"/>
              </w:rPr>
              <w:t>传感器配置</w:t>
            </w:r>
          </w:p>
        </w:tc>
        <w:tc>
          <w:tcPr>
            <w:tcW w:w="5737" w:type="dxa"/>
          </w:tcPr>
          <w:p w14:paraId="342F0F45">
            <w:pPr>
              <w:spacing w:after="0" w:line="240" w:lineRule="auto"/>
            </w:pPr>
            <w:r>
              <w:rPr>
                <w:rFonts w:ascii="宋体" w:hAnsi="宋体" w:eastAsia="宋体"/>
                <w:b w:val="0"/>
                <w:sz w:val="20"/>
              </w:rPr>
              <w:t>每个灯具均含有</w:t>
            </w:r>
            <w:r>
              <w:rPr>
                <w:rFonts w:hint="eastAsia" w:ascii="宋体" w:hAnsi="宋体"/>
                <w:b w:val="0"/>
                <w:sz w:val="20"/>
                <w:lang w:eastAsia="zh-CN"/>
              </w:rPr>
              <w:t>雷达微波感应</w:t>
            </w:r>
            <w:r>
              <w:rPr>
                <w:rFonts w:ascii="宋体" w:hAnsi="宋体" w:eastAsia="宋体"/>
                <w:b w:val="0"/>
                <w:sz w:val="20"/>
              </w:rPr>
              <w:t>传感器接入；</w:t>
            </w:r>
            <w:r>
              <w:rPr>
                <w:rFonts w:hint="eastAsia" w:ascii="宋体" w:hAnsi="宋体"/>
                <w:b w:val="0"/>
                <w:sz w:val="20"/>
                <w:lang w:val="en-US" w:eastAsia="zh-CN"/>
              </w:rPr>
              <w:t>具备单灯单控、自定义组网、自动控制、手动控制功能，</w:t>
            </w:r>
            <w:r>
              <w:rPr>
                <w:rFonts w:ascii="宋体" w:hAnsi="宋体" w:eastAsia="宋体"/>
                <w:b w:val="0"/>
                <w:sz w:val="20"/>
              </w:rPr>
              <w:t>支持开关联动、空调联动、新风联动、插座联动、窗帘联动等。</w:t>
            </w:r>
          </w:p>
        </w:tc>
      </w:tr>
      <w:tr w14:paraId="06CD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1BAA0504">
            <w:pPr>
              <w:spacing w:after="0" w:line="240" w:lineRule="auto"/>
              <w:jc w:val="center"/>
            </w:pPr>
            <w:r>
              <w:rPr>
                <w:rFonts w:ascii="宋体" w:hAnsi="宋体" w:eastAsia="宋体"/>
                <w:b w:val="0"/>
                <w:sz w:val="20"/>
              </w:rPr>
              <w:t>无线组网与分组管控</w:t>
            </w:r>
          </w:p>
        </w:tc>
        <w:tc>
          <w:tcPr>
            <w:tcW w:w="5737" w:type="dxa"/>
          </w:tcPr>
          <w:p w14:paraId="0AC035B4">
            <w:pPr>
              <w:spacing w:after="0" w:line="240" w:lineRule="auto"/>
            </w:pPr>
            <w:r>
              <w:rPr>
                <w:rFonts w:ascii="宋体" w:hAnsi="宋体" w:eastAsia="宋体"/>
                <w:b w:val="0"/>
                <w:sz w:val="20"/>
              </w:rPr>
              <w:t>无线网络频段：组网方式：无线Mesh网络，支持65335个节点，支持自由组网；分组管控：支持无线分组、分时分区控制；通信距离：可视距离100-200m，环境距离30-50m。</w:t>
            </w:r>
          </w:p>
        </w:tc>
      </w:tr>
      <w:tr w14:paraId="0879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14:paraId="6931C9A3">
            <w:pPr>
              <w:spacing w:after="0" w:line="240" w:lineRule="auto"/>
              <w:jc w:val="center"/>
            </w:pPr>
            <w:r>
              <w:rPr>
                <w:rFonts w:ascii="宋体" w:hAnsi="宋体" w:eastAsia="宋体"/>
                <w:b w:val="0"/>
                <w:sz w:val="20"/>
              </w:rPr>
              <w:t>核心功能</w:t>
            </w:r>
          </w:p>
        </w:tc>
        <w:tc>
          <w:tcPr>
            <w:tcW w:w="5737" w:type="dxa"/>
          </w:tcPr>
          <w:p w14:paraId="47327284">
            <w:pPr>
              <w:spacing w:after="0" w:line="240" w:lineRule="auto"/>
            </w:pPr>
            <w:r>
              <w:rPr>
                <w:rFonts w:ascii="宋体" w:hAnsi="宋体" w:eastAsia="宋体"/>
                <w:b w:val="0"/>
                <w:sz w:val="20"/>
              </w:rPr>
              <w:t>场景模式控制；本地控制；远程控制；支持开关联动、空调联动、新风联动、插座联动、窗帘联动等；</w:t>
            </w:r>
            <w:r>
              <w:rPr>
                <w:rFonts w:hint="eastAsia" w:ascii="宋体" w:hAnsi="宋体"/>
                <w:b w:val="0"/>
                <w:sz w:val="20"/>
                <w:lang w:eastAsia="zh-CN"/>
              </w:rPr>
              <w:t>雷达微波感应</w:t>
            </w:r>
            <w:r>
              <w:rPr>
                <w:rFonts w:ascii="宋体" w:hAnsi="宋体" w:eastAsia="宋体"/>
                <w:b w:val="0"/>
                <w:sz w:val="20"/>
              </w:rPr>
              <w:t>传感器接入。</w:t>
            </w:r>
          </w:p>
        </w:tc>
      </w:tr>
    </w:tbl>
    <w:p w14:paraId="385C8D5E">
      <w:pPr>
        <w:pStyle w:val="3"/>
        <w:ind w:firstLine="422" w:firstLineChars="200"/>
        <w:rPr>
          <w:rFonts w:hint="eastAsia" w:ascii="宋体" w:hAnsi="宋体" w:cs="宋体"/>
          <w:b/>
          <w:bCs/>
          <w:color w:val="000000"/>
          <w:kern w:val="2"/>
          <w:sz w:val="21"/>
          <w:szCs w:val="21"/>
          <w:highlight w:val="none"/>
          <w:lang w:val="en-US" w:eastAsia="zh-CN" w:bidi="ar-SA"/>
        </w:rPr>
      </w:pPr>
      <w:r>
        <w:rPr>
          <w:rFonts w:hint="eastAsia" w:ascii="宋体" w:hAnsi="宋体" w:cs="宋体"/>
          <w:b/>
          <w:bCs/>
          <w:color w:val="000000"/>
          <w:kern w:val="2"/>
          <w:sz w:val="21"/>
          <w:szCs w:val="21"/>
          <w:highlight w:val="none"/>
          <w:lang w:val="en-US" w:eastAsia="zh-CN" w:bidi="ar-SA"/>
        </w:rPr>
        <w:t>智慧场景面板（替换原开关）</w:t>
      </w:r>
    </w:p>
    <w:tbl>
      <w:tblPr>
        <w:tblStyle w:val="21"/>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8"/>
        <w:gridCol w:w="5713"/>
      </w:tblGrid>
      <w:tr w14:paraId="5745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tcPr>
          <w:p w14:paraId="26623991">
            <w:pPr>
              <w:spacing w:after="0" w:line="240" w:lineRule="auto"/>
              <w:jc w:val="center"/>
            </w:pPr>
            <w:r>
              <w:rPr>
                <w:rFonts w:ascii="宋体" w:hAnsi="宋体" w:eastAsia="宋体"/>
                <w:b/>
                <w:sz w:val="21"/>
              </w:rPr>
              <w:t>类别</w:t>
            </w:r>
          </w:p>
        </w:tc>
        <w:tc>
          <w:tcPr>
            <w:tcW w:w="5713" w:type="dxa"/>
          </w:tcPr>
          <w:p w14:paraId="59190335">
            <w:pPr>
              <w:spacing w:after="0" w:line="240" w:lineRule="auto"/>
              <w:jc w:val="center"/>
            </w:pPr>
            <w:r>
              <w:rPr>
                <w:rFonts w:ascii="宋体" w:hAnsi="宋体" w:eastAsia="宋体"/>
                <w:b/>
                <w:sz w:val="21"/>
              </w:rPr>
              <w:t>技术参数要求</w:t>
            </w:r>
          </w:p>
        </w:tc>
      </w:tr>
      <w:tr w14:paraId="6BBB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Align w:val="center"/>
          </w:tcPr>
          <w:p w14:paraId="4923F900">
            <w:pPr>
              <w:spacing w:after="0" w:line="240" w:lineRule="auto"/>
              <w:jc w:val="center"/>
            </w:pPr>
            <w:r>
              <w:rPr>
                <w:rFonts w:ascii="宋体" w:hAnsi="宋体" w:eastAsia="宋体"/>
                <w:b w:val="0"/>
                <w:sz w:val="20"/>
              </w:rPr>
              <w:t>基本参数</w:t>
            </w:r>
          </w:p>
        </w:tc>
        <w:tc>
          <w:tcPr>
            <w:tcW w:w="5713" w:type="dxa"/>
          </w:tcPr>
          <w:p w14:paraId="407FED94">
            <w:pPr>
              <w:spacing w:after="0" w:line="240" w:lineRule="auto"/>
            </w:pPr>
            <w:r>
              <w:rPr>
                <w:rFonts w:ascii="宋体" w:hAnsi="宋体" w:eastAsia="宋体"/>
                <w:b w:val="0"/>
                <w:sz w:val="20"/>
              </w:rPr>
              <w:t>安装方式：86盒安装；通信方式：无线mesh通信；按键数量：6个按键的自定义设置。</w:t>
            </w:r>
          </w:p>
        </w:tc>
      </w:tr>
      <w:tr w14:paraId="1964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Align w:val="center"/>
          </w:tcPr>
          <w:p w14:paraId="30B34B82">
            <w:pPr>
              <w:spacing w:after="0" w:line="240" w:lineRule="auto"/>
              <w:jc w:val="center"/>
            </w:pPr>
            <w:r>
              <w:rPr>
                <w:rFonts w:ascii="宋体" w:hAnsi="宋体" w:eastAsia="宋体"/>
                <w:b w:val="0"/>
                <w:sz w:val="20"/>
              </w:rPr>
              <w:t>功能配置</w:t>
            </w:r>
          </w:p>
        </w:tc>
        <w:tc>
          <w:tcPr>
            <w:tcW w:w="5713" w:type="dxa"/>
          </w:tcPr>
          <w:p w14:paraId="0B94F8D3">
            <w:pPr>
              <w:spacing w:after="0" w:line="240" w:lineRule="auto"/>
            </w:pPr>
            <w:r>
              <w:rPr>
                <w:rFonts w:ascii="宋体" w:hAnsi="宋体" w:eastAsia="宋体"/>
                <w:b w:val="0"/>
                <w:sz w:val="20"/>
              </w:rPr>
              <w:t>按照现场需求可以灵活调整每个按键的功能；支持OTA升级，远程设置功能。</w:t>
            </w:r>
          </w:p>
        </w:tc>
      </w:tr>
      <w:tr w14:paraId="05E6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8" w:type="dxa"/>
            <w:vAlign w:val="center"/>
          </w:tcPr>
          <w:p w14:paraId="43851368">
            <w:pPr>
              <w:spacing w:after="0" w:line="240" w:lineRule="auto"/>
              <w:jc w:val="center"/>
            </w:pPr>
            <w:r>
              <w:rPr>
                <w:rFonts w:ascii="宋体" w:hAnsi="宋体" w:eastAsia="宋体"/>
                <w:b w:val="0"/>
                <w:sz w:val="20"/>
              </w:rPr>
              <w:t>网络性能</w:t>
            </w:r>
          </w:p>
        </w:tc>
        <w:tc>
          <w:tcPr>
            <w:tcW w:w="5713" w:type="dxa"/>
          </w:tcPr>
          <w:p w14:paraId="169E3F89">
            <w:pPr>
              <w:spacing w:after="0" w:line="240" w:lineRule="auto"/>
            </w:pPr>
            <w:r>
              <w:rPr>
                <w:rFonts w:ascii="宋体" w:hAnsi="宋体" w:eastAsia="宋体"/>
                <w:b w:val="0"/>
                <w:sz w:val="20"/>
              </w:rPr>
              <w:t>作为单节点轮询时间不大于1S；作为单节点支持多跳，多信道，组网规模不小于60000。</w:t>
            </w:r>
          </w:p>
        </w:tc>
      </w:tr>
    </w:tbl>
    <w:p w14:paraId="64AA0572">
      <w:pPr>
        <w:rPr>
          <w:rFonts w:hint="eastAsia"/>
          <w:lang w:val="en-US" w:eastAsia="zh-CN"/>
        </w:rPr>
      </w:pPr>
    </w:p>
    <w:p w14:paraId="1DD458BB">
      <w:pPr>
        <w:pStyle w:val="3"/>
        <w:ind w:firstLine="422" w:firstLineChars="200"/>
        <w:rPr>
          <w:rFonts w:hint="eastAsia" w:ascii="宋体" w:hAnsi="宋体" w:cs="宋体"/>
          <w:b/>
          <w:bCs/>
          <w:color w:val="000000"/>
          <w:kern w:val="2"/>
          <w:sz w:val="21"/>
          <w:szCs w:val="21"/>
          <w:highlight w:val="none"/>
          <w:lang w:val="en-US" w:eastAsia="zh-CN" w:bidi="ar-SA"/>
        </w:rPr>
      </w:pPr>
      <w:r>
        <w:rPr>
          <w:rFonts w:hint="eastAsia" w:ascii="宋体" w:hAnsi="宋体" w:cs="宋体"/>
          <w:b/>
          <w:bCs/>
          <w:color w:val="000000"/>
          <w:kern w:val="2"/>
          <w:sz w:val="21"/>
          <w:szCs w:val="21"/>
          <w:highlight w:val="none"/>
          <w:lang w:val="en-US" w:eastAsia="zh-CN" w:bidi="ar-SA"/>
        </w:rPr>
        <w:t>1.2.7办公区域专用AIoT智慧网关</w:t>
      </w:r>
    </w:p>
    <w:p w14:paraId="20035539">
      <w:pPr>
        <w:ind w:firstLine="420" w:firstLineChars="200"/>
      </w:pPr>
      <w:r>
        <w:rPr>
          <w:rFonts w:ascii="宋体" w:hAnsi="宋体" w:eastAsia="宋体"/>
          <w:b w:val="0"/>
          <w:sz w:val="21"/>
        </w:rPr>
        <w:t>本网关为办公区域专用，独立于公共区域网关，负责办公区域所有照明设备、空调温控器、感知设备的数据交互、控制指令下发及联动管控，所有数据同步至项目综合控制平台，实现与公共区域设备的统一管控、数据互通，确保办公区域智能化系统独立、稳定运行。</w:t>
      </w:r>
    </w:p>
    <w:tbl>
      <w:tblPr>
        <w:tblStyle w:val="21"/>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5749"/>
      </w:tblGrid>
      <w:tr w14:paraId="4A0F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Pr>
          <w:p w14:paraId="4C262CED">
            <w:pPr>
              <w:spacing w:after="0" w:line="240" w:lineRule="auto"/>
              <w:jc w:val="center"/>
            </w:pPr>
            <w:r>
              <w:rPr>
                <w:rFonts w:ascii="宋体" w:hAnsi="宋体" w:eastAsia="宋体"/>
                <w:b/>
                <w:sz w:val="21"/>
              </w:rPr>
              <w:t>类别</w:t>
            </w:r>
          </w:p>
        </w:tc>
        <w:tc>
          <w:tcPr>
            <w:tcW w:w="5749" w:type="dxa"/>
          </w:tcPr>
          <w:p w14:paraId="06396637">
            <w:pPr>
              <w:spacing w:after="0" w:line="240" w:lineRule="auto"/>
              <w:jc w:val="center"/>
            </w:pPr>
            <w:r>
              <w:rPr>
                <w:rFonts w:ascii="宋体" w:hAnsi="宋体" w:eastAsia="宋体"/>
                <w:b/>
                <w:sz w:val="21"/>
              </w:rPr>
              <w:t>技术参数要求</w:t>
            </w:r>
          </w:p>
        </w:tc>
      </w:tr>
      <w:tr w14:paraId="7187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0E0C7030">
            <w:pPr>
              <w:spacing w:after="0" w:line="240" w:lineRule="auto"/>
              <w:jc w:val="center"/>
            </w:pPr>
            <w:r>
              <w:rPr>
                <w:rFonts w:ascii="宋体" w:hAnsi="宋体" w:eastAsia="宋体"/>
                <w:b w:val="0"/>
                <w:sz w:val="20"/>
              </w:rPr>
              <w:t>通信接口</w:t>
            </w:r>
          </w:p>
        </w:tc>
        <w:tc>
          <w:tcPr>
            <w:tcW w:w="5749" w:type="dxa"/>
          </w:tcPr>
          <w:p w14:paraId="3E8E7358">
            <w:pPr>
              <w:spacing w:after="0" w:line="240" w:lineRule="auto"/>
            </w:pPr>
            <w:r>
              <w:rPr>
                <w:rFonts w:ascii="宋体" w:hAnsi="宋体" w:eastAsia="宋体"/>
                <w:b w:val="0"/>
                <w:sz w:val="20"/>
              </w:rPr>
              <w:t>南向接口：与无线感知节点mesh通信（私有2.4GHz协议，兼容IEEE 802.15.4标准，通信速率250Kbps~2Mbps）；北向接口：与服务器通信（RJ45，以太网协议）。</w:t>
            </w:r>
          </w:p>
        </w:tc>
      </w:tr>
      <w:tr w14:paraId="4A96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6B58E4A5">
            <w:pPr>
              <w:spacing w:after="0" w:line="240" w:lineRule="auto"/>
              <w:jc w:val="center"/>
            </w:pPr>
            <w:r>
              <w:rPr>
                <w:rFonts w:ascii="宋体" w:hAnsi="宋体" w:eastAsia="宋体"/>
                <w:b w:val="0"/>
                <w:sz w:val="20"/>
              </w:rPr>
              <w:t>设备管理能力</w:t>
            </w:r>
          </w:p>
        </w:tc>
        <w:tc>
          <w:tcPr>
            <w:tcW w:w="5749" w:type="dxa"/>
          </w:tcPr>
          <w:p w14:paraId="7FE5E517">
            <w:pPr>
              <w:spacing w:after="0" w:line="240" w:lineRule="auto"/>
            </w:pPr>
            <w:r>
              <w:rPr>
                <w:rFonts w:ascii="宋体" w:hAnsi="宋体" w:eastAsia="宋体"/>
                <w:b w:val="0"/>
                <w:sz w:val="20"/>
              </w:rPr>
              <w:t>管理节点数量≥1000个；支持多协议转换，实现跨网通讯和数据透传；单节点支持OTA升级。</w:t>
            </w:r>
          </w:p>
        </w:tc>
      </w:tr>
      <w:tr w14:paraId="23D6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574778D6">
            <w:pPr>
              <w:spacing w:after="0" w:line="240" w:lineRule="auto"/>
              <w:jc w:val="center"/>
            </w:pPr>
            <w:r>
              <w:rPr>
                <w:rFonts w:ascii="宋体" w:hAnsi="宋体" w:eastAsia="宋体"/>
                <w:b w:val="0"/>
                <w:sz w:val="20"/>
              </w:rPr>
              <w:t>独立运行能力</w:t>
            </w:r>
          </w:p>
        </w:tc>
        <w:tc>
          <w:tcPr>
            <w:tcW w:w="5749" w:type="dxa"/>
          </w:tcPr>
          <w:p w14:paraId="4C9314BB">
            <w:pPr>
              <w:spacing w:after="0" w:line="240" w:lineRule="auto"/>
            </w:pPr>
            <w:r>
              <w:rPr>
                <w:rFonts w:ascii="宋体" w:hAnsi="宋体" w:eastAsia="宋体"/>
                <w:b w:val="0"/>
                <w:sz w:val="20"/>
              </w:rPr>
              <w:t>不依赖于服务器能独立工作；提供双备份容错管理；本地存储365天计划；内置操作系统。</w:t>
            </w:r>
          </w:p>
        </w:tc>
      </w:tr>
      <w:tr w14:paraId="5CD2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02340A62">
            <w:pPr>
              <w:spacing w:after="0" w:line="240" w:lineRule="auto"/>
              <w:jc w:val="center"/>
            </w:pPr>
            <w:r>
              <w:rPr>
                <w:rFonts w:ascii="宋体" w:hAnsi="宋体" w:eastAsia="宋体"/>
                <w:b w:val="0"/>
                <w:sz w:val="20"/>
              </w:rPr>
              <w:t>安装与供电</w:t>
            </w:r>
          </w:p>
        </w:tc>
        <w:tc>
          <w:tcPr>
            <w:tcW w:w="5749" w:type="dxa"/>
          </w:tcPr>
          <w:p w14:paraId="60CE3A4E">
            <w:pPr>
              <w:spacing w:after="0" w:line="240" w:lineRule="auto"/>
            </w:pPr>
            <w:r>
              <w:rPr>
                <w:rFonts w:ascii="宋体" w:hAnsi="宋体" w:eastAsia="宋体"/>
                <w:b w:val="0"/>
                <w:sz w:val="20"/>
              </w:rPr>
              <w:t>安装方式：平放式/壁挂式，安装于办公区域专用</w:t>
            </w:r>
            <w:r>
              <w:rPr>
                <w:rFonts w:hint="eastAsia" w:ascii="宋体" w:hAnsi="宋体"/>
                <w:b w:val="0"/>
                <w:sz w:val="20"/>
                <w:lang w:val="en-US" w:eastAsia="zh-CN"/>
              </w:rPr>
              <w:t>强/</w:t>
            </w:r>
            <w:r>
              <w:rPr>
                <w:rFonts w:ascii="宋体" w:hAnsi="宋体" w:eastAsia="宋体"/>
                <w:b w:val="0"/>
                <w:sz w:val="20"/>
              </w:rPr>
              <w:t>弱电间，与公共区域弱电设备物理隔离；输入电压：AC 220V，宽电压适配，适应电网波动。</w:t>
            </w:r>
          </w:p>
        </w:tc>
      </w:tr>
    </w:tbl>
    <w:p w14:paraId="0AD71CB8">
      <w:pPr>
        <w:pStyle w:val="3"/>
        <w:rPr>
          <w:rFonts w:hint="eastAsia" w:ascii="宋体" w:hAnsi="宋体" w:cs="宋体"/>
          <w:b/>
          <w:bCs/>
          <w:color w:val="000000"/>
          <w:kern w:val="2"/>
          <w:sz w:val="21"/>
          <w:szCs w:val="21"/>
          <w:highlight w:val="none"/>
          <w:lang w:val="en-US" w:eastAsia="zh-CN" w:bidi="ar-SA"/>
        </w:rPr>
      </w:pPr>
    </w:p>
    <w:p w14:paraId="00110FF5">
      <w:pPr>
        <w:pStyle w:val="3"/>
        <w:ind w:firstLine="422" w:firstLineChars="200"/>
        <w:rPr>
          <w:rFonts w:hint="eastAsia" w:ascii="宋体" w:hAnsi="宋体" w:cs="宋体"/>
          <w:b/>
          <w:bCs/>
          <w:color w:val="000000"/>
          <w:kern w:val="2"/>
          <w:sz w:val="21"/>
          <w:szCs w:val="21"/>
          <w:highlight w:val="none"/>
          <w:lang w:val="en-US" w:eastAsia="zh-CN" w:bidi="ar-SA"/>
        </w:rPr>
      </w:pPr>
      <w:r>
        <w:rPr>
          <w:rFonts w:hint="eastAsia" w:ascii="宋体" w:hAnsi="宋体" w:cs="宋体"/>
          <w:b/>
          <w:bCs/>
          <w:color w:val="000000"/>
          <w:kern w:val="2"/>
          <w:sz w:val="21"/>
          <w:szCs w:val="21"/>
          <w:highlight w:val="none"/>
          <w:lang w:val="en-US" w:eastAsia="zh-CN" w:bidi="ar-SA"/>
        </w:rPr>
        <w:t>1.2.8 无线智慧物联空调温控器</w:t>
      </w:r>
    </w:p>
    <w:p w14:paraId="54BEE1A2">
      <w:pPr>
        <w:ind w:firstLine="420" w:firstLineChars="200"/>
      </w:pPr>
      <w:r>
        <w:rPr>
          <w:rFonts w:ascii="宋体" w:hAnsi="宋体" w:eastAsia="宋体"/>
          <w:b w:val="0"/>
          <w:sz w:val="21"/>
        </w:rPr>
        <w:t>替换原有传统机械式温控面板，接入办公区域专用智慧网关，实现所有运行数据、控制指令通过专用网关同步至综合控制平台，接受统一管控。</w:t>
      </w:r>
    </w:p>
    <w:tbl>
      <w:tblPr>
        <w:tblStyle w:val="21"/>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5749"/>
      </w:tblGrid>
      <w:tr w14:paraId="6976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tcPr>
          <w:p w14:paraId="2B1811FE">
            <w:pPr>
              <w:spacing w:after="0" w:line="240" w:lineRule="auto"/>
              <w:jc w:val="center"/>
            </w:pPr>
            <w:r>
              <w:rPr>
                <w:rFonts w:ascii="宋体" w:hAnsi="宋体" w:eastAsia="宋体"/>
                <w:b/>
                <w:sz w:val="21"/>
              </w:rPr>
              <w:t>类别</w:t>
            </w:r>
          </w:p>
        </w:tc>
        <w:tc>
          <w:tcPr>
            <w:tcW w:w="5749" w:type="dxa"/>
          </w:tcPr>
          <w:p w14:paraId="731D9556">
            <w:pPr>
              <w:spacing w:after="0" w:line="240" w:lineRule="auto"/>
              <w:jc w:val="center"/>
            </w:pPr>
            <w:r>
              <w:rPr>
                <w:rFonts w:ascii="宋体" w:hAnsi="宋体" w:eastAsia="宋体"/>
                <w:b/>
                <w:sz w:val="21"/>
              </w:rPr>
              <w:t>技术参数要求</w:t>
            </w:r>
          </w:p>
        </w:tc>
      </w:tr>
      <w:tr w14:paraId="24BE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0AED433B">
            <w:pPr>
              <w:spacing w:after="0" w:line="240" w:lineRule="auto"/>
              <w:jc w:val="center"/>
            </w:pPr>
            <w:r>
              <w:rPr>
                <w:rFonts w:ascii="宋体" w:hAnsi="宋体" w:eastAsia="宋体"/>
                <w:b w:val="0"/>
                <w:sz w:val="20"/>
              </w:rPr>
              <w:t>基本参数</w:t>
            </w:r>
          </w:p>
        </w:tc>
        <w:tc>
          <w:tcPr>
            <w:tcW w:w="5749" w:type="dxa"/>
          </w:tcPr>
          <w:p w14:paraId="4D8F48C5">
            <w:pPr>
              <w:spacing w:after="0" w:line="240" w:lineRule="auto"/>
            </w:pPr>
            <w:r>
              <w:rPr>
                <w:rFonts w:ascii="宋体" w:hAnsi="宋体" w:eastAsia="宋体"/>
                <w:b w:val="0"/>
                <w:sz w:val="20"/>
              </w:rPr>
              <w:t>供电方式：AC 220V；控制方式：感知网联动+手动控制+远程控制；网络协议：无线2.4GHz，双向mesh网络；部署方式：替换原空调控制面板；设备自带温湿度传感器。</w:t>
            </w:r>
          </w:p>
        </w:tc>
      </w:tr>
      <w:tr w14:paraId="79E0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7AD65707">
            <w:pPr>
              <w:spacing w:after="0" w:line="240" w:lineRule="auto"/>
              <w:jc w:val="center"/>
              <w:rPr>
                <w:rFonts w:hint="eastAsia" w:eastAsia="宋体"/>
                <w:lang w:val="en-US" w:eastAsia="zh-CN"/>
              </w:rPr>
            </w:pPr>
            <w:r>
              <w:rPr>
                <w:rFonts w:ascii="宋体" w:hAnsi="宋体" w:eastAsia="宋体"/>
                <w:b w:val="0"/>
                <w:sz w:val="20"/>
              </w:rPr>
              <w:t>控制</w:t>
            </w:r>
            <w:r>
              <w:rPr>
                <w:rFonts w:hint="eastAsia" w:ascii="宋体" w:hAnsi="宋体"/>
                <w:b w:val="0"/>
                <w:sz w:val="20"/>
                <w:lang w:val="en-US" w:eastAsia="zh-CN"/>
              </w:rPr>
              <w:t>功能</w:t>
            </w:r>
          </w:p>
        </w:tc>
        <w:tc>
          <w:tcPr>
            <w:tcW w:w="5749" w:type="dxa"/>
          </w:tcPr>
          <w:p w14:paraId="3B506AA6">
            <w:pPr>
              <w:spacing w:after="0" w:line="240" w:lineRule="auto"/>
            </w:pPr>
            <w:r>
              <w:rPr>
                <w:rFonts w:ascii="宋体" w:hAnsi="宋体" w:eastAsia="宋体"/>
                <w:b w:val="0"/>
                <w:sz w:val="20"/>
              </w:rPr>
              <w:t>远程控制空调开关以及定时开关；可通过内置的温湿度传感器自动进行温度设置、调节风速。</w:t>
            </w:r>
          </w:p>
        </w:tc>
      </w:tr>
    </w:tbl>
    <w:p w14:paraId="7F916B14">
      <w:pPr>
        <w:pStyle w:val="3"/>
        <w:ind w:firstLine="422" w:firstLineChars="200"/>
        <w:rPr>
          <w:rFonts w:hint="eastAsia" w:ascii="宋体" w:hAnsi="宋体" w:cs="宋体"/>
          <w:b/>
          <w:bCs/>
          <w:color w:val="000000"/>
          <w:kern w:val="2"/>
          <w:sz w:val="21"/>
          <w:szCs w:val="21"/>
          <w:highlight w:val="none"/>
          <w:lang w:val="en-US" w:eastAsia="zh-CN" w:bidi="ar-SA"/>
        </w:rPr>
      </w:pPr>
      <w:r>
        <w:rPr>
          <w:rFonts w:hint="eastAsia" w:ascii="宋体" w:hAnsi="宋体" w:cs="宋体"/>
          <w:b/>
          <w:bCs/>
          <w:color w:val="000000"/>
          <w:kern w:val="2"/>
          <w:sz w:val="21"/>
          <w:szCs w:val="21"/>
          <w:highlight w:val="none"/>
          <w:lang w:val="en-US" w:eastAsia="zh-CN" w:bidi="ar-SA"/>
        </w:rPr>
        <w:t>1.2.9触控屏</w:t>
      </w:r>
    </w:p>
    <w:tbl>
      <w:tblPr>
        <w:tblStyle w:val="21"/>
        <w:tblW w:w="0" w:type="auto"/>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5737"/>
      </w:tblGrid>
      <w:tr w14:paraId="535D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6D62944">
            <w:pPr>
              <w:spacing w:after="0" w:line="240" w:lineRule="auto"/>
              <w:jc w:val="center"/>
            </w:pPr>
            <w:r>
              <w:rPr>
                <w:rFonts w:ascii="宋体" w:hAnsi="宋体" w:eastAsia="宋体"/>
                <w:b/>
                <w:sz w:val="21"/>
              </w:rPr>
              <w:t>类别</w:t>
            </w:r>
          </w:p>
        </w:tc>
        <w:tc>
          <w:tcPr>
            <w:tcW w:w="5737" w:type="dxa"/>
          </w:tcPr>
          <w:p w14:paraId="71FBB532">
            <w:pPr>
              <w:spacing w:after="0" w:line="240" w:lineRule="auto"/>
              <w:jc w:val="center"/>
            </w:pPr>
            <w:r>
              <w:rPr>
                <w:rFonts w:ascii="宋体" w:hAnsi="宋体" w:eastAsia="宋体"/>
                <w:b/>
                <w:sz w:val="21"/>
              </w:rPr>
              <w:t>技术参数要求</w:t>
            </w:r>
          </w:p>
        </w:tc>
      </w:tr>
      <w:tr w14:paraId="7754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A6FA392">
            <w:pPr>
              <w:spacing w:after="0" w:line="240" w:lineRule="auto"/>
              <w:jc w:val="center"/>
            </w:pPr>
            <w:r>
              <w:rPr>
                <w:rFonts w:ascii="宋体" w:hAnsi="宋体" w:eastAsia="宋体"/>
                <w:b w:val="0"/>
                <w:sz w:val="20"/>
              </w:rPr>
              <w:t>基本参数</w:t>
            </w:r>
          </w:p>
        </w:tc>
        <w:tc>
          <w:tcPr>
            <w:tcW w:w="5737" w:type="dxa"/>
          </w:tcPr>
          <w:p w14:paraId="459E3F15">
            <w:pPr>
              <w:spacing w:after="0" w:line="240" w:lineRule="auto"/>
            </w:pPr>
            <w:r>
              <w:rPr>
                <w:rFonts w:hint="eastAsia" w:ascii="宋体" w:hAnsi="宋体"/>
                <w:b w:val="0"/>
                <w:sz w:val="20"/>
                <w:lang w:val="en-US" w:eastAsia="zh-CN"/>
              </w:rPr>
              <w:t>每层一个总控，</w:t>
            </w:r>
            <w:r>
              <w:rPr>
                <w:rFonts w:ascii="宋体" w:hAnsi="宋体" w:eastAsia="宋体"/>
                <w:b w:val="0"/>
                <w:sz w:val="20"/>
              </w:rPr>
              <w:t>安装方式：86盒安装；屏幕尺寸：8.0寸屏；通信方式：无线mesh通信；用户UI：自定义UI。</w:t>
            </w:r>
          </w:p>
        </w:tc>
      </w:tr>
      <w:tr w14:paraId="24E6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F02BADB">
            <w:pPr>
              <w:spacing w:after="0" w:line="240" w:lineRule="auto"/>
              <w:jc w:val="center"/>
            </w:pPr>
            <w:r>
              <w:rPr>
                <w:rFonts w:ascii="宋体" w:hAnsi="宋体" w:eastAsia="宋体"/>
                <w:b w:val="0"/>
                <w:sz w:val="20"/>
              </w:rPr>
              <w:t>功能配置</w:t>
            </w:r>
          </w:p>
        </w:tc>
        <w:tc>
          <w:tcPr>
            <w:tcW w:w="5737" w:type="dxa"/>
          </w:tcPr>
          <w:p w14:paraId="3404A7CE">
            <w:pPr>
              <w:spacing w:after="0" w:line="240" w:lineRule="auto"/>
            </w:pPr>
            <w:r>
              <w:rPr>
                <w:rFonts w:ascii="宋体" w:hAnsi="宋体" w:eastAsia="宋体"/>
                <w:b w:val="0"/>
                <w:sz w:val="20"/>
              </w:rPr>
              <w:t>支持不少于30个键的自定义设置；按照现场需求可以灵活调整每个按键的功能；支持OTA升级，远程设置功能</w:t>
            </w:r>
            <w:r>
              <w:rPr>
                <w:rFonts w:hint="eastAsia" w:ascii="宋体" w:hAnsi="宋体"/>
                <w:b w:val="0"/>
                <w:sz w:val="20"/>
                <w:lang w:eastAsia="zh-CN"/>
              </w:rPr>
              <w:t>，</w:t>
            </w:r>
            <w:r>
              <w:rPr>
                <w:rFonts w:hint="eastAsia" w:ascii="宋体" w:hAnsi="宋体"/>
                <w:b w:val="0"/>
                <w:sz w:val="20"/>
                <w:lang w:val="en-US" w:eastAsia="zh-CN"/>
              </w:rPr>
              <w:t>手动控制本楼层所有智能设备</w:t>
            </w:r>
            <w:r>
              <w:rPr>
                <w:rFonts w:ascii="宋体" w:hAnsi="宋体" w:eastAsia="宋体"/>
                <w:b w:val="0"/>
                <w:sz w:val="20"/>
              </w:rPr>
              <w:t>。</w:t>
            </w:r>
          </w:p>
        </w:tc>
      </w:tr>
      <w:tr w14:paraId="4315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0F28EC1">
            <w:pPr>
              <w:spacing w:after="0" w:line="240" w:lineRule="auto"/>
              <w:jc w:val="center"/>
            </w:pPr>
            <w:r>
              <w:rPr>
                <w:rFonts w:ascii="宋体" w:hAnsi="宋体" w:eastAsia="宋体"/>
                <w:b w:val="0"/>
                <w:sz w:val="20"/>
              </w:rPr>
              <w:t>网络性能</w:t>
            </w:r>
          </w:p>
        </w:tc>
        <w:tc>
          <w:tcPr>
            <w:tcW w:w="5737" w:type="dxa"/>
          </w:tcPr>
          <w:p w14:paraId="1D482AFB">
            <w:pPr>
              <w:spacing w:after="0" w:line="240" w:lineRule="auto"/>
            </w:pPr>
            <w:r>
              <w:rPr>
                <w:rFonts w:ascii="宋体" w:hAnsi="宋体" w:eastAsia="宋体"/>
                <w:b w:val="0"/>
                <w:sz w:val="20"/>
              </w:rPr>
              <w:t>作为单节点轮询时间不大于1S；作为单节点支持多跳，多信道，组网规模不小于60000。</w:t>
            </w:r>
          </w:p>
        </w:tc>
      </w:tr>
    </w:tbl>
    <w:p w14:paraId="79976F35">
      <w:r>
        <w:rPr>
          <w:rFonts w:hint="eastAsia" w:ascii="宋体" w:hAnsi="宋体" w:cs="宋体"/>
          <w:b/>
          <w:bCs/>
          <w:color w:val="000000"/>
          <w:kern w:val="2"/>
          <w:sz w:val="21"/>
          <w:szCs w:val="21"/>
          <w:highlight w:val="none"/>
          <w:lang w:val="en-US" w:eastAsia="zh-CN" w:bidi="ar-SA"/>
        </w:rPr>
        <w:t xml:space="preserve"> </w:t>
      </w:r>
    </w:p>
    <w:p w14:paraId="564FCB35">
      <w:pPr>
        <w:pStyle w:val="8"/>
        <w:rPr>
          <w:rFonts w:hint="eastAsia"/>
          <w:lang w:val="it-IT"/>
        </w:rPr>
      </w:pPr>
    </w:p>
    <w:p w14:paraId="6977FCF5">
      <w:pPr>
        <w:numPr>
          <w:ilvl w:val="0"/>
          <w:numId w:val="0"/>
        </w:numPr>
        <w:ind w:firstLine="422" w:firstLineChars="200"/>
        <w:rPr>
          <w:rFonts w:hint="eastAsia" w:ascii="宋体" w:hAnsi="宋体" w:eastAsia="宋体" w:cs="宋体"/>
          <w:b/>
          <w:bCs/>
          <w:sz w:val="21"/>
          <w:szCs w:val="21"/>
          <w:highlight w:val="none"/>
          <w:lang w:val="en-US" w:eastAsia="zh-CN"/>
        </w:rPr>
      </w:pPr>
      <w:bookmarkStart w:id="36" w:name="_Toc25694_WPSOffice_Level2"/>
      <w:r>
        <w:rPr>
          <w:rFonts w:hint="eastAsia" w:ascii="宋体" w:hAnsi="宋体" w:eastAsia="宋体" w:cs="宋体"/>
          <w:b/>
          <w:bCs/>
          <w:sz w:val="21"/>
          <w:szCs w:val="21"/>
          <w:highlight w:val="none"/>
          <w:lang w:val="en-US" w:eastAsia="zh-CN"/>
        </w:rPr>
        <w:t>二、基本要求</w:t>
      </w:r>
    </w:p>
    <w:p w14:paraId="4D234B5F">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1、投标方所供的货物，必须符合中国最新版的法律、法规和相关标准、规范的要求，符合项目所在地政府有关特殊要求。</w:t>
      </w:r>
    </w:p>
    <w:p w14:paraId="203EBC76">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2、投标方所供货物涉及的专利权技术以及知识产权保护的其它技术等，应保证招标方不因此受到任何侵权指控以及实际损失。</w:t>
      </w:r>
    </w:p>
    <w:p w14:paraId="0C7FFA32">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3、投标方应保证所供货物的先进性、可靠性、经济性和实用性，并为全新货物（或设备）。</w:t>
      </w:r>
    </w:p>
    <w:p w14:paraId="187FACB5">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4、投标方应满足招标方提出的各项技术要求，必要时应当免费提供技术承诺或担保。</w:t>
      </w:r>
    </w:p>
    <w:p w14:paraId="36937287">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5、投标方应保证所供货物（或设备）为中国政府指定或规定的主管部门公布的非淘汰货物（或设备），并尽力提供中国政府指定或规定的主管部门认可的环保型和节能型货物（或设备）。</w:t>
      </w:r>
    </w:p>
    <w:p w14:paraId="7FA73E6B">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6、投标方应保证所供货物的完整性和成套性，提供货物便携转运箱，能保证货物的正常运行、使用。</w:t>
      </w:r>
    </w:p>
    <w:p w14:paraId="0E986EBB">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7、投标方应对招标方采购的货物所涉及的技术、产能等信息负有保密义务，招标方拥有追究投标方泄密责任的权利；招标方如有需要，投标方应无条件签署保密协议。</w:t>
      </w:r>
    </w:p>
    <w:p w14:paraId="44C3DE25">
      <w:pPr>
        <w:spacing w:line="360" w:lineRule="auto"/>
        <w:ind w:firstLine="420" w:firstLineChars="200"/>
        <w:jc w:val="left"/>
        <w:rPr>
          <w:rFonts w:hint="eastAsia" w:ascii="宋体" w:hAnsi="宋体" w:eastAsia="宋体" w:cs="宋体"/>
          <w:color w:val="000000"/>
          <w:sz w:val="21"/>
          <w:szCs w:val="21"/>
          <w:highlight w:val="none"/>
        </w:rPr>
      </w:pPr>
    </w:p>
    <w:p w14:paraId="6AF3E1E8">
      <w:pPr>
        <w:numPr>
          <w:ilvl w:val="0"/>
          <w:numId w:val="0"/>
        </w:numPr>
        <w:ind w:firstLine="422" w:firstLineChars="200"/>
        <w:rPr>
          <w:rFonts w:hint="eastAsia"/>
          <w:highlight w:val="none"/>
        </w:rPr>
      </w:pPr>
      <w:r>
        <w:rPr>
          <w:rFonts w:hint="eastAsia" w:ascii="宋体" w:hAnsi="宋体" w:eastAsia="宋体" w:cs="宋体"/>
          <w:b/>
          <w:bCs/>
          <w:sz w:val="21"/>
          <w:szCs w:val="21"/>
          <w:highlight w:val="none"/>
          <w:lang w:val="en-US" w:eastAsia="zh-CN"/>
        </w:rPr>
        <w:t xml:space="preserve">三、其他要求： </w:t>
      </w:r>
    </w:p>
    <w:p w14:paraId="0390ED2E">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1、本章技术要求，仅对功能、设计、结构、性能、转运、存放和试验检验等方面，提出了最低和一般性的技术要求，并未对一切技术细节作出规定。</w:t>
      </w:r>
    </w:p>
    <w:p w14:paraId="7FC78664">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2、本技术要求所使用的标准、规范等，如与投标方所执行的标准、规范不一致时，应按高于本技术要求所列的标准、规范执行。</w:t>
      </w:r>
    </w:p>
    <w:p w14:paraId="4206757C">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3、投标方应根据招投标货物具体要求，提出对超出招标文件、投标文件、答疑文件、技术交流文件、技术协议书和合同等规定的、有特殊需要的解释、说明和要求。</w:t>
      </w:r>
    </w:p>
    <w:p w14:paraId="28187C16">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4、无论是否有技术偏离，投标方均应在投标文件“技术偏离”中明确作出有无说明。若有异议，不管是多么微小，投标方必须予以明确和详细的说明或澄清。</w:t>
      </w:r>
    </w:p>
    <w:p w14:paraId="50A9351A">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5、为避免投标方优势在招标评审时漏项，质保期超出本技术标书要求的，应当在投标文件“技术偏离”中特别注明。</w:t>
      </w:r>
    </w:p>
    <w:p w14:paraId="4066BE69">
      <w:pPr>
        <w:pStyle w:val="19"/>
        <w:ind w:left="0" w:leftChars="0" w:firstLine="0" w:firstLineChars="0"/>
        <w:rPr>
          <w:rFonts w:hint="eastAsia"/>
          <w:highlight w:val="none"/>
          <w:lang w:val="en-US" w:eastAsia="zh-CN"/>
        </w:rPr>
      </w:pPr>
    </w:p>
    <w:p w14:paraId="5283ED85">
      <w:pPr>
        <w:numPr>
          <w:ilvl w:val="0"/>
          <w:numId w:val="0"/>
        </w:numPr>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四、执行标准</w:t>
      </w:r>
    </w:p>
    <w:p w14:paraId="472BDAD5">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1、招标方所列标准仅为涉及的主要标准，而且不保证其为最新版执行标准；投标方应当在投标文件中认真予以填写、补充和修改完善。</w:t>
      </w:r>
    </w:p>
    <w:p w14:paraId="7568BE4C">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2、投标方需要执行的标准，应当采用所供货物通过买方组织的最终验收之日已经开始执行的最新标准。</w:t>
      </w:r>
    </w:p>
    <w:p w14:paraId="71A361AE">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3、采购货物的产品质量、技术标准如在招投标文件中无相应说明，则按中华人民共和国有关部门颁发的最新的国标或专业（部）标准执行及相应的国际标准。</w:t>
      </w:r>
    </w:p>
    <w:p w14:paraId="7EFDCA1F">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4、采购货物没有国家或专业（部）标准的，按企业标准执行时，卖方应在合同签署之前，将所涉及的企业标准提供给买方确认。</w:t>
      </w:r>
    </w:p>
    <w:p w14:paraId="12EDDE1A">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5、采购货物如果采用国际标准，其执行标准由投标方提供、招标方确认。</w:t>
      </w:r>
    </w:p>
    <w:p w14:paraId="13FB58DA">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6、采购货物所涉及的标准不统一时，原则上按照最严格标准执行。</w:t>
      </w:r>
    </w:p>
    <w:p w14:paraId="49E84323">
      <w:pPr>
        <w:ind w:firstLine="422" w:firstLineChars="200"/>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五、安全文明施工要求</w:t>
      </w:r>
    </w:p>
    <w:bookmarkEnd w:id="36"/>
    <w:p w14:paraId="295CC932">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bookmarkStart w:id="37" w:name="_Toc11939_WPSOffice_Level2"/>
      <w:r>
        <w:rPr>
          <w:rFonts w:hint="eastAsia" w:ascii="宋体" w:hAnsi="宋体" w:eastAsia="宋体" w:cs="宋体"/>
          <w:kern w:val="2"/>
          <w:sz w:val="21"/>
          <w:szCs w:val="21"/>
          <w:highlight w:val="none"/>
          <w:lang w:val="en-US" w:eastAsia="zh-CN" w:bidi="ar-SA"/>
        </w:rPr>
        <w:t>1.施工不得扰民，不得影响业主正常办公，施工方应提前与业主方沟通材料堆放场所，按照业主方要求的内容进行材料运输及堆放。</w:t>
      </w:r>
    </w:p>
    <w:p w14:paraId="47CD084E">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2.施工现场周围设置封闭式围挡，并做到坚固、稳定、整洁美观，将施工区域和非施工区域封闭隔离，合理设置施工出入口。</w:t>
      </w:r>
    </w:p>
    <w:p w14:paraId="51AE22E1">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3.施工人员及车辆应按照业主方指定路线，不得随意进入与施工无关区域。</w:t>
      </w:r>
    </w:p>
    <w:p w14:paraId="351780EA">
      <w:pPr>
        <w:numPr>
          <w:ilvl w:val="0"/>
          <w:numId w:val="0"/>
        </w:numPr>
        <w:ind w:firstLine="420" w:firstLineChars="200"/>
        <w:rPr>
          <w:rFonts w:hint="eastAsia" w:ascii="宋体" w:hAnsi="宋体" w:eastAsia="宋体" w:cs="宋体"/>
          <w:b w:val="0"/>
          <w:i w:val="0"/>
          <w:iCs w:val="0"/>
          <w:caps w:val="0"/>
          <w:color w:val="222222"/>
          <w:spacing w:val="0"/>
          <w:kern w:val="2"/>
          <w:sz w:val="21"/>
          <w:szCs w:val="21"/>
          <w:highlight w:val="none"/>
          <w:shd w:val="clear" w:fill="FFFFFF"/>
          <w:lang w:val="en-US" w:eastAsia="zh-CN" w:bidi="ar-SA"/>
        </w:rPr>
      </w:pPr>
      <w:r>
        <w:rPr>
          <w:rFonts w:hint="eastAsia" w:ascii="宋体" w:hAnsi="宋体" w:eastAsia="宋体" w:cs="宋体"/>
          <w:b w:val="0"/>
          <w:i w:val="0"/>
          <w:iCs w:val="0"/>
          <w:caps w:val="0"/>
          <w:color w:val="222222"/>
          <w:spacing w:val="0"/>
          <w:kern w:val="2"/>
          <w:sz w:val="21"/>
          <w:szCs w:val="21"/>
          <w:highlight w:val="none"/>
          <w:shd w:val="clear" w:fill="FFFFFF"/>
          <w:lang w:val="en-US" w:eastAsia="zh-CN" w:bidi="ar-SA"/>
        </w:rPr>
        <w:t>4.破拆作业及垃圾装运作业等易产生扬尘时，应采取洒水、喷雾等抑尘措施。破拆作业会产生噪声，施工方应事先征得业主单位同意，在指定时间段内施工。施工工地内的裸露地面采取定时洒水、覆盖等措施，防止大风起尘。车辆驶出施工工地前将车轮、车身清洗干净，不得带泥上路，工地出口外不得有泥浆、泥土和建筑垃圾。垃圾运输车辆应采取覆盖，放置道路运输时遗洒垃圾。</w:t>
      </w:r>
    </w:p>
    <w:p w14:paraId="4682C2B5">
      <w:pPr>
        <w:keepNext w:val="0"/>
        <w:keepLines w:val="0"/>
        <w:widowControl/>
        <w:numPr>
          <w:ilvl w:val="0"/>
          <w:numId w:val="0"/>
        </w:numPr>
        <w:suppressLineNumbers w:val="0"/>
        <w:ind w:left="0" w:leftChars="0" w:firstLine="422" w:firstLineChars="200"/>
        <w:jc w:val="left"/>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六、其他施工要求</w:t>
      </w:r>
      <w:bookmarkEnd w:id="37"/>
    </w:p>
    <w:p w14:paraId="73FE03CF">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施工方在施工中要严格按照国家、行业标准和企业规范，并随时接受甲方的检查。</w:t>
      </w:r>
    </w:p>
    <w:p w14:paraId="55509F19">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施工方在施工中必须严格按施工工艺要求操作，保证施工质量。</w:t>
      </w:r>
    </w:p>
    <w:p w14:paraId="1404C31C">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 业主方提供水源、电源便于施工方接入。</w:t>
      </w:r>
    </w:p>
    <w:p w14:paraId="75686C61">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14:paraId="35DD5335">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a)材料型号规格应符合标书要求，如有偏离只能优于标书标准。</w:t>
      </w:r>
    </w:p>
    <w:p w14:paraId="2A33C238">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b)材料质量应符合国家或部颁标准。每批材料应有合格证或质保书。</w:t>
      </w:r>
    </w:p>
    <w:p w14:paraId="087E1614">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14:paraId="08329424">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14:paraId="135DB1BC">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5.施工方使用代用材料或更换外购设备，必须经过业主同意，要以修改通知单为依据。</w:t>
      </w:r>
    </w:p>
    <w:p w14:paraId="68A0495B">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6.对施工中完成的阶段成果（隐蔽工程、分项工程、主要部位），由施工方提出申请，业主方组织检验和验收，签署阶段成果检验验收记录。</w:t>
      </w:r>
    </w:p>
    <w:p w14:paraId="34E1B544">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7.如果在施工或调试过程中发生质量事故，施工方应及时查明原因，制订解决方案，并以书面形式报告业主，并按商定的处理方案实施。</w:t>
      </w:r>
    </w:p>
    <w:p w14:paraId="46C48918">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8.如果施工方不能满足质量要求而被业主责令停工超过三次，业主有权要求施工方停工并撤出施工现场。本合同终止，施工方承担违约责任。</w:t>
      </w:r>
    </w:p>
    <w:p w14:paraId="2A31C94B">
      <w:pPr>
        <w:keepNext w:val="0"/>
        <w:keepLines w:val="0"/>
        <w:widowControl/>
        <w:numPr>
          <w:ilvl w:val="0"/>
          <w:numId w:val="0"/>
        </w:numPr>
        <w:suppressLineNumbers w:val="0"/>
        <w:ind w:leftChars="0" w:firstLine="422" w:firstLineChars="200"/>
        <w:jc w:val="left"/>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七、工程进度</w:t>
      </w:r>
    </w:p>
    <w:p w14:paraId="35CDCE2B">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1、施工方必须听候甲方的施工安排。</w:t>
      </w:r>
    </w:p>
    <w:p w14:paraId="47ECA6DC">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2、甲方将随时检查和监督施工方施工进度执行情况，并协调各方，使外部环境条件能满足施工要求。</w:t>
      </w:r>
    </w:p>
    <w:p w14:paraId="39FFE14E">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3、由于施工方原因而未能按甲方规定的时间按期交工验收，施工方要承担违约责任和经济处罚。</w:t>
      </w:r>
    </w:p>
    <w:p w14:paraId="6643FF0E">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4、施工方要尽可能的做好保障工期的各种预案，对于遇重污染天气，市政府要求的停产停工造成的工期延误情况，由施工方自行承担。</w:t>
      </w:r>
    </w:p>
    <w:p w14:paraId="0569D8A3">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5、对于甲方安排的突发性紧急抢修工作，施工方需在接到甲方通知后一小时内到场，全力配合，对于拒不执行的，甲方有权进行处罚或终止合同。</w:t>
      </w:r>
    </w:p>
    <w:p w14:paraId="507E165F">
      <w:pPr>
        <w:ind w:firstLine="422" w:firstLineChars="200"/>
        <w:outlineLvl w:val="1"/>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val="en-US" w:eastAsia="zh-CN"/>
        </w:rPr>
        <w:t>八、文明施工</w:t>
      </w:r>
    </w:p>
    <w:p w14:paraId="543BB617">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施工方应建立文明施工管理制度，保证施工现场井然有序。</w:t>
      </w:r>
    </w:p>
    <w:p w14:paraId="163968D0">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施工方在施工过程中应负责对现场的一切设施和施工工程的成品、半成品进行保护并承担费用。</w:t>
      </w:r>
    </w:p>
    <w:p w14:paraId="2322ABDA">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3、施工方应有统一着装（工作服），费用由施工方负担。</w:t>
      </w:r>
    </w:p>
    <w:p w14:paraId="4365AC08">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2、施工方甲方存在交叉作业的情况下，应保证甲方工作的正常进行。</w:t>
      </w:r>
    </w:p>
    <w:p w14:paraId="2EC705B8">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3、施工方的施工设备、工具箱和材料等不允许堆放在通道上。施工方制作的半成品、部件等未安装前应码放整齐。</w:t>
      </w:r>
    </w:p>
    <w:p w14:paraId="37254912">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4、施工方应保持本单位施工区域内的清洁卫生，每天下午下班后必须整理、清扫干净施工的设备和场地，废料集中放置，垃圾倒在指定地方。</w:t>
      </w:r>
    </w:p>
    <w:p w14:paraId="4C5BB5EA">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5、凡使用电焊机、切割机、砂轮机等设备作业时，应注意周围环境，避免焊渣、火星乱溅而影响他人作业或损坏设备及地面。</w:t>
      </w:r>
    </w:p>
    <w:p w14:paraId="69B3638D">
      <w:pPr>
        <w:pStyle w:val="18"/>
        <w:numPr>
          <w:ilvl w:val="0"/>
          <w:numId w:val="0"/>
        </w:numPr>
        <w:ind w:leftChars="0" w:firstLine="420" w:firstLineChars="200"/>
        <w:rPr>
          <w:rFonts w:hint="eastAsia" w:ascii="宋体" w:hAnsi="宋体" w:eastAsia="宋体" w:cs="宋体"/>
          <w:spacing w:val="4"/>
          <w:sz w:val="21"/>
          <w:szCs w:val="21"/>
          <w:highlight w:val="none"/>
        </w:rPr>
      </w:pPr>
      <w:r>
        <w:rPr>
          <w:rFonts w:hint="eastAsia" w:ascii="宋体" w:hAnsi="宋体" w:eastAsia="宋体" w:cs="宋体"/>
          <w:kern w:val="2"/>
          <w:sz w:val="21"/>
          <w:szCs w:val="21"/>
          <w:highlight w:val="none"/>
          <w:lang w:val="en-US" w:eastAsia="zh-CN" w:bidi="ar-SA"/>
        </w:rPr>
        <w:t>6、施工方应安排好其施工人员的食宿，保证施工人员的身体健康，费用施工方自理。</w:t>
      </w:r>
    </w:p>
    <w:p w14:paraId="21E70DCC">
      <w:pPr>
        <w:ind w:firstLine="422" w:firstLineChars="200"/>
        <w:outlineLvl w:val="1"/>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九、安全要求</w:t>
      </w:r>
    </w:p>
    <w:p w14:paraId="75B841A9">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施工方应对其施工人员进行安全教育，并对他们的安全负责，保证施工现场的各项作业均遵守相关的国家安全标准规范，严禁违章操作。</w:t>
      </w:r>
    </w:p>
    <w:p w14:paraId="263AEA8A">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施工方要遵守甲方单位内部的各项规章制度，按要求办理各种安全、出入等手续，接收安全监督和考核，手续费用由施工方负担。</w:t>
      </w:r>
    </w:p>
    <w:p w14:paraId="64F5C5CD">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3、施工单位在施工前必须到甲方有关部门办理接电、动火手续，现场施工人员必须备有接电、动火手续复印件，以备有关部门检查。</w:t>
      </w:r>
    </w:p>
    <w:p w14:paraId="1194D1AE">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4、工程开工前, 施工方应为项目人员生命财产办理保险，支付保险费用。如果因施工方未办理保险而造成的任何损失全部由施工方负责。</w:t>
      </w:r>
    </w:p>
    <w:p w14:paraId="5088942F">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5、施工人员进入施工现场必须穿戴安全帽、工作服和工作鞋，特殊工种要配置相应的劳保服装和工具。</w:t>
      </w:r>
    </w:p>
    <w:p w14:paraId="532CFB26">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6、施工方应在其施工区域内设置安全警示标志，特殊区域、特殊位置应专门设置有针对性的安全警示标志。</w:t>
      </w:r>
    </w:p>
    <w:p w14:paraId="2B636A09">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7、施工方应由专业电工负责本单位施工所用设备的临时供电和线路的安全检查。在施工现场，非电工人员不得擅自插接电源。</w:t>
      </w:r>
    </w:p>
    <w:p w14:paraId="1BC6CCD2">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14:paraId="17D36A29">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23301D97">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10、电焊机、切割机、砂轮机、气瓶等设备应按安全标准规范合理摆放、固定和使用。</w:t>
      </w:r>
    </w:p>
    <w:p w14:paraId="58A1AC0A">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14:paraId="479CED7C">
      <w:pPr>
        <w:pStyle w:val="18"/>
        <w:numPr>
          <w:ilvl w:val="0"/>
          <w:numId w:val="0"/>
        </w:numPr>
        <w:ind w:leftChars="0" w:firstLine="422"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十、环保要求</w:t>
      </w:r>
    </w:p>
    <w:p w14:paraId="50F680A4">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1、现场需作降尘处理，防止扬尘污染环境。</w:t>
      </w:r>
    </w:p>
    <w:p w14:paraId="40903595">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2、严禁将污水排放至雨水管道。</w:t>
      </w:r>
    </w:p>
    <w:p w14:paraId="522BC25B">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3、施工过程中产生的固废、危废由施工方按照国家法律法规的相关要求寻找具备资质的第三方规范处置。</w:t>
      </w:r>
    </w:p>
    <w:p w14:paraId="1C525212">
      <w:pPr>
        <w:pStyle w:val="18"/>
        <w:numPr>
          <w:ilvl w:val="0"/>
          <w:numId w:val="0"/>
        </w:numPr>
        <w:ind w:leftChars="0"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十一、质保期</w:t>
      </w:r>
    </w:p>
    <w:p w14:paraId="77773842">
      <w:pPr>
        <w:pStyle w:val="18"/>
        <w:ind w:firstLine="422"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本工程质保期三年。</w:t>
      </w:r>
      <w:r>
        <w:rPr>
          <w:rFonts w:hint="eastAsia" w:ascii="宋体" w:hAnsi="宋体" w:eastAsia="宋体" w:cs="宋体"/>
          <w:kern w:val="2"/>
          <w:sz w:val="21"/>
          <w:szCs w:val="21"/>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r>
        <w:rPr>
          <w:rFonts w:hint="eastAsia" w:ascii="宋体" w:hAnsi="宋体" w:eastAsia="宋体" w:cs="宋体"/>
          <w:sz w:val="21"/>
          <w:szCs w:val="21"/>
          <w:highlight w:val="yellow"/>
        </w:rPr>
        <w:t>质保期内，因交付质量导致的服务问题，投标人需免费提供整改服务。</w:t>
      </w:r>
    </w:p>
    <w:p w14:paraId="1B1F2211">
      <w:pPr>
        <w:pStyle w:val="18"/>
        <w:numPr>
          <w:ilvl w:val="0"/>
          <w:numId w:val="0"/>
        </w:numPr>
        <w:ind w:leftChars="0"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十二、其它</w:t>
      </w:r>
    </w:p>
    <w:p w14:paraId="361BAD13">
      <w:pPr>
        <w:pStyle w:val="18"/>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1.投标人承诺对参与该项目所获得的与招标人产品相关的所有信息都予以保密，并承担与此相关的所有法律责任。</w:t>
      </w:r>
    </w:p>
    <w:p w14:paraId="5AD21DF1">
      <w:pPr>
        <w:pStyle w:val="18"/>
        <w:numPr>
          <w:ilvl w:val="0"/>
          <w:numId w:val="0"/>
        </w:numPr>
        <w:ind w:leftChars="0" w:firstLine="420" w:firstLineChars="200"/>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2.其余未尽事宜，投标人应与招标人指派的答疑人员充分沟通，理解认可并接受相关技术规范及服务要求。</w:t>
      </w:r>
    </w:p>
    <w:sectPr>
      <w:footerReference r:id="rId18" w:type="first"/>
      <w:headerReference r:id="rId15" w:type="default"/>
      <w:footerReference r:id="rId16" w:type="default"/>
      <w:footerReference r:id="rId17"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63B4C">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E62EE">
    <w:pPr>
      <w:pStyle w:val="1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8FA78D">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548FA78D">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95466">
    <w:pPr>
      <w:pStyle w:val="11"/>
      <w:framePr w:wrap="around" w:vAnchor="text" w:hAnchor="margin" w:xAlign="center" w:y="1"/>
      <w:rPr>
        <w:rStyle w:val="24"/>
      </w:rPr>
    </w:pPr>
    <w:r>
      <w:fldChar w:fldCharType="begin"/>
    </w:r>
    <w:r>
      <w:rPr>
        <w:rStyle w:val="24"/>
      </w:rPr>
      <w:instrText xml:space="preserve">PAGE  </w:instrText>
    </w:r>
    <w:r>
      <w:fldChar w:fldCharType="separate"/>
    </w:r>
    <w:r>
      <w:rPr>
        <w:rStyle w:val="24"/>
      </w:rPr>
      <w:t>0</w:t>
    </w:r>
    <w:r>
      <w:fldChar w:fldCharType="end"/>
    </w:r>
  </w:p>
  <w:p w14:paraId="519CB51D">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7C5F1">
    <w:pPr>
      <w:pStyle w:val="1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14:paraId="74C6AB3F">
    <w:pPr>
      <w:pStyle w:val="11"/>
      <w:rPr>
        <w:rFonts w:hint="eastAsia"/>
      </w:rPr>
    </w:pPr>
  </w:p>
  <w:p w14:paraId="1141880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AAF4">
    <w:pPr>
      <w:pStyle w:val="1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14:paraId="696E9C88">
    <w:pPr>
      <w:pStyle w:val="11"/>
      <w:jc w:val="center"/>
      <w:rPr>
        <w:rFonts w:hint="eastAsia"/>
      </w:rPr>
    </w:pPr>
  </w:p>
  <w:p w14:paraId="32A1DDF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BD60">
    <w:pPr>
      <w:pStyle w:val="1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3F98F">
                          <w:pPr>
                            <w:pStyle w:val="1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FA3F98F">
                    <w:pPr>
                      <w:pStyle w:val="1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2AEF">
    <w:pPr>
      <w:pStyle w:val="1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3AFE0">
                          <w:pPr>
                            <w:pStyle w:val="1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023AFE0">
                    <w:pPr>
                      <w:pStyle w:val="1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AC0AD">
    <w:pPr>
      <w:pStyle w:val="11"/>
      <w:tabs>
        <w:tab w:val="clear" w:pos="4153"/>
      </w:tabs>
      <w:jc w:val="center"/>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3551">
    <w:pPr>
      <w:pStyle w:val="11"/>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6F1AB1">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5A6F1AB1">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5670A">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81D5E">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4D881D5E">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D13C">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3F2DA">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A83D">
    <w:pPr>
      <w:pStyle w:val="12"/>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D68BE">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CB76A"/>
    <w:multiLevelType w:val="singleLevel"/>
    <w:tmpl w:val="AC8CB76A"/>
    <w:lvl w:ilvl="0" w:tentative="0">
      <w:start w:val="2"/>
      <w:numFmt w:val="decimal"/>
      <w:suff w:val="nothing"/>
      <w:lvlText w:val="%1、"/>
      <w:lvlJc w:val="left"/>
    </w:lvl>
  </w:abstractNum>
  <w:abstractNum w:abstractNumId="1">
    <w:nsid w:val="C14081AA"/>
    <w:multiLevelType w:val="singleLevel"/>
    <w:tmpl w:val="C14081AA"/>
    <w:lvl w:ilvl="0" w:tentative="0">
      <w:start w:val="4"/>
      <w:numFmt w:val="decimal"/>
      <w:lvlText w:val="%1."/>
      <w:lvlJc w:val="left"/>
      <w:pPr>
        <w:tabs>
          <w:tab w:val="left" w:pos="312"/>
        </w:tabs>
      </w:pPr>
    </w:lvl>
  </w:abstractNum>
  <w:abstractNum w:abstractNumId="2">
    <w:nsid w:val="C9DA3B27"/>
    <w:multiLevelType w:val="singleLevel"/>
    <w:tmpl w:val="C9DA3B27"/>
    <w:lvl w:ilvl="0" w:tentative="0">
      <w:start w:val="1"/>
      <w:numFmt w:val="decimal"/>
      <w:suff w:val="nothing"/>
      <w:lvlText w:val="%1、"/>
      <w:lvlJc w:val="left"/>
    </w:lvl>
  </w:abstractNum>
  <w:abstractNum w:abstractNumId="3">
    <w:nsid w:val="033F3A67"/>
    <w:multiLevelType w:val="singleLevel"/>
    <w:tmpl w:val="033F3A67"/>
    <w:lvl w:ilvl="0" w:tentative="0">
      <w:start w:val="5"/>
      <w:numFmt w:val="chineseCounting"/>
      <w:suff w:val="nothing"/>
      <w:lvlText w:val="%1、"/>
      <w:lvlJc w:val="left"/>
      <w:rPr>
        <w:rFonts w:hint="eastAsia"/>
      </w:rPr>
    </w:lvl>
  </w:abstractNum>
  <w:abstractNum w:abstractNumId="4">
    <w:nsid w:val="3C30FED2"/>
    <w:multiLevelType w:val="singleLevel"/>
    <w:tmpl w:val="3C30FED2"/>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B76409"/>
    <w:rsid w:val="00B827C4"/>
    <w:rsid w:val="00C14B91"/>
    <w:rsid w:val="00CD3536"/>
    <w:rsid w:val="00CE1438"/>
    <w:rsid w:val="00D447DE"/>
    <w:rsid w:val="00D747EA"/>
    <w:rsid w:val="010A6538"/>
    <w:rsid w:val="011E3D92"/>
    <w:rsid w:val="01207CCA"/>
    <w:rsid w:val="01303E14"/>
    <w:rsid w:val="01310FE2"/>
    <w:rsid w:val="014063FE"/>
    <w:rsid w:val="016A347B"/>
    <w:rsid w:val="01762172"/>
    <w:rsid w:val="017C6106"/>
    <w:rsid w:val="018856AF"/>
    <w:rsid w:val="018B7C82"/>
    <w:rsid w:val="019078AB"/>
    <w:rsid w:val="01942E43"/>
    <w:rsid w:val="019B53E2"/>
    <w:rsid w:val="01A74ECD"/>
    <w:rsid w:val="01B91719"/>
    <w:rsid w:val="01D4523A"/>
    <w:rsid w:val="01E06C1D"/>
    <w:rsid w:val="01F66ABD"/>
    <w:rsid w:val="01FB2325"/>
    <w:rsid w:val="021E46FE"/>
    <w:rsid w:val="02246E13"/>
    <w:rsid w:val="02322A9A"/>
    <w:rsid w:val="02370032"/>
    <w:rsid w:val="023723A1"/>
    <w:rsid w:val="023F2212"/>
    <w:rsid w:val="026A7614"/>
    <w:rsid w:val="027A149C"/>
    <w:rsid w:val="027D0954"/>
    <w:rsid w:val="02804E4A"/>
    <w:rsid w:val="028E769D"/>
    <w:rsid w:val="02BD1086"/>
    <w:rsid w:val="02C753AC"/>
    <w:rsid w:val="02DC1130"/>
    <w:rsid w:val="02F57682"/>
    <w:rsid w:val="03140FF8"/>
    <w:rsid w:val="032441FD"/>
    <w:rsid w:val="032514D7"/>
    <w:rsid w:val="032F316C"/>
    <w:rsid w:val="03350B0D"/>
    <w:rsid w:val="03660724"/>
    <w:rsid w:val="036970F4"/>
    <w:rsid w:val="03991DF6"/>
    <w:rsid w:val="039E5B37"/>
    <w:rsid w:val="03D13F17"/>
    <w:rsid w:val="03D21C41"/>
    <w:rsid w:val="03E60F8A"/>
    <w:rsid w:val="03E941FA"/>
    <w:rsid w:val="03EF7708"/>
    <w:rsid w:val="03FF072D"/>
    <w:rsid w:val="041A70FC"/>
    <w:rsid w:val="04246808"/>
    <w:rsid w:val="046F7568"/>
    <w:rsid w:val="04921C71"/>
    <w:rsid w:val="049B18BB"/>
    <w:rsid w:val="04CC2ABA"/>
    <w:rsid w:val="04D84F29"/>
    <w:rsid w:val="04F608A4"/>
    <w:rsid w:val="0531118C"/>
    <w:rsid w:val="056B0CB0"/>
    <w:rsid w:val="057F1E89"/>
    <w:rsid w:val="058777E5"/>
    <w:rsid w:val="05A05628"/>
    <w:rsid w:val="05BE41F5"/>
    <w:rsid w:val="05DD1532"/>
    <w:rsid w:val="05EE6337"/>
    <w:rsid w:val="05FC1AF2"/>
    <w:rsid w:val="061C75A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D6810"/>
    <w:rsid w:val="07E21F39"/>
    <w:rsid w:val="07E5385B"/>
    <w:rsid w:val="07FE6829"/>
    <w:rsid w:val="080A7ACF"/>
    <w:rsid w:val="080D17FF"/>
    <w:rsid w:val="08137F48"/>
    <w:rsid w:val="083D3611"/>
    <w:rsid w:val="085366AF"/>
    <w:rsid w:val="086C1F56"/>
    <w:rsid w:val="08707B51"/>
    <w:rsid w:val="0897720D"/>
    <w:rsid w:val="08A97E88"/>
    <w:rsid w:val="08CB0CA3"/>
    <w:rsid w:val="091D0DD3"/>
    <w:rsid w:val="092951B8"/>
    <w:rsid w:val="092D7B36"/>
    <w:rsid w:val="095C586C"/>
    <w:rsid w:val="0966277A"/>
    <w:rsid w:val="0966427E"/>
    <w:rsid w:val="0991077D"/>
    <w:rsid w:val="099E3CC2"/>
    <w:rsid w:val="09CB6896"/>
    <w:rsid w:val="09CE2D8D"/>
    <w:rsid w:val="09D43B87"/>
    <w:rsid w:val="0A0C1573"/>
    <w:rsid w:val="0A2E2EE2"/>
    <w:rsid w:val="0A314715"/>
    <w:rsid w:val="0A3B7FD7"/>
    <w:rsid w:val="0A5F1181"/>
    <w:rsid w:val="0A84735B"/>
    <w:rsid w:val="0AA12430"/>
    <w:rsid w:val="0AC21E85"/>
    <w:rsid w:val="0AC42E9F"/>
    <w:rsid w:val="0AD10A2B"/>
    <w:rsid w:val="0AD927DA"/>
    <w:rsid w:val="0AE778EA"/>
    <w:rsid w:val="0AF20E35"/>
    <w:rsid w:val="0AF36C07"/>
    <w:rsid w:val="0B0E675C"/>
    <w:rsid w:val="0B186678"/>
    <w:rsid w:val="0B655EAA"/>
    <w:rsid w:val="0B8E7D66"/>
    <w:rsid w:val="0B982B1A"/>
    <w:rsid w:val="0BAD6D40"/>
    <w:rsid w:val="0BB72CEC"/>
    <w:rsid w:val="0BC347EF"/>
    <w:rsid w:val="0BC90AF4"/>
    <w:rsid w:val="0BD171ED"/>
    <w:rsid w:val="0BE36CD9"/>
    <w:rsid w:val="0BF978D5"/>
    <w:rsid w:val="0C175FAD"/>
    <w:rsid w:val="0C2C1B67"/>
    <w:rsid w:val="0C634800"/>
    <w:rsid w:val="0C687622"/>
    <w:rsid w:val="0C6E6236"/>
    <w:rsid w:val="0C82314B"/>
    <w:rsid w:val="0C842999"/>
    <w:rsid w:val="0CE539EF"/>
    <w:rsid w:val="0CEA1BC0"/>
    <w:rsid w:val="0CEA47B8"/>
    <w:rsid w:val="0CEB6D41"/>
    <w:rsid w:val="0CFF523D"/>
    <w:rsid w:val="0D3450A6"/>
    <w:rsid w:val="0D3503A2"/>
    <w:rsid w:val="0D355BD5"/>
    <w:rsid w:val="0D3D5EE8"/>
    <w:rsid w:val="0D430A63"/>
    <w:rsid w:val="0D4A5FBE"/>
    <w:rsid w:val="0D4E3C51"/>
    <w:rsid w:val="0D5C24F8"/>
    <w:rsid w:val="0D7116ED"/>
    <w:rsid w:val="0D8B5140"/>
    <w:rsid w:val="0DAC357C"/>
    <w:rsid w:val="0DAE649D"/>
    <w:rsid w:val="0DAF0B09"/>
    <w:rsid w:val="0DB735A4"/>
    <w:rsid w:val="0DC67D96"/>
    <w:rsid w:val="0DDE3227"/>
    <w:rsid w:val="0DED507E"/>
    <w:rsid w:val="0E0A3098"/>
    <w:rsid w:val="0E0D1416"/>
    <w:rsid w:val="0E1B1D7D"/>
    <w:rsid w:val="0E411696"/>
    <w:rsid w:val="0E503D48"/>
    <w:rsid w:val="0E566E13"/>
    <w:rsid w:val="0E5B106C"/>
    <w:rsid w:val="0E63197E"/>
    <w:rsid w:val="0E873A8E"/>
    <w:rsid w:val="0E877EF9"/>
    <w:rsid w:val="0E9B50A9"/>
    <w:rsid w:val="0EBD640E"/>
    <w:rsid w:val="0EDB6947"/>
    <w:rsid w:val="0EEB1F4D"/>
    <w:rsid w:val="0F014D68"/>
    <w:rsid w:val="0F0E5336"/>
    <w:rsid w:val="0F1139A8"/>
    <w:rsid w:val="0F15109A"/>
    <w:rsid w:val="0F5827B0"/>
    <w:rsid w:val="0F5F1AA6"/>
    <w:rsid w:val="0F5F3EF3"/>
    <w:rsid w:val="0F60615C"/>
    <w:rsid w:val="0F7E2E38"/>
    <w:rsid w:val="0F900C4F"/>
    <w:rsid w:val="0F97640B"/>
    <w:rsid w:val="0FD37BD9"/>
    <w:rsid w:val="0FDB4665"/>
    <w:rsid w:val="10995A58"/>
    <w:rsid w:val="10A510D3"/>
    <w:rsid w:val="10BB1A08"/>
    <w:rsid w:val="11252649"/>
    <w:rsid w:val="1134315E"/>
    <w:rsid w:val="11414485"/>
    <w:rsid w:val="11604C92"/>
    <w:rsid w:val="1169095A"/>
    <w:rsid w:val="11B2208C"/>
    <w:rsid w:val="11C964CD"/>
    <w:rsid w:val="11D706B9"/>
    <w:rsid w:val="11EA1373"/>
    <w:rsid w:val="11F5112B"/>
    <w:rsid w:val="11F9177F"/>
    <w:rsid w:val="12210BBD"/>
    <w:rsid w:val="122D17E3"/>
    <w:rsid w:val="1251201C"/>
    <w:rsid w:val="12820395"/>
    <w:rsid w:val="12D146B4"/>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D651F"/>
    <w:rsid w:val="1405515F"/>
    <w:rsid w:val="140F7DA7"/>
    <w:rsid w:val="143A1985"/>
    <w:rsid w:val="144855D7"/>
    <w:rsid w:val="14492779"/>
    <w:rsid w:val="144B7979"/>
    <w:rsid w:val="14522767"/>
    <w:rsid w:val="145634FD"/>
    <w:rsid w:val="1457163D"/>
    <w:rsid w:val="14775224"/>
    <w:rsid w:val="147A1053"/>
    <w:rsid w:val="147D4ABC"/>
    <w:rsid w:val="14836151"/>
    <w:rsid w:val="149176F2"/>
    <w:rsid w:val="14A163F2"/>
    <w:rsid w:val="14C45D91"/>
    <w:rsid w:val="14D37DB8"/>
    <w:rsid w:val="15334487"/>
    <w:rsid w:val="15380A96"/>
    <w:rsid w:val="153E27FD"/>
    <w:rsid w:val="154E21C9"/>
    <w:rsid w:val="156C070E"/>
    <w:rsid w:val="15736D56"/>
    <w:rsid w:val="157C66A9"/>
    <w:rsid w:val="159F65AC"/>
    <w:rsid w:val="15B00359"/>
    <w:rsid w:val="15B60867"/>
    <w:rsid w:val="15BE0F83"/>
    <w:rsid w:val="15CA5E3E"/>
    <w:rsid w:val="15D860E5"/>
    <w:rsid w:val="15E8637F"/>
    <w:rsid w:val="15EA028F"/>
    <w:rsid w:val="15FA2BC8"/>
    <w:rsid w:val="160525B0"/>
    <w:rsid w:val="16267B58"/>
    <w:rsid w:val="163A1C14"/>
    <w:rsid w:val="163E4FD8"/>
    <w:rsid w:val="16557DFE"/>
    <w:rsid w:val="169A051D"/>
    <w:rsid w:val="16A477CB"/>
    <w:rsid w:val="16B22503"/>
    <w:rsid w:val="16B34B25"/>
    <w:rsid w:val="16B66AC3"/>
    <w:rsid w:val="16B9425F"/>
    <w:rsid w:val="17215F32"/>
    <w:rsid w:val="172346CE"/>
    <w:rsid w:val="173405A0"/>
    <w:rsid w:val="176600DA"/>
    <w:rsid w:val="176C775F"/>
    <w:rsid w:val="17795DCC"/>
    <w:rsid w:val="1791722F"/>
    <w:rsid w:val="17AD77C6"/>
    <w:rsid w:val="17B730F8"/>
    <w:rsid w:val="17BA1773"/>
    <w:rsid w:val="17D81CA0"/>
    <w:rsid w:val="17E210B1"/>
    <w:rsid w:val="17EF33B1"/>
    <w:rsid w:val="17F60179"/>
    <w:rsid w:val="180A74EF"/>
    <w:rsid w:val="18402807"/>
    <w:rsid w:val="184E428A"/>
    <w:rsid w:val="185C4947"/>
    <w:rsid w:val="18716A45"/>
    <w:rsid w:val="18790C37"/>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2C447F"/>
    <w:rsid w:val="19621BDB"/>
    <w:rsid w:val="19715915"/>
    <w:rsid w:val="199151FE"/>
    <w:rsid w:val="1991739F"/>
    <w:rsid w:val="1994388E"/>
    <w:rsid w:val="19A62CF8"/>
    <w:rsid w:val="19AE0FED"/>
    <w:rsid w:val="19B14317"/>
    <w:rsid w:val="19F142E2"/>
    <w:rsid w:val="1A111C5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A0F99"/>
    <w:rsid w:val="1AE93EB4"/>
    <w:rsid w:val="1AF1095B"/>
    <w:rsid w:val="1AF277CF"/>
    <w:rsid w:val="1B11615D"/>
    <w:rsid w:val="1B546DE6"/>
    <w:rsid w:val="1B63604D"/>
    <w:rsid w:val="1B72073F"/>
    <w:rsid w:val="1B7528DA"/>
    <w:rsid w:val="1B804E3C"/>
    <w:rsid w:val="1B9C027D"/>
    <w:rsid w:val="1BAC4D32"/>
    <w:rsid w:val="1BC614A9"/>
    <w:rsid w:val="1BE0272B"/>
    <w:rsid w:val="1BE83DD7"/>
    <w:rsid w:val="1C1F4A39"/>
    <w:rsid w:val="1C2673BA"/>
    <w:rsid w:val="1C2A0960"/>
    <w:rsid w:val="1C4F60A6"/>
    <w:rsid w:val="1C7D1E5D"/>
    <w:rsid w:val="1C9978FC"/>
    <w:rsid w:val="1C9D67EC"/>
    <w:rsid w:val="1CA64593"/>
    <w:rsid w:val="1CAC2905"/>
    <w:rsid w:val="1CC95A09"/>
    <w:rsid w:val="1CCE22A6"/>
    <w:rsid w:val="1CD221A8"/>
    <w:rsid w:val="1CE40726"/>
    <w:rsid w:val="1CFA1018"/>
    <w:rsid w:val="1CFC5BC9"/>
    <w:rsid w:val="1D0D29EF"/>
    <w:rsid w:val="1D0D4019"/>
    <w:rsid w:val="1D320E99"/>
    <w:rsid w:val="1D5D36B2"/>
    <w:rsid w:val="1D6304CC"/>
    <w:rsid w:val="1D7218F0"/>
    <w:rsid w:val="1D787557"/>
    <w:rsid w:val="1D8D207D"/>
    <w:rsid w:val="1D9C2528"/>
    <w:rsid w:val="1DA801B1"/>
    <w:rsid w:val="1DE94132"/>
    <w:rsid w:val="1DF431D5"/>
    <w:rsid w:val="1DF57F21"/>
    <w:rsid w:val="1DFB128B"/>
    <w:rsid w:val="1DFC5003"/>
    <w:rsid w:val="1E081AD2"/>
    <w:rsid w:val="1E162438"/>
    <w:rsid w:val="1E1F230F"/>
    <w:rsid w:val="1E2C6E84"/>
    <w:rsid w:val="1E3C74A0"/>
    <w:rsid w:val="1E3E442F"/>
    <w:rsid w:val="1E4C7D5F"/>
    <w:rsid w:val="1E6530AD"/>
    <w:rsid w:val="1E676E3A"/>
    <w:rsid w:val="1E780C0D"/>
    <w:rsid w:val="1EB634B6"/>
    <w:rsid w:val="1EB95DF3"/>
    <w:rsid w:val="1EE310B5"/>
    <w:rsid w:val="1F0770FC"/>
    <w:rsid w:val="1F0B5FBE"/>
    <w:rsid w:val="1F120F82"/>
    <w:rsid w:val="1F1B2E60"/>
    <w:rsid w:val="1F5016F7"/>
    <w:rsid w:val="1F570777"/>
    <w:rsid w:val="1F602E17"/>
    <w:rsid w:val="1F807CE3"/>
    <w:rsid w:val="1F856491"/>
    <w:rsid w:val="1FA140B4"/>
    <w:rsid w:val="1FB14D4C"/>
    <w:rsid w:val="1FC11EA9"/>
    <w:rsid w:val="1FEA75D2"/>
    <w:rsid w:val="20182BD0"/>
    <w:rsid w:val="202E6EC5"/>
    <w:rsid w:val="203E1903"/>
    <w:rsid w:val="203E7B55"/>
    <w:rsid w:val="206750B4"/>
    <w:rsid w:val="207829CC"/>
    <w:rsid w:val="20845366"/>
    <w:rsid w:val="20863CB7"/>
    <w:rsid w:val="208E5FEE"/>
    <w:rsid w:val="20BE2CEC"/>
    <w:rsid w:val="20CA74AA"/>
    <w:rsid w:val="20E27442"/>
    <w:rsid w:val="20FB7F86"/>
    <w:rsid w:val="21015A43"/>
    <w:rsid w:val="2134310A"/>
    <w:rsid w:val="213B5591"/>
    <w:rsid w:val="213D75A7"/>
    <w:rsid w:val="21A4203E"/>
    <w:rsid w:val="21B512F2"/>
    <w:rsid w:val="21BA320B"/>
    <w:rsid w:val="21C87FE5"/>
    <w:rsid w:val="21EE6CFA"/>
    <w:rsid w:val="21F72D73"/>
    <w:rsid w:val="21FC3824"/>
    <w:rsid w:val="2215799A"/>
    <w:rsid w:val="221D39E7"/>
    <w:rsid w:val="2224254C"/>
    <w:rsid w:val="223C1E72"/>
    <w:rsid w:val="224C1CF5"/>
    <w:rsid w:val="22513B6F"/>
    <w:rsid w:val="22615D46"/>
    <w:rsid w:val="2274785E"/>
    <w:rsid w:val="22773469"/>
    <w:rsid w:val="22B91F7C"/>
    <w:rsid w:val="22BA6FF4"/>
    <w:rsid w:val="22BE6D2B"/>
    <w:rsid w:val="22BF47B5"/>
    <w:rsid w:val="230B6ABD"/>
    <w:rsid w:val="231352C9"/>
    <w:rsid w:val="231B74DC"/>
    <w:rsid w:val="231D4366"/>
    <w:rsid w:val="235C0FB9"/>
    <w:rsid w:val="23605A2D"/>
    <w:rsid w:val="2380058C"/>
    <w:rsid w:val="23866924"/>
    <w:rsid w:val="23B61577"/>
    <w:rsid w:val="23D45DC2"/>
    <w:rsid w:val="23EA427B"/>
    <w:rsid w:val="23EC153B"/>
    <w:rsid w:val="2408233F"/>
    <w:rsid w:val="246D7FA6"/>
    <w:rsid w:val="248B2B7C"/>
    <w:rsid w:val="24AE34FB"/>
    <w:rsid w:val="24D36E41"/>
    <w:rsid w:val="24DE1906"/>
    <w:rsid w:val="24F22CA8"/>
    <w:rsid w:val="2512024E"/>
    <w:rsid w:val="252F258F"/>
    <w:rsid w:val="253A4D8F"/>
    <w:rsid w:val="25496D80"/>
    <w:rsid w:val="25670AE2"/>
    <w:rsid w:val="25733F7D"/>
    <w:rsid w:val="258C5AFE"/>
    <w:rsid w:val="25BC1216"/>
    <w:rsid w:val="25E537C6"/>
    <w:rsid w:val="26003F6F"/>
    <w:rsid w:val="260062B2"/>
    <w:rsid w:val="26143C99"/>
    <w:rsid w:val="26291FC6"/>
    <w:rsid w:val="26297308"/>
    <w:rsid w:val="262D66A1"/>
    <w:rsid w:val="263327B8"/>
    <w:rsid w:val="264A194A"/>
    <w:rsid w:val="26644B8A"/>
    <w:rsid w:val="26801254"/>
    <w:rsid w:val="269B082B"/>
    <w:rsid w:val="26A8437A"/>
    <w:rsid w:val="26C423E8"/>
    <w:rsid w:val="26E11783"/>
    <w:rsid w:val="27006B57"/>
    <w:rsid w:val="2717462E"/>
    <w:rsid w:val="27473FB0"/>
    <w:rsid w:val="27565784"/>
    <w:rsid w:val="278F1801"/>
    <w:rsid w:val="27A04C51"/>
    <w:rsid w:val="27BD1CA7"/>
    <w:rsid w:val="27ED6C10"/>
    <w:rsid w:val="281533CB"/>
    <w:rsid w:val="28173404"/>
    <w:rsid w:val="285A74F6"/>
    <w:rsid w:val="28697A58"/>
    <w:rsid w:val="28757DED"/>
    <w:rsid w:val="287C2A5C"/>
    <w:rsid w:val="288325A9"/>
    <w:rsid w:val="288C1DF0"/>
    <w:rsid w:val="288D78CB"/>
    <w:rsid w:val="28F6717A"/>
    <w:rsid w:val="28FE0C10"/>
    <w:rsid w:val="291C2A25"/>
    <w:rsid w:val="291D0C4F"/>
    <w:rsid w:val="292F461D"/>
    <w:rsid w:val="29697377"/>
    <w:rsid w:val="298F3DBD"/>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B638B4"/>
    <w:rsid w:val="2BD716F9"/>
    <w:rsid w:val="2BEB34D5"/>
    <w:rsid w:val="2BFD3BD7"/>
    <w:rsid w:val="2C1B6F9C"/>
    <w:rsid w:val="2C303FD4"/>
    <w:rsid w:val="2C361AD1"/>
    <w:rsid w:val="2C3952BE"/>
    <w:rsid w:val="2C4F2094"/>
    <w:rsid w:val="2C5C4EF8"/>
    <w:rsid w:val="2C640D97"/>
    <w:rsid w:val="2C730B86"/>
    <w:rsid w:val="2C755993"/>
    <w:rsid w:val="2C850A17"/>
    <w:rsid w:val="2C956634"/>
    <w:rsid w:val="2CBA7DB9"/>
    <w:rsid w:val="2CC7011F"/>
    <w:rsid w:val="2CCF020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E36E5C"/>
    <w:rsid w:val="2E01095F"/>
    <w:rsid w:val="2E03010C"/>
    <w:rsid w:val="2E220AB6"/>
    <w:rsid w:val="2E3507E9"/>
    <w:rsid w:val="2E365601"/>
    <w:rsid w:val="2E3859E0"/>
    <w:rsid w:val="2E427B75"/>
    <w:rsid w:val="2E66510E"/>
    <w:rsid w:val="2E825B55"/>
    <w:rsid w:val="2E895176"/>
    <w:rsid w:val="2EA75524"/>
    <w:rsid w:val="2EB84EF4"/>
    <w:rsid w:val="2EBB5196"/>
    <w:rsid w:val="2EE15DF5"/>
    <w:rsid w:val="2EEE1C8B"/>
    <w:rsid w:val="2EFD5C1D"/>
    <w:rsid w:val="2F0D2540"/>
    <w:rsid w:val="2F3A13A6"/>
    <w:rsid w:val="2F5408D5"/>
    <w:rsid w:val="2FD65A3F"/>
    <w:rsid w:val="2FF50D63"/>
    <w:rsid w:val="2FF8435F"/>
    <w:rsid w:val="30041400"/>
    <w:rsid w:val="300645B8"/>
    <w:rsid w:val="300C3A24"/>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0E50AB"/>
    <w:rsid w:val="32216010"/>
    <w:rsid w:val="322F72FD"/>
    <w:rsid w:val="323414F3"/>
    <w:rsid w:val="326451ED"/>
    <w:rsid w:val="326546BE"/>
    <w:rsid w:val="326E73BC"/>
    <w:rsid w:val="32760A30"/>
    <w:rsid w:val="32760FED"/>
    <w:rsid w:val="327F0106"/>
    <w:rsid w:val="32930A79"/>
    <w:rsid w:val="329F1203"/>
    <w:rsid w:val="32BE2081"/>
    <w:rsid w:val="32BE24E1"/>
    <w:rsid w:val="32DD144F"/>
    <w:rsid w:val="33045A37"/>
    <w:rsid w:val="330843A0"/>
    <w:rsid w:val="3316641B"/>
    <w:rsid w:val="333A24F6"/>
    <w:rsid w:val="334119DE"/>
    <w:rsid w:val="335039CF"/>
    <w:rsid w:val="33693853"/>
    <w:rsid w:val="33996E01"/>
    <w:rsid w:val="33BB60DF"/>
    <w:rsid w:val="33C521FE"/>
    <w:rsid w:val="33D3781A"/>
    <w:rsid w:val="33D4015C"/>
    <w:rsid w:val="33F269F0"/>
    <w:rsid w:val="34094D33"/>
    <w:rsid w:val="343D4F74"/>
    <w:rsid w:val="345C4BC4"/>
    <w:rsid w:val="345C5BF5"/>
    <w:rsid w:val="347F6C2F"/>
    <w:rsid w:val="349C5100"/>
    <w:rsid w:val="34DA5BA9"/>
    <w:rsid w:val="34F053F7"/>
    <w:rsid w:val="34FD2D47"/>
    <w:rsid w:val="34FD7B87"/>
    <w:rsid w:val="3529097C"/>
    <w:rsid w:val="3551568E"/>
    <w:rsid w:val="35586B6B"/>
    <w:rsid w:val="35635603"/>
    <w:rsid w:val="35DE35A3"/>
    <w:rsid w:val="35E30136"/>
    <w:rsid w:val="35F268C9"/>
    <w:rsid w:val="360931ED"/>
    <w:rsid w:val="36177645"/>
    <w:rsid w:val="362E06C5"/>
    <w:rsid w:val="364148B1"/>
    <w:rsid w:val="367C127F"/>
    <w:rsid w:val="367F32BF"/>
    <w:rsid w:val="36C62C57"/>
    <w:rsid w:val="36E83F1F"/>
    <w:rsid w:val="36FB65BA"/>
    <w:rsid w:val="370E5675"/>
    <w:rsid w:val="372B2027"/>
    <w:rsid w:val="37351310"/>
    <w:rsid w:val="374F3F98"/>
    <w:rsid w:val="37B85777"/>
    <w:rsid w:val="37BF7375"/>
    <w:rsid w:val="37EC3C9F"/>
    <w:rsid w:val="37FA13BA"/>
    <w:rsid w:val="380D1E8F"/>
    <w:rsid w:val="38536423"/>
    <w:rsid w:val="387C7014"/>
    <w:rsid w:val="389D2D1E"/>
    <w:rsid w:val="389E00F3"/>
    <w:rsid w:val="38D1110E"/>
    <w:rsid w:val="38DB4455"/>
    <w:rsid w:val="38DD71B9"/>
    <w:rsid w:val="38FD63A7"/>
    <w:rsid w:val="38FE5C7B"/>
    <w:rsid w:val="39047736"/>
    <w:rsid w:val="391477FF"/>
    <w:rsid w:val="39370C74"/>
    <w:rsid w:val="39372984"/>
    <w:rsid w:val="39387BD3"/>
    <w:rsid w:val="393F10AB"/>
    <w:rsid w:val="394E081F"/>
    <w:rsid w:val="39780CA7"/>
    <w:rsid w:val="397A0A14"/>
    <w:rsid w:val="39A242C2"/>
    <w:rsid w:val="39B7482F"/>
    <w:rsid w:val="39F460BA"/>
    <w:rsid w:val="3A314322"/>
    <w:rsid w:val="3A425B8B"/>
    <w:rsid w:val="3A537483"/>
    <w:rsid w:val="3A8F1410"/>
    <w:rsid w:val="3AA34D2C"/>
    <w:rsid w:val="3AC1227E"/>
    <w:rsid w:val="3AD704A6"/>
    <w:rsid w:val="3ADD1FEC"/>
    <w:rsid w:val="3ADF59EB"/>
    <w:rsid w:val="3AF64167"/>
    <w:rsid w:val="3B524765"/>
    <w:rsid w:val="3B534E72"/>
    <w:rsid w:val="3B564D4F"/>
    <w:rsid w:val="3B7712FB"/>
    <w:rsid w:val="3B997928"/>
    <w:rsid w:val="3B9C7911"/>
    <w:rsid w:val="3BA94143"/>
    <w:rsid w:val="3BAA5C47"/>
    <w:rsid w:val="3BB865B6"/>
    <w:rsid w:val="3BC23686"/>
    <w:rsid w:val="3BC736A9"/>
    <w:rsid w:val="3BF04906"/>
    <w:rsid w:val="3BFD126C"/>
    <w:rsid w:val="3C131A3E"/>
    <w:rsid w:val="3C367D2F"/>
    <w:rsid w:val="3C526944"/>
    <w:rsid w:val="3C58317B"/>
    <w:rsid w:val="3C611848"/>
    <w:rsid w:val="3C6A3B26"/>
    <w:rsid w:val="3C73403C"/>
    <w:rsid w:val="3C7C5835"/>
    <w:rsid w:val="3CC358A1"/>
    <w:rsid w:val="3CF06E89"/>
    <w:rsid w:val="3D030D52"/>
    <w:rsid w:val="3D2739F3"/>
    <w:rsid w:val="3D2D6CED"/>
    <w:rsid w:val="3D456592"/>
    <w:rsid w:val="3D600CB3"/>
    <w:rsid w:val="3DAE1A1E"/>
    <w:rsid w:val="3DBB3E73"/>
    <w:rsid w:val="3DBF1E7D"/>
    <w:rsid w:val="3DD5415F"/>
    <w:rsid w:val="3DE22C8D"/>
    <w:rsid w:val="3DE509C4"/>
    <w:rsid w:val="3DE5680E"/>
    <w:rsid w:val="3E1201FF"/>
    <w:rsid w:val="3E19763A"/>
    <w:rsid w:val="3E2B46BB"/>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E177F"/>
    <w:rsid w:val="406229AA"/>
    <w:rsid w:val="407C3CE0"/>
    <w:rsid w:val="407D38D8"/>
    <w:rsid w:val="409967C5"/>
    <w:rsid w:val="40B12BC3"/>
    <w:rsid w:val="40B82BB4"/>
    <w:rsid w:val="40D96F5D"/>
    <w:rsid w:val="40ED2D73"/>
    <w:rsid w:val="40F942DC"/>
    <w:rsid w:val="411C1FDB"/>
    <w:rsid w:val="413A7C08"/>
    <w:rsid w:val="41455B37"/>
    <w:rsid w:val="418E5F2D"/>
    <w:rsid w:val="419C71F1"/>
    <w:rsid w:val="41AA7E94"/>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D237B"/>
    <w:rsid w:val="436F4184"/>
    <w:rsid w:val="439023E7"/>
    <w:rsid w:val="43E72417"/>
    <w:rsid w:val="44112439"/>
    <w:rsid w:val="44390A1E"/>
    <w:rsid w:val="445D316D"/>
    <w:rsid w:val="445F33CE"/>
    <w:rsid w:val="44773C85"/>
    <w:rsid w:val="448C6744"/>
    <w:rsid w:val="44AD1531"/>
    <w:rsid w:val="44B862B6"/>
    <w:rsid w:val="44CB55AC"/>
    <w:rsid w:val="44D47F78"/>
    <w:rsid w:val="44E0760E"/>
    <w:rsid w:val="4505352E"/>
    <w:rsid w:val="450B04D3"/>
    <w:rsid w:val="450B2EEB"/>
    <w:rsid w:val="450D1720"/>
    <w:rsid w:val="45124F88"/>
    <w:rsid w:val="45302890"/>
    <w:rsid w:val="454D61D6"/>
    <w:rsid w:val="455065A2"/>
    <w:rsid w:val="455C6204"/>
    <w:rsid w:val="45725A27"/>
    <w:rsid w:val="459040FF"/>
    <w:rsid w:val="459B1A18"/>
    <w:rsid w:val="459C2DEA"/>
    <w:rsid w:val="459D6299"/>
    <w:rsid w:val="45B24C53"/>
    <w:rsid w:val="45CA7936"/>
    <w:rsid w:val="45CB4558"/>
    <w:rsid w:val="45EA7156"/>
    <w:rsid w:val="45FD03CB"/>
    <w:rsid w:val="46001DBB"/>
    <w:rsid w:val="460A1A42"/>
    <w:rsid w:val="461B2CEA"/>
    <w:rsid w:val="46344BC0"/>
    <w:rsid w:val="464F558D"/>
    <w:rsid w:val="46912964"/>
    <w:rsid w:val="46AA422C"/>
    <w:rsid w:val="46AB6778"/>
    <w:rsid w:val="46C41A21"/>
    <w:rsid w:val="46DF0E9A"/>
    <w:rsid w:val="4712301E"/>
    <w:rsid w:val="471D19C3"/>
    <w:rsid w:val="475A49C5"/>
    <w:rsid w:val="476D4A88"/>
    <w:rsid w:val="4776384A"/>
    <w:rsid w:val="478A5DE8"/>
    <w:rsid w:val="478E2BD5"/>
    <w:rsid w:val="47994B3E"/>
    <w:rsid w:val="47AE7191"/>
    <w:rsid w:val="47C50090"/>
    <w:rsid w:val="47CA56A6"/>
    <w:rsid w:val="47E259FB"/>
    <w:rsid w:val="47E349BA"/>
    <w:rsid w:val="47ED5331"/>
    <w:rsid w:val="47F1517F"/>
    <w:rsid w:val="48166B3E"/>
    <w:rsid w:val="482A6164"/>
    <w:rsid w:val="483D6838"/>
    <w:rsid w:val="48460BD4"/>
    <w:rsid w:val="489C0AB3"/>
    <w:rsid w:val="48B16866"/>
    <w:rsid w:val="48B9571B"/>
    <w:rsid w:val="48C1200F"/>
    <w:rsid w:val="48CD3B3B"/>
    <w:rsid w:val="48F50E49"/>
    <w:rsid w:val="48FE5E63"/>
    <w:rsid w:val="490E1333"/>
    <w:rsid w:val="49374D2F"/>
    <w:rsid w:val="493B7FA3"/>
    <w:rsid w:val="494B1C31"/>
    <w:rsid w:val="49780393"/>
    <w:rsid w:val="49CD147E"/>
    <w:rsid w:val="49E7021F"/>
    <w:rsid w:val="4A0226B2"/>
    <w:rsid w:val="4A4A20C3"/>
    <w:rsid w:val="4A4A6F73"/>
    <w:rsid w:val="4A5B5B87"/>
    <w:rsid w:val="4A6C41E8"/>
    <w:rsid w:val="4A7A2BED"/>
    <w:rsid w:val="4A87524A"/>
    <w:rsid w:val="4A876BD5"/>
    <w:rsid w:val="4A8F3747"/>
    <w:rsid w:val="4ABB28A4"/>
    <w:rsid w:val="4ACA3C0F"/>
    <w:rsid w:val="4AD90601"/>
    <w:rsid w:val="4AEC1DD8"/>
    <w:rsid w:val="4B051763"/>
    <w:rsid w:val="4B0A20CC"/>
    <w:rsid w:val="4B125CE2"/>
    <w:rsid w:val="4B130351"/>
    <w:rsid w:val="4B29095D"/>
    <w:rsid w:val="4B305EF3"/>
    <w:rsid w:val="4B6B5CA5"/>
    <w:rsid w:val="4B9B5375"/>
    <w:rsid w:val="4B9C405B"/>
    <w:rsid w:val="4BA2243C"/>
    <w:rsid w:val="4BA80384"/>
    <w:rsid w:val="4BBC15C5"/>
    <w:rsid w:val="4BE531B2"/>
    <w:rsid w:val="4BFB077B"/>
    <w:rsid w:val="4C016EB6"/>
    <w:rsid w:val="4C252316"/>
    <w:rsid w:val="4C3752D5"/>
    <w:rsid w:val="4C53598B"/>
    <w:rsid w:val="4C6C740C"/>
    <w:rsid w:val="4C8178DF"/>
    <w:rsid w:val="4C89229E"/>
    <w:rsid w:val="4C8B089A"/>
    <w:rsid w:val="4CB93B0D"/>
    <w:rsid w:val="4CE27CEC"/>
    <w:rsid w:val="4CFB4554"/>
    <w:rsid w:val="4D01075E"/>
    <w:rsid w:val="4D1656C9"/>
    <w:rsid w:val="4D491763"/>
    <w:rsid w:val="4D5F117A"/>
    <w:rsid w:val="4D6C0257"/>
    <w:rsid w:val="4D7022F0"/>
    <w:rsid w:val="4D714816"/>
    <w:rsid w:val="4D73058E"/>
    <w:rsid w:val="4D9965A1"/>
    <w:rsid w:val="4D9F3131"/>
    <w:rsid w:val="4DB01573"/>
    <w:rsid w:val="4DC31516"/>
    <w:rsid w:val="4DCB3B3C"/>
    <w:rsid w:val="4DF06083"/>
    <w:rsid w:val="4DF33A40"/>
    <w:rsid w:val="4E165819"/>
    <w:rsid w:val="4E400D3E"/>
    <w:rsid w:val="4E654D68"/>
    <w:rsid w:val="4E89065F"/>
    <w:rsid w:val="4E890D1E"/>
    <w:rsid w:val="4EAA4AAC"/>
    <w:rsid w:val="4EAE2AF7"/>
    <w:rsid w:val="4EC51746"/>
    <w:rsid w:val="4ED845F9"/>
    <w:rsid w:val="4EDB2A04"/>
    <w:rsid w:val="4EE5726A"/>
    <w:rsid w:val="4F2935FA"/>
    <w:rsid w:val="4F5F526E"/>
    <w:rsid w:val="4F722566"/>
    <w:rsid w:val="4F807E63"/>
    <w:rsid w:val="4FAD53F7"/>
    <w:rsid w:val="4FC15B68"/>
    <w:rsid w:val="4FCB6BB8"/>
    <w:rsid w:val="4FDC2F48"/>
    <w:rsid w:val="4FDF2F1A"/>
    <w:rsid w:val="4FE84F30"/>
    <w:rsid w:val="50002DC1"/>
    <w:rsid w:val="50147A36"/>
    <w:rsid w:val="501A72E6"/>
    <w:rsid w:val="503C7D20"/>
    <w:rsid w:val="506121EE"/>
    <w:rsid w:val="507F7CA4"/>
    <w:rsid w:val="50993AFB"/>
    <w:rsid w:val="50A804AB"/>
    <w:rsid w:val="50BC0F04"/>
    <w:rsid w:val="50D70E34"/>
    <w:rsid w:val="50D71373"/>
    <w:rsid w:val="51025EB1"/>
    <w:rsid w:val="510E79A5"/>
    <w:rsid w:val="51203E0D"/>
    <w:rsid w:val="5126428B"/>
    <w:rsid w:val="514B171A"/>
    <w:rsid w:val="514E19D5"/>
    <w:rsid w:val="514F3B40"/>
    <w:rsid w:val="515802E8"/>
    <w:rsid w:val="516D33FB"/>
    <w:rsid w:val="518E70C9"/>
    <w:rsid w:val="51962C61"/>
    <w:rsid w:val="5197226B"/>
    <w:rsid w:val="51986D55"/>
    <w:rsid w:val="51AB289F"/>
    <w:rsid w:val="51DB26B7"/>
    <w:rsid w:val="52085A22"/>
    <w:rsid w:val="52150CE3"/>
    <w:rsid w:val="522D1654"/>
    <w:rsid w:val="523D010F"/>
    <w:rsid w:val="52470D8A"/>
    <w:rsid w:val="525748A7"/>
    <w:rsid w:val="526A01B2"/>
    <w:rsid w:val="528560F5"/>
    <w:rsid w:val="52905072"/>
    <w:rsid w:val="529812A1"/>
    <w:rsid w:val="52A15587"/>
    <w:rsid w:val="52AE4D6E"/>
    <w:rsid w:val="52DA23CD"/>
    <w:rsid w:val="52E651F1"/>
    <w:rsid w:val="52FE2671"/>
    <w:rsid w:val="53093B64"/>
    <w:rsid w:val="531C63D9"/>
    <w:rsid w:val="532365B3"/>
    <w:rsid w:val="53290807"/>
    <w:rsid w:val="5338205E"/>
    <w:rsid w:val="53510468"/>
    <w:rsid w:val="53527BB3"/>
    <w:rsid w:val="53675D9C"/>
    <w:rsid w:val="536D1EC6"/>
    <w:rsid w:val="537B63EF"/>
    <w:rsid w:val="53865301"/>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23F51"/>
    <w:rsid w:val="54E36B78"/>
    <w:rsid w:val="54F02344"/>
    <w:rsid w:val="54F40207"/>
    <w:rsid w:val="550A1892"/>
    <w:rsid w:val="551D5015"/>
    <w:rsid w:val="55200FFC"/>
    <w:rsid w:val="552564A8"/>
    <w:rsid w:val="552A05FB"/>
    <w:rsid w:val="55384597"/>
    <w:rsid w:val="554967A4"/>
    <w:rsid w:val="554C1DF1"/>
    <w:rsid w:val="55563F10"/>
    <w:rsid w:val="55670BDC"/>
    <w:rsid w:val="55833339"/>
    <w:rsid w:val="559316B9"/>
    <w:rsid w:val="55B564C7"/>
    <w:rsid w:val="55BC7B96"/>
    <w:rsid w:val="55C474C6"/>
    <w:rsid w:val="55CA6663"/>
    <w:rsid w:val="55D06994"/>
    <w:rsid w:val="55E045AF"/>
    <w:rsid w:val="55F2568F"/>
    <w:rsid w:val="55FB55C5"/>
    <w:rsid w:val="55FF05E0"/>
    <w:rsid w:val="55FF154C"/>
    <w:rsid w:val="56275AF4"/>
    <w:rsid w:val="5628772B"/>
    <w:rsid w:val="562F5E3A"/>
    <w:rsid w:val="564737B1"/>
    <w:rsid w:val="56713378"/>
    <w:rsid w:val="56737851"/>
    <w:rsid w:val="567C6706"/>
    <w:rsid w:val="569D43CC"/>
    <w:rsid w:val="56BD255D"/>
    <w:rsid w:val="56C36665"/>
    <w:rsid w:val="56CB4F97"/>
    <w:rsid w:val="56E15C15"/>
    <w:rsid w:val="56EE2853"/>
    <w:rsid w:val="57216F3E"/>
    <w:rsid w:val="57331A5F"/>
    <w:rsid w:val="5734162D"/>
    <w:rsid w:val="574F278C"/>
    <w:rsid w:val="57545232"/>
    <w:rsid w:val="57570099"/>
    <w:rsid w:val="57603931"/>
    <w:rsid w:val="57651CD4"/>
    <w:rsid w:val="57680A38"/>
    <w:rsid w:val="576F626A"/>
    <w:rsid w:val="577008D3"/>
    <w:rsid w:val="577C01E6"/>
    <w:rsid w:val="57B62609"/>
    <w:rsid w:val="57BD5228"/>
    <w:rsid w:val="57C17878"/>
    <w:rsid w:val="57D7442E"/>
    <w:rsid w:val="58211E24"/>
    <w:rsid w:val="583E1204"/>
    <w:rsid w:val="58894202"/>
    <w:rsid w:val="58906498"/>
    <w:rsid w:val="58AA2D6A"/>
    <w:rsid w:val="58AD7EC6"/>
    <w:rsid w:val="58B02363"/>
    <w:rsid w:val="58E42340"/>
    <w:rsid w:val="59036C6A"/>
    <w:rsid w:val="59143BCD"/>
    <w:rsid w:val="592D0F8B"/>
    <w:rsid w:val="59331108"/>
    <w:rsid w:val="594E2BD8"/>
    <w:rsid w:val="59670478"/>
    <w:rsid w:val="596E7F89"/>
    <w:rsid w:val="596F6281"/>
    <w:rsid w:val="59722042"/>
    <w:rsid w:val="597D3EA4"/>
    <w:rsid w:val="59844F70"/>
    <w:rsid w:val="5988764A"/>
    <w:rsid w:val="599C3374"/>
    <w:rsid w:val="59AA7659"/>
    <w:rsid w:val="59D63A74"/>
    <w:rsid w:val="59DB7B54"/>
    <w:rsid w:val="59E44CEE"/>
    <w:rsid w:val="5A03119E"/>
    <w:rsid w:val="5A0C1B4F"/>
    <w:rsid w:val="5A134117"/>
    <w:rsid w:val="5A2D0CE1"/>
    <w:rsid w:val="5A2E48FE"/>
    <w:rsid w:val="5A371CB1"/>
    <w:rsid w:val="5A3D4EC9"/>
    <w:rsid w:val="5A455061"/>
    <w:rsid w:val="5A51252E"/>
    <w:rsid w:val="5A5828FD"/>
    <w:rsid w:val="5A6C21E6"/>
    <w:rsid w:val="5A7A6C24"/>
    <w:rsid w:val="5A7D47FA"/>
    <w:rsid w:val="5A7F45F4"/>
    <w:rsid w:val="5A8E2EAB"/>
    <w:rsid w:val="5A9814A2"/>
    <w:rsid w:val="5AA66816"/>
    <w:rsid w:val="5AC52078"/>
    <w:rsid w:val="5B1C58AD"/>
    <w:rsid w:val="5B4332E6"/>
    <w:rsid w:val="5B4A15D2"/>
    <w:rsid w:val="5B7200D7"/>
    <w:rsid w:val="5B7E6DA0"/>
    <w:rsid w:val="5B7E7DD1"/>
    <w:rsid w:val="5B85620A"/>
    <w:rsid w:val="5B920779"/>
    <w:rsid w:val="5BB01BF8"/>
    <w:rsid w:val="5BC546AB"/>
    <w:rsid w:val="5BC7502B"/>
    <w:rsid w:val="5BCB77E7"/>
    <w:rsid w:val="5BE14DCE"/>
    <w:rsid w:val="5BE30FD5"/>
    <w:rsid w:val="5BEE3D39"/>
    <w:rsid w:val="5BF35139"/>
    <w:rsid w:val="5C083989"/>
    <w:rsid w:val="5C0F5579"/>
    <w:rsid w:val="5C187D73"/>
    <w:rsid w:val="5C2D3BC9"/>
    <w:rsid w:val="5C353BC0"/>
    <w:rsid w:val="5C361105"/>
    <w:rsid w:val="5C370562"/>
    <w:rsid w:val="5C3F445D"/>
    <w:rsid w:val="5C4F1B7F"/>
    <w:rsid w:val="5C57280E"/>
    <w:rsid w:val="5C614EB7"/>
    <w:rsid w:val="5C683425"/>
    <w:rsid w:val="5C700923"/>
    <w:rsid w:val="5C835883"/>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DF018A9"/>
    <w:rsid w:val="5E1D0EB8"/>
    <w:rsid w:val="5E211941"/>
    <w:rsid w:val="5E3706B3"/>
    <w:rsid w:val="5E6C677E"/>
    <w:rsid w:val="5E83582A"/>
    <w:rsid w:val="5EB804F7"/>
    <w:rsid w:val="5ED35BCD"/>
    <w:rsid w:val="5ED837A7"/>
    <w:rsid w:val="5EEF6FEA"/>
    <w:rsid w:val="5F02536D"/>
    <w:rsid w:val="5F227739"/>
    <w:rsid w:val="5F2E0A3F"/>
    <w:rsid w:val="5F63289D"/>
    <w:rsid w:val="5F827AE1"/>
    <w:rsid w:val="5FDE5D3B"/>
    <w:rsid w:val="5FE274DC"/>
    <w:rsid w:val="5FF53A9E"/>
    <w:rsid w:val="60335F84"/>
    <w:rsid w:val="603B7746"/>
    <w:rsid w:val="605A694F"/>
    <w:rsid w:val="6078689C"/>
    <w:rsid w:val="60A01243"/>
    <w:rsid w:val="60A93BE4"/>
    <w:rsid w:val="60AE6D2D"/>
    <w:rsid w:val="60B665BB"/>
    <w:rsid w:val="60D85A3C"/>
    <w:rsid w:val="60F817F0"/>
    <w:rsid w:val="60F86642"/>
    <w:rsid w:val="61072A71"/>
    <w:rsid w:val="6110157B"/>
    <w:rsid w:val="611807AB"/>
    <w:rsid w:val="6132417C"/>
    <w:rsid w:val="617C5EFC"/>
    <w:rsid w:val="61863E03"/>
    <w:rsid w:val="619E0630"/>
    <w:rsid w:val="61A0093F"/>
    <w:rsid w:val="61A54BBF"/>
    <w:rsid w:val="61D45648"/>
    <w:rsid w:val="61F31DDA"/>
    <w:rsid w:val="61F53C4A"/>
    <w:rsid w:val="620D6DAC"/>
    <w:rsid w:val="620E0D6B"/>
    <w:rsid w:val="62100056"/>
    <w:rsid w:val="62241762"/>
    <w:rsid w:val="623E733C"/>
    <w:rsid w:val="624C4D00"/>
    <w:rsid w:val="624C5D09"/>
    <w:rsid w:val="62741411"/>
    <w:rsid w:val="628C5A67"/>
    <w:rsid w:val="62976B71"/>
    <w:rsid w:val="62AC0120"/>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35046"/>
    <w:rsid w:val="63D44CF6"/>
    <w:rsid w:val="63DD630A"/>
    <w:rsid w:val="64015B4D"/>
    <w:rsid w:val="6442474E"/>
    <w:rsid w:val="64551B80"/>
    <w:rsid w:val="646709F5"/>
    <w:rsid w:val="646B48B3"/>
    <w:rsid w:val="64720042"/>
    <w:rsid w:val="647A11F4"/>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211C6F"/>
    <w:rsid w:val="67351044"/>
    <w:rsid w:val="67486456"/>
    <w:rsid w:val="674F2330"/>
    <w:rsid w:val="676E4A29"/>
    <w:rsid w:val="6780592A"/>
    <w:rsid w:val="678B4999"/>
    <w:rsid w:val="67A755AC"/>
    <w:rsid w:val="67C63C85"/>
    <w:rsid w:val="67EA12D9"/>
    <w:rsid w:val="680726BA"/>
    <w:rsid w:val="68107747"/>
    <w:rsid w:val="682C0284"/>
    <w:rsid w:val="68336E0E"/>
    <w:rsid w:val="683879EA"/>
    <w:rsid w:val="683E10BF"/>
    <w:rsid w:val="684C6BA2"/>
    <w:rsid w:val="68506E3A"/>
    <w:rsid w:val="685E5C6B"/>
    <w:rsid w:val="68710230"/>
    <w:rsid w:val="687A273F"/>
    <w:rsid w:val="68856E84"/>
    <w:rsid w:val="68921D55"/>
    <w:rsid w:val="68A613C0"/>
    <w:rsid w:val="68B22991"/>
    <w:rsid w:val="68BF5C64"/>
    <w:rsid w:val="69010363"/>
    <w:rsid w:val="69012A9A"/>
    <w:rsid w:val="696F3C02"/>
    <w:rsid w:val="697524A5"/>
    <w:rsid w:val="69912070"/>
    <w:rsid w:val="69A21587"/>
    <w:rsid w:val="69A63060"/>
    <w:rsid w:val="69C73CE4"/>
    <w:rsid w:val="69D15A6B"/>
    <w:rsid w:val="69DB3261"/>
    <w:rsid w:val="6A2269C2"/>
    <w:rsid w:val="6A286211"/>
    <w:rsid w:val="6A3053E5"/>
    <w:rsid w:val="6A446CDF"/>
    <w:rsid w:val="6AB6231D"/>
    <w:rsid w:val="6AB84A5D"/>
    <w:rsid w:val="6AD36841"/>
    <w:rsid w:val="6AEC2279"/>
    <w:rsid w:val="6B1944A5"/>
    <w:rsid w:val="6B2038ED"/>
    <w:rsid w:val="6B307E26"/>
    <w:rsid w:val="6B421F06"/>
    <w:rsid w:val="6B4A0B61"/>
    <w:rsid w:val="6B4D39D0"/>
    <w:rsid w:val="6B4E3680"/>
    <w:rsid w:val="6B643451"/>
    <w:rsid w:val="6BA52D97"/>
    <w:rsid w:val="6BDA035C"/>
    <w:rsid w:val="6BF27A3D"/>
    <w:rsid w:val="6BF84629"/>
    <w:rsid w:val="6C1F29B2"/>
    <w:rsid w:val="6C3E6C50"/>
    <w:rsid w:val="6C435B90"/>
    <w:rsid w:val="6C5A07C5"/>
    <w:rsid w:val="6C5A791C"/>
    <w:rsid w:val="6C60002E"/>
    <w:rsid w:val="6C77554D"/>
    <w:rsid w:val="6C8A7920"/>
    <w:rsid w:val="6C8B40D0"/>
    <w:rsid w:val="6CA94BAE"/>
    <w:rsid w:val="6CB43CDF"/>
    <w:rsid w:val="6CB72EF1"/>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7824A5"/>
    <w:rsid w:val="6E99562C"/>
    <w:rsid w:val="6EBF142E"/>
    <w:rsid w:val="6ECA7E4F"/>
    <w:rsid w:val="6EE52C8E"/>
    <w:rsid w:val="6F202A5D"/>
    <w:rsid w:val="6F2B5F77"/>
    <w:rsid w:val="6F466764"/>
    <w:rsid w:val="6F50730C"/>
    <w:rsid w:val="6F8921DB"/>
    <w:rsid w:val="6FD93890"/>
    <w:rsid w:val="6FDF5799"/>
    <w:rsid w:val="6FED2045"/>
    <w:rsid w:val="700510C2"/>
    <w:rsid w:val="700D06A2"/>
    <w:rsid w:val="70286C91"/>
    <w:rsid w:val="703136BE"/>
    <w:rsid w:val="704C254A"/>
    <w:rsid w:val="70514307"/>
    <w:rsid w:val="70657DB3"/>
    <w:rsid w:val="707D760B"/>
    <w:rsid w:val="70B83967"/>
    <w:rsid w:val="70D713B9"/>
    <w:rsid w:val="70F144DF"/>
    <w:rsid w:val="70F25AEA"/>
    <w:rsid w:val="71214362"/>
    <w:rsid w:val="712F289B"/>
    <w:rsid w:val="713F1985"/>
    <w:rsid w:val="7146489B"/>
    <w:rsid w:val="715C11B6"/>
    <w:rsid w:val="716024DB"/>
    <w:rsid w:val="716431D0"/>
    <w:rsid w:val="71710D3D"/>
    <w:rsid w:val="71714987"/>
    <w:rsid w:val="71881088"/>
    <w:rsid w:val="71E26274"/>
    <w:rsid w:val="72043351"/>
    <w:rsid w:val="721009A0"/>
    <w:rsid w:val="722442F7"/>
    <w:rsid w:val="72362B62"/>
    <w:rsid w:val="72384CAA"/>
    <w:rsid w:val="72435ED2"/>
    <w:rsid w:val="725312BD"/>
    <w:rsid w:val="725956F5"/>
    <w:rsid w:val="7263003C"/>
    <w:rsid w:val="726447C6"/>
    <w:rsid w:val="7267095B"/>
    <w:rsid w:val="72693BAA"/>
    <w:rsid w:val="729E37F1"/>
    <w:rsid w:val="72A0751B"/>
    <w:rsid w:val="72BD3ED6"/>
    <w:rsid w:val="72C72C5E"/>
    <w:rsid w:val="72CA1FCD"/>
    <w:rsid w:val="73016C5F"/>
    <w:rsid w:val="731C0BFD"/>
    <w:rsid w:val="731F586B"/>
    <w:rsid w:val="7345352C"/>
    <w:rsid w:val="73724CC1"/>
    <w:rsid w:val="73852C46"/>
    <w:rsid w:val="73AB0567"/>
    <w:rsid w:val="73BE0B26"/>
    <w:rsid w:val="73BE2590"/>
    <w:rsid w:val="73DA348C"/>
    <w:rsid w:val="73EB6C07"/>
    <w:rsid w:val="73F451FA"/>
    <w:rsid w:val="74016E6F"/>
    <w:rsid w:val="740B3D8A"/>
    <w:rsid w:val="74381A66"/>
    <w:rsid w:val="744321B9"/>
    <w:rsid w:val="745E3FF9"/>
    <w:rsid w:val="74617275"/>
    <w:rsid w:val="74805907"/>
    <w:rsid w:val="74A16512"/>
    <w:rsid w:val="74A569D0"/>
    <w:rsid w:val="74B72109"/>
    <w:rsid w:val="74C73832"/>
    <w:rsid w:val="74C92171"/>
    <w:rsid w:val="74D214FB"/>
    <w:rsid w:val="74EC2236"/>
    <w:rsid w:val="74EE65C9"/>
    <w:rsid w:val="750E27C7"/>
    <w:rsid w:val="7513602F"/>
    <w:rsid w:val="751C693A"/>
    <w:rsid w:val="75255DEA"/>
    <w:rsid w:val="752B5127"/>
    <w:rsid w:val="755F74C6"/>
    <w:rsid w:val="75647EFD"/>
    <w:rsid w:val="756B757E"/>
    <w:rsid w:val="758E7CA8"/>
    <w:rsid w:val="75CD2919"/>
    <w:rsid w:val="75DE5505"/>
    <w:rsid w:val="75E672A0"/>
    <w:rsid w:val="75ED2186"/>
    <w:rsid w:val="76037EB7"/>
    <w:rsid w:val="76161308"/>
    <w:rsid w:val="76226AA7"/>
    <w:rsid w:val="76253106"/>
    <w:rsid w:val="7640715B"/>
    <w:rsid w:val="764D1319"/>
    <w:rsid w:val="766F6CE0"/>
    <w:rsid w:val="7670482A"/>
    <w:rsid w:val="767B0051"/>
    <w:rsid w:val="76851867"/>
    <w:rsid w:val="76982E7D"/>
    <w:rsid w:val="76AC04E9"/>
    <w:rsid w:val="76B455F0"/>
    <w:rsid w:val="76D20363"/>
    <w:rsid w:val="77181058"/>
    <w:rsid w:val="771C3776"/>
    <w:rsid w:val="77476464"/>
    <w:rsid w:val="774D4614"/>
    <w:rsid w:val="776C2D57"/>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87ADB"/>
    <w:rsid w:val="787E1A12"/>
    <w:rsid w:val="787E71EA"/>
    <w:rsid w:val="78917997"/>
    <w:rsid w:val="78E84DF7"/>
    <w:rsid w:val="79593081"/>
    <w:rsid w:val="795B1D53"/>
    <w:rsid w:val="796B643A"/>
    <w:rsid w:val="79773031"/>
    <w:rsid w:val="797C23F5"/>
    <w:rsid w:val="798412AA"/>
    <w:rsid w:val="79850F53"/>
    <w:rsid w:val="79B553DF"/>
    <w:rsid w:val="79C57617"/>
    <w:rsid w:val="79FA1348"/>
    <w:rsid w:val="7A0C38A4"/>
    <w:rsid w:val="7A100D8F"/>
    <w:rsid w:val="7A145149"/>
    <w:rsid w:val="7A576C53"/>
    <w:rsid w:val="7A6B7986"/>
    <w:rsid w:val="7A72081A"/>
    <w:rsid w:val="7A7B710E"/>
    <w:rsid w:val="7A8016D2"/>
    <w:rsid w:val="7A861779"/>
    <w:rsid w:val="7A8C48BA"/>
    <w:rsid w:val="7AA535C1"/>
    <w:rsid w:val="7AC202DC"/>
    <w:rsid w:val="7B02475C"/>
    <w:rsid w:val="7B5D6256"/>
    <w:rsid w:val="7B5F4D1D"/>
    <w:rsid w:val="7BA335B7"/>
    <w:rsid w:val="7BAE34BE"/>
    <w:rsid w:val="7BF5086D"/>
    <w:rsid w:val="7BF546E1"/>
    <w:rsid w:val="7BFB0631"/>
    <w:rsid w:val="7C10151B"/>
    <w:rsid w:val="7C103FBF"/>
    <w:rsid w:val="7C3A66AB"/>
    <w:rsid w:val="7C4D3A13"/>
    <w:rsid w:val="7C4D58BB"/>
    <w:rsid w:val="7C601F61"/>
    <w:rsid w:val="7C9814F4"/>
    <w:rsid w:val="7CA01BE5"/>
    <w:rsid w:val="7CD60165"/>
    <w:rsid w:val="7CF27339"/>
    <w:rsid w:val="7CF37CD0"/>
    <w:rsid w:val="7CF9689B"/>
    <w:rsid w:val="7D054F48"/>
    <w:rsid w:val="7D0B583E"/>
    <w:rsid w:val="7D1B2BF7"/>
    <w:rsid w:val="7D30787F"/>
    <w:rsid w:val="7D3D2D20"/>
    <w:rsid w:val="7D424252"/>
    <w:rsid w:val="7D42533E"/>
    <w:rsid w:val="7D68074E"/>
    <w:rsid w:val="7D733B0F"/>
    <w:rsid w:val="7DAB5C88"/>
    <w:rsid w:val="7DAC4D5F"/>
    <w:rsid w:val="7DB47DA9"/>
    <w:rsid w:val="7DCB74EA"/>
    <w:rsid w:val="7DF909B8"/>
    <w:rsid w:val="7E040C0B"/>
    <w:rsid w:val="7E0737C8"/>
    <w:rsid w:val="7E0B138E"/>
    <w:rsid w:val="7E0F1382"/>
    <w:rsid w:val="7E1917AC"/>
    <w:rsid w:val="7E2608AB"/>
    <w:rsid w:val="7E2F510B"/>
    <w:rsid w:val="7E37429F"/>
    <w:rsid w:val="7E4A1F20"/>
    <w:rsid w:val="7E8E56E5"/>
    <w:rsid w:val="7E9E3C4A"/>
    <w:rsid w:val="7EB33E0F"/>
    <w:rsid w:val="7EB937C3"/>
    <w:rsid w:val="7EC4246A"/>
    <w:rsid w:val="7ED6127E"/>
    <w:rsid w:val="7EDC1B88"/>
    <w:rsid w:val="7F196534"/>
    <w:rsid w:val="7F4272B0"/>
    <w:rsid w:val="7F5A1607"/>
    <w:rsid w:val="7F810543"/>
    <w:rsid w:val="7F8518D8"/>
    <w:rsid w:val="7FA44C60"/>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qFormat/>
    <w:uiPriority w:val="0"/>
    <w:rPr>
      <w:rFonts w:ascii="仿宋_GB2312" w:eastAsia="仿宋_GB2312"/>
      <w:sz w:val="32"/>
    </w:rPr>
  </w:style>
  <w:style w:type="paragraph" w:customStyle="1" w:styleId="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9">
    <w:name w:val="Body Text Indent"/>
    <w:basedOn w:val="1"/>
    <w:next w:val="1"/>
    <w:unhideWhenUsed/>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List"/>
    <w:basedOn w:val="1"/>
    <w:qFormat/>
    <w:uiPriority w:val="0"/>
    <w:pPr>
      <w:ind w:left="420" w:hanging="420"/>
    </w:pPr>
  </w:style>
  <w:style w:type="paragraph" w:styleId="15">
    <w:name w:val="toc 2"/>
    <w:basedOn w:val="1"/>
    <w:next w:val="1"/>
    <w:qFormat/>
    <w:uiPriority w:val="39"/>
    <w:pPr>
      <w:tabs>
        <w:tab w:val="right" w:leader="dot" w:pos="9629"/>
      </w:tabs>
      <w:ind w:left="480" w:leftChars="200"/>
    </w:pPr>
    <w:rPr>
      <w:b/>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8">
    <w:name w:val="Body Text First Indent"/>
    <w:basedOn w:val="7"/>
    <w:qFormat/>
    <w:uiPriority w:val="0"/>
    <w:pPr>
      <w:tabs>
        <w:tab w:val="left" w:pos="219"/>
        <w:tab w:val="left" w:pos="420"/>
        <w:tab w:val="left" w:pos="482"/>
        <w:tab w:val="left" w:pos="2183"/>
        <w:tab w:val="left" w:pos="3884"/>
        <w:tab w:val="left" w:pos="5585"/>
      </w:tabs>
      <w:ind w:firstLine="420" w:firstLineChars="100"/>
    </w:pPr>
  </w:style>
  <w:style w:type="paragraph" w:styleId="19">
    <w:name w:val="Body Text First Indent 2"/>
    <w:basedOn w:val="9"/>
    <w:next w:val="15"/>
    <w:qFormat/>
    <w:uiPriority w:val="0"/>
    <w:pPr>
      <w:spacing w:line="276" w:lineRule="auto"/>
      <w:ind w:left="200" w:firstLine="200" w:firstLineChars="200"/>
      <w:jc w:val="left"/>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Emphasis"/>
    <w:basedOn w:val="22"/>
    <w:qFormat/>
    <w:uiPriority w:val="0"/>
    <w:rPr>
      <w:i/>
    </w:rPr>
  </w:style>
  <w:style w:type="character" w:styleId="26">
    <w:name w:val="Hyperlink"/>
    <w:basedOn w:val="22"/>
    <w:qFormat/>
    <w:uiPriority w:val="99"/>
    <w:rPr>
      <w:rFonts w:cs="Times New Roman"/>
      <w:color w:val="1F4F88"/>
      <w:u w:val="none"/>
    </w:rPr>
  </w:style>
  <w:style w:type="character" w:styleId="27">
    <w:name w:val="annotation reference"/>
    <w:qFormat/>
    <w:uiPriority w:val="0"/>
    <w:rPr>
      <w:sz w:val="21"/>
      <w:szCs w:val="21"/>
    </w:rPr>
  </w:style>
  <w:style w:type="character" w:customStyle="1" w:styleId="28">
    <w:name w:val="NormalCharacter"/>
    <w:qFormat/>
    <w:uiPriority w:val="0"/>
  </w:style>
  <w:style w:type="paragraph" w:styleId="29">
    <w:name w:val="List Paragraph"/>
    <w:basedOn w:val="1"/>
    <w:qFormat/>
    <w:uiPriority w:val="34"/>
    <w:pPr>
      <w:ind w:firstLine="420" w:firstLineChars="200"/>
    </w:pPr>
    <w:rPr>
      <w:rFonts w:ascii="Calibri" w:hAnsi="Calibri" w:eastAsia="宋体" w:cs="Times New Roman"/>
      <w:szCs w:val="22"/>
    </w:rPr>
  </w:style>
  <w:style w:type="paragraph" w:customStyle="1" w:styleId="30">
    <w:name w:val="TOC 标题1"/>
    <w:basedOn w:val="2"/>
    <w:next w:val="1"/>
    <w:qFormat/>
    <w:uiPriority w:val="0"/>
    <w:pPr>
      <w:outlineLvl w:val="9"/>
    </w:pPr>
    <w:rPr>
      <w:rFonts w:ascii="Times New Roman" w:hAnsi="Times New Roman"/>
      <w:bCs/>
      <w:szCs w:val="44"/>
    </w:rPr>
  </w:style>
  <w:style w:type="paragraph" w:customStyle="1" w:styleId="31">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2">
    <w:name w:val="font11"/>
    <w:basedOn w:val="22"/>
    <w:qFormat/>
    <w:uiPriority w:val="0"/>
    <w:rPr>
      <w:rFonts w:hint="eastAsia" w:ascii="宋体" w:hAnsi="宋体" w:eastAsia="宋体" w:cs="宋体"/>
      <w:color w:val="000000"/>
      <w:sz w:val="24"/>
      <w:szCs w:val="24"/>
      <w:u w:val="none"/>
    </w:rPr>
  </w:style>
  <w:style w:type="character" w:customStyle="1" w:styleId="33">
    <w:name w:val="font21"/>
    <w:basedOn w:val="22"/>
    <w:qFormat/>
    <w:uiPriority w:val="0"/>
    <w:rPr>
      <w:rFonts w:hint="eastAsia" w:ascii="宋体" w:hAnsi="宋体" w:eastAsia="宋体" w:cs="宋体"/>
      <w:b/>
      <w:bCs/>
      <w:color w:val="000000"/>
      <w:sz w:val="24"/>
      <w:szCs w:val="24"/>
      <w:u w:val="none"/>
    </w:rPr>
  </w:style>
  <w:style w:type="character" w:customStyle="1" w:styleId="34">
    <w:name w:val="font61"/>
    <w:basedOn w:val="22"/>
    <w:qFormat/>
    <w:uiPriority w:val="0"/>
    <w:rPr>
      <w:rFonts w:hint="eastAsia" w:ascii="宋体" w:hAnsi="宋体" w:eastAsia="宋体" w:cs="宋体"/>
      <w:b/>
      <w:bCs/>
      <w:color w:val="000000"/>
      <w:sz w:val="24"/>
      <w:szCs w:val="24"/>
      <w:u w:val="none"/>
    </w:rPr>
  </w:style>
  <w:style w:type="character" w:customStyle="1" w:styleId="35">
    <w:name w:val="font41"/>
    <w:basedOn w:val="22"/>
    <w:qFormat/>
    <w:uiPriority w:val="0"/>
    <w:rPr>
      <w:rFonts w:hint="eastAsia" w:ascii="宋体" w:hAnsi="宋体" w:eastAsia="宋体" w:cs="宋体"/>
      <w:b/>
      <w:bCs/>
      <w:color w:val="000000"/>
      <w:sz w:val="24"/>
      <w:szCs w:val="24"/>
      <w:u w:val="none"/>
    </w:rPr>
  </w:style>
  <w:style w:type="paragraph" w:customStyle="1" w:styleId="36">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37">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38">
    <w:name w:val="标书三级标题"/>
    <w:basedOn w:val="4"/>
    <w:next w:val="3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paragraph" w:customStyle="1" w:styleId="40">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11910</Words>
  <Characters>12744</Characters>
  <Lines>0</Lines>
  <Paragraphs>0</Paragraphs>
  <TotalTime>223</TotalTime>
  <ScaleCrop>false</ScaleCrop>
  <LinksUpToDate>false</LinksUpToDate>
  <CharactersWithSpaces>17063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李帅威</cp:lastModifiedBy>
  <cp:lastPrinted>2024-04-16T08:54:00Z</cp:lastPrinted>
  <dcterms:modified xsi:type="dcterms:W3CDTF">2026-03-14T02:13:16Z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9AAAF9C456E34458BCD9D0A15A8152AD_13</vt:lpwstr>
  </property>
  <property fmtid="{D5CDD505-2E9C-101B-9397-08002B2CF9AE}" pid="4" name="KSOTemplateDocerSaveRecord">
    <vt:lpwstr>eyJoZGlkIjoiZDZiY2E3MTk3OWVkMDZmNDgwYmUwNDViMmIxMTA0OGYiLCJ1c2VySWQiOiIxNzY1NTM3NjAwIn0=</vt:lpwstr>
  </property>
</Properties>
</file>