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2A597">
      <w:pPr>
        <w:jc w:val="center"/>
        <w:rPr>
          <w:rFonts w:ascii="宋体" w:hAnsi="Calibri" w:eastAsia="宋体" w:cs="Times New Roman"/>
          <w:color w:val="000000"/>
          <w:sz w:val="30"/>
          <w:szCs w:val="30"/>
          <w:highlight w:val="none"/>
        </w:rPr>
      </w:pPr>
      <w:bookmarkStart w:id="0" w:name="OLE_LINK31"/>
      <w:bookmarkStart w:id="1" w:name="OLE_LINK30"/>
    </w:p>
    <w:p w14:paraId="7BBB9930">
      <w:pPr>
        <w:pStyle w:val="142"/>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16D91ACB">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中国重汽集团济南商用车有限公司</w:t>
      </w:r>
    </w:p>
    <w:p w14:paraId="27BA30F9">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lang w:val="en-US" w:eastAsia="zh-CN"/>
        </w:rPr>
        <w:t>济南轻卡制造公司涂装磷化除渣系统改造技改项目</w:t>
      </w:r>
    </w:p>
    <w:p w14:paraId="7F61D713">
      <w:pPr>
        <w:ind w:right="280"/>
        <w:jc w:val="center"/>
        <w:rPr>
          <w:rFonts w:ascii="楷体_GB2312" w:hAnsi="宋体" w:eastAsia="楷体_GB2312"/>
          <w:sz w:val="52"/>
          <w:szCs w:val="52"/>
        </w:rPr>
      </w:pP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u w:val="single"/>
        </w:rPr>
        <w:t>ZBGL2026030180</w:t>
      </w:r>
    </w:p>
    <w:p w14:paraId="10A10BCC">
      <w:pPr>
        <w:jc w:val="center"/>
        <w:rPr>
          <w:rFonts w:ascii="宋体" w:hAnsi="宋体"/>
          <w:sz w:val="48"/>
          <w:szCs w:val="48"/>
        </w:rPr>
      </w:pPr>
    </w:p>
    <w:p w14:paraId="12CB50D1">
      <w:pPr>
        <w:jc w:val="both"/>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人：中国重汽集团济南商用车有限公司</w:t>
      </w: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03</w:t>
      </w:r>
      <w:r>
        <w:rPr>
          <w:rFonts w:hint="eastAsia" w:ascii="宋体" w:hAnsi="宋体"/>
          <w:sz w:val="28"/>
          <w:szCs w:val="28"/>
          <w:highlight w:val="none"/>
          <w:u w:val="single"/>
        </w:rPr>
        <w:t>月</w:t>
      </w:r>
    </w:p>
    <w:p w14:paraId="5D4679AE">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129"/>
            <w:jc w:val="center"/>
            <w:rPr>
              <w:rFonts w:ascii="黑体" w:hAnsi="黑体" w:eastAsia="黑体"/>
              <w:b/>
              <w:color w:val="auto"/>
              <w:sz w:val="44"/>
              <w:szCs w:val="44"/>
              <w:lang w:val="zh-CN"/>
            </w:rPr>
          </w:pPr>
          <w:bookmarkStart w:id="2" w:name="_Toc3265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745C7C6E">
          <w:pPr>
            <w:pStyle w:val="23"/>
            <w:tabs>
              <w:tab w:val="right" w:leader="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_Toc4250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_Toc4250 \h </w:instrText>
          </w:r>
          <w:r>
            <w:fldChar w:fldCharType="separate"/>
          </w:r>
          <w:r>
            <w:t>- 1 -</w:t>
          </w:r>
          <w:r>
            <w:fldChar w:fldCharType="end"/>
          </w:r>
          <w:r>
            <w:rPr>
              <w:rFonts w:hint="eastAsia" w:ascii="Calibri" w:hAnsi="Calibri"/>
              <w:bCs/>
              <w:kern w:val="44"/>
              <w:szCs w:val="44"/>
            </w:rPr>
            <w:fldChar w:fldCharType="end"/>
          </w:r>
        </w:p>
        <w:p w14:paraId="269CE18B">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_Toc27178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_Toc27178 \h </w:instrText>
          </w:r>
          <w:r>
            <w:fldChar w:fldCharType="separate"/>
          </w:r>
          <w:r>
            <w:t>- 5 -</w:t>
          </w:r>
          <w:r>
            <w:fldChar w:fldCharType="end"/>
          </w:r>
          <w:r>
            <w:rPr>
              <w:rFonts w:hint="eastAsia" w:ascii="Calibri" w:hAnsi="Calibri" w:eastAsia="宋体" w:cs="Times New Roman"/>
              <w:bCs/>
              <w:kern w:val="44"/>
              <w:szCs w:val="44"/>
            </w:rPr>
            <w:fldChar w:fldCharType="end"/>
          </w:r>
        </w:p>
        <w:p w14:paraId="74A7AC56">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_Toc17894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 xml:space="preserve">部分 </w:t>
          </w:r>
          <w:r>
            <w:rPr>
              <w:rFonts w:hint="eastAsia"/>
              <w:lang w:val="en-US" w:eastAsia="zh-CN"/>
            </w:rPr>
            <w:t xml:space="preserve"> </w:t>
          </w:r>
          <w:r>
            <w:rPr>
              <w:rFonts w:hint="eastAsia"/>
            </w:rPr>
            <w:t>技术标书</w:t>
          </w:r>
          <w:r>
            <w:tab/>
          </w:r>
          <w:r>
            <w:fldChar w:fldCharType="begin"/>
          </w:r>
          <w:r>
            <w:instrText xml:space="preserve"> PAGEREF _Toc17894 \h </w:instrText>
          </w:r>
          <w:r>
            <w:fldChar w:fldCharType="separate"/>
          </w:r>
          <w:r>
            <w:t>- 16 -</w:t>
          </w:r>
          <w:r>
            <w:fldChar w:fldCharType="end"/>
          </w:r>
          <w:r>
            <w:rPr>
              <w:rFonts w:hint="eastAsia" w:ascii="Calibri" w:hAnsi="Calibri" w:eastAsia="宋体" w:cs="Times New Roman"/>
              <w:bCs/>
              <w:kern w:val="44"/>
              <w:szCs w:val="44"/>
            </w:rPr>
            <w:fldChar w:fldCharType="end"/>
          </w:r>
        </w:p>
        <w:p w14:paraId="61528431">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_Toc18817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_Toc18817 \h </w:instrText>
          </w:r>
          <w:r>
            <w:fldChar w:fldCharType="separate"/>
          </w:r>
          <w:r>
            <w:t>- 40 -</w:t>
          </w:r>
          <w:r>
            <w:fldChar w:fldCharType="end"/>
          </w:r>
          <w:r>
            <w:rPr>
              <w:rFonts w:hint="eastAsia" w:ascii="Calibri" w:hAnsi="Calibri" w:eastAsia="宋体" w:cs="Times New Roman"/>
              <w:bCs/>
              <w:kern w:val="44"/>
              <w:szCs w:val="44"/>
            </w:rPr>
            <w:fldChar w:fldCharType="end"/>
          </w:r>
        </w:p>
        <w:p w14:paraId="15DCB928">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_Toc21485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_Toc21485 \h </w:instrText>
          </w:r>
          <w:r>
            <w:fldChar w:fldCharType="separate"/>
          </w:r>
          <w:r>
            <w:t>- 56 -</w:t>
          </w:r>
          <w:r>
            <w:fldChar w:fldCharType="end"/>
          </w:r>
          <w:r>
            <w:rPr>
              <w:rFonts w:hint="eastAsia" w:ascii="Calibri" w:hAnsi="Calibri" w:eastAsia="宋体" w:cs="Times New Roman"/>
              <w:bCs/>
              <w:kern w:val="44"/>
              <w:szCs w:val="44"/>
            </w:rPr>
            <w:fldChar w:fldCharType="end"/>
          </w:r>
        </w:p>
        <w:p w14:paraId="0BDA2A8A">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_Toc17167 </w:instrText>
          </w:r>
          <w:r>
            <w:rPr>
              <w:rFonts w:hint="eastAsia" w:ascii="Calibri" w:hAnsi="Calibri" w:eastAsia="宋体" w:cs="Times New Roman"/>
              <w:bCs/>
              <w:kern w:val="44"/>
              <w:szCs w:val="44"/>
            </w:rPr>
            <w:fldChar w:fldCharType="separate"/>
          </w:r>
          <w:r>
            <w:rPr>
              <w:rFonts w:hint="eastAsia" w:ascii="宋体" w:hAnsi="宋体" w:eastAsia="宋体" w:cs="宋体"/>
              <w:szCs w:val="32"/>
              <w:highlight w:val="none"/>
            </w:rPr>
            <w:t>附件</w:t>
          </w:r>
          <w:r>
            <w:rPr>
              <w:rFonts w:hint="eastAsia" w:ascii="宋体" w:hAnsi="宋体" w:eastAsia="宋体" w:cs="宋体"/>
              <w:szCs w:val="32"/>
              <w:highlight w:val="none"/>
              <w:lang w:val="en-US" w:eastAsia="zh-CN"/>
            </w:rPr>
            <w:t>1</w:t>
          </w:r>
          <w:r>
            <w:tab/>
          </w:r>
          <w:r>
            <w:fldChar w:fldCharType="begin"/>
          </w:r>
          <w:r>
            <w:instrText xml:space="preserve"> PAGEREF _Toc17167 \h </w:instrText>
          </w:r>
          <w:r>
            <w:fldChar w:fldCharType="separate"/>
          </w:r>
          <w:r>
            <w:t>- 56 -</w:t>
          </w:r>
          <w:r>
            <w:fldChar w:fldCharType="end"/>
          </w:r>
          <w:r>
            <w:rPr>
              <w:rFonts w:hint="eastAsia" w:ascii="Calibri" w:hAnsi="Calibri" w:eastAsia="宋体" w:cs="Times New Roman"/>
              <w:bCs/>
              <w:kern w:val="44"/>
              <w:szCs w:val="44"/>
            </w:rPr>
            <w:fldChar w:fldCharType="end"/>
          </w:r>
        </w:p>
        <w:p w14:paraId="6617A57C">
          <w:pPr>
            <w:pStyle w:val="23"/>
            <w:tabs>
              <w:tab w:val="right" w:leader="dot" w:pos="8729"/>
            </w:tabs>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1A6E7B1A">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143"/>
      </w:pPr>
      <w:bookmarkStart w:id="3" w:name="_Toc47976587"/>
      <w:bookmarkStart w:id="4" w:name="_Toc4250"/>
      <w:r>
        <w:rPr>
          <w:rFonts w:hint="eastAsia"/>
        </w:rPr>
        <w:t>招标公告</w:t>
      </w:r>
      <w:bookmarkEnd w:id="3"/>
      <w:bookmarkEnd w:id="4"/>
    </w:p>
    <w:p w14:paraId="3B867C39">
      <w:pPr>
        <w:pStyle w:val="143"/>
        <w:rPr>
          <w:rFonts w:hint="eastAsia"/>
        </w:rPr>
      </w:pPr>
      <w:bookmarkStart w:id="5" w:name="_Toc14305"/>
      <w:bookmarkStart w:id="6" w:name="_Toc6410"/>
      <w:bookmarkStart w:id="7" w:name="_Toc32474"/>
      <w:bookmarkStart w:id="8" w:name="_Toc15164"/>
      <w:bookmarkStart w:id="9" w:name="_Toc18859"/>
      <w:r>
        <w:rPr>
          <w:rFonts w:hint="eastAsia"/>
          <w:sz w:val="28"/>
        </w:rPr>
        <w:t>涂装磷化除渣系统改造技改项目招标公告</w:t>
      </w:r>
      <w:bookmarkEnd w:id="5"/>
      <w:bookmarkEnd w:id="6"/>
      <w:bookmarkEnd w:id="7"/>
      <w:bookmarkEnd w:id="8"/>
      <w:bookmarkEnd w:id="9"/>
    </w:p>
    <w:p w14:paraId="2A47C58A">
      <w:pPr>
        <w:pStyle w:val="144"/>
      </w:pPr>
      <w:bookmarkStart w:id="10" w:name="_Toc47976588"/>
      <w:r>
        <w:rPr>
          <w:rFonts w:hint="eastAsia"/>
        </w:rPr>
        <w:t>项目名称及项目编号</w:t>
      </w:r>
      <w:bookmarkEnd w:id="10"/>
    </w:p>
    <w:p w14:paraId="24C9319D">
      <w:pPr>
        <w:pStyle w:val="145"/>
        <w:rPr>
          <w:sz w:val="24"/>
          <w:szCs w:val="24"/>
          <w:highlight w:val="none"/>
        </w:rPr>
      </w:pPr>
      <w:r>
        <w:rPr>
          <w:rFonts w:hint="eastAsia"/>
          <w:sz w:val="24"/>
          <w:szCs w:val="24"/>
        </w:rPr>
        <w:t>项</w:t>
      </w:r>
      <w:r>
        <w:rPr>
          <w:rFonts w:hint="eastAsia"/>
          <w:sz w:val="24"/>
          <w:szCs w:val="24"/>
          <w:highlight w:val="none"/>
        </w:rPr>
        <w:t>目名称：</w:t>
      </w:r>
      <w:r>
        <w:rPr>
          <w:rFonts w:hint="eastAsia" w:ascii="宋体"/>
          <w:sz w:val="24"/>
          <w:szCs w:val="24"/>
          <w:highlight w:val="yellow"/>
        </w:rPr>
        <w:t>涂装磷化除渣系统改造技改项目</w:t>
      </w:r>
    </w:p>
    <w:p w14:paraId="15020D03">
      <w:pPr>
        <w:pStyle w:val="145"/>
        <w:rPr>
          <w:sz w:val="24"/>
          <w:szCs w:val="24"/>
        </w:rPr>
      </w:pPr>
      <w:r>
        <w:rPr>
          <w:rFonts w:hint="eastAsia"/>
          <w:sz w:val="24"/>
          <w:szCs w:val="24"/>
        </w:rPr>
        <w:t>项目编号：</w:t>
      </w:r>
      <w:r>
        <w:rPr>
          <w:rFonts w:hint="eastAsia" w:ascii="宋体"/>
          <w:sz w:val="24"/>
          <w:szCs w:val="24"/>
          <w:highlight w:val="yellow"/>
        </w:rPr>
        <w:t>ZBGL2026030180</w:t>
      </w:r>
    </w:p>
    <w:p w14:paraId="0AB9F24D">
      <w:pPr>
        <w:pStyle w:val="144"/>
      </w:pPr>
      <w:bookmarkStart w:id="11" w:name="_Toc47976589"/>
      <w:r>
        <w:rPr>
          <w:rFonts w:hint="eastAsia"/>
          <w:lang w:val="en-US" w:eastAsia="zh-CN"/>
        </w:rPr>
        <w:t>项目概况</w:t>
      </w:r>
      <w:r>
        <w:rPr>
          <w:rFonts w:hint="eastAsia"/>
        </w:rPr>
        <w:t>及招标形式</w:t>
      </w:r>
      <w:bookmarkEnd w:id="11"/>
    </w:p>
    <w:p w14:paraId="1A912F05">
      <w:pPr>
        <w:pStyle w:val="145"/>
        <w:numPr>
          <w:ilvl w:val="0"/>
          <w:numId w:val="6"/>
        </w:numPr>
        <w:rPr>
          <w:sz w:val="24"/>
          <w:szCs w:val="24"/>
        </w:rPr>
      </w:pPr>
      <w:r>
        <w:rPr>
          <w:rFonts w:hint="eastAsia"/>
          <w:sz w:val="24"/>
          <w:szCs w:val="24"/>
        </w:rPr>
        <w:t>招标内容：新增1台全流量磷化除渣机，包括但不限于磷化除渣设备采购，配套管路、接头、泵、设备平台、抽渣、现场安装调试等内容。</w:t>
      </w:r>
    </w:p>
    <w:p w14:paraId="4EC58B63">
      <w:pPr>
        <w:pStyle w:val="145"/>
        <w:rPr>
          <w:sz w:val="24"/>
          <w:szCs w:val="24"/>
        </w:rPr>
      </w:pPr>
      <w:r>
        <w:rPr>
          <w:rFonts w:hint="eastAsia"/>
          <w:sz w:val="24"/>
          <w:szCs w:val="24"/>
        </w:rPr>
        <w:t>招标形式：</w:t>
      </w:r>
      <w:r>
        <w:rPr>
          <w:rFonts w:hint="eastAsia"/>
          <w:sz w:val="24"/>
          <w:szCs w:val="24"/>
          <w:highlight w:val="yellow"/>
        </w:rPr>
        <w:t>公开招标</w:t>
      </w:r>
    </w:p>
    <w:p w14:paraId="0B813421">
      <w:pPr>
        <w:pStyle w:val="144"/>
        <w:rPr>
          <w:highlight w:val="none"/>
        </w:rPr>
      </w:pPr>
      <w:bookmarkStart w:id="12" w:name="_Toc47976590"/>
      <w:r>
        <w:rPr>
          <w:rFonts w:hint="eastAsia"/>
          <w:highlight w:val="none"/>
        </w:rPr>
        <w:t>投标人资格要求</w:t>
      </w:r>
      <w:bookmarkEnd w:id="12"/>
      <w:r>
        <w:rPr>
          <w:rFonts w:hint="eastAsia"/>
          <w:highlight w:val="none"/>
          <w:lang w:eastAsia="zh-CN"/>
        </w:rPr>
        <w:t>：</w:t>
      </w:r>
    </w:p>
    <w:p w14:paraId="2C45CD69">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bookmarkStart w:id="13" w:name="_Toc47976591"/>
      <w:r>
        <w:rPr>
          <w:rFonts w:hint="eastAsia" w:ascii="宋体"/>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拟标投人必须是在中华人民共和国境内注册的独立法人机构，具有独立承担民事责任能力；注册资金不少于</w:t>
      </w:r>
      <w:r>
        <w:rPr>
          <w:rFonts w:hint="eastAsia" w:ascii="宋体"/>
          <w:b w:val="0"/>
          <w:bCs/>
          <w:strike w:val="0"/>
          <w:dstrike w:val="0"/>
          <w:highlight w:val="none"/>
          <w:u w:val="single"/>
          <w:lang w:val="en-US" w:eastAsia="zh-CN"/>
        </w:rPr>
        <w:t xml:space="preserve"> 500 </w:t>
      </w:r>
      <w:r>
        <w:rPr>
          <w:rFonts w:hint="eastAsia" w:ascii="宋体"/>
          <w:b w:val="0"/>
          <w:bCs/>
          <w:strike w:val="0"/>
          <w:dstrike w:val="0"/>
          <w:highlight w:val="none"/>
          <w:u w:val="single"/>
        </w:rPr>
        <w:t>万</w:t>
      </w:r>
      <w:r>
        <w:rPr>
          <w:rFonts w:hint="eastAsia" w:ascii="宋体"/>
          <w:b w:val="0"/>
          <w:bCs/>
          <w:strike w:val="0"/>
          <w:dstrike w:val="0"/>
          <w:highlight w:val="none"/>
        </w:rPr>
        <w:t>人民币（或等值其他货币）；公司成立</w:t>
      </w:r>
      <w:r>
        <w:rPr>
          <w:rFonts w:hint="eastAsia" w:ascii="宋体"/>
          <w:b w:val="0"/>
          <w:bCs/>
          <w:strike w:val="0"/>
          <w:dstrike w:val="0"/>
          <w:highlight w:val="none"/>
          <w:u w:val="single"/>
          <w:lang w:val="en-US" w:eastAsia="zh-CN"/>
        </w:rPr>
        <w:t xml:space="preserve">  3  </w:t>
      </w:r>
      <w:r>
        <w:rPr>
          <w:rFonts w:hint="eastAsia" w:ascii="宋体"/>
          <w:b w:val="0"/>
          <w:bCs/>
          <w:strike w:val="0"/>
          <w:dstrike w:val="0"/>
          <w:highlight w:val="none"/>
        </w:rPr>
        <w:t>年以上（以营业执照成立日期到开标当日满</w:t>
      </w:r>
      <w:r>
        <w:rPr>
          <w:rFonts w:hint="eastAsia" w:ascii="宋体"/>
          <w:b w:val="0"/>
          <w:bCs/>
          <w:strike w:val="0"/>
          <w:dstrike w:val="0"/>
          <w:highlight w:val="none"/>
          <w:lang w:val="en-US" w:eastAsia="zh-CN"/>
        </w:rPr>
        <w:t xml:space="preserve"> 3 </w:t>
      </w:r>
      <w:r>
        <w:rPr>
          <w:rFonts w:hint="eastAsia" w:ascii="宋体"/>
          <w:b w:val="0"/>
          <w:bCs/>
          <w:strike w:val="0"/>
          <w:dstrike w:val="0"/>
          <w:highlight w:val="none"/>
        </w:rPr>
        <w:t>年为准），且经营范围满足招标人需求；并在人员、设备、资金等方面具有承担本项目的能力</w:t>
      </w:r>
      <w:r>
        <w:rPr>
          <w:rFonts w:hint="eastAsia" w:ascii="宋体"/>
          <w:b w:val="0"/>
          <w:bCs/>
          <w:strike w:val="0"/>
          <w:dstrike w:val="0"/>
          <w:highlight w:val="none"/>
          <w:lang w:eastAsia="zh-CN"/>
        </w:rPr>
        <w:t>，且满足技术、质量、资金等要求</w:t>
      </w:r>
      <w:r>
        <w:rPr>
          <w:rFonts w:hint="eastAsia" w:ascii="宋体"/>
          <w:b w:val="0"/>
          <w:bCs/>
          <w:strike w:val="0"/>
          <w:dstrike w:val="0"/>
          <w:highlight w:val="none"/>
        </w:rPr>
        <w:t>；</w:t>
      </w:r>
    </w:p>
    <w:p w14:paraId="678B14CD">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无招标违规、谎报年度报告信息、提供虚假资质资料等行为或其他行政处罚记录；</w:t>
      </w:r>
    </w:p>
    <w:p w14:paraId="26DB04CF">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近三年内在经营活动中无与本项目有关的违法及重大违规情况</w:t>
      </w:r>
      <w:r>
        <w:rPr>
          <w:rFonts w:hint="eastAsia" w:ascii="宋体"/>
          <w:b w:val="0"/>
          <w:bCs/>
          <w:strike w:val="0"/>
          <w:dstrike w:val="0"/>
          <w:highlight w:val="none"/>
          <w:lang w:eastAsia="zh-CN"/>
        </w:rPr>
        <w:t>；</w:t>
      </w:r>
    </w:p>
    <w:p w14:paraId="289F54E6">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ascii="宋体"/>
          <w:b w:val="0"/>
          <w:bCs/>
          <w:strike w:val="0"/>
          <w:dstrike w:val="0"/>
          <w:highlight w:val="none"/>
          <w:lang w:val="en-US" w:eastAsia="zh-CN"/>
        </w:rPr>
        <w:t>声明</w:t>
      </w:r>
      <w:r>
        <w:rPr>
          <w:rFonts w:hint="eastAsia" w:ascii="宋体"/>
          <w:b w:val="0"/>
          <w:bCs/>
          <w:strike w:val="0"/>
          <w:dstrike w:val="0"/>
          <w:highlight w:val="none"/>
        </w:rPr>
        <w:t>；</w:t>
      </w:r>
    </w:p>
    <w:p w14:paraId="14202797">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公司经营范围满足招标项目需求；</w:t>
      </w:r>
    </w:p>
    <w:p w14:paraId="4A68BEA4">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投标人须具有履行招标文件所有设备、专业技术等要求的能力；</w:t>
      </w:r>
    </w:p>
    <w:p w14:paraId="6411B339">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投标人须有依法缴纳税收和社会保障资金的良好记录；</w:t>
      </w:r>
    </w:p>
    <w:p w14:paraId="4B30D5E2">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具有本次招标货物的供货、安装、售后服务等的相应资质；</w:t>
      </w:r>
    </w:p>
    <w:p w14:paraId="79E64F13">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投标人须负责提供合理的便于运输的包装物，并承担相关费用</w:t>
      </w:r>
      <w:r>
        <w:rPr>
          <w:rFonts w:hint="eastAsia" w:ascii="宋体"/>
          <w:b w:val="0"/>
          <w:bCs/>
          <w:strike w:val="0"/>
          <w:dstrike w:val="0"/>
          <w:highlight w:val="none"/>
          <w:lang w:eastAsia="zh-CN"/>
        </w:rPr>
        <w:t>；</w:t>
      </w:r>
    </w:p>
    <w:p w14:paraId="563CAAA9">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投标人须认可招标人的工作指令，包括节、假日能正常开展工作的要求。</w:t>
      </w:r>
    </w:p>
    <w:p w14:paraId="6D0DA0F6">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lang w:val="en-US" w:eastAsia="zh-CN"/>
        </w:rPr>
        <w:t>拟投标人的直接或间接股东、法定代表人、董事、监事、高管非重汽员工及其亲属；</w:t>
      </w:r>
    </w:p>
    <w:p w14:paraId="2280F191">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投标人必须是最终投标、签订合同的单位，不得以任何理由将已中标项目以任何形式转包或者分包给其他单位</w:t>
      </w:r>
      <w:r>
        <w:rPr>
          <w:rFonts w:hint="eastAsia" w:ascii="宋体"/>
          <w:b w:val="0"/>
          <w:bCs/>
          <w:strike w:val="0"/>
          <w:dstrike w:val="0"/>
          <w:highlight w:val="none"/>
          <w:lang w:eastAsia="zh-CN"/>
        </w:rPr>
        <w:t>；</w:t>
      </w:r>
    </w:p>
    <w:p w14:paraId="5ED4DDBF">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29ED9210">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14:paraId="76B97D53">
      <w:pPr>
        <w:pStyle w:val="144"/>
        <w:rPr>
          <w:highlight w:val="none"/>
        </w:rPr>
      </w:pPr>
      <w:r>
        <w:rPr>
          <w:rFonts w:hint="eastAsia"/>
          <w:highlight w:val="none"/>
        </w:rPr>
        <w:t>报名及招标文件的获取</w:t>
      </w:r>
      <w:bookmarkEnd w:id="13"/>
    </w:p>
    <w:p w14:paraId="5DF18DB2">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14:paraId="4509C0DA">
      <w:pPr>
        <w:pStyle w:val="144"/>
        <w:rPr>
          <w:rFonts w:hint="eastAsia" w:cs="Times New Roman"/>
          <w:highlight w:val="none"/>
        </w:rPr>
      </w:pPr>
      <w:bookmarkStart w:id="14" w:name="_Toc47976592"/>
      <w:r>
        <w:rPr>
          <w:rFonts w:hint="eastAsia" w:cs="Times New Roman"/>
          <w:highlight w:val="none"/>
        </w:rPr>
        <w:t>投标文件的递交</w:t>
      </w:r>
      <w:bookmarkEnd w:id="14"/>
    </w:p>
    <w:p w14:paraId="29499F7F">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lang w:val="en-US" w:eastAsia="zh-CN"/>
        </w:rPr>
        <w:t>16</w:t>
      </w:r>
      <w:r>
        <w:rPr>
          <w:rFonts w:hint="eastAsia" w:ascii="宋体" w:hAnsi="宋体" w:eastAsia="宋体" w:cs="宋体"/>
          <w:b w:val="0"/>
          <w:bCs w:val="0"/>
          <w:color w:val="000000"/>
          <w:sz w:val="24"/>
          <w:szCs w:val="24"/>
        </w:rPr>
        <w:t>）进行注册，注册完毕后按照“SRM系统供应商用户手册（附件1</w:t>
      </w:r>
      <w:r>
        <w:rPr>
          <w:rFonts w:hint="eastAsia"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rPr>
        <w:t>）”，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E7E22E6">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31DAA474">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w:t>
      </w:r>
      <w:r>
        <w:rPr>
          <w:rFonts w:hint="eastAsia" w:hAnsi="宋体" w:eastAsia="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lang w:val="en-US" w:eastAsia="zh-CN"/>
        </w:rPr>
        <w:t>月</w:t>
      </w:r>
      <w:r>
        <w:rPr>
          <w:rFonts w:hint="eastAsia" w:hAnsi="宋体" w:eastAsia="宋体" w:cs="宋体"/>
          <w:b w:val="0"/>
          <w:bCs w:val="0"/>
          <w:color w:val="000000"/>
          <w:sz w:val="24"/>
          <w:szCs w:val="24"/>
          <w:highlight w:val="yellow"/>
          <w:lang w:val="en-US" w:eastAsia="zh-CN"/>
        </w:rPr>
        <w:t>21</w:t>
      </w:r>
      <w:r>
        <w:rPr>
          <w:rFonts w:hint="eastAsia" w:ascii="宋体" w:hAnsi="宋体" w:eastAsia="宋体" w:cs="宋体"/>
          <w:b w:val="0"/>
          <w:bCs w:val="0"/>
          <w:color w:val="000000"/>
          <w:sz w:val="24"/>
          <w:szCs w:val="24"/>
          <w:highlight w:val="yellow"/>
          <w:lang w:val="en-US" w:eastAsia="zh-CN"/>
        </w:rPr>
        <w:t>日17时00分00秒</w:t>
      </w:r>
    </w:p>
    <w:p w14:paraId="12959CF4">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w:t>
      </w:r>
      <w:r>
        <w:rPr>
          <w:rFonts w:hint="eastAsia" w:hAnsi="宋体" w:eastAsia="宋体" w:cs="宋体"/>
          <w:b w:val="0"/>
          <w:bCs w:val="0"/>
          <w:color w:val="000000"/>
          <w:sz w:val="24"/>
          <w:szCs w:val="24"/>
          <w:highlight w:val="yellow"/>
          <w:lang w:val="en-US" w:eastAsia="zh-CN"/>
        </w:rPr>
        <w:t>济南轻卡制造公司</w:t>
      </w:r>
    </w:p>
    <w:p w14:paraId="2DC5F1AF">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w:t>
      </w:r>
      <w:r>
        <w:rPr>
          <w:rFonts w:hint="eastAsia"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hAnsi="宋体" w:eastAsia="宋体" w:cs="宋体"/>
          <w:bCs/>
          <w:sz w:val="24"/>
          <w:szCs w:val="24"/>
          <w:highlight w:val="yellow"/>
          <w:lang w:val="en-US" w:eastAsia="zh-CN"/>
        </w:rPr>
        <w:t>31</w:t>
      </w:r>
      <w:r>
        <w:rPr>
          <w:rFonts w:hint="eastAsia" w:ascii="宋体" w:hAnsi="宋体" w:eastAsia="宋体" w:cs="宋体"/>
          <w:bCs/>
          <w:sz w:val="24"/>
          <w:szCs w:val="24"/>
          <w:highlight w:val="yellow"/>
        </w:rPr>
        <w:t>日</w:t>
      </w:r>
      <w:r>
        <w:rPr>
          <w:rFonts w:hint="eastAsia" w:hAnsi="宋体" w:eastAsia="宋体" w:cs="宋体"/>
          <w:kern w:val="0"/>
          <w:sz w:val="24"/>
          <w:szCs w:val="24"/>
          <w:highlight w:val="yellow"/>
          <w:shd w:val="clear"/>
        </w:rPr>
        <w:t>上午9</w:t>
      </w:r>
      <w:r>
        <w:rPr>
          <w:rFonts w:hint="eastAsia" w:hAnsi="宋体" w:eastAsia="宋体" w:cs="宋体"/>
          <w:sz w:val="24"/>
          <w:szCs w:val="24"/>
          <w:highlight w:val="yellow"/>
          <w:shd w:val="clear"/>
        </w:rPr>
        <w:t>:00:00</w:t>
      </w:r>
      <w:r>
        <w:rPr>
          <w:rFonts w:hint="eastAsia" w:hAnsi="宋体" w:eastAsia="宋体" w:cs="宋体"/>
          <w:sz w:val="24"/>
          <w:szCs w:val="24"/>
          <w:highlight w:val="yellow"/>
        </w:rPr>
        <w:t>（北京时间）</w:t>
      </w:r>
    </w:p>
    <w:p w14:paraId="33A24519">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144"/>
        <w:rPr>
          <w:highlight w:val="none"/>
        </w:rPr>
      </w:pPr>
      <w:r>
        <w:rPr>
          <w:rFonts w:hint="eastAsia"/>
          <w:highlight w:val="none"/>
          <w:lang w:val="en-US" w:eastAsia="zh-CN"/>
        </w:rPr>
        <w:t>开标时间和地点</w:t>
      </w:r>
    </w:p>
    <w:p w14:paraId="560C27C9">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w:t>
      </w:r>
      <w:r>
        <w:rPr>
          <w:rFonts w:hint="eastAsia" w:hAnsi="宋体" w:eastAsia="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rPr>
        <w:t>月</w:t>
      </w:r>
      <w:r>
        <w:rPr>
          <w:rFonts w:hint="eastAsia" w:hAnsi="宋体" w:eastAsia="宋体" w:cs="宋体"/>
          <w:b w:val="0"/>
          <w:bCs w:val="0"/>
          <w:color w:val="000000"/>
          <w:sz w:val="24"/>
          <w:szCs w:val="24"/>
          <w:highlight w:val="yellow"/>
          <w:lang w:val="en-US" w:eastAsia="zh-CN"/>
        </w:rPr>
        <w:t>31</w:t>
      </w:r>
      <w:r>
        <w:rPr>
          <w:rFonts w:hint="eastAsia" w:ascii="宋体" w:hAnsi="宋体" w:eastAsia="宋体" w:cs="宋体"/>
          <w:b w:val="0"/>
          <w:bCs w:val="0"/>
          <w:color w:val="000000"/>
          <w:sz w:val="24"/>
          <w:szCs w:val="24"/>
          <w:highlight w:val="yellow"/>
        </w:rPr>
        <w:t>日9:00:00。</w:t>
      </w:r>
    </w:p>
    <w:p w14:paraId="3BD030B0">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144"/>
      </w:pPr>
      <w:bookmarkStart w:id="15" w:name="_Toc47976593"/>
      <w:r>
        <w:rPr>
          <w:rFonts w:hint="eastAsia"/>
        </w:rPr>
        <w:t>招标公告发布媒介</w:t>
      </w:r>
      <w:bookmarkEnd w:id="15"/>
    </w:p>
    <w:p w14:paraId="15C59335">
      <w:pPr>
        <w:pStyle w:val="145"/>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14:paraId="65FC2213">
      <w:pPr>
        <w:pStyle w:val="144"/>
        <w:rPr>
          <w:highlight w:val="none"/>
        </w:rPr>
      </w:pPr>
      <w:bookmarkStart w:id="16" w:name="_Toc47976594"/>
      <w:r>
        <w:rPr>
          <w:rFonts w:hint="eastAsia"/>
          <w:highlight w:val="none"/>
        </w:rPr>
        <w:t>联系方式</w:t>
      </w:r>
      <w:bookmarkEnd w:id="16"/>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温稼祥</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17860604857</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wenjiaxiang@sinotruk.com</w:t>
      </w:r>
    </w:p>
    <w:p w14:paraId="6D4C3503">
      <w:pPr>
        <w:pStyle w:val="146"/>
      </w:pPr>
    </w:p>
    <w:p w14:paraId="70A7FEA7">
      <w:pPr>
        <w:pStyle w:val="146"/>
        <w:jc w:val="both"/>
        <w:rPr>
          <w:rFonts w:hint="default"/>
          <w:highlight w:val="cyan"/>
          <w:u w:val="single"/>
          <w:lang w:val="en-US" w:eastAsia="zh-CN"/>
        </w:rPr>
      </w:pPr>
    </w:p>
    <w:p w14:paraId="3A7E2D48">
      <w:pPr>
        <w:pStyle w:val="146"/>
        <w:jc w:val="right"/>
        <w:rPr>
          <w:rFonts w:hint="eastAsia"/>
          <w:highlight w:val="cyan"/>
          <w:u w:val="single"/>
          <w:lang w:val="en-US" w:eastAsia="zh-CN"/>
        </w:rPr>
      </w:pPr>
    </w:p>
    <w:p w14:paraId="22C6BEDA">
      <w:pPr>
        <w:pStyle w:val="146"/>
        <w:jc w:val="right"/>
        <w:rPr>
          <w:rFonts w:hint="eastAsia"/>
          <w:highlight w:val="cyan"/>
          <w:u w:val="single"/>
          <w:lang w:val="en-US" w:eastAsia="zh-CN"/>
        </w:rPr>
      </w:pPr>
    </w:p>
    <w:p w14:paraId="410F58AB">
      <w:pPr>
        <w:pStyle w:val="14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03</w:t>
      </w:r>
      <w:r>
        <w:rPr>
          <w:rFonts w:hint="eastAsia"/>
        </w:rPr>
        <w:t>月</w:t>
      </w:r>
      <w:r>
        <w:rPr>
          <w:rFonts w:hint="eastAsia"/>
          <w:u w:val="single"/>
          <w:lang w:val="en-US" w:eastAsia="zh-CN"/>
        </w:rPr>
        <w:t>13</w:t>
      </w:r>
      <w:r>
        <w:rPr>
          <w:rFonts w:hint="eastAsia"/>
        </w:rPr>
        <w:t>日</w:t>
      </w:r>
    </w:p>
    <w:p w14:paraId="04C96706">
      <w:pPr>
        <w:pStyle w:val="146"/>
      </w:pPr>
    </w:p>
    <w:p w14:paraId="58FAC62D">
      <w:pPr>
        <w:pStyle w:val="146"/>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143"/>
      </w:pPr>
      <w:bookmarkStart w:id="17" w:name="_Toc47976595"/>
      <w:bookmarkStart w:id="18" w:name="_Toc27178"/>
      <w:r>
        <w:rPr>
          <w:rFonts w:hint="eastAsia"/>
        </w:rPr>
        <w:t>第一部分  投标人须知</w:t>
      </w:r>
      <w:bookmarkEnd w:id="17"/>
      <w:bookmarkEnd w:id="18"/>
    </w:p>
    <w:p w14:paraId="418340FC">
      <w:pPr>
        <w:pStyle w:val="144"/>
        <w:numPr>
          <w:ilvl w:val="0"/>
          <w:numId w:val="8"/>
        </w:numPr>
        <w:ind w:left="420"/>
        <w:jc w:val="left"/>
      </w:pPr>
      <w:bookmarkStart w:id="19" w:name="_Toc47976596"/>
      <w:r>
        <w:rPr>
          <w:rFonts w:hint="eastAsia"/>
        </w:rPr>
        <w:t>项目介绍</w:t>
      </w:r>
      <w:bookmarkEnd w:id="19"/>
    </w:p>
    <w:p w14:paraId="6360E7CD">
      <w:pPr>
        <w:pStyle w:val="146"/>
        <w:numPr>
          <w:ilvl w:val="0"/>
          <w:numId w:val="9"/>
        </w:numPr>
        <w:ind w:left="425" w:leftChars="0" w:hanging="425" w:firstLineChars="0"/>
        <w:rPr>
          <w:b/>
          <w:bCs/>
          <w:sz w:val="24"/>
          <w:szCs w:val="24"/>
          <w:highlight w:val="none"/>
        </w:rPr>
      </w:pPr>
      <w:r>
        <w:rPr>
          <w:rFonts w:hint="eastAsia"/>
          <w:b/>
          <w:bCs/>
          <w:sz w:val="24"/>
          <w:szCs w:val="24"/>
          <w:highlight w:val="none"/>
        </w:rPr>
        <w:t>项目名称：</w:t>
      </w:r>
      <w:r>
        <w:rPr>
          <w:rFonts w:hint="eastAsia" w:ascii="宋体"/>
          <w:b/>
          <w:bCs/>
          <w:sz w:val="28"/>
          <w:szCs w:val="28"/>
          <w:highlight w:val="yellow"/>
          <w:lang w:val="en-US" w:eastAsia="zh-CN"/>
        </w:rPr>
        <w:t>涂装磷化除渣系统改造技改项目</w:t>
      </w:r>
    </w:p>
    <w:p w14:paraId="17A97EAA">
      <w:pPr>
        <w:pStyle w:val="146"/>
        <w:numPr>
          <w:ilvl w:val="0"/>
          <w:numId w:val="9"/>
        </w:numPr>
        <w:ind w:left="425" w:leftChars="0" w:hanging="425" w:firstLineChars="0"/>
        <w:rPr>
          <w:rFonts w:hint="eastAsia" w:ascii="宋体"/>
          <w:b/>
          <w:bCs/>
          <w:sz w:val="28"/>
          <w:szCs w:val="28"/>
          <w:highlight w:val="none"/>
        </w:rPr>
      </w:pPr>
      <w:r>
        <w:rPr>
          <w:rFonts w:hint="eastAsia"/>
          <w:b/>
          <w:bCs/>
          <w:sz w:val="24"/>
          <w:szCs w:val="24"/>
          <w:highlight w:val="none"/>
        </w:rPr>
        <w:t>项目编号：</w:t>
      </w:r>
      <w:r>
        <w:rPr>
          <w:rFonts w:hint="eastAsia" w:ascii="宋体"/>
          <w:b/>
          <w:bCs/>
          <w:sz w:val="28"/>
          <w:szCs w:val="28"/>
          <w:highlight w:val="yellow"/>
          <w:lang w:val="en-US" w:eastAsia="zh-CN"/>
        </w:rPr>
        <w:t>ZBGL2026030180</w:t>
      </w:r>
    </w:p>
    <w:p w14:paraId="5C6CF568">
      <w:pPr>
        <w:pStyle w:val="146"/>
        <w:numPr>
          <w:ilvl w:val="0"/>
          <w:numId w:val="9"/>
        </w:numPr>
        <w:ind w:left="425" w:leftChars="0" w:hanging="425" w:firstLineChars="0"/>
        <w:rPr>
          <w:b/>
          <w:bCs/>
          <w:sz w:val="24"/>
          <w:szCs w:val="24"/>
          <w:highlight w:val="none"/>
        </w:rPr>
      </w:pPr>
      <w:r>
        <w:rPr>
          <w:rFonts w:hint="eastAsia"/>
          <w:b/>
          <w:bCs/>
          <w:sz w:val="24"/>
          <w:szCs w:val="24"/>
          <w:highlight w:val="none"/>
        </w:rPr>
        <w:t>招标形式：</w:t>
      </w:r>
      <w:bookmarkStart w:id="20" w:name="_Toc47112482"/>
      <w:r>
        <w:rPr>
          <w:rFonts w:hint="eastAsia" w:ascii="宋体" w:hAnsi="宋体" w:eastAsia="宋体" w:cs="宋体"/>
          <w:b/>
          <w:bCs/>
          <w:sz w:val="24"/>
          <w:szCs w:val="24"/>
          <w:highlight w:val="none"/>
          <w:lang w:val="en-US" w:eastAsia="zh-CN"/>
        </w:rPr>
        <w:t>公开招标</w:t>
      </w:r>
    </w:p>
    <w:p w14:paraId="742B3A80">
      <w:pPr>
        <w:pStyle w:val="146"/>
        <w:numPr>
          <w:ilvl w:val="0"/>
          <w:numId w:val="9"/>
        </w:numPr>
        <w:ind w:left="425" w:leftChars="0" w:hanging="425" w:firstLineChars="0"/>
        <w:rPr>
          <w:b/>
          <w:bCs/>
          <w:sz w:val="24"/>
          <w:szCs w:val="24"/>
          <w:highlight w:val="none"/>
        </w:rPr>
      </w:pPr>
      <w:r>
        <w:rPr>
          <w:rFonts w:hint="eastAsia"/>
          <w:b/>
          <w:bCs/>
          <w:sz w:val="24"/>
          <w:szCs w:val="24"/>
          <w:highlight w:val="none"/>
          <w:lang w:val="en-US" w:eastAsia="zh-CN"/>
        </w:rPr>
        <w:t>项目概况：新增1台全流量磷化除渣机，包括但不限于磷化除渣设备采购，配套管路、接头、泵、设备平台、抽渣、现场安装调试等内容。</w:t>
      </w:r>
    </w:p>
    <w:p w14:paraId="151561C8">
      <w:pPr>
        <w:pStyle w:val="146"/>
        <w:numPr>
          <w:ilvl w:val="0"/>
          <w:numId w:val="9"/>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146"/>
        <w:numPr>
          <w:ilvl w:val="0"/>
          <w:numId w:val="9"/>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146"/>
        <w:numPr>
          <w:ilvl w:val="0"/>
          <w:numId w:val="9"/>
        </w:numPr>
        <w:ind w:left="425" w:leftChars="0" w:hanging="425" w:firstLineChars="0"/>
        <w:rPr>
          <w:rFonts w:hint="eastAsia" w:cs="Times New Roman"/>
          <w:b/>
          <w:bCs/>
          <w:sz w:val="24"/>
          <w:szCs w:val="24"/>
          <w:highlight w:val="none"/>
          <w:lang w:val="en-US" w:eastAsia="zh-CN"/>
        </w:rPr>
      </w:pPr>
      <w:r>
        <w:rPr>
          <w:rFonts w:hint="eastAsia" w:ascii="宋体"/>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bookmarkEnd w:id="20"/>
    <w:p w14:paraId="7B546B2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bookmarkStart w:id="21" w:name="_Toc47976598"/>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温稼祥</w:t>
      </w:r>
    </w:p>
    <w:p w14:paraId="7F4CB37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17860604857</w:t>
      </w:r>
    </w:p>
    <w:p w14:paraId="180624D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wenjiaxiang@sinotruk.com</w:t>
      </w:r>
    </w:p>
    <w:p w14:paraId="50DC6C75">
      <w:pPr>
        <w:pStyle w:val="144"/>
      </w:pPr>
      <w:r>
        <w:rPr>
          <w:rFonts w:hint="eastAsia"/>
        </w:rPr>
        <w:t>合格的投标人。</w:t>
      </w:r>
      <w:bookmarkEnd w:id="21"/>
    </w:p>
    <w:p w14:paraId="4A1CBD20">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投标人须遵守《中华人民共和国招标投标法》及其它有关的法律和法规；为中华人民共和国境内注册的独立法人机构，具有独立承担民事责任能力；</w:t>
      </w:r>
    </w:p>
    <w:p w14:paraId="0901FF15">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拟标投人必须是在中华人民共和国境内注册的独立法人机构，具有独立承担民事责任能力；注册资金不少于</w:t>
      </w:r>
      <w:r>
        <w:rPr>
          <w:rFonts w:hint="eastAsia"/>
          <w:b w:val="0"/>
          <w:bCs/>
          <w:sz w:val="21"/>
          <w:szCs w:val="21"/>
          <w:highlight w:val="none"/>
          <w:u w:val="single"/>
          <w:lang w:val="en-US" w:eastAsia="zh-CN"/>
        </w:rPr>
        <w:t xml:space="preserve"> 500</w:t>
      </w:r>
      <w:r>
        <w:rPr>
          <w:rFonts w:hint="eastAsia"/>
          <w:b w:val="0"/>
          <w:bCs/>
          <w:sz w:val="21"/>
          <w:szCs w:val="21"/>
          <w:highlight w:val="none"/>
          <w:lang w:val="en-US" w:eastAsia="zh-CN"/>
        </w:rPr>
        <w:t>万人民币（或等值其他货币）；公司成立</w:t>
      </w:r>
      <w:r>
        <w:rPr>
          <w:rFonts w:hint="eastAsia"/>
          <w:b w:val="0"/>
          <w:bCs/>
          <w:sz w:val="21"/>
          <w:szCs w:val="21"/>
          <w:highlight w:val="none"/>
          <w:u w:val="single"/>
          <w:lang w:val="en-US" w:eastAsia="zh-CN"/>
        </w:rPr>
        <w:t xml:space="preserve">  3  </w:t>
      </w:r>
      <w:r>
        <w:rPr>
          <w:rFonts w:hint="eastAsia"/>
          <w:b w:val="0"/>
          <w:bCs/>
          <w:sz w:val="21"/>
          <w:szCs w:val="21"/>
          <w:highlight w:val="none"/>
          <w:lang w:val="en-US" w:eastAsia="zh-CN"/>
        </w:rPr>
        <w:t>年以上（以营业执照成立日期到开标当日满 3 年为准），且经营范围满足招标人需求；并在人员、设备、资金等方面具有承担本项目的能力，且满足技术、质量、资金等要求；</w:t>
      </w:r>
    </w:p>
    <w:p w14:paraId="0E3E3C45">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1AF832A0">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拟投标人在“国家企业信用信息公示系统”、“中国执行信息公开网”、“信用中国”、“天眼查”“裁判文书网”等信息平台中，无行政处罚及失信记录等信息；</w:t>
      </w:r>
    </w:p>
    <w:p w14:paraId="431B875B">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无招标违规、谎报年度报告信息、提供虚假资质资料等行为或其他行政处罚记录；</w:t>
      </w:r>
    </w:p>
    <w:p w14:paraId="685B42A4">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近三年内在经营活动中无与本项目有关的违法及重大违规情况；</w:t>
      </w:r>
    </w:p>
    <w:p w14:paraId="74DB7C6F">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投标人没有被列入招标人处《黑名单》（《黑名单》指投标人与招标人在以往或正在进行的合作中，存在招标人认为的违反合同约定或违反法律法规等的失信行为）的声明；</w:t>
      </w:r>
    </w:p>
    <w:p w14:paraId="172CFAA3">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公司经营范围满足招标项目需求；</w:t>
      </w:r>
    </w:p>
    <w:p w14:paraId="3148471E">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投标人须具有履行招标文件所有设备、专业技术等要求的能力；</w:t>
      </w:r>
    </w:p>
    <w:p w14:paraId="12EA418A">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投标人须有依法缴纳税收和社会保障资金的良好记录；</w:t>
      </w:r>
    </w:p>
    <w:p w14:paraId="7EC679C8">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具有本次招标货物的供货、安装、售后服务等的相应资质；</w:t>
      </w:r>
    </w:p>
    <w:p w14:paraId="310B14DA">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投标人须负责提供合理的便于运输的包装物，并承担相关费用；</w:t>
      </w:r>
    </w:p>
    <w:p w14:paraId="7925A6E3">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投标人须认可招标人的工作指令，包括节、假日能正常开展工作的要求。</w:t>
      </w:r>
    </w:p>
    <w:p w14:paraId="72FD8E4E">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拟投标人的直接或间接股东、法定代表人、董事、监事、高管非重汽员工及其亲属；</w:t>
      </w:r>
    </w:p>
    <w:p w14:paraId="0215F1A8">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投标人必须是最终投标、签订合同的单位，不得以任何理由将已中标项目以任何形式转包或者分包给其他单位；</w:t>
      </w:r>
    </w:p>
    <w:p w14:paraId="5A2CFA9A">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本次招标项目不接受联合体投标，不允许代理商参标；</w:t>
      </w:r>
    </w:p>
    <w:p w14:paraId="5C2B0709">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法律、行政法规规定的其他条件；</w:t>
      </w:r>
    </w:p>
    <w:p w14:paraId="31CA8C38">
      <w:pPr>
        <w:pStyle w:val="144"/>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146"/>
        <w:numPr>
          <w:ilvl w:val="0"/>
          <w:numId w:val="11"/>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12</w:t>
      </w:r>
      <w:r>
        <w:rPr>
          <w:rFonts w:hint="eastAsia" w:ascii="宋体" w:hAnsi="Courier New" w:eastAsia="宋体" w:cs="Times New Roman"/>
          <w:sz w:val="21"/>
          <w:szCs w:val="21"/>
          <w:highlight w:val="yellow"/>
          <w:lang w:val="en-US" w:eastAsia="zh-CN"/>
        </w:rPr>
        <w:t>日</w:t>
      </w:r>
    </w:p>
    <w:p w14:paraId="3E83CBE4">
      <w:pPr>
        <w:pStyle w:val="146"/>
        <w:numPr>
          <w:ilvl w:val="0"/>
          <w:numId w:val="11"/>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146"/>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146"/>
        <w:ind w:firstLine="211" w:firstLineChars="100"/>
        <w:jc w:val="both"/>
        <w:rPr>
          <w:rFonts w:hint="default"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领取截止时间：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sz w:val="21"/>
          <w:szCs w:val="21"/>
          <w:highlight w:val="yellow"/>
        </w:rPr>
        <w:t>年</w:t>
      </w:r>
      <w:r>
        <w:rPr>
          <w:rFonts w:hint="eastAsia"/>
          <w:sz w:val="21"/>
          <w:szCs w:val="21"/>
          <w:highlight w:val="yellow"/>
          <w:lang w:val="en-US" w:eastAsia="zh-CN"/>
        </w:rPr>
        <w:t>3</w:t>
      </w:r>
      <w:r>
        <w:rPr>
          <w:rFonts w:hint="eastAsia"/>
          <w:sz w:val="21"/>
          <w:szCs w:val="21"/>
          <w:highlight w:val="yellow"/>
        </w:rPr>
        <w:t>月</w:t>
      </w:r>
      <w:r>
        <w:rPr>
          <w:rFonts w:hint="eastAsia"/>
          <w:sz w:val="21"/>
          <w:szCs w:val="21"/>
          <w:highlight w:val="yellow"/>
          <w:lang w:val="en-US" w:eastAsia="zh-CN"/>
        </w:rPr>
        <w:t>25</w:t>
      </w:r>
      <w:r>
        <w:rPr>
          <w:rFonts w:hint="eastAsia"/>
          <w:sz w:val="21"/>
          <w:szCs w:val="21"/>
          <w:highlight w:val="yellow"/>
        </w:rPr>
        <w:t>日</w:t>
      </w:r>
    </w:p>
    <w:p w14:paraId="62084E4B">
      <w:pPr>
        <w:pStyle w:val="146"/>
        <w:numPr>
          <w:ilvl w:val="0"/>
          <w:numId w:val="11"/>
        </w:numPr>
        <w:ind w:left="425" w:leftChars="0" w:hanging="425" w:firstLineChars="0"/>
        <w:jc w:val="both"/>
        <w:rPr>
          <w:rFonts w:hint="eastAsia" w:ascii="宋体" w:hAnsi="Courier New" w:eastAsia="宋体" w:cs="Times New Roman"/>
          <w:b w:val="0"/>
          <w:bCs w:val="0"/>
          <w:sz w:val="21"/>
          <w:szCs w:val="21"/>
          <w:highlight w:val="yellow"/>
          <w:lang w:val="en-US" w:eastAsia="zh-CN"/>
        </w:rPr>
      </w:pPr>
      <w:r>
        <w:rPr>
          <w:rFonts w:hint="eastAsia" w:ascii="宋体" w:hAnsi="Courier New" w:eastAsia="宋体" w:cs="Times New Roman"/>
          <w:b/>
          <w:bCs/>
          <w:sz w:val="21"/>
          <w:szCs w:val="21"/>
          <w:highlight w:val="yellow"/>
          <w:lang w:val="en-US" w:eastAsia="zh-CN"/>
        </w:rPr>
        <w:t>答疑时间：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eastAsia="宋体" w:cs="Times New Roman"/>
          <w:sz w:val="21"/>
          <w:szCs w:val="21"/>
          <w:highlight w:val="yellow"/>
          <w:lang w:val="en-US" w:eastAsia="zh-CN"/>
        </w:rPr>
        <w:t>25</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w:t>
      </w:r>
      <w:r>
        <w:rPr>
          <w:rFonts w:hint="eastAsia" w:cs="Times New Roman"/>
          <w:b w:val="0"/>
          <w:bCs w:val="0"/>
          <w:sz w:val="21"/>
          <w:szCs w:val="21"/>
          <w:highlight w:val="yellow"/>
          <w:lang w:val="en-US" w:eastAsia="zh-CN"/>
        </w:rPr>
        <w:t>:00前</w:t>
      </w:r>
    </w:p>
    <w:p w14:paraId="62CB87C4">
      <w:pPr>
        <w:pStyle w:val="146"/>
        <w:numPr>
          <w:ilvl w:val="0"/>
          <w:numId w:val="11"/>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14:paraId="24D6AE88">
      <w:pPr>
        <w:pStyle w:val="14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eastAsia="宋体" w:cs="Times New Roman"/>
          <w:sz w:val="21"/>
          <w:szCs w:val="21"/>
          <w:highlight w:val="yellow"/>
          <w:lang w:val="en-US" w:eastAsia="zh-CN"/>
        </w:rPr>
        <w:t>3</w:t>
      </w:r>
      <w:r>
        <w:rPr>
          <w:rFonts w:hint="eastAsia" w:ascii="宋体" w:eastAsia="宋体" w:cs="Times New Roman"/>
          <w:sz w:val="21"/>
          <w:szCs w:val="21"/>
          <w:highlight w:val="yellow"/>
        </w:rPr>
        <w:t>月</w:t>
      </w:r>
      <w:r>
        <w:rPr>
          <w:rFonts w:hint="eastAsia" w:eastAsia="宋体" w:cs="Times New Roman"/>
          <w:sz w:val="21"/>
          <w:szCs w:val="21"/>
          <w:highlight w:val="yellow"/>
          <w:lang w:val="en-US" w:eastAsia="zh-CN"/>
        </w:rPr>
        <w:t>25</w:t>
      </w:r>
      <w:r>
        <w:rPr>
          <w:rFonts w:hint="eastAsia" w:ascii="宋体" w:eastAsia="宋体" w:cs="Times New Roman"/>
          <w:sz w:val="21"/>
          <w:szCs w:val="21"/>
          <w:highlight w:val="yellow"/>
        </w:rPr>
        <w:t>日12:00前</w:t>
      </w:r>
    </w:p>
    <w:p w14:paraId="1EF2B1F6">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14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146"/>
        <w:numPr>
          <w:ilvl w:val="0"/>
          <w:numId w:val="11"/>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eastAsia="宋体" w:cs="Times New Roman"/>
          <w:sz w:val="21"/>
          <w:szCs w:val="21"/>
          <w:highlight w:val="yellow"/>
          <w:lang w:val="en-US" w:eastAsia="zh-CN"/>
        </w:rPr>
        <w:t>25</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14:paraId="59AC1516">
      <w:pPr>
        <w:pStyle w:val="146"/>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146"/>
        <w:numPr>
          <w:ilvl w:val="0"/>
          <w:numId w:val="11"/>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w:t>
      </w:r>
      <w:r>
        <w:rPr>
          <w:rFonts w:hint="eastAsia" w:eastAsia="宋体" w:cs="宋体"/>
          <w:b/>
          <w:bCs/>
          <w:sz w:val="21"/>
          <w:szCs w:val="21"/>
          <w:lang w:val="en-US" w:eastAsia="zh-CN"/>
        </w:rPr>
        <w:t>16</w:t>
      </w:r>
      <w:r>
        <w:rPr>
          <w:rFonts w:hint="eastAsia" w:ascii="宋体" w:hAnsi="宋体" w:eastAsia="宋体" w:cs="宋体"/>
          <w:b/>
          <w:bCs/>
          <w:sz w:val="21"/>
          <w:szCs w:val="21"/>
        </w:rPr>
        <w:t>）进行注册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w:t>
      </w:r>
      <w:r>
        <w:rPr>
          <w:rFonts w:hint="eastAsia" w:eastAsia="宋体" w:cs="宋体"/>
          <w:b/>
          <w:sz w:val="21"/>
          <w:szCs w:val="21"/>
          <w:lang w:val="en-US" w:eastAsia="zh-CN"/>
        </w:rPr>
        <w:t>7</w:t>
      </w:r>
      <w:r>
        <w:rPr>
          <w:rFonts w:hint="eastAsia" w:ascii="宋体" w:hAnsi="宋体" w:eastAsia="宋体" w:cs="宋体"/>
          <w:b/>
          <w:sz w:val="21"/>
          <w:szCs w:val="21"/>
        </w:rPr>
        <w:t>）”，</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14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146"/>
        <w:numPr>
          <w:ilvl w:val="0"/>
          <w:numId w:val="11"/>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7"/>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r>
        <w:rPr>
          <w:rFonts w:hint="eastAsia" w:eastAsia="宋体" w:cs="宋体"/>
          <w:bCs/>
          <w:sz w:val="21"/>
          <w:szCs w:val="21"/>
          <w:highlight w:val="yellow"/>
          <w:lang w:val="en-US" w:eastAsia="zh-CN"/>
        </w:rPr>
        <w:t>3</w:t>
      </w:r>
      <w:r>
        <w:rPr>
          <w:rFonts w:hint="eastAsia" w:ascii="宋体" w:hAnsi="宋体" w:eastAsia="宋体" w:cs="宋体"/>
          <w:bCs/>
          <w:sz w:val="21"/>
          <w:szCs w:val="21"/>
          <w:highlight w:val="yellow"/>
        </w:rPr>
        <w:t>月</w:t>
      </w:r>
      <w:r>
        <w:rPr>
          <w:rFonts w:hint="eastAsia" w:eastAsia="宋体" w:cs="宋体"/>
          <w:bCs/>
          <w:sz w:val="21"/>
          <w:szCs w:val="21"/>
          <w:highlight w:val="yellow"/>
          <w:lang w:val="en-US" w:eastAsia="zh-CN"/>
        </w:rPr>
        <w:t>21</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17时00分00秒</w:t>
      </w:r>
    </w:p>
    <w:p w14:paraId="73A7FB78">
      <w:pPr>
        <w:pStyle w:val="14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144"/>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14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14:paraId="13BAC003">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法定代表人身份证明；</w:t>
      </w:r>
    </w:p>
    <w:p w14:paraId="4DBDF119">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法定代表人授权委托书（授权人需带身份证原件）；</w:t>
      </w:r>
    </w:p>
    <w:p w14:paraId="73FE5F95">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营业执照副本原件</w:t>
      </w:r>
      <w:r>
        <w:rPr>
          <w:rFonts w:hint="eastAsia" w:ascii="宋体" w:hAnsi="宋体" w:eastAsia="宋体" w:cs="宋体"/>
          <w:b w:val="0"/>
          <w:bCs/>
          <w:highlight w:val="none"/>
          <w:lang w:val="en-US" w:eastAsia="zh-CN"/>
        </w:rPr>
        <w:t>或复印件并加盖公章</w:t>
      </w:r>
      <w:r>
        <w:rPr>
          <w:rFonts w:hint="eastAsia" w:ascii="宋体" w:hAnsi="宋体" w:eastAsia="宋体" w:cs="宋体"/>
          <w:b w:val="0"/>
          <w:bCs/>
          <w:highlight w:val="none"/>
        </w:rPr>
        <w:t>；</w:t>
      </w:r>
    </w:p>
    <w:p w14:paraId="64598C8A">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投标函（附件1）；</w:t>
      </w:r>
    </w:p>
    <w:p w14:paraId="440F9E5B">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14:paraId="6A7B69C9">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企业近三年同类项目业绩证明，须提供用户清单、采购合同复印件；</w:t>
      </w:r>
    </w:p>
    <w:p w14:paraId="2E43C7FD">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近三年内在经营活动中无与本项目有关的违法及重大违规行为的声明；</w:t>
      </w:r>
    </w:p>
    <w:p w14:paraId="48D2A718">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投标人在国家企业信用信息公示系统中无与本项目有关的行政处罚、经营异常和失信信息的声明；（附投标当日系统内相关截图或报告）</w:t>
      </w:r>
    </w:p>
    <w:p w14:paraId="7CB7B902">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企业信用证明材料（征信中心出具的信用报告）；</w:t>
      </w:r>
    </w:p>
    <w:p w14:paraId="2F1917FF">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企业最近半年完税证明</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并附</w:t>
      </w:r>
      <w:r>
        <w:rPr>
          <w:rFonts w:hint="eastAsia" w:ascii="宋体" w:hAnsi="宋体" w:eastAsia="宋体" w:cs="宋体"/>
          <w:b w:val="0"/>
          <w:bCs/>
          <w:highlight w:val="none"/>
        </w:rPr>
        <w:t>年度纳税信用评价信息（可从电子税务局查询截图，需加盖公章）；</w:t>
      </w:r>
    </w:p>
    <w:p w14:paraId="66CC3FFB">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企业对外担保说明（写明贵单位对外有无对外担保和质押业务，需加盖公章）。</w:t>
      </w:r>
    </w:p>
    <w:p w14:paraId="177BD7B8">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保密承诺函（附件4）；</w:t>
      </w:r>
    </w:p>
    <w:p w14:paraId="170B48B4">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14:paraId="658F5222">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14:paraId="76A5AD45">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14:paraId="39B4FD7F">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14:paraId="6E11CA39">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14:paraId="53557C77">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14:paraId="67772FFE">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14:paraId="00A299A2">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投标保证金缴纳凭证，同时正文描述付款账号、户名、开户行名称、开户行行号、保证金金额。</w:t>
      </w:r>
    </w:p>
    <w:p w14:paraId="0FCAA68A">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14:paraId="35D922EF">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14:paraId="7CB8DE54">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14:paraId="1058197F">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14:paraId="5D2BBFAC">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14:paraId="6E70AD99">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14:paraId="01FC52A9">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14:paraId="1FEC8CF2">
      <w:pPr>
        <w:pStyle w:val="148"/>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14:paraId="0DFA5CBE">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14:paraId="647E2259">
      <w:pPr>
        <w:pStyle w:val="14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14:paraId="5C36F232">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14:paraId="365CA05E">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14:paraId="0BD75519">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14:paraId="6D87D854">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商务报价注意内容：</w:t>
      </w:r>
      <w:r>
        <w:rPr>
          <w:rFonts w:hint="eastAsia" w:ascii="宋体" w:hAnsi="宋体" w:eastAsia="宋体" w:cs="宋体"/>
          <w:b w:val="0"/>
          <w:bCs/>
          <w:highlight w:val="none"/>
        </w:rPr>
        <w:t>最高投标限价（招标控制价）：</w:t>
      </w:r>
      <w:r>
        <w:rPr>
          <w:rFonts w:hint="eastAsia" w:ascii="宋体" w:hAnsi="宋体" w:eastAsia="宋体" w:cs="宋体"/>
          <w:b w:val="0"/>
          <w:bCs/>
          <w:highlight w:val="yellow"/>
        </w:rPr>
        <w:t>人民币</w:t>
      </w:r>
      <w:r>
        <w:rPr>
          <w:rFonts w:hint="eastAsia" w:ascii="宋体" w:hAnsi="宋体" w:eastAsia="宋体" w:cs="宋体"/>
          <w:b w:val="0"/>
          <w:bCs/>
          <w:highlight w:val="yellow"/>
          <w:u w:val="single"/>
          <w:lang w:val="en-US" w:eastAsia="zh-CN"/>
        </w:rPr>
        <w:t xml:space="preserve">  4</w:t>
      </w:r>
      <w:r>
        <w:rPr>
          <w:rFonts w:hint="eastAsia" w:hAnsi="宋体" w:eastAsia="宋体" w:cs="宋体"/>
          <w:b w:val="0"/>
          <w:bCs/>
          <w:highlight w:val="yellow"/>
          <w:u w:val="single"/>
          <w:lang w:val="en-US" w:eastAsia="zh-CN"/>
        </w:rPr>
        <w:t>0</w:t>
      </w:r>
      <w:r>
        <w:rPr>
          <w:rFonts w:hint="eastAsia" w:ascii="宋体" w:hAnsi="宋体" w:eastAsia="宋体" w:cs="宋体"/>
          <w:b w:val="0"/>
          <w:bCs/>
          <w:highlight w:val="yellow"/>
          <w:u w:val="single"/>
          <w:lang w:val="en-US" w:eastAsia="zh-CN"/>
        </w:rPr>
        <w:t xml:space="preserve">  </w:t>
      </w:r>
      <w:r>
        <w:rPr>
          <w:rFonts w:hint="eastAsia" w:ascii="宋体" w:hAnsi="宋体" w:eastAsia="宋体" w:cs="宋体"/>
          <w:b w:val="0"/>
          <w:bCs/>
          <w:highlight w:val="yellow"/>
        </w:rPr>
        <w:t>万元（含</w:t>
      </w:r>
      <w:r>
        <w:rPr>
          <w:rFonts w:hint="eastAsia" w:ascii="宋体" w:hAnsi="宋体" w:eastAsia="宋体" w:cs="宋体"/>
          <w:b w:val="0"/>
          <w:bCs/>
          <w:highlight w:val="yellow"/>
          <w:u w:val="single"/>
          <w:lang w:val="en-US" w:eastAsia="zh-CN"/>
        </w:rPr>
        <w:t>13</w:t>
      </w:r>
      <w:r>
        <w:rPr>
          <w:rFonts w:hint="eastAsia" w:ascii="宋体" w:hAnsi="宋体" w:eastAsia="宋体" w:cs="宋体"/>
          <w:b w:val="0"/>
          <w:bCs/>
          <w:highlight w:val="yellow"/>
        </w:rPr>
        <w:t>%增值税）</w:t>
      </w:r>
      <w:r>
        <w:rPr>
          <w:rFonts w:hint="eastAsia" w:ascii="宋体" w:hAnsi="宋体" w:eastAsia="宋体" w:cs="宋体"/>
          <w:b w:val="0"/>
          <w:bCs/>
          <w:highlight w:val="none"/>
        </w:rPr>
        <w:t>，超过投标限价无法投标。</w:t>
      </w:r>
    </w:p>
    <w:p w14:paraId="70E2A45F">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148"/>
        <w:numPr>
          <w:ilvl w:val="0"/>
          <w:numId w:val="18"/>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1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148"/>
        <w:numPr>
          <w:ilvl w:val="0"/>
          <w:numId w:val="18"/>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w:t>
      </w:r>
      <w:r>
        <w:rPr>
          <w:rFonts w:hint="eastAsia" w:eastAsia="宋体" w:cs="Times New Roman"/>
          <w:b w:val="0"/>
          <w:bCs/>
          <w:highlight w:val="none"/>
          <w:lang w:val="en-US" w:eastAsia="zh-CN"/>
        </w:rPr>
        <w:t>济南轻卡制造公司</w:t>
      </w:r>
    </w:p>
    <w:p w14:paraId="2079F016">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148"/>
        <w:numPr>
          <w:ilvl w:val="0"/>
          <w:numId w:val="18"/>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eastAsia="宋体" w:cs="Times New Roman"/>
          <w:b w:val="0"/>
          <w:bCs/>
          <w:highlight w:val="yellow"/>
          <w:lang w:val="en-US" w:eastAsia="zh-CN"/>
        </w:rPr>
        <w:t>3</w:t>
      </w:r>
      <w:r>
        <w:rPr>
          <w:rFonts w:hint="eastAsia" w:ascii="宋体" w:hAnsi="Courier New" w:eastAsia="宋体" w:cs="Times New Roman"/>
          <w:b w:val="0"/>
          <w:bCs/>
          <w:highlight w:val="yellow"/>
          <w:lang w:val="en-US" w:eastAsia="zh-CN"/>
        </w:rPr>
        <w:t>月</w:t>
      </w:r>
      <w:r>
        <w:rPr>
          <w:rFonts w:hint="eastAsia" w:eastAsia="宋体" w:cs="Times New Roman"/>
          <w:b w:val="0"/>
          <w:bCs/>
          <w:highlight w:val="yellow"/>
          <w:lang w:val="en-US" w:eastAsia="zh-CN"/>
        </w:rPr>
        <w:t>31</w:t>
      </w:r>
      <w:r>
        <w:rPr>
          <w:rFonts w:hint="eastAsia" w:ascii="宋体" w:hAnsi="Courier New" w:eastAsia="宋体" w:cs="Times New Roman"/>
          <w:b w:val="0"/>
          <w:bCs/>
          <w:highlight w:val="yellow"/>
          <w:lang w:val="en-US" w:eastAsia="zh-CN"/>
        </w:rPr>
        <w:t>日上午9:00:00</w:t>
      </w:r>
    </w:p>
    <w:p w14:paraId="7C4A86A7">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148"/>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144"/>
        <w:rPr>
          <w:rFonts w:hint="eastAsia" w:hAnsi="Courier New" w:cs="Times New Roman"/>
          <w:highlight w:val="none"/>
        </w:rPr>
      </w:pPr>
      <w:bookmarkStart w:id="22"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144"/>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144"/>
        <w:numPr>
          <w:ilvl w:val="0"/>
          <w:numId w:val="20"/>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144"/>
        <w:numPr>
          <w:ilvl w:val="0"/>
          <w:numId w:val="20"/>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投标保证金的金额：</w:t>
      </w:r>
      <w:r>
        <w:rPr>
          <w:rFonts w:hint="eastAsia" w:ascii="宋体" w:hAnsi="宋体" w:eastAsia="宋体" w:cs="宋体"/>
          <w:b/>
          <w:bCs/>
          <w:sz w:val="21"/>
          <w:szCs w:val="21"/>
          <w:highlight w:val="yellow"/>
        </w:rPr>
        <w:t>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yellow"/>
        </w:rPr>
        <w:t>元</w:t>
      </w:r>
    </w:p>
    <w:p w14:paraId="2F610038">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144"/>
        <w:numPr>
          <w:ilvl w:val="0"/>
          <w:numId w:val="2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yellow"/>
        </w:rPr>
        <w:t>保证金缴纳截止时间：202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同应标截止时间</w:t>
      </w:r>
      <w:r>
        <w:rPr>
          <w:rFonts w:hint="eastAsia" w:ascii="宋体" w:hAnsi="宋体" w:eastAsia="宋体" w:cs="宋体"/>
          <w:b w:val="0"/>
          <w:bCs w:val="0"/>
          <w:sz w:val="21"/>
          <w:szCs w:val="21"/>
          <w:highlight w:val="yellow"/>
          <w:lang w:eastAsia="zh-CN"/>
        </w:rPr>
        <w:t>）</w:t>
      </w:r>
    </w:p>
    <w:p w14:paraId="7486A087">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22"/>
    <w:p w14:paraId="368B6990">
      <w:pPr>
        <w:pStyle w:val="144"/>
      </w:pPr>
      <w:r>
        <w:rPr>
          <w:rFonts w:hint="eastAsia"/>
          <w:lang w:val="en-US" w:eastAsia="zh-CN"/>
        </w:rPr>
        <w:t>开评标</w:t>
      </w:r>
    </w:p>
    <w:p w14:paraId="009655B5">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开标时间：2026年3月31日9:00:00（暂定，以实际通知为准）</w:t>
      </w:r>
    </w:p>
    <w:p w14:paraId="06F7B67A">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144"/>
        <w:keepNext w:val="0"/>
        <w:keepLines w:val="0"/>
        <w:pageBreakBefore w:val="0"/>
        <w:widowControl w:val="0"/>
        <w:numPr>
          <w:ilvl w:val="0"/>
          <w:numId w:val="22"/>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23" w:name="OLE_LINK2"/>
      <w:r>
        <w:rPr>
          <w:rFonts w:hint="eastAsia" w:ascii="宋体" w:hAnsi="宋体" w:eastAsia="宋体" w:cs="宋体"/>
          <w:b/>
          <w:bCs/>
          <w:sz w:val="21"/>
          <w:szCs w:val="21"/>
        </w:rPr>
        <w:t>→</w:t>
      </w:r>
      <w:bookmarkEnd w:id="23"/>
      <w:r>
        <w:rPr>
          <w:rFonts w:hint="eastAsia" w:ascii="宋体" w:hAnsi="宋体" w:eastAsia="宋体" w:cs="宋体"/>
          <w:b/>
          <w:bCs/>
          <w:sz w:val="21"/>
          <w:szCs w:val="21"/>
        </w:rPr>
        <w:t>唱标→技术标评审→商务标评审。</w:t>
      </w:r>
    </w:p>
    <w:p w14:paraId="45816947">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6"/>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C3A41D4">
            <w:pPr>
              <w:spacing w:line="320" w:lineRule="exact"/>
              <w:ind w:right="34" w:rightChars="16"/>
              <w:jc w:val="center"/>
              <w:rPr>
                <w:b/>
                <w:szCs w:val="21"/>
              </w:rPr>
            </w:pPr>
            <w:r>
              <w:rPr>
                <w:rFonts w:hint="eastAsia"/>
                <w:b/>
              </w:rPr>
              <w:t>最高</w:t>
            </w:r>
          </w:p>
          <w:p w14:paraId="2F5235E4">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6246645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F5BA08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144"/>
      </w:pPr>
      <w:r>
        <w:rPr>
          <w:rFonts w:hint="eastAsia"/>
          <w:lang w:val="en-US" w:eastAsia="zh-CN"/>
        </w:rPr>
        <w:t>定标</w:t>
      </w:r>
    </w:p>
    <w:p w14:paraId="6B705137">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14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4" w:name="OLE_LINK29"/>
      <w:bookmarkStart w:id="25" w:name="OLE_LINK27"/>
      <w:bookmarkStart w:id="26" w:name="OLE_LINK25"/>
      <w:bookmarkStart w:id="27" w:name="OLE_LINK28"/>
      <w:bookmarkStart w:id="28" w:name="OLE_LINK26"/>
      <w:r>
        <w:rPr>
          <w:rFonts w:hint="eastAsia" w:ascii="宋体" w:hAnsi="宋体" w:eastAsia="宋体" w:cs="宋体"/>
          <w:bCs/>
          <w:sz w:val="21"/>
          <w:szCs w:val="21"/>
          <w:highlight w:val="none"/>
        </w:rPr>
        <w:t>；</w:t>
      </w:r>
      <w:bookmarkEnd w:id="24"/>
      <w:bookmarkEnd w:id="25"/>
      <w:bookmarkEnd w:id="26"/>
      <w:bookmarkEnd w:id="27"/>
      <w:bookmarkEnd w:id="28"/>
    </w:p>
    <w:p w14:paraId="24E36D3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14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144"/>
      </w:pPr>
      <w:r>
        <w:rPr>
          <w:rFonts w:hint="eastAsia"/>
          <w:lang w:val="en-US" w:eastAsia="zh-CN"/>
        </w:rPr>
        <w:t>交货及付款</w:t>
      </w:r>
    </w:p>
    <w:p w14:paraId="0DD46053">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164F0D70">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hAnsi="宋体" w:eastAsia="宋体" w:cs="宋体"/>
          <w:b w:val="0"/>
          <w:bCs w:val="0"/>
          <w:color w:val="000000"/>
          <w:sz w:val="21"/>
          <w:szCs w:val="21"/>
          <w:highlight w:val="none"/>
          <w:lang w:val="en-US" w:eastAsia="zh-CN"/>
        </w:rPr>
      </w:pPr>
      <w:r>
        <w:rPr>
          <w:rFonts w:hint="eastAsia" w:hAnsi="宋体" w:eastAsia="宋体" w:cs="宋体"/>
          <w:b w:val="0"/>
          <w:bCs w:val="0"/>
          <w:color w:val="000000"/>
          <w:sz w:val="21"/>
          <w:szCs w:val="21"/>
          <w:highlight w:val="none"/>
          <w:lang w:val="en-US" w:eastAsia="zh-CN"/>
        </w:rPr>
        <w:t>详见技术标书。</w:t>
      </w:r>
    </w:p>
    <w:p w14:paraId="2A3E3A16">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144"/>
        <w:numPr>
          <w:ilvl w:val="0"/>
          <w:numId w:val="25"/>
        </w:numPr>
        <w:ind w:left="425" w:leftChars="0" w:hanging="425" w:firstLineChars="0"/>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bCs/>
          <w:sz w:val="21"/>
          <w:szCs w:val="21"/>
          <w:highlight w:val="yellow"/>
          <w:lang w:val="en-US" w:eastAsia="zh-CN"/>
        </w:rPr>
        <w:t>招标方指定地点</w:t>
      </w:r>
    </w:p>
    <w:p w14:paraId="6C8560A2">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144"/>
        <w:numPr>
          <w:ilvl w:val="0"/>
          <w:numId w:val="25"/>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144"/>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付款节点：3:6:1</w:t>
      </w:r>
    </w:p>
    <w:p w14:paraId="2E70A5B0">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14:paraId="1C5D5390">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14:paraId="130D1770">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144"/>
        <w:rPr>
          <w:rFonts w:hint="eastAsia"/>
          <w:lang w:val="en-US" w:eastAsia="zh-CN"/>
        </w:rPr>
      </w:pPr>
      <w:r>
        <w:rPr>
          <w:rFonts w:hint="eastAsia"/>
          <w:lang w:val="en-US" w:eastAsia="zh-CN"/>
        </w:rPr>
        <w:t>质保期</w:t>
      </w:r>
    </w:p>
    <w:p w14:paraId="4E01C3B5">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自设备验收文件最终签署之日起壹年。（投标人可在满足上述最短质保期基础上竞报）</w:t>
      </w:r>
    </w:p>
    <w:p w14:paraId="6E0D7439">
      <w:pPr>
        <w:pStyle w:val="144"/>
        <w:rPr>
          <w:rFonts w:hint="eastAsia"/>
          <w:lang w:val="en-US" w:eastAsia="zh-CN"/>
        </w:rPr>
      </w:pPr>
      <w:r>
        <w:rPr>
          <w:rFonts w:hint="eastAsia"/>
          <w:lang w:val="en-US" w:eastAsia="zh-CN"/>
        </w:rPr>
        <w:t>本次招标最终解释权归中国重汽集团济南商用车有限公司。</w:t>
      </w:r>
    </w:p>
    <w:p w14:paraId="66BCACD8">
      <w:pPr>
        <w:pStyle w:val="146"/>
      </w:pPr>
    </w:p>
    <w:p w14:paraId="07A4B493">
      <w:pPr>
        <w:pStyle w:val="143"/>
        <w:jc w:val="both"/>
        <w:rPr>
          <w:rFonts w:hint="eastAsia"/>
        </w:rPr>
      </w:pPr>
    </w:p>
    <w:p w14:paraId="243FF35F">
      <w:pPr>
        <w:pStyle w:val="143"/>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61165A56">
      <w:pPr>
        <w:pStyle w:val="143"/>
        <w:rPr>
          <w:rFonts w:hint="eastAsia" w:cs="Times New Roman"/>
        </w:rPr>
      </w:pPr>
      <w:bookmarkStart w:id="29" w:name="_Toc17894"/>
      <w:r>
        <w:rPr>
          <w:rFonts w:hint="eastAsia"/>
        </w:rPr>
        <w:t>第</w:t>
      </w:r>
      <w:r>
        <w:rPr>
          <w:rFonts w:hint="eastAsia"/>
          <w:lang w:val="en-US" w:eastAsia="zh-CN"/>
        </w:rPr>
        <w:t>二</w:t>
      </w:r>
      <w:r>
        <w:rPr>
          <w:rFonts w:hint="eastAsia"/>
        </w:rPr>
        <w:t>部分 技术标书</w:t>
      </w:r>
      <w:bookmarkEnd w:id="2"/>
      <w:bookmarkEnd w:id="29"/>
    </w:p>
    <w:p w14:paraId="2F5B181C">
      <w:pPr>
        <w:pStyle w:val="16"/>
        <w:rPr>
          <w:highlight w:val="none"/>
        </w:rPr>
      </w:pPr>
    </w:p>
    <w:p w14:paraId="5A7AB996">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w:t>
      </w:r>
    </w:p>
    <w:p w14:paraId="1E15CC6A">
      <w:pPr>
        <w:spacing w:line="276" w:lineRule="auto"/>
        <w:jc w:val="center"/>
        <w:rPr>
          <w:rFonts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济南轻卡制造公司涂装磷化除渣系统改造技改项目</w:t>
      </w:r>
    </w:p>
    <w:p w14:paraId="01C8E31B">
      <w:pPr>
        <w:jc w:val="right"/>
        <w:rPr>
          <w:rFonts w:ascii="Calibri" w:hAnsi="Calibri" w:eastAsia="宋体" w:cs="Times New Roman"/>
          <w:color w:val="000000"/>
          <w:sz w:val="28"/>
          <w:szCs w:val="28"/>
          <w:highlight w:val="none"/>
        </w:rPr>
      </w:pPr>
    </w:p>
    <w:p w14:paraId="0728AB20">
      <w:pPr>
        <w:pStyle w:val="16"/>
        <w:rPr>
          <w:highlight w:val="none"/>
        </w:rPr>
      </w:pPr>
    </w:p>
    <w:p w14:paraId="47BAC180">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05A93C6D">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6BFFA2CC">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71B28E6">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4EB8090B">
      <w:pPr>
        <w:pStyle w:val="16"/>
        <w:rPr>
          <w:highlight w:val="none"/>
        </w:rPr>
      </w:pPr>
    </w:p>
    <w:p w14:paraId="225A05C8">
      <w:pPr>
        <w:pStyle w:val="16"/>
        <w:rPr>
          <w:rFonts w:hint="eastAsia" w:ascii="黑体" w:hAnsi="宋体" w:eastAsia="黑体" w:cs="Times New Roman"/>
          <w:color w:val="000000"/>
          <w:sz w:val="72"/>
          <w:szCs w:val="72"/>
          <w:highlight w:val="none"/>
        </w:rPr>
      </w:pPr>
    </w:p>
    <w:p w14:paraId="32B9AA70">
      <w:pPr>
        <w:pStyle w:val="16"/>
        <w:rPr>
          <w:rFonts w:hint="eastAsia" w:ascii="黑体" w:hAnsi="宋体" w:eastAsia="黑体" w:cs="Times New Roman"/>
          <w:color w:val="000000"/>
          <w:sz w:val="72"/>
          <w:szCs w:val="72"/>
          <w:highlight w:val="none"/>
        </w:rPr>
      </w:pPr>
    </w:p>
    <w:p w14:paraId="778FFCCB">
      <w:pPr>
        <w:pStyle w:val="16"/>
        <w:rPr>
          <w:rFonts w:hint="eastAsia" w:ascii="黑体" w:hAnsi="宋体" w:eastAsia="黑体" w:cs="Times New Roman"/>
          <w:color w:val="000000"/>
          <w:sz w:val="72"/>
          <w:szCs w:val="72"/>
          <w:highlight w:val="none"/>
        </w:rPr>
      </w:pPr>
    </w:p>
    <w:p w14:paraId="23832CED">
      <w:pPr>
        <w:pStyle w:val="16"/>
        <w:rPr>
          <w:rFonts w:hint="eastAsia" w:ascii="黑体" w:hAnsi="宋体" w:eastAsia="黑体" w:cs="Times New Roman"/>
          <w:color w:val="000000"/>
          <w:sz w:val="72"/>
          <w:szCs w:val="72"/>
          <w:highlight w:val="none"/>
        </w:rPr>
      </w:pPr>
    </w:p>
    <w:p w14:paraId="3363BE09">
      <w:pPr>
        <w:spacing w:line="860" w:lineRule="exact"/>
        <w:rPr>
          <w:rFonts w:hint="eastAsia" w:ascii="华文仿宋" w:hAnsi="华文仿宋" w:eastAsia="华文仿宋"/>
          <w:b/>
          <w:bCs/>
          <w:sz w:val="32"/>
          <w:szCs w:val="28"/>
          <w:highlight w:val="none"/>
        </w:rPr>
      </w:pPr>
    </w:p>
    <w:p w14:paraId="1067D42E">
      <w:pPr>
        <w:pStyle w:val="16"/>
        <w:rPr>
          <w:b/>
          <w:bCs/>
          <w:highlight w:val="none"/>
        </w:rPr>
      </w:pPr>
    </w:p>
    <w:p w14:paraId="2F8ED4E3">
      <w:pPr>
        <w:jc w:val="center"/>
        <w:rPr>
          <w:rFonts w:hint="eastAsia"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w:t>
      </w:r>
    </w:p>
    <w:p w14:paraId="60F16920">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bookmarkStart w:id="185" w:name="_GoBack"/>
      <w:r>
        <w:rPr>
          <w:rFonts w:hint="eastAsia" w:ascii="Calibri" w:hAnsi="Calibri" w:eastAsia="宋体" w:cs="Times New Roman"/>
          <w:color w:val="000000"/>
          <w:sz w:val="28"/>
          <w:szCs w:val="28"/>
          <w:highlight w:val="none"/>
          <w:lang w:val="en-US" w:eastAsia="zh-CN"/>
        </w:rPr>
        <w:t>3</w:t>
      </w:r>
      <w:r>
        <w:rPr>
          <w:rFonts w:hint="eastAsia" w:ascii="Calibri" w:hAnsi="Calibri" w:eastAsia="宋体" w:cs="Times New Roman"/>
          <w:color w:val="000000"/>
          <w:sz w:val="28"/>
          <w:szCs w:val="28"/>
          <w:highlight w:val="none"/>
        </w:rPr>
        <w:t>月</w:t>
      </w:r>
      <w:bookmarkEnd w:id="185"/>
    </w:p>
    <w:bookmarkEnd w:id="0"/>
    <w:bookmarkEnd w:id="1"/>
    <w:p w14:paraId="20FEAB17">
      <w:pPr>
        <w:spacing w:line="360" w:lineRule="auto"/>
        <w:rPr>
          <w:rFonts w:hint="eastAsia" w:ascii="宋体" w:hAnsi="宋体" w:eastAsia="宋体" w:cs="Times New Roman"/>
          <w:b/>
          <w:sz w:val="36"/>
          <w:szCs w:val="36"/>
          <w:highlight w:val="none"/>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numberInDash"/>
          <w:cols w:space="720" w:num="1"/>
          <w:docGrid w:linePitch="290" w:charSpace="-3931"/>
        </w:sectPr>
      </w:pPr>
    </w:p>
    <w:p w14:paraId="37BE2BAA">
      <w:pPr>
        <w:keepNext/>
        <w:keepLines/>
        <w:spacing w:before="120" w:after="120" w:line="360" w:lineRule="auto"/>
        <w:jc w:val="center"/>
        <w:outlineLvl w:val="0"/>
        <w:rPr>
          <w:rFonts w:ascii="黑体" w:hAnsi="等线" w:eastAsia="黑体" w:cs="Times New Roman"/>
          <w:kern w:val="44"/>
          <w:sz w:val="28"/>
          <w:szCs w:val="28"/>
        </w:rPr>
      </w:pPr>
      <w:bookmarkStart w:id="30" w:name="_Toc8924"/>
      <w:bookmarkStart w:id="31" w:name="_Toc23072"/>
      <w:bookmarkStart w:id="32" w:name="_Toc9658377"/>
      <w:bookmarkStart w:id="33" w:name="_Toc169605881"/>
      <w:bookmarkStart w:id="34" w:name="_Toc47976609"/>
      <w:bookmarkStart w:id="35" w:name="_Toc20595"/>
      <w:r>
        <w:rPr>
          <w:rFonts w:hint="eastAsia" w:ascii="黑体" w:hAnsi="等线" w:eastAsia="黑体" w:cs="Times New Roman"/>
          <w:kern w:val="44"/>
          <w:sz w:val="28"/>
          <w:szCs w:val="28"/>
        </w:rPr>
        <w:t>第一章</w:t>
      </w:r>
      <w:r>
        <w:rPr>
          <w:rFonts w:ascii="黑体" w:hAnsi="等线" w:eastAsia="黑体" w:cs="Times New Roman"/>
          <w:kern w:val="44"/>
          <w:sz w:val="28"/>
          <w:szCs w:val="28"/>
        </w:rPr>
        <w:t xml:space="preserve">  </w:t>
      </w:r>
      <w:r>
        <w:rPr>
          <w:rFonts w:hint="eastAsia" w:ascii="黑体" w:hAnsi="等线" w:eastAsia="黑体" w:cs="Times New Roman"/>
          <w:kern w:val="44"/>
          <w:sz w:val="28"/>
          <w:szCs w:val="28"/>
        </w:rPr>
        <w:t>采购货物概况</w:t>
      </w:r>
      <w:bookmarkEnd w:id="30"/>
      <w:bookmarkEnd w:id="31"/>
      <w:bookmarkEnd w:id="32"/>
    </w:p>
    <w:p w14:paraId="14A40A07">
      <w:pPr>
        <w:keepNext/>
        <w:keepLines/>
        <w:spacing w:before="120" w:after="120" w:line="360" w:lineRule="auto"/>
        <w:jc w:val="center"/>
        <w:outlineLvl w:val="1"/>
        <w:rPr>
          <w:rFonts w:ascii="Arial" w:hAnsi="Arial" w:eastAsia="宋体" w:cs="Times New Roman"/>
          <w:sz w:val="24"/>
          <w:szCs w:val="24"/>
        </w:rPr>
      </w:pPr>
      <w:bookmarkStart w:id="36" w:name="_Toc9658378"/>
      <w:r>
        <w:rPr>
          <w:rFonts w:hint="eastAsia" w:ascii="Arial" w:hAnsi="Arial" w:eastAsia="宋体" w:cs="Times New Roman"/>
          <w:sz w:val="24"/>
          <w:szCs w:val="24"/>
        </w:rPr>
        <w:t>第一节</w:t>
      </w:r>
      <w:r>
        <w:rPr>
          <w:rFonts w:ascii="Arial" w:hAnsi="Arial" w:eastAsia="宋体" w:cs="Times New Roman"/>
          <w:sz w:val="24"/>
          <w:szCs w:val="24"/>
        </w:rPr>
        <w:t xml:space="preserve">  </w:t>
      </w:r>
      <w:r>
        <w:rPr>
          <w:rFonts w:hint="eastAsia" w:ascii="Arial" w:hAnsi="Arial" w:eastAsia="宋体" w:cs="Times New Roman"/>
          <w:sz w:val="24"/>
          <w:szCs w:val="24"/>
        </w:rPr>
        <w:t>使用环境</w:t>
      </w:r>
      <w:bookmarkEnd w:id="36"/>
    </w:p>
    <w:p w14:paraId="2D5A476D">
      <w:pPr>
        <w:snapToGrid w:val="0"/>
        <w:spacing w:line="360" w:lineRule="auto"/>
        <w:ind w:left="2100" w:leftChars="200" w:hanging="1680" w:hangingChars="700"/>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一、项目名称：涂装磷化除渣系统改造技改</w:t>
      </w:r>
      <w:r>
        <w:rPr>
          <w:rFonts w:hint="eastAsia" w:ascii="宋体" w:hAnsi="宋体" w:eastAsia="宋体" w:cs="宋体"/>
          <w:sz w:val="24"/>
          <w:szCs w:val="24"/>
          <w:u w:val="single"/>
          <w:shd w:val="pct10" w:color="auto" w:fill="FFFFFF"/>
        </w:rPr>
        <w:t>项目</w:t>
      </w:r>
    </w:p>
    <w:p w14:paraId="410301F0">
      <w:pPr>
        <w:snapToGrid w:val="0"/>
        <w:spacing w:line="360" w:lineRule="auto"/>
        <w:ind w:left="2100" w:leftChars="200" w:hanging="1680" w:hangingChars="700"/>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shd w:val="pct10" w:color="auto" w:fill="FFFFFF"/>
        </w:rPr>
        <w:t>济南轻卡制造公司</w:t>
      </w:r>
      <w:r>
        <w:rPr>
          <w:rFonts w:ascii="宋体" w:hAnsi="宋体" w:eastAsia="宋体" w:cs="宋体"/>
          <w:sz w:val="24"/>
          <w:szCs w:val="24"/>
          <w:u w:val="single"/>
          <w:shd w:val="pct10" w:color="auto" w:fill="FFFFFF"/>
        </w:rPr>
        <w:t xml:space="preserve"> </w:t>
      </w:r>
    </w:p>
    <w:p w14:paraId="743F5839">
      <w:pPr>
        <w:spacing w:line="360" w:lineRule="auto"/>
        <w:ind w:left="2100" w:leftChars="200" w:hanging="1680" w:hangingChars="700"/>
        <w:rPr>
          <w:rFonts w:ascii="宋体" w:hAnsi="宋体" w:eastAsia="宋体" w:cs="宋体"/>
          <w:sz w:val="24"/>
          <w:szCs w:val="24"/>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u w:val="single"/>
          <w:shd w:val="pct10" w:color="auto" w:fill="FFFFFF"/>
        </w:rPr>
        <w:t>济南轻卡制造公司</w:t>
      </w:r>
      <w:r>
        <w:rPr>
          <w:rFonts w:ascii="宋体" w:hAnsi="宋体" w:eastAsia="宋体" w:cs="宋体"/>
          <w:sz w:val="24"/>
          <w:szCs w:val="24"/>
          <w:u w:val="single"/>
          <w:shd w:val="pct10" w:color="auto" w:fill="FFFFFF"/>
        </w:rPr>
        <w:t xml:space="preserve"> </w:t>
      </w:r>
    </w:p>
    <w:p w14:paraId="3FE433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四、工作制度：采用双班工作制，年工作日251天。</w:t>
      </w:r>
    </w:p>
    <w:p w14:paraId="5433E4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五、使用地点区域自然环境：</w:t>
      </w:r>
    </w:p>
    <w:p w14:paraId="756A77D7">
      <w:pPr>
        <w:numPr>
          <w:ilvl w:val="0"/>
          <w:numId w:val="26"/>
        </w:numPr>
        <w:spacing w:line="360" w:lineRule="auto"/>
        <w:rPr>
          <w:rFonts w:ascii="宋体" w:hAnsi="宋体" w:eastAsia="宋体" w:cs="宋体"/>
          <w:sz w:val="24"/>
          <w:szCs w:val="24"/>
        </w:rPr>
      </w:pPr>
      <w:r>
        <w:rPr>
          <w:rFonts w:hint="eastAsia" w:ascii="宋体" w:hAnsi="宋体" w:eastAsia="宋体" w:cs="宋体"/>
          <w:sz w:val="24"/>
          <w:szCs w:val="24"/>
        </w:rPr>
        <w:t>海拔：1000m以下</w:t>
      </w:r>
    </w:p>
    <w:p w14:paraId="6D67DA57">
      <w:pPr>
        <w:numPr>
          <w:ilvl w:val="0"/>
          <w:numId w:val="26"/>
        </w:numPr>
        <w:spacing w:line="360" w:lineRule="auto"/>
        <w:rPr>
          <w:rFonts w:ascii="宋体" w:hAnsi="宋体" w:eastAsia="宋体" w:cs="宋体"/>
          <w:sz w:val="24"/>
          <w:szCs w:val="24"/>
        </w:rPr>
      </w:pPr>
      <w:r>
        <w:rPr>
          <w:rFonts w:hint="eastAsia" w:ascii="宋体" w:hAnsi="宋体" w:eastAsia="宋体" w:cs="宋体"/>
          <w:sz w:val="24"/>
          <w:szCs w:val="24"/>
        </w:rPr>
        <w:t>室外温度：-20℃～40℃</w:t>
      </w:r>
    </w:p>
    <w:p w14:paraId="67449CD1">
      <w:pPr>
        <w:numPr>
          <w:ilvl w:val="0"/>
          <w:numId w:val="26"/>
        </w:numPr>
        <w:spacing w:line="360" w:lineRule="auto"/>
        <w:rPr>
          <w:rFonts w:ascii="宋体" w:hAnsi="宋体" w:eastAsia="宋体" w:cs="宋体"/>
          <w:sz w:val="24"/>
          <w:szCs w:val="24"/>
        </w:rPr>
      </w:pPr>
      <w:r>
        <w:rPr>
          <w:rFonts w:hint="eastAsia" w:ascii="宋体" w:hAnsi="宋体" w:eastAsia="宋体" w:cs="宋体"/>
          <w:sz w:val="24"/>
          <w:szCs w:val="24"/>
        </w:rPr>
        <w:t>室内温度：-5℃～45℃</w:t>
      </w:r>
      <w:r>
        <w:rPr>
          <w:rFonts w:hint="eastAsia" w:ascii="宋体" w:hAnsi="宋体" w:eastAsia="宋体" w:cs="宋体"/>
          <w:sz w:val="24"/>
          <w:szCs w:val="24"/>
        </w:rPr>
        <w:tab/>
      </w:r>
    </w:p>
    <w:p w14:paraId="40FD9809">
      <w:pPr>
        <w:numPr>
          <w:ilvl w:val="0"/>
          <w:numId w:val="26"/>
        </w:numPr>
        <w:spacing w:line="360" w:lineRule="auto"/>
        <w:rPr>
          <w:rFonts w:ascii="宋体" w:hAnsi="宋体" w:eastAsia="宋体" w:cs="宋体"/>
          <w:sz w:val="24"/>
          <w:szCs w:val="24"/>
        </w:rPr>
      </w:pPr>
      <w:r>
        <w:rPr>
          <w:rFonts w:hint="eastAsia" w:ascii="宋体" w:hAnsi="宋体" w:eastAsia="宋体" w:cs="宋体"/>
          <w:sz w:val="24"/>
          <w:szCs w:val="24"/>
        </w:rPr>
        <w:t>环境湿度：在20℃时最大湿度为90%</w:t>
      </w:r>
    </w:p>
    <w:p w14:paraId="64B2B463">
      <w:pPr>
        <w:numPr>
          <w:ilvl w:val="0"/>
          <w:numId w:val="26"/>
        </w:numPr>
        <w:spacing w:line="360" w:lineRule="auto"/>
        <w:rPr>
          <w:rFonts w:ascii="宋体" w:hAnsi="宋体" w:eastAsia="宋体" w:cs="宋体"/>
          <w:sz w:val="24"/>
          <w:szCs w:val="24"/>
        </w:rPr>
      </w:pPr>
      <w:r>
        <w:rPr>
          <w:rFonts w:hint="eastAsia" w:ascii="宋体" w:hAnsi="宋体" w:eastAsia="宋体" w:cs="宋体"/>
          <w:sz w:val="24"/>
          <w:szCs w:val="24"/>
        </w:rPr>
        <w:t>压缩空气压力：0.4～0.6Mpa</w:t>
      </w:r>
    </w:p>
    <w:p w14:paraId="232569C2">
      <w:pPr>
        <w:numPr>
          <w:ilvl w:val="0"/>
          <w:numId w:val="26"/>
        </w:numPr>
        <w:spacing w:line="360" w:lineRule="auto"/>
        <w:rPr>
          <w:rFonts w:ascii="宋体" w:hAnsi="宋体" w:eastAsia="宋体" w:cs="宋体"/>
          <w:sz w:val="24"/>
          <w:szCs w:val="24"/>
        </w:rPr>
      </w:pPr>
      <w:r>
        <w:rPr>
          <w:rFonts w:hint="eastAsia" w:ascii="宋体" w:hAnsi="宋体" w:eastAsia="宋体" w:cs="宋体"/>
          <w:sz w:val="24"/>
          <w:szCs w:val="24"/>
        </w:rPr>
        <w:t>电源电压：380V±15%，50 Hz±2%</w:t>
      </w:r>
    </w:p>
    <w:p w14:paraId="3B5137A5">
      <w:pPr>
        <w:numPr>
          <w:ilvl w:val="0"/>
          <w:numId w:val="26"/>
        </w:numPr>
        <w:spacing w:line="360" w:lineRule="auto"/>
        <w:rPr>
          <w:rFonts w:ascii="宋体" w:hAnsi="宋体" w:eastAsia="宋体" w:cs="宋体"/>
          <w:sz w:val="24"/>
          <w:szCs w:val="24"/>
        </w:rPr>
      </w:pPr>
      <w:r>
        <w:rPr>
          <w:rFonts w:hint="eastAsia" w:ascii="宋体" w:hAnsi="宋体" w:eastAsia="宋体" w:cs="宋体"/>
          <w:sz w:val="24"/>
          <w:szCs w:val="24"/>
        </w:rPr>
        <w:t>本项目的工作制度、产能、节拍及效率如下，投标方提供的设施、设备必须满足此要求。</w:t>
      </w:r>
    </w:p>
    <w:tbl>
      <w:tblPr>
        <w:tblStyle w:val="36"/>
        <w:tblpPr w:leftFromText="180" w:rightFromText="180" w:vertAnchor="text" w:horzAnchor="page" w:tblpX="2043" w:tblpY="429"/>
        <w:tblOverlap w:val="never"/>
        <w:tblW w:w="4719"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78"/>
        <w:gridCol w:w="2678"/>
        <w:gridCol w:w="877"/>
        <w:gridCol w:w="1415"/>
        <w:gridCol w:w="1445"/>
        <w:gridCol w:w="1771"/>
      </w:tblGrid>
      <w:tr w14:paraId="7F6FE1C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5" w:hRule="atLeast"/>
        </w:trPr>
        <w:tc>
          <w:tcPr>
            <w:tcW w:w="330" w:type="pct"/>
            <w:tcBorders>
              <w:tl2br w:val="nil"/>
              <w:tr2bl w:val="nil"/>
            </w:tcBorders>
            <w:vAlign w:val="center"/>
          </w:tcPr>
          <w:p w14:paraId="04F0EC1E">
            <w:pPr>
              <w:spacing w:line="360" w:lineRule="auto"/>
              <w:jc w:val="center"/>
              <w:rPr>
                <w:rFonts w:ascii="宋体" w:hAnsi="宋体" w:eastAsia="宋体" w:cs="宋体"/>
                <w:sz w:val="24"/>
                <w:szCs w:val="24"/>
              </w:rPr>
            </w:pPr>
            <w:r>
              <w:rPr>
                <w:rFonts w:hint="eastAsia" w:ascii="宋体" w:hAnsi="宋体" w:eastAsia="宋体" w:cs="宋体"/>
                <w:sz w:val="24"/>
                <w:szCs w:val="24"/>
              </w:rPr>
              <w:t>No.</w:t>
            </w:r>
          </w:p>
        </w:tc>
        <w:tc>
          <w:tcPr>
            <w:tcW w:w="1527" w:type="pct"/>
            <w:tcBorders>
              <w:tl2br w:val="nil"/>
              <w:tr2bl w:val="nil"/>
            </w:tcBorders>
            <w:vAlign w:val="center"/>
          </w:tcPr>
          <w:p w14:paraId="3129BBC5">
            <w:pPr>
              <w:spacing w:line="360" w:lineRule="auto"/>
              <w:jc w:val="center"/>
              <w:rPr>
                <w:rFonts w:ascii="宋体" w:hAnsi="宋体" w:eastAsia="宋体" w:cs="宋体"/>
                <w:sz w:val="24"/>
                <w:szCs w:val="24"/>
              </w:rPr>
            </w:pPr>
            <w:r>
              <w:rPr>
                <w:rFonts w:hint="eastAsia" w:ascii="宋体" w:hAnsi="宋体" w:eastAsia="宋体" w:cs="宋体"/>
                <w:sz w:val="24"/>
                <w:szCs w:val="24"/>
              </w:rPr>
              <w:t>主体工程</w:t>
            </w:r>
          </w:p>
        </w:tc>
        <w:tc>
          <w:tcPr>
            <w:tcW w:w="500" w:type="pct"/>
            <w:tcBorders>
              <w:tl2br w:val="nil"/>
              <w:tr2bl w:val="nil"/>
            </w:tcBorders>
            <w:vAlign w:val="center"/>
          </w:tcPr>
          <w:p w14:paraId="143F9928">
            <w:pPr>
              <w:spacing w:line="360" w:lineRule="auto"/>
              <w:jc w:val="center"/>
              <w:rPr>
                <w:rFonts w:ascii="宋体" w:hAnsi="宋体" w:eastAsia="宋体" w:cs="宋体"/>
                <w:sz w:val="24"/>
                <w:szCs w:val="24"/>
              </w:rPr>
            </w:pPr>
            <w:r>
              <w:rPr>
                <w:rFonts w:hint="eastAsia" w:ascii="宋体" w:hAnsi="宋体" w:eastAsia="宋体" w:cs="宋体"/>
                <w:sz w:val="24"/>
                <w:szCs w:val="24"/>
              </w:rPr>
              <w:t>班次</w:t>
            </w:r>
          </w:p>
        </w:tc>
        <w:tc>
          <w:tcPr>
            <w:tcW w:w="807" w:type="pct"/>
            <w:tcBorders>
              <w:tl2br w:val="nil"/>
              <w:tr2bl w:val="nil"/>
            </w:tcBorders>
            <w:vAlign w:val="center"/>
          </w:tcPr>
          <w:p w14:paraId="7068DC7F">
            <w:pPr>
              <w:spacing w:line="360" w:lineRule="auto"/>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工艺节拍</w:t>
            </w:r>
          </w:p>
        </w:tc>
        <w:tc>
          <w:tcPr>
            <w:tcW w:w="824" w:type="pct"/>
            <w:tcBorders>
              <w:tl2br w:val="nil"/>
              <w:tr2bl w:val="nil"/>
            </w:tcBorders>
            <w:vAlign w:val="center"/>
          </w:tcPr>
          <w:p w14:paraId="5A01766D">
            <w:pPr>
              <w:spacing w:line="360" w:lineRule="auto"/>
              <w:jc w:val="center"/>
              <w:rPr>
                <w:rFonts w:ascii="宋体" w:hAnsi="宋体" w:eastAsia="宋体" w:cs="宋体"/>
                <w:sz w:val="24"/>
                <w:szCs w:val="24"/>
              </w:rPr>
            </w:pPr>
            <w:r>
              <w:rPr>
                <w:rFonts w:hint="eastAsia" w:ascii="宋体" w:hAnsi="宋体" w:eastAsia="宋体" w:cs="宋体"/>
                <w:sz w:val="24"/>
                <w:szCs w:val="24"/>
              </w:rPr>
              <w:t>设备开动率</w:t>
            </w:r>
          </w:p>
        </w:tc>
        <w:tc>
          <w:tcPr>
            <w:tcW w:w="1010" w:type="pct"/>
            <w:tcBorders>
              <w:tl2br w:val="nil"/>
              <w:tr2bl w:val="nil"/>
            </w:tcBorders>
            <w:vAlign w:val="center"/>
          </w:tcPr>
          <w:p w14:paraId="7A7F15BE">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007B47C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330" w:type="pct"/>
            <w:tcBorders>
              <w:tl2br w:val="nil"/>
              <w:tr2bl w:val="nil"/>
            </w:tcBorders>
            <w:vAlign w:val="center"/>
          </w:tcPr>
          <w:p w14:paraId="059076AB">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1527" w:type="pct"/>
            <w:tcBorders>
              <w:tl2br w:val="nil"/>
              <w:tr2bl w:val="nil"/>
            </w:tcBorders>
            <w:vAlign w:val="center"/>
          </w:tcPr>
          <w:p w14:paraId="0646F38E">
            <w:pPr>
              <w:spacing w:line="360" w:lineRule="auto"/>
              <w:jc w:val="center"/>
              <w:rPr>
                <w:rFonts w:ascii="宋体" w:hAnsi="宋体" w:eastAsia="宋体" w:cs="宋体"/>
                <w:sz w:val="24"/>
                <w:szCs w:val="24"/>
              </w:rPr>
            </w:pPr>
            <w:r>
              <w:rPr>
                <w:rFonts w:hint="eastAsia" w:ascii="宋体" w:hAnsi="宋体" w:eastAsia="宋体" w:cs="宋体"/>
                <w:sz w:val="24"/>
                <w:szCs w:val="24"/>
              </w:rPr>
              <w:t>涂装磷化除渣系统改造</w:t>
            </w:r>
          </w:p>
        </w:tc>
        <w:tc>
          <w:tcPr>
            <w:tcW w:w="500" w:type="pct"/>
            <w:tcBorders>
              <w:tl2br w:val="nil"/>
              <w:tr2bl w:val="nil"/>
            </w:tcBorders>
            <w:vAlign w:val="center"/>
          </w:tcPr>
          <w:p w14:paraId="76E42CE9">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807" w:type="pct"/>
            <w:tcBorders>
              <w:tl2br w:val="nil"/>
              <w:tr2bl w:val="nil"/>
            </w:tcBorders>
            <w:vAlign w:val="center"/>
          </w:tcPr>
          <w:p w14:paraId="50F8E88A">
            <w:pPr>
              <w:spacing w:line="360" w:lineRule="auto"/>
              <w:jc w:val="center"/>
              <w:rPr>
                <w:rFonts w:ascii="宋体" w:hAnsi="宋体" w:eastAsia="宋体" w:cs="宋体"/>
                <w:color w:val="000000" w:themeColor="text1"/>
                <w:sz w:val="24"/>
                <w:szCs w:val="24"/>
              </w:rPr>
            </w:pPr>
            <w:r>
              <w:rPr>
                <w:rFonts w:ascii="宋体" w:hAnsi="宋体" w:eastAsia="宋体" w:cs="宋体"/>
                <w:color w:val="000000" w:themeColor="text1"/>
                <w:sz w:val="24"/>
                <w:szCs w:val="24"/>
              </w:rPr>
              <w:t>2.</w:t>
            </w:r>
            <w:r>
              <w:rPr>
                <w:rFonts w:hint="eastAsia" w:ascii="宋体" w:hAnsi="宋体" w:eastAsia="宋体" w:cs="宋体"/>
                <w:color w:val="000000" w:themeColor="text1"/>
                <w:sz w:val="24"/>
                <w:szCs w:val="24"/>
              </w:rPr>
              <w:t>3min</w:t>
            </w:r>
          </w:p>
        </w:tc>
        <w:tc>
          <w:tcPr>
            <w:tcW w:w="824" w:type="pct"/>
            <w:tcBorders>
              <w:tl2br w:val="nil"/>
              <w:tr2bl w:val="nil"/>
            </w:tcBorders>
            <w:vAlign w:val="center"/>
          </w:tcPr>
          <w:p w14:paraId="01924EC0">
            <w:pPr>
              <w:spacing w:line="360" w:lineRule="auto"/>
              <w:jc w:val="center"/>
              <w:rPr>
                <w:rFonts w:ascii="宋体" w:hAnsi="宋体" w:eastAsia="宋体" w:cs="宋体"/>
                <w:sz w:val="24"/>
                <w:szCs w:val="24"/>
              </w:rPr>
            </w:pPr>
            <w:r>
              <w:rPr>
                <w:rFonts w:ascii="宋体" w:hAnsi="宋体" w:eastAsia="宋体" w:cs="宋体"/>
                <w:sz w:val="24"/>
                <w:szCs w:val="24"/>
              </w:rPr>
              <w:t>100</w:t>
            </w:r>
            <w:r>
              <w:rPr>
                <w:rFonts w:hint="eastAsia" w:ascii="宋体" w:hAnsi="宋体" w:eastAsia="宋体" w:cs="宋体"/>
                <w:sz w:val="24"/>
                <w:szCs w:val="24"/>
              </w:rPr>
              <w:t>%</w:t>
            </w:r>
          </w:p>
        </w:tc>
        <w:tc>
          <w:tcPr>
            <w:tcW w:w="1010" w:type="pct"/>
            <w:tcBorders>
              <w:tl2br w:val="nil"/>
              <w:tr2bl w:val="nil"/>
            </w:tcBorders>
            <w:vAlign w:val="center"/>
          </w:tcPr>
          <w:p w14:paraId="4874FCCC">
            <w:pPr>
              <w:spacing w:line="360" w:lineRule="auto"/>
              <w:jc w:val="center"/>
              <w:rPr>
                <w:rFonts w:ascii="宋体" w:hAnsi="宋体" w:eastAsia="宋体" w:cs="宋体"/>
                <w:sz w:val="24"/>
                <w:szCs w:val="24"/>
              </w:rPr>
            </w:pPr>
            <w:r>
              <w:rPr>
                <w:rFonts w:hint="eastAsia" w:ascii="宋体" w:hAnsi="宋体" w:eastAsia="宋体" w:cs="宋体"/>
                <w:sz w:val="24"/>
                <w:szCs w:val="24"/>
              </w:rPr>
              <w:t>包括磷化槽循环管路更换</w:t>
            </w:r>
          </w:p>
        </w:tc>
      </w:tr>
    </w:tbl>
    <w:p w14:paraId="69B8E0B8">
      <w:pPr>
        <w:pStyle w:val="131"/>
        <w:widowControl/>
        <w:numPr>
          <w:ilvl w:val="0"/>
          <w:numId w:val="27"/>
        </w:numPr>
        <w:spacing w:line="360" w:lineRule="auto"/>
        <w:ind w:firstLineChars="0"/>
        <w:contextualSpacing/>
        <w:jc w:val="left"/>
        <w:rPr>
          <w:rFonts w:ascii="宋体" w:hAnsi="宋体" w:eastAsia="宋体" w:cs="宋体"/>
          <w:sz w:val="24"/>
          <w:szCs w:val="24"/>
        </w:rPr>
      </w:pPr>
      <w:r>
        <w:rPr>
          <w:rFonts w:hint="eastAsia" w:ascii="宋体" w:hAnsi="宋体" w:eastAsia="宋体" w:cs="宋体"/>
          <w:sz w:val="24"/>
          <w:szCs w:val="24"/>
        </w:rPr>
        <w:t>设备开动率指设备计划生产时间内：设备实际开动时间/（设备实际开动时间+设备停机时间）。</w:t>
      </w:r>
    </w:p>
    <w:p w14:paraId="585BBDA8">
      <w:pPr>
        <w:rPr>
          <w:rFonts w:ascii="Arial" w:hAnsi="Arial" w:eastAsia="宋体" w:cs="Times New Roman"/>
          <w:sz w:val="24"/>
          <w:szCs w:val="24"/>
        </w:rPr>
      </w:pPr>
      <w:bookmarkStart w:id="37" w:name="_Toc9658379"/>
      <w:r>
        <w:rPr>
          <w:rFonts w:hint="eastAsia" w:ascii="Arial" w:hAnsi="Arial" w:eastAsia="宋体" w:cs="Times New Roman"/>
          <w:sz w:val="24"/>
          <w:szCs w:val="24"/>
        </w:rPr>
        <w:br w:type="page"/>
      </w:r>
    </w:p>
    <w:p w14:paraId="1234DB86">
      <w:pPr>
        <w:keepNext/>
        <w:keepLines/>
        <w:spacing w:before="120" w:after="120" w:line="360" w:lineRule="auto"/>
        <w:jc w:val="center"/>
        <w:outlineLvl w:val="1"/>
        <w:rPr>
          <w:rFonts w:ascii="Arial" w:hAnsi="Arial" w:eastAsia="宋体" w:cs="Times New Roman"/>
          <w:sz w:val="24"/>
          <w:szCs w:val="24"/>
        </w:rPr>
      </w:pPr>
      <w:r>
        <w:rPr>
          <w:rFonts w:hint="eastAsia" w:ascii="Arial" w:hAnsi="Arial" w:eastAsia="宋体" w:cs="Times New Roman"/>
          <w:sz w:val="24"/>
          <w:szCs w:val="24"/>
        </w:rPr>
        <w:t>第二节  采购货物概况</w:t>
      </w:r>
      <w:bookmarkEnd w:id="37"/>
    </w:p>
    <w:p w14:paraId="602A51B0">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rPr>
        <w:t>涂装磷化除渣系统改造技改</w:t>
      </w:r>
      <w:r>
        <w:rPr>
          <w:rFonts w:hint="eastAsia" w:ascii="宋体" w:hAnsi="宋体" w:eastAsia="宋体" w:cs="宋体"/>
          <w:sz w:val="24"/>
          <w:szCs w:val="24"/>
          <w:u w:val="single"/>
          <w:shd w:val="pct10" w:color="auto" w:fill="FFFFFF"/>
        </w:rPr>
        <w:t>项目</w:t>
      </w:r>
    </w:p>
    <w:p w14:paraId="6EC8BA2D">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二、货物数量：</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rPr>
        <w:t>一宗</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rPr>
        <w:t>（详见下表）</w:t>
      </w:r>
    </w:p>
    <w:p w14:paraId="15169985">
      <w:pPr>
        <w:spacing w:line="360" w:lineRule="auto"/>
        <w:ind w:firstLine="482" w:firstLineChars="200"/>
        <w:rPr>
          <w:rFonts w:ascii="宋体" w:hAnsi="宋体" w:eastAsia="宋体" w:cs="宋体"/>
          <w:sz w:val="24"/>
          <w:szCs w:val="24"/>
          <w:u w:val="single"/>
          <w:shd w:val="pct10" w:color="auto" w:fill="FFFFFF"/>
        </w:rPr>
      </w:pPr>
      <w:r>
        <w:rPr>
          <w:rFonts w:hint="eastAsia" w:ascii="宋体" w:hAnsi="宋体" w:eastAsia="宋体" w:cs="宋体"/>
          <w:b/>
          <w:sz w:val="24"/>
          <w:szCs w:val="24"/>
        </w:rPr>
        <w:t>三、分投分中：</w:t>
      </w:r>
      <w:r>
        <w:rPr>
          <w:rFonts w:hint="eastAsia" w:ascii="宋体" w:hAnsi="宋体" w:eastAsia="宋体" w:cs="宋体"/>
          <w:sz w:val="24"/>
          <w:szCs w:val="24"/>
          <w:u w:val="single"/>
          <w:shd w:val="pct10" w:color="auto" w:fill="FFFFFF"/>
        </w:rPr>
        <w:t>不允许</w:t>
      </w:r>
    </w:p>
    <w:p w14:paraId="66A0BD90">
      <w:pPr>
        <w:spacing w:line="360" w:lineRule="auto"/>
        <w:jc w:val="center"/>
        <w:rPr>
          <w:rFonts w:ascii="宋体" w:hAnsi="宋体" w:eastAsia="宋体" w:cs="宋体"/>
          <w:sz w:val="24"/>
          <w:szCs w:val="24"/>
        </w:rPr>
      </w:pPr>
      <w:r>
        <w:rPr>
          <w:rFonts w:hint="eastAsia" w:ascii="宋体" w:hAnsi="宋体" w:eastAsia="宋体" w:cs="宋体"/>
          <w:sz w:val="24"/>
          <w:szCs w:val="24"/>
        </w:rPr>
        <w:t>采购货物主要构成一览表</w:t>
      </w:r>
    </w:p>
    <w:p w14:paraId="0043D8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新增1台全流量磷化除渣机，包括但不限于磷化除渣设备采购，配套管路、接头、泵、设备平台、抽渣、现场安装调试等内容。</w:t>
      </w:r>
    </w:p>
    <w:p w14:paraId="695D714E">
      <w:pPr>
        <w:spacing w:line="360" w:lineRule="auto"/>
        <w:ind w:left="480"/>
        <w:rPr>
          <w:rFonts w:ascii="宋体" w:hAnsi="宋体" w:eastAsia="宋体" w:cs="宋体"/>
          <w:sz w:val="24"/>
          <w:szCs w:val="24"/>
        </w:rPr>
      </w:pPr>
      <w:r>
        <w:rPr>
          <w:rFonts w:hint="eastAsia" w:ascii="宋体" w:hAnsi="宋体" w:eastAsia="宋体" w:cs="宋体"/>
          <w:sz w:val="24"/>
          <w:szCs w:val="24"/>
        </w:rPr>
        <w:t>主要供货明细详见下表：</w:t>
      </w:r>
    </w:p>
    <w:tbl>
      <w:tblPr>
        <w:tblStyle w:val="36"/>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94"/>
        <w:gridCol w:w="838"/>
        <w:gridCol w:w="1562"/>
        <w:gridCol w:w="1545"/>
      </w:tblGrid>
      <w:tr w14:paraId="5B09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60A91D44">
            <w:pPr>
              <w:jc w:val="center"/>
              <w:rPr>
                <w:rFonts w:ascii="宋体" w:hAnsi="宋体" w:eastAsia="宋体" w:cs="宋体"/>
                <w:sz w:val="24"/>
                <w:szCs w:val="24"/>
              </w:rPr>
            </w:pPr>
            <w:r>
              <w:rPr>
                <w:rFonts w:hint="eastAsia" w:ascii="宋体" w:hAnsi="宋体" w:eastAsia="宋体" w:cs="宋体"/>
                <w:sz w:val="24"/>
                <w:szCs w:val="24"/>
              </w:rPr>
              <w:t>序号</w:t>
            </w:r>
          </w:p>
        </w:tc>
        <w:tc>
          <w:tcPr>
            <w:tcW w:w="4794" w:type="dxa"/>
            <w:vAlign w:val="center"/>
          </w:tcPr>
          <w:p w14:paraId="07125875">
            <w:pPr>
              <w:jc w:val="center"/>
              <w:rPr>
                <w:rFonts w:ascii="宋体" w:hAnsi="宋体" w:eastAsia="宋体" w:cs="宋体"/>
                <w:sz w:val="24"/>
                <w:szCs w:val="24"/>
              </w:rPr>
            </w:pPr>
            <w:r>
              <w:rPr>
                <w:rFonts w:hint="eastAsia" w:ascii="宋体" w:hAnsi="宋体" w:eastAsia="宋体" w:cs="宋体"/>
                <w:sz w:val="24"/>
                <w:szCs w:val="24"/>
              </w:rPr>
              <w:t>名称</w:t>
            </w:r>
          </w:p>
        </w:tc>
        <w:tc>
          <w:tcPr>
            <w:tcW w:w="838" w:type="dxa"/>
            <w:vAlign w:val="center"/>
          </w:tcPr>
          <w:p w14:paraId="585208B3">
            <w:pPr>
              <w:jc w:val="center"/>
              <w:rPr>
                <w:rFonts w:ascii="宋体" w:hAnsi="宋体" w:eastAsia="宋体" w:cs="宋体"/>
                <w:sz w:val="24"/>
                <w:szCs w:val="24"/>
              </w:rPr>
            </w:pPr>
            <w:r>
              <w:rPr>
                <w:rFonts w:hint="eastAsia" w:ascii="宋体" w:hAnsi="宋体" w:eastAsia="宋体" w:cs="宋体"/>
                <w:sz w:val="24"/>
                <w:szCs w:val="24"/>
              </w:rPr>
              <w:t>数量</w:t>
            </w:r>
          </w:p>
        </w:tc>
        <w:tc>
          <w:tcPr>
            <w:tcW w:w="1562" w:type="dxa"/>
            <w:vAlign w:val="center"/>
          </w:tcPr>
          <w:p w14:paraId="7E511EF0">
            <w:pPr>
              <w:jc w:val="center"/>
              <w:rPr>
                <w:rFonts w:ascii="宋体" w:hAnsi="宋体" w:eastAsia="宋体" w:cs="宋体"/>
                <w:sz w:val="24"/>
                <w:szCs w:val="24"/>
              </w:rPr>
            </w:pPr>
            <w:r>
              <w:rPr>
                <w:rFonts w:hint="eastAsia" w:ascii="宋体" w:hAnsi="宋体" w:eastAsia="宋体" w:cs="宋体"/>
                <w:sz w:val="24"/>
                <w:szCs w:val="24"/>
              </w:rPr>
              <w:t>供货方式</w:t>
            </w:r>
          </w:p>
        </w:tc>
        <w:tc>
          <w:tcPr>
            <w:tcW w:w="1545" w:type="dxa"/>
            <w:vAlign w:val="center"/>
          </w:tcPr>
          <w:p w14:paraId="75848E81">
            <w:pPr>
              <w:jc w:val="center"/>
              <w:rPr>
                <w:rFonts w:ascii="宋体" w:hAnsi="宋体" w:eastAsia="宋体" w:cs="宋体"/>
                <w:sz w:val="24"/>
                <w:szCs w:val="24"/>
              </w:rPr>
            </w:pPr>
            <w:r>
              <w:rPr>
                <w:rFonts w:hint="eastAsia" w:ascii="宋体" w:hAnsi="宋体" w:eastAsia="宋体" w:cs="宋体"/>
                <w:sz w:val="24"/>
                <w:szCs w:val="24"/>
              </w:rPr>
              <w:t>备注</w:t>
            </w:r>
          </w:p>
        </w:tc>
      </w:tr>
      <w:tr w14:paraId="5DEF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0512B06B">
            <w:pPr>
              <w:jc w:val="center"/>
              <w:rPr>
                <w:rFonts w:ascii="宋体" w:hAnsi="宋体" w:eastAsia="宋体" w:cs="宋体"/>
                <w:sz w:val="24"/>
                <w:szCs w:val="24"/>
              </w:rPr>
            </w:pPr>
            <w:r>
              <w:rPr>
                <w:rFonts w:hint="eastAsia" w:ascii="宋体" w:hAnsi="宋体" w:eastAsia="宋体" w:cs="宋体"/>
                <w:sz w:val="24"/>
                <w:szCs w:val="24"/>
              </w:rPr>
              <w:t>1</w:t>
            </w:r>
          </w:p>
        </w:tc>
        <w:tc>
          <w:tcPr>
            <w:tcW w:w="4794" w:type="dxa"/>
            <w:vAlign w:val="center"/>
          </w:tcPr>
          <w:p w14:paraId="29B79AC8">
            <w:pPr>
              <w:jc w:val="center"/>
              <w:rPr>
                <w:rFonts w:ascii="宋体" w:hAnsi="宋体" w:eastAsia="宋体" w:cs="宋体"/>
                <w:sz w:val="24"/>
                <w:szCs w:val="24"/>
              </w:rPr>
            </w:pPr>
            <w:r>
              <w:rPr>
                <w:rFonts w:ascii="宋体" w:hAnsi="宋体" w:eastAsia="宋体" w:cs="宋体"/>
                <w:sz w:val="24"/>
                <w:szCs w:val="24"/>
              </w:rPr>
              <w:t>全流量自动磷化除渣机</w:t>
            </w:r>
          </w:p>
        </w:tc>
        <w:tc>
          <w:tcPr>
            <w:tcW w:w="838" w:type="dxa"/>
            <w:vAlign w:val="center"/>
          </w:tcPr>
          <w:p w14:paraId="7CE50004">
            <w:pPr>
              <w:jc w:val="center"/>
              <w:rPr>
                <w:rFonts w:ascii="宋体" w:hAnsi="宋体" w:eastAsia="宋体" w:cs="宋体"/>
                <w:sz w:val="24"/>
                <w:szCs w:val="24"/>
              </w:rPr>
            </w:pPr>
            <w:r>
              <w:rPr>
                <w:rFonts w:hint="eastAsia" w:ascii="宋体" w:hAnsi="宋体" w:eastAsia="宋体" w:cs="宋体"/>
                <w:sz w:val="24"/>
                <w:szCs w:val="24"/>
              </w:rPr>
              <w:t>1套</w:t>
            </w:r>
          </w:p>
        </w:tc>
        <w:tc>
          <w:tcPr>
            <w:tcW w:w="1562" w:type="dxa"/>
            <w:vAlign w:val="center"/>
          </w:tcPr>
          <w:p w14:paraId="7FA14EE8">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3C4866AC">
            <w:pPr>
              <w:jc w:val="center"/>
              <w:rPr>
                <w:rFonts w:ascii="宋体" w:hAnsi="宋体" w:eastAsia="宋体" w:cs="宋体"/>
                <w:sz w:val="24"/>
                <w:szCs w:val="24"/>
              </w:rPr>
            </w:pPr>
          </w:p>
        </w:tc>
      </w:tr>
      <w:tr w14:paraId="581B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7A3EF6A5">
            <w:pPr>
              <w:jc w:val="center"/>
              <w:rPr>
                <w:rFonts w:ascii="宋体" w:hAnsi="宋体" w:eastAsia="宋体" w:cs="宋体"/>
                <w:sz w:val="24"/>
                <w:szCs w:val="24"/>
              </w:rPr>
            </w:pPr>
            <w:r>
              <w:rPr>
                <w:rFonts w:hint="eastAsia" w:ascii="宋体" w:hAnsi="宋体" w:eastAsia="宋体" w:cs="宋体"/>
                <w:sz w:val="24"/>
                <w:szCs w:val="24"/>
              </w:rPr>
              <w:t>2</w:t>
            </w:r>
          </w:p>
        </w:tc>
        <w:tc>
          <w:tcPr>
            <w:tcW w:w="4794" w:type="dxa"/>
            <w:vAlign w:val="center"/>
          </w:tcPr>
          <w:p w14:paraId="70C996D9">
            <w:pPr>
              <w:jc w:val="center"/>
              <w:rPr>
                <w:rFonts w:ascii="宋体" w:hAnsi="宋体" w:eastAsia="宋体" w:cs="宋体"/>
                <w:sz w:val="24"/>
                <w:szCs w:val="24"/>
              </w:rPr>
            </w:pPr>
            <w:r>
              <w:rPr>
                <w:rFonts w:hint="eastAsia" w:ascii="宋体" w:hAnsi="宋体" w:eastAsia="宋体" w:cs="宋体"/>
                <w:sz w:val="24"/>
                <w:szCs w:val="24"/>
              </w:rPr>
              <w:t>循环泵含电机</w:t>
            </w:r>
          </w:p>
        </w:tc>
        <w:tc>
          <w:tcPr>
            <w:tcW w:w="838" w:type="dxa"/>
            <w:vAlign w:val="center"/>
          </w:tcPr>
          <w:p w14:paraId="79F1807D">
            <w:pPr>
              <w:jc w:val="center"/>
              <w:rPr>
                <w:rFonts w:ascii="宋体" w:hAnsi="宋体" w:eastAsia="宋体" w:cs="宋体"/>
                <w:sz w:val="24"/>
                <w:szCs w:val="24"/>
              </w:rPr>
            </w:pPr>
            <w:r>
              <w:rPr>
                <w:rFonts w:hint="eastAsia" w:ascii="宋体" w:hAnsi="宋体" w:eastAsia="宋体" w:cs="宋体"/>
                <w:sz w:val="24"/>
                <w:szCs w:val="24"/>
              </w:rPr>
              <w:t>1套</w:t>
            </w:r>
          </w:p>
        </w:tc>
        <w:tc>
          <w:tcPr>
            <w:tcW w:w="1562" w:type="dxa"/>
            <w:vAlign w:val="center"/>
          </w:tcPr>
          <w:p w14:paraId="77BA39E7">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38E19AAF">
            <w:pPr>
              <w:jc w:val="center"/>
              <w:rPr>
                <w:rFonts w:ascii="宋体" w:hAnsi="宋体" w:eastAsia="宋体" w:cs="宋体"/>
                <w:sz w:val="24"/>
                <w:szCs w:val="24"/>
              </w:rPr>
            </w:pPr>
          </w:p>
        </w:tc>
      </w:tr>
      <w:tr w14:paraId="66BF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1166C407">
            <w:pPr>
              <w:jc w:val="center"/>
              <w:rPr>
                <w:rFonts w:ascii="宋体" w:hAnsi="宋体" w:eastAsia="宋体" w:cs="宋体"/>
                <w:sz w:val="24"/>
                <w:szCs w:val="24"/>
              </w:rPr>
            </w:pPr>
            <w:r>
              <w:rPr>
                <w:rFonts w:hint="eastAsia" w:ascii="宋体" w:hAnsi="宋体" w:eastAsia="宋体" w:cs="宋体"/>
                <w:sz w:val="24"/>
                <w:szCs w:val="24"/>
              </w:rPr>
              <w:t>3</w:t>
            </w:r>
          </w:p>
        </w:tc>
        <w:tc>
          <w:tcPr>
            <w:tcW w:w="4794" w:type="dxa"/>
            <w:vAlign w:val="center"/>
          </w:tcPr>
          <w:p w14:paraId="3F778848">
            <w:pPr>
              <w:jc w:val="center"/>
              <w:rPr>
                <w:rFonts w:ascii="宋体" w:hAnsi="宋体" w:eastAsia="宋体" w:cs="宋体"/>
                <w:sz w:val="24"/>
                <w:szCs w:val="24"/>
              </w:rPr>
            </w:pPr>
            <w:r>
              <w:rPr>
                <w:rFonts w:hint="eastAsia" w:ascii="宋体" w:hAnsi="宋体" w:eastAsia="宋体" w:cs="宋体"/>
                <w:sz w:val="24"/>
                <w:szCs w:val="24"/>
              </w:rPr>
              <w:t>除渣机匹配磷化槽循环管路</w:t>
            </w:r>
          </w:p>
        </w:tc>
        <w:tc>
          <w:tcPr>
            <w:tcW w:w="838" w:type="dxa"/>
            <w:vAlign w:val="center"/>
          </w:tcPr>
          <w:p w14:paraId="10343800">
            <w:pPr>
              <w:jc w:val="center"/>
              <w:rPr>
                <w:rFonts w:ascii="宋体" w:hAnsi="宋体" w:eastAsia="宋体" w:cs="宋体"/>
                <w:sz w:val="24"/>
                <w:szCs w:val="24"/>
              </w:rPr>
            </w:pPr>
            <w:r>
              <w:rPr>
                <w:rFonts w:hint="eastAsia" w:ascii="宋体" w:hAnsi="宋体" w:eastAsia="宋体" w:cs="宋体"/>
                <w:sz w:val="24"/>
                <w:szCs w:val="24"/>
              </w:rPr>
              <w:t>1宗</w:t>
            </w:r>
          </w:p>
        </w:tc>
        <w:tc>
          <w:tcPr>
            <w:tcW w:w="1562" w:type="dxa"/>
            <w:vAlign w:val="center"/>
          </w:tcPr>
          <w:p w14:paraId="07A3392C">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63E60B4A">
            <w:pPr>
              <w:jc w:val="center"/>
              <w:rPr>
                <w:rFonts w:ascii="宋体" w:hAnsi="宋体" w:eastAsia="宋体" w:cs="宋体"/>
                <w:sz w:val="24"/>
                <w:szCs w:val="24"/>
              </w:rPr>
            </w:pPr>
          </w:p>
        </w:tc>
      </w:tr>
      <w:tr w14:paraId="0C60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10D601BF">
            <w:pPr>
              <w:jc w:val="center"/>
              <w:rPr>
                <w:rFonts w:ascii="宋体" w:hAnsi="宋体" w:eastAsia="宋体" w:cs="宋体"/>
                <w:sz w:val="24"/>
                <w:szCs w:val="24"/>
              </w:rPr>
            </w:pPr>
            <w:r>
              <w:rPr>
                <w:rFonts w:hint="eastAsia" w:ascii="宋体" w:hAnsi="宋体" w:eastAsia="宋体" w:cs="宋体"/>
                <w:sz w:val="24"/>
                <w:szCs w:val="24"/>
              </w:rPr>
              <w:t>4</w:t>
            </w:r>
          </w:p>
        </w:tc>
        <w:tc>
          <w:tcPr>
            <w:tcW w:w="4794" w:type="dxa"/>
            <w:vAlign w:val="center"/>
          </w:tcPr>
          <w:p w14:paraId="4BBDCC8D">
            <w:pPr>
              <w:jc w:val="center"/>
              <w:rPr>
                <w:rFonts w:ascii="宋体" w:hAnsi="宋体" w:eastAsia="宋体" w:cs="宋体"/>
                <w:sz w:val="24"/>
                <w:szCs w:val="24"/>
              </w:rPr>
            </w:pPr>
            <w:r>
              <w:rPr>
                <w:rFonts w:hint="eastAsia" w:ascii="宋体" w:hAnsi="宋体" w:eastAsia="宋体" w:cs="宋体"/>
                <w:sz w:val="24"/>
                <w:szCs w:val="24"/>
              </w:rPr>
              <w:t>电缆、管件、辅料、人工安装</w:t>
            </w:r>
          </w:p>
        </w:tc>
        <w:tc>
          <w:tcPr>
            <w:tcW w:w="838" w:type="dxa"/>
            <w:vAlign w:val="center"/>
          </w:tcPr>
          <w:p w14:paraId="677E6FA0">
            <w:pPr>
              <w:jc w:val="center"/>
              <w:rPr>
                <w:rFonts w:ascii="宋体" w:hAnsi="宋体" w:eastAsia="宋体" w:cs="宋体"/>
                <w:sz w:val="24"/>
                <w:szCs w:val="24"/>
              </w:rPr>
            </w:pPr>
            <w:r>
              <w:rPr>
                <w:rFonts w:hint="eastAsia" w:ascii="宋体" w:hAnsi="宋体" w:eastAsia="宋体" w:cs="宋体"/>
                <w:sz w:val="24"/>
                <w:szCs w:val="24"/>
              </w:rPr>
              <w:t>1宗</w:t>
            </w:r>
          </w:p>
        </w:tc>
        <w:tc>
          <w:tcPr>
            <w:tcW w:w="1562" w:type="dxa"/>
            <w:vAlign w:val="center"/>
          </w:tcPr>
          <w:p w14:paraId="354EBB88">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2F2EDC8E">
            <w:pPr>
              <w:jc w:val="center"/>
              <w:rPr>
                <w:rFonts w:ascii="宋体" w:hAnsi="宋体" w:eastAsia="宋体" w:cs="宋体"/>
                <w:sz w:val="24"/>
                <w:szCs w:val="24"/>
              </w:rPr>
            </w:pPr>
          </w:p>
        </w:tc>
      </w:tr>
    </w:tbl>
    <w:p w14:paraId="6C4B77AF">
      <w:pPr>
        <w:pStyle w:val="16"/>
      </w:pPr>
    </w:p>
    <w:p w14:paraId="628254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本表所列采购货物仅为货物的主要构成部分，应配套供货以及招标方所列其他货物（或设备）和服务，请投标方认真阅读“供货范围”。若有异议，不管是多么微小，都应在投标文件“商务偏离”章节中予以详细说明。</w:t>
      </w:r>
    </w:p>
    <w:p w14:paraId="5359446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本表“供货方式”：交钥匙方式——卖方负责设备的设计、制造、运输、卸载、安装、调试、试运行、验收以及培训等直至达到买方的各项要求并交付使用。</w:t>
      </w:r>
    </w:p>
    <w:p w14:paraId="4602888A">
      <w:pPr>
        <w:pStyle w:val="16"/>
        <w:ind w:firstLine="480" w:firstLineChars="200"/>
        <w:rPr>
          <w:rFonts w:hAnsi="宋体" w:eastAsia="宋体" w:cs="宋体"/>
          <w:color w:val="FF0000"/>
          <w:sz w:val="24"/>
          <w:szCs w:val="24"/>
        </w:rPr>
      </w:pPr>
      <w:r>
        <w:rPr>
          <w:rFonts w:hint="eastAsia" w:hAnsi="宋体" w:eastAsia="宋体" w:cs="宋体"/>
          <w:color w:val="FF0000"/>
          <w:sz w:val="24"/>
          <w:szCs w:val="24"/>
        </w:rPr>
        <w:t>交货期：</w:t>
      </w:r>
    </w:p>
    <w:p w14:paraId="13EB7558">
      <w:pPr>
        <w:pStyle w:val="16"/>
        <w:spacing w:line="360" w:lineRule="auto"/>
        <w:ind w:firstLine="480" w:firstLineChars="200"/>
        <w:rPr>
          <w:rFonts w:hAnsi="宋体" w:eastAsia="宋体" w:cs="宋体"/>
          <w:color w:val="FF0000"/>
          <w:sz w:val="24"/>
          <w:szCs w:val="24"/>
        </w:rPr>
      </w:pPr>
      <w:r>
        <w:rPr>
          <w:rFonts w:hint="eastAsia" w:hAnsi="宋体" w:eastAsia="宋体" w:cs="宋体"/>
          <w:color w:val="FF0000"/>
          <w:sz w:val="24"/>
          <w:szCs w:val="24"/>
        </w:rPr>
        <w:t>1.2</w:t>
      </w:r>
      <w:r>
        <w:rPr>
          <w:rFonts w:hAnsi="宋体" w:eastAsia="宋体" w:cs="宋体"/>
          <w:color w:val="FF0000"/>
          <w:sz w:val="24"/>
          <w:szCs w:val="24"/>
        </w:rPr>
        <w:t>02</w:t>
      </w:r>
      <w:r>
        <w:rPr>
          <w:rFonts w:hint="eastAsia" w:hAnsi="宋体" w:eastAsia="宋体" w:cs="宋体"/>
          <w:color w:val="FF0000"/>
          <w:sz w:val="24"/>
          <w:szCs w:val="24"/>
        </w:rPr>
        <w:t>6年5月1日设备进场；</w:t>
      </w:r>
    </w:p>
    <w:p w14:paraId="7170CBA7">
      <w:pPr>
        <w:pStyle w:val="16"/>
        <w:spacing w:line="360" w:lineRule="auto"/>
        <w:ind w:firstLine="480" w:firstLineChars="200"/>
        <w:rPr>
          <w:rFonts w:hAnsi="宋体" w:eastAsia="宋体" w:cs="宋体"/>
          <w:color w:val="FF0000"/>
          <w:sz w:val="24"/>
          <w:szCs w:val="24"/>
        </w:rPr>
      </w:pPr>
      <w:r>
        <w:rPr>
          <w:rFonts w:hint="eastAsia" w:hAnsi="宋体" w:eastAsia="宋体" w:cs="宋体"/>
          <w:color w:val="FF0000"/>
          <w:sz w:val="24"/>
          <w:szCs w:val="24"/>
        </w:rPr>
        <w:t>2.</w:t>
      </w:r>
      <w:r>
        <w:rPr>
          <w:rFonts w:hAnsi="宋体" w:eastAsia="宋体" w:cs="宋体"/>
          <w:color w:val="FF0000"/>
          <w:sz w:val="24"/>
          <w:szCs w:val="24"/>
        </w:rPr>
        <w:t>202</w:t>
      </w:r>
      <w:r>
        <w:rPr>
          <w:rFonts w:hint="eastAsia" w:hAnsi="宋体" w:eastAsia="宋体" w:cs="宋体"/>
          <w:color w:val="FF0000"/>
          <w:sz w:val="24"/>
          <w:szCs w:val="24"/>
        </w:rPr>
        <w:t>6年5月7日安装调试完成，并具备生产能力保证；</w:t>
      </w:r>
    </w:p>
    <w:p w14:paraId="749E28F9">
      <w:pPr>
        <w:pStyle w:val="16"/>
        <w:spacing w:line="360" w:lineRule="auto"/>
        <w:ind w:firstLine="480" w:firstLineChars="200"/>
        <w:rPr>
          <w:rFonts w:hAnsi="宋体" w:eastAsia="宋体" w:cs="宋体"/>
          <w:color w:val="FF0000"/>
          <w:sz w:val="24"/>
          <w:szCs w:val="24"/>
        </w:rPr>
      </w:pPr>
      <w:r>
        <w:rPr>
          <w:rFonts w:hint="eastAsia" w:hAnsi="宋体" w:eastAsia="宋体" w:cs="宋体"/>
          <w:color w:val="FF0000"/>
          <w:sz w:val="24"/>
          <w:szCs w:val="24"/>
        </w:rPr>
        <w:t>3.</w:t>
      </w:r>
      <w:r>
        <w:rPr>
          <w:rFonts w:hAnsi="宋体" w:eastAsia="宋体" w:cs="宋体"/>
          <w:color w:val="FF0000"/>
          <w:sz w:val="24"/>
          <w:szCs w:val="24"/>
        </w:rPr>
        <w:t>202</w:t>
      </w:r>
      <w:r>
        <w:rPr>
          <w:rFonts w:hint="eastAsia" w:hAnsi="宋体" w:eastAsia="宋体" w:cs="宋体"/>
          <w:color w:val="FF0000"/>
          <w:sz w:val="24"/>
          <w:szCs w:val="24"/>
        </w:rPr>
        <w:t xml:space="preserve">6年5月31日具备批量生产能力。 </w:t>
      </w:r>
    </w:p>
    <w:p w14:paraId="2D8D79DA">
      <w:pPr>
        <w:spacing w:line="360" w:lineRule="auto"/>
        <w:ind w:firstLine="480" w:firstLineChars="200"/>
        <w:rPr>
          <w:rFonts w:ascii="宋体" w:hAnsi="宋体" w:eastAsia="宋体" w:cs="宋体"/>
          <w:sz w:val="24"/>
          <w:szCs w:val="24"/>
        </w:rPr>
      </w:pPr>
      <w:r>
        <w:rPr>
          <w:rFonts w:hint="eastAsia" w:hAnsi="宋体" w:eastAsia="宋体" w:cs="宋体"/>
          <w:sz w:val="24"/>
          <w:szCs w:val="24"/>
        </w:rPr>
        <w:t>安装调试时间或终验收时间超过规定时间的，投标方应随标书提供详细的工期计划。</w:t>
      </w:r>
    </w:p>
    <w:p w14:paraId="21D529F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lang w:bidi="ar"/>
        </w:rPr>
        <w:t>四、采购货物特别说明</w:t>
      </w:r>
    </w:p>
    <w:p w14:paraId="2ABACE11">
      <w:pPr>
        <w:spacing w:line="360" w:lineRule="auto"/>
        <w:ind w:firstLine="480" w:firstLineChars="200"/>
        <w:rPr>
          <w:rFonts w:ascii="宋体" w:hAnsi="宋体" w:eastAsia="宋体" w:cs="宋体"/>
          <w:sz w:val="24"/>
          <w:szCs w:val="24"/>
        </w:rPr>
      </w:pPr>
      <w:bookmarkStart w:id="38" w:name="_Toc9658380"/>
      <w:r>
        <w:rPr>
          <w:rFonts w:hint="eastAsia" w:ascii="宋体" w:hAnsi="宋体" w:eastAsia="宋体" w:cs="宋体"/>
          <w:sz w:val="24"/>
          <w:szCs w:val="24"/>
        </w:rPr>
        <w:t>1.工程界面</w:t>
      </w:r>
    </w:p>
    <w:p w14:paraId="7F740B67">
      <w:pPr>
        <w:spacing w:line="360" w:lineRule="auto"/>
        <w:ind w:left="480"/>
        <w:jc w:val="left"/>
        <w:rPr>
          <w:rFonts w:ascii="宋体" w:hAnsi="宋体" w:eastAsia="宋体" w:cs="宋体"/>
          <w:sz w:val="24"/>
          <w:szCs w:val="24"/>
          <w:lang w:bidi="zh-CN"/>
        </w:rPr>
      </w:pPr>
      <w:r>
        <w:rPr>
          <w:rFonts w:hint="eastAsia" w:ascii="宋体" w:hAnsi="宋体" w:eastAsia="宋体" w:cs="宋体"/>
          <w:sz w:val="24"/>
          <w:szCs w:val="24"/>
        </w:rPr>
        <w:t>投标方负责从需求点接入设备。</w:t>
      </w:r>
    </w:p>
    <w:p w14:paraId="76B887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2.主要外购部件/材料选型表</w:t>
      </w:r>
    </w:p>
    <w:p w14:paraId="3C32B0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1）所有的用电设备必须符合中国的标准，投标方应主动保证所提供的设备符合或通过中国法规的认证。</w:t>
      </w:r>
    </w:p>
    <w:p w14:paraId="32177C9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2）在投标方设备选型时，机械和电气元件尽可能选用同型号或种类的产品，并与自动线体内相关设备品牌保持一致，以便减少备品备件种类。</w:t>
      </w:r>
    </w:p>
    <w:p w14:paraId="353D9A7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3）对于设备的品牌和材料，本标书未明确指定的，首先由投标方提出建议，最终经招标方评审通过并书面确认后实施。</w:t>
      </w:r>
    </w:p>
    <w:p w14:paraId="5947C6B7">
      <w:pPr>
        <w:pStyle w:val="131"/>
        <w:spacing w:line="360" w:lineRule="auto"/>
        <w:ind w:left="425" w:firstLine="0" w:firstLineChars="0"/>
        <w:jc w:val="left"/>
        <w:rPr>
          <w:rFonts w:ascii="宋体" w:hAnsi="宋体" w:eastAsia="宋体" w:cs="宋体"/>
          <w:sz w:val="24"/>
          <w:szCs w:val="24"/>
        </w:rPr>
      </w:pPr>
      <w:r>
        <w:rPr>
          <w:rFonts w:hint="eastAsia" w:ascii="宋体" w:hAnsi="宋体" w:eastAsia="宋体" w:cs="宋体"/>
          <w:sz w:val="24"/>
          <w:szCs w:val="24"/>
        </w:rPr>
        <w:t>4）招标方推荐设备品牌选择清单如下表所示：</w:t>
      </w:r>
    </w:p>
    <w:tbl>
      <w:tblPr>
        <w:tblStyle w:val="36"/>
        <w:tblW w:w="4996" w:type="pct"/>
        <w:jc w:val="center"/>
        <w:tblLayout w:type="fixed"/>
        <w:tblCellMar>
          <w:top w:w="0" w:type="dxa"/>
          <w:left w:w="108" w:type="dxa"/>
          <w:bottom w:w="0" w:type="dxa"/>
          <w:right w:w="108" w:type="dxa"/>
        </w:tblCellMar>
      </w:tblPr>
      <w:tblGrid>
        <w:gridCol w:w="764"/>
        <w:gridCol w:w="2502"/>
        <w:gridCol w:w="3825"/>
        <w:gridCol w:w="2188"/>
      </w:tblGrid>
      <w:tr w14:paraId="23D09B44">
        <w:tblPrEx>
          <w:tblCellMar>
            <w:top w:w="0" w:type="dxa"/>
            <w:left w:w="108" w:type="dxa"/>
            <w:bottom w:w="0" w:type="dxa"/>
            <w:right w:w="108" w:type="dxa"/>
          </w:tblCellMar>
        </w:tblPrEx>
        <w:trPr>
          <w:trHeight w:val="454"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4D3E6E37">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348" w:type="pct"/>
            <w:tcBorders>
              <w:top w:val="single" w:color="auto" w:sz="4" w:space="0"/>
              <w:left w:val="nil"/>
              <w:bottom w:val="single" w:color="auto" w:sz="4" w:space="0"/>
              <w:right w:val="single" w:color="auto" w:sz="4" w:space="0"/>
            </w:tcBorders>
            <w:vAlign w:val="center"/>
          </w:tcPr>
          <w:p w14:paraId="041CE8A9">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设备名称</w:t>
            </w:r>
          </w:p>
        </w:tc>
        <w:tc>
          <w:tcPr>
            <w:tcW w:w="2061" w:type="pct"/>
            <w:tcBorders>
              <w:top w:val="single" w:color="auto" w:sz="4" w:space="0"/>
              <w:left w:val="nil"/>
              <w:bottom w:val="single" w:color="auto" w:sz="4" w:space="0"/>
              <w:right w:val="single" w:color="auto" w:sz="4" w:space="0"/>
            </w:tcBorders>
            <w:vAlign w:val="center"/>
          </w:tcPr>
          <w:p w14:paraId="76C2EA64">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品牌</w:t>
            </w:r>
          </w:p>
        </w:tc>
        <w:tc>
          <w:tcPr>
            <w:tcW w:w="1179" w:type="pct"/>
            <w:tcBorders>
              <w:top w:val="single" w:color="auto" w:sz="4" w:space="0"/>
              <w:left w:val="nil"/>
              <w:bottom w:val="single" w:color="auto" w:sz="4" w:space="0"/>
              <w:right w:val="single" w:color="auto" w:sz="4" w:space="0"/>
            </w:tcBorders>
            <w:vAlign w:val="center"/>
          </w:tcPr>
          <w:p w14:paraId="2417821E">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说明</w:t>
            </w:r>
          </w:p>
        </w:tc>
      </w:tr>
      <w:tr w14:paraId="77D52E4F">
        <w:tblPrEx>
          <w:tblCellMar>
            <w:top w:w="0" w:type="dxa"/>
            <w:left w:w="108" w:type="dxa"/>
            <w:bottom w:w="0" w:type="dxa"/>
            <w:right w:w="108" w:type="dxa"/>
          </w:tblCellMar>
        </w:tblPrEx>
        <w:trPr>
          <w:trHeight w:val="454"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4464E024">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348" w:type="pct"/>
            <w:tcBorders>
              <w:top w:val="single" w:color="auto" w:sz="4" w:space="0"/>
              <w:left w:val="nil"/>
              <w:bottom w:val="single" w:color="auto" w:sz="4" w:space="0"/>
              <w:right w:val="single" w:color="auto" w:sz="4" w:space="0"/>
            </w:tcBorders>
            <w:vAlign w:val="center"/>
          </w:tcPr>
          <w:p w14:paraId="194F6865">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磷化除渣机</w:t>
            </w:r>
          </w:p>
        </w:tc>
        <w:tc>
          <w:tcPr>
            <w:tcW w:w="2061" w:type="pct"/>
            <w:tcBorders>
              <w:top w:val="single" w:color="auto" w:sz="4" w:space="0"/>
              <w:left w:val="nil"/>
              <w:bottom w:val="single" w:color="auto" w:sz="4" w:space="0"/>
              <w:right w:val="single" w:color="auto" w:sz="4" w:space="0"/>
            </w:tcBorders>
            <w:vAlign w:val="center"/>
          </w:tcPr>
          <w:p w14:paraId="41D7BC64">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箭神或同等品牌</w:t>
            </w:r>
          </w:p>
        </w:tc>
        <w:tc>
          <w:tcPr>
            <w:tcW w:w="1179" w:type="pct"/>
            <w:tcBorders>
              <w:top w:val="single" w:color="auto" w:sz="4" w:space="0"/>
              <w:left w:val="nil"/>
              <w:bottom w:val="single" w:color="auto" w:sz="4" w:space="0"/>
              <w:right w:val="single" w:color="auto" w:sz="4" w:space="0"/>
            </w:tcBorders>
            <w:vAlign w:val="center"/>
          </w:tcPr>
          <w:p w14:paraId="459BA172">
            <w:pPr>
              <w:widowControl/>
              <w:jc w:val="center"/>
              <w:rPr>
                <w:rFonts w:hint="eastAsia" w:ascii="宋体" w:hAnsi="宋体" w:eastAsia="宋体" w:cs="宋体"/>
                <w:b/>
                <w:bCs/>
                <w:color w:val="000000"/>
                <w:kern w:val="0"/>
                <w:sz w:val="24"/>
                <w:szCs w:val="24"/>
              </w:rPr>
            </w:pPr>
          </w:p>
        </w:tc>
      </w:tr>
      <w:tr w14:paraId="7DEC71BD">
        <w:tblPrEx>
          <w:tblCellMar>
            <w:top w:w="0" w:type="dxa"/>
            <w:left w:w="108" w:type="dxa"/>
            <w:bottom w:w="0" w:type="dxa"/>
            <w:right w:w="108" w:type="dxa"/>
          </w:tblCellMar>
        </w:tblPrEx>
        <w:trPr>
          <w:trHeight w:val="454"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2C434ADA">
            <w:pPr>
              <w:widowControl/>
              <w:jc w:val="center"/>
              <w:rPr>
                <w:rFonts w:hint="eastAsia" w:ascii="宋体" w:hAnsi="宋体" w:eastAsia="宋体" w:cs="宋体"/>
                <w:color w:val="000000"/>
                <w:kern w:val="0"/>
                <w:sz w:val="24"/>
                <w:szCs w:val="24"/>
              </w:rPr>
            </w:pPr>
            <w:r>
              <w:rPr>
                <w:rFonts w:ascii="宋体" w:hAnsi="宋体" w:eastAsia="宋体" w:cs="宋体"/>
                <w:color w:val="000000"/>
                <w:kern w:val="0"/>
                <w:sz w:val="24"/>
                <w:szCs w:val="24"/>
              </w:rPr>
              <w:t>2</w:t>
            </w:r>
          </w:p>
        </w:tc>
        <w:tc>
          <w:tcPr>
            <w:tcW w:w="1348" w:type="pct"/>
            <w:tcBorders>
              <w:top w:val="single" w:color="auto" w:sz="4" w:space="0"/>
              <w:left w:val="nil"/>
              <w:bottom w:val="single" w:color="auto" w:sz="4" w:space="0"/>
              <w:right w:val="single" w:color="auto" w:sz="4" w:space="0"/>
            </w:tcBorders>
            <w:vAlign w:val="center"/>
          </w:tcPr>
          <w:p w14:paraId="037D03F4">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循环泵</w:t>
            </w:r>
          </w:p>
        </w:tc>
        <w:tc>
          <w:tcPr>
            <w:tcW w:w="2061" w:type="pct"/>
            <w:tcBorders>
              <w:top w:val="single" w:color="auto" w:sz="4" w:space="0"/>
              <w:left w:val="nil"/>
              <w:bottom w:val="single" w:color="auto" w:sz="4" w:space="0"/>
              <w:right w:val="single" w:color="auto" w:sz="4" w:space="0"/>
            </w:tcBorders>
            <w:vAlign w:val="center"/>
          </w:tcPr>
          <w:p w14:paraId="024169D5">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艾比德或同等品牌</w:t>
            </w:r>
          </w:p>
        </w:tc>
        <w:tc>
          <w:tcPr>
            <w:tcW w:w="1179" w:type="pct"/>
            <w:tcBorders>
              <w:top w:val="single" w:color="auto" w:sz="4" w:space="0"/>
              <w:left w:val="nil"/>
              <w:bottom w:val="single" w:color="auto" w:sz="4" w:space="0"/>
              <w:right w:val="single" w:color="auto" w:sz="4" w:space="0"/>
            </w:tcBorders>
            <w:vAlign w:val="center"/>
          </w:tcPr>
          <w:p w14:paraId="15727377">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材质3</w:t>
            </w:r>
            <w:r>
              <w:rPr>
                <w:rFonts w:ascii="宋体" w:hAnsi="宋体" w:eastAsia="宋体" w:cs="宋体"/>
                <w:color w:val="000000"/>
                <w:kern w:val="0"/>
                <w:sz w:val="24"/>
                <w:szCs w:val="24"/>
              </w:rPr>
              <w:t>04</w:t>
            </w:r>
            <w:r>
              <w:rPr>
                <w:rFonts w:hint="eastAsia" w:ascii="宋体" w:hAnsi="宋体" w:eastAsia="宋体" w:cs="宋体"/>
                <w:color w:val="000000"/>
                <w:kern w:val="0"/>
                <w:sz w:val="24"/>
                <w:szCs w:val="24"/>
              </w:rPr>
              <w:t>不锈钢</w:t>
            </w:r>
          </w:p>
        </w:tc>
      </w:tr>
      <w:tr w14:paraId="1379BCD4">
        <w:tblPrEx>
          <w:tblCellMar>
            <w:top w:w="0" w:type="dxa"/>
            <w:left w:w="108" w:type="dxa"/>
            <w:bottom w:w="0" w:type="dxa"/>
            <w:right w:w="108" w:type="dxa"/>
          </w:tblCellMar>
        </w:tblPrEx>
        <w:trPr>
          <w:trHeight w:val="454" w:hRule="atLeast"/>
          <w:jc w:val="center"/>
        </w:trPr>
        <w:tc>
          <w:tcPr>
            <w:tcW w:w="411" w:type="pct"/>
            <w:tcBorders>
              <w:top w:val="nil"/>
              <w:left w:val="single" w:color="auto" w:sz="4" w:space="0"/>
              <w:bottom w:val="single" w:color="auto" w:sz="4" w:space="0"/>
              <w:right w:val="single" w:color="auto" w:sz="4" w:space="0"/>
            </w:tcBorders>
            <w:vAlign w:val="center"/>
          </w:tcPr>
          <w:p w14:paraId="66E1A8BA">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348" w:type="pct"/>
            <w:tcBorders>
              <w:top w:val="nil"/>
              <w:left w:val="nil"/>
              <w:bottom w:val="single" w:color="auto" w:sz="4" w:space="0"/>
              <w:right w:val="single" w:color="auto" w:sz="4" w:space="0"/>
            </w:tcBorders>
            <w:shd w:val="clear" w:color="auto" w:fill="auto"/>
            <w:vAlign w:val="center"/>
          </w:tcPr>
          <w:p w14:paraId="1BBCA5C4">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电机</w:t>
            </w:r>
          </w:p>
        </w:tc>
        <w:tc>
          <w:tcPr>
            <w:tcW w:w="2061" w:type="pct"/>
            <w:tcBorders>
              <w:top w:val="nil"/>
              <w:left w:val="nil"/>
              <w:bottom w:val="single" w:color="auto" w:sz="4" w:space="0"/>
              <w:right w:val="single" w:color="auto" w:sz="4" w:space="0"/>
            </w:tcBorders>
            <w:shd w:val="clear" w:color="auto" w:fill="auto"/>
            <w:vAlign w:val="center"/>
          </w:tcPr>
          <w:p w14:paraId="47C4CFB8">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皖南或同等品牌</w:t>
            </w:r>
          </w:p>
        </w:tc>
        <w:tc>
          <w:tcPr>
            <w:tcW w:w="1179" w:type="pct"/>
            <w:tcBorders>
              <w:top w:val="nil"/>
              <w:left w:val="nil"/>
              <w:bottom w:val="single" w:color="auto" w:sz="4" w:space="0"/>
              <w:right w:val="single" w:color="auto" w:sz="4" w:space="0"/>
            </w:tcBorders>
            <w:vAlign w:val="center"/>
          </w:tcPr>
          <w:p w14:paraId="028656E9">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一级能效</w:t>
            </w:r>
          </w:p>
        </w:tc>
      </w:tr>
    </w:tbl>
    <w:p w14:paraId="5B36A22A">
      <w:pPr>
        <w:spacing w:before="22" w:after="21"/>
        <w:rPr>
          <w:rFonts w:ascii="宋体" w:hAnsi="宋体" w:eastAsia="宋体" w:cs="宋体"/>
          <w:b/>
          <w:sz w:val="24"/>
          <w:szCs w:val="24"/>
        </w:rPr>
      </w:pPr>
    </w:p>
    <w:p w14:paraId="770AA672">
      <w:pPr>
        <w:spacing w:line="360" w:lineRule="auto"/>
        <w:ind w:firstLine="480" w:firstLineChars="200"/>
        <w:rPr>
          <w:rFonts w:ascii="宋体" w:hAnsi="宋体" w:eastAsia="宋体" w:cs="宋体"/>
          <w:sz w:val="24"/>
          <w:szCs w:val="24"/>
        </w:rPr>
      </w:pPr>
    </w:p>
    <w:p w14:paraId="45A0486C">
      <w:pPr>
        <w:spacing w:line="360" w:lineRule="auto"/>
        <w:ind w:firstLine="560" w:firstLineChars="200"/>
        <w:rPr>
          <w:rFonts w:ascii="宋体" w:hAnsi="宋体" w:eastAsia="等线" w:cs="宋体"/>
          <w:sz w:val="28"/>
          <w:szCs w:val="28"/>
        </w:rPr>
      </w:pPr>
    </w:p>
    <w:p w14:paraId="00FB5C25">
      <w:pPr>
        <w:spacing w:line="360" w:lineRule="auto"/>
        <w:ind w:firstLine="560" w:firstLineChars="200"/>
        <w:rPr>
          <w:rFonts w:ascii="宋体" w:hAnsi="宋体" w:eastAsia="等线" w:cs="宋体"/>
          <w:sz w:val="28"/>
          <w:szCs w:val="28"/>
        </w:rPr>
      </w:pPr>
      <w:r>
        <w:rPr>
          <w:rFonts w:ascii="宋体" w:hAnsi="宋体" w:eastAsia="等线" w:cs="宋体"/>
          <w:sz w:val="28"/>
          <w:szCs w:val="28"/>
        </w:rPr>
        <w:br w:type="page"/>
      </w:r>
      <w:r>
        <w:rPr>
          <w:rFonts w:ascii="宋体" w:hAnsi="宋体" w:eastAsia="等线" w:cs="宋体"/>
          <w:sz w:val="28"/>
          <w:szCs w:val="28"/>
        </w:rPr>
        <w:t xml:space="preserve"> </w:t>
      </w:r>
    </w:p>
    <w:p w14:paraId="50437F1C">
      <w:pPr>
        <w:keepNext/>
        <w:keepLines/>
        <w:spacing w:before="120" w:after="120" w:line="360" w:lineRule="auto"/>
        <w:jc w:val="center"/>
        <w:outlineLvl w:val="0"/>
        <w:rPr>
          <w:rFonts w:ascii="黑体" w:hAnsi="黑体" w:eastAsia="黑体" w:cs="黑体"/>
          <w:kern w:val="44"/>
          <w:sz w:val="28"/>
          <w:szCs w:val="28"/>
        </w:rPr>
      </w:pPr>
      <w:bookmarkStart w:id="39" w:name="_Toc20308"/>
      <w:bookmarkStart w:id="40" w:name="_Toc27032"/>
      <w:r>
        <w:rPr>
          <w:rFonts w:hint="eastAsia" w:ascii="黑体" w:hAnsi="黑体" w:eastAsia="黑体" w:cs="黑体"/>
          <w:kern w:val="44"/>
          <w:sz w:val="28"/>
          <w:szCs w:val="28"/>
        </w:rPr>
        <w:t>第二章</w:t>
      </w:r>
      <w:r>
        <w:rPr>
          <w:rFonts w:ascii="黑体" w:hAnsi="黑体" w:eastAsia="黑体" w:cs="黑体"/>
          <w:kern w:val="44"/>
          <w:sz w:val="28"/>
          <w:szCs w:val="28"/>
        </w:rPr>
        <w:t xml:space="preserve">  </w:t>
      </w:r>
      <w:r>
        <w:rPr>
          <w:rFonts w:hint="eastAsia" w:ascii="黑体" w:hAnsi="黑体" w:eastAsia="黑体" w:cs="黑体"/>
          <w:kern w:val="44"/>
          <w:sz w:val="28"/>
          <w:szCs w:val="28"/>
        </w:rPr>
        <w:t>技术要求</w:t>
      </w:r>
      <w:bookmarkEnd w:id="38"/>
      <w:bookmarkEnd w:id="39"/>
      <w:bookmarkEnd w:id="40"/>
    </w:p>
    <w:p w14:paraId="52F396E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一、特别提示</w:t>
      </w:r>
    </w:p>
    <w:p w14:paraId="519A7C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19DC17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2.本技术要求所使用的标准、规范等，如与投标方所执行的标准、规范不一致时，应按高于本技术要求所列的标准、规范执行。</w:t>
      </w:r>
    </w:p>
    <w:p w14:paraId="58BFFD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3.投标方认为所供货物必须由招标方配备、解决或提供的其他要求，如设备基础隔振和减振设施、软化水、洁净气源等，均应在投标文件“技术偏离”中予以充分说明。</w:t>
      </w:r>
    </w:p>
    <w:p w14:paraId="681718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14:paraId="048013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5.无论是否有技术偏离，投标方均应在投标文件“技术偏离”中明确作出有无说明。若有异议，不管是多么微小，投标方必须予以明确和详细的说明或澄清。</w:t>
      </w:r>
    </w:p>
    <w:p w14:paraId="2D32A59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6.为避免投标方优势在招标评审时漏项，质保期超出本技术标书要求的，应当在投标文件“技术偏离”中特别注明。</w:t>
      </w:r>
    </w:p>
    <w:p w14:paraId="64A418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7.投标文件中，针对“特别提示”条款所做的回应，将作为投标方能否中标的重要依据之一。</w:t>
      </w:r>
    </w:p>
    <w:p w14:paraId="726FB86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二、基本要求</w:t>
      </w:r>
    </w:p>
    <w:p w14:paraId="2BF599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1.投标方所供的货物，必须符合中国最新版的法律法规和相关标准、规范的要求，符合项目所在地政府有关特殊要求。</w:t>
      </w:r>
    </w:p>
    <w:p w14:paraId="1594AB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2.投标方所供货物涉及的专利权技术以及知识产权保护的其他技术等，应保证招标方不因此受到任何侵权指控以及实际损失。</w:t>
      </w:r>
    </w:p>
    <w:p w14:paraId="4FC29E5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3.投标方应保证所供货物的先进性、可靠性、经济性和实用性，并为全新货物（或设备）。</w:t>
      </w:r>
    </w:p>
    <w:p w14:paraId="626C8F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14:paraId="613BC1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5.投标方应保证所供货物（或设备）为中国政府指定或规定的主管部门公布的非淘汰货物（或设备），并尽力提供中国政府指定或规定的主管部门认可的环保型和节能型货物（或设备）。</w:t>
      </w:r>
    </w:p>
    <w:p w14:paraId="244E71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6.投标方应保证所供货物的完整性和成套性，能保证货物的正常运行、使用。</w:t>
      </w:r>
    </w:p>
    <w:p w14:paraId="3ABBA6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7.投标方应对招标方采购的货物所涉及的技术、产能等信息负有保密义务，招标方拥有追究投标方泄密责任的权利；招标方如有需要，投标方应无条件签署保密协议。</w:t>
      </w:r>
    </w:p>
    <w:p w14:paraId="0C1B8A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8.程序图纸要求</w:t>
      </w:r>
    </w:p>
    <w:p w14:paraId="6C7CBB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8.1 供方必须提供所有设备程序的源代码，包括但不限于 PLC程序、HMI 程序等。</w:t>
      </w:r>
    </w:p>
    <w:p w14:paraId="52C797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8.2 供方所提供的程序不得设置任何密码、保护等限制手段，PLC 不得设置修改下载权限，功能块不得设置密码保护。</w:t>
      </w:r>
    </w:p>
    <w:p w14:paraId="0D7603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8.3 HMI 界面等需要密码保护的程序，供方必须提供所有级别的用户名、密码。</w:t>
      </w:r>
    </w:p>
    <w:p w14:paraId="1641DD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8.4 供方需在设备入场前提供设备程序源码，HMI 界面各级用户名和密码，并保证与现场程序一致。</w:t>
      </w:r>
    </w:p>
    <w:p w14:paraId="602CE0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8.5 供方需在终验收前提供最新的设备程序源码和电气图纸，图纸要求为可编辑原格式（EPLAN、CAD 格式）且与实际接线一致。</w:t>
      </w:r>
    </w:p>
    <w:p w14:paraId="4E23D7E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9.接口协议要求</w:t>
      </w:r>
    </w:p>
    <w:p w14:paraId="1F4C4C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9.1 供方免费开放所有通讯接口，包括但不限于以太网、RS232、RS485、PROFIBUS、PROFINET、MODBUS 等常见接口，以及设备特有的专用接口。</w:t>
      </w:r>
    </w:p>
    <w:p w14:paraId="631452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9.2 供方免费提供数据交互功能，交互数据包括但不限于实时数据、历史数据、报警信息等。</w:t>
      </w:r>
    </w:p>
    <w:p w14:paraId="4621412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9.3 供方在设备入场前提供接口的技术文档和参数说明，包括但不限于接口协议、通讯速率、数据格式等。</w:t>
      </w:r>
    </w:p>
    <w:p w14:paraId="1A6E4F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9.4 设备使用周期内，供方免费派遣技术人员与甲方调试团队共同进行设备通讯接口的调试工作。</w:t>
      </w:r>
    </w:p>
    <w:p w14:paraId="1649D5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16A9DDD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11.设备颜色符合《Q-ZZ30070设备设施颜色标识》规定，外观无明显缺陷，重新焊接完成后，对焊接位置进行重新刷漆。</w:t>
      </w:r>
    </w:p>
    <w:p w14:paraId="28ACF657">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三、执行标准</w:t>
      </w:r>
    </w:p>
    <w:p w14:paraId="1F42D9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4501B3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7040F3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4DEBD5C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56A343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7354C7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D9D777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7.主要适用的标准如下：</w:t>
      </w:r>
    </w:p>
    <w:p w14:paraId="131609AD">
      <w:pPr>
        <w:spacing w:line="360" w:lineRule="auto"/>
        <w:ind w:firstLine="480" w:firstLineChars="200"/>
        <w:rPr>
          <w:rFonts w:ascii="宋体" w:hAnsi="宋体" w:eastAsia="宋体" w:cs="宋体"/>
          <w:sz w:val="24"/>
          <w:szCs w:val="24"/>
        </w:rPr>
      </w:pPr>
      <w:r>
        <w:rPr>
          <w:rFonts w:ascii="宋体" w:hAnsi="宋体" w:eastAsia="宋体" w:cs="宋体"/>
          <w:sz w:val="24"/>
          <w:szCs w:val="24"/>
        </w:rPr>
        <w:t>DB37/2376-2019</w:t>
      </w:r>
      <w:r>
        <w:rPr>
          <w:rFonts w:hint="eastAsia" w:ascii="宋体" w:hAnsi="宋体" w:eastAsia="宋体" w:cs="宋体"/>
          <w:sz w:val="24"/>
          <w:szCs w:val="24"/>
        </w:rPr>
        <w:t>《区域性大气污染物综合排放标准》表</w:t>
      </w:r>
      <w:r>
        <w:rPr>
          <w:rFonts w:ascii="宋体" w:hAnsi="宋体" w:eastAsia="宋体" w:cs="宋体"/>
          <w:sz w:val="24"/>
          <w:szCs w:val="24"/>
        </w:rPr>
        <w:t>1</w:t>
      </w:r>
      <w:r>
        <w:rPr>
          <w:rFonts w:hint="eastAsia" w:ascii="宋体" w:hAnsi="宋体" w:eastAsia="宋体" w:cs="宋体"/>
          <w:sz w:val="24"/>
          <w:szCs w:val="24"/>
        </w:rPr>
        <w:t>重点控制区限值要求</w:t>
      </w:r>
    </w:p>
    <w:p w14:paraId="6A592BB6">
      <w:pPr>
        <w:spacing w:line="360" w:lineRule="auto"/>
        <w:ind w:firstLine="480" w:firstLineChars="200"/>
        <w:rPr>
          <w:rFonts w:ascii="宋体" w:hAnsi="宋体" w:eastAsia="宋体" w:cs="宋体"/>
          <w:sz w:val="24"/>
          <w:szCs w:val="24"/>
        </w:rPr>
      </w:pPr>
      <w:r>
        <w:rPr>
          <w:rFonts w:ascii="宋体" w:hAnsi="宋体" w:eastAsia="宋体" w:cs="宋体"/>
          <w:sz w:val="24"/>
          <w:szCs w:val="24"/>
        </w:rPr>
        <w:t>GB12348</w:t>
      </w:r>
      <w:r>
        <w:rPr>
          <w:rFonts w:hint="eastAsia" w:ascii="宋体" w:hAnsi="宋体" w:eastAsia="宋体" w:cs="宋体"/>
          <w:sz w:val="24"/>
          <w:szCs w:val="24"/>
        </w:rPr>
        <w:t>－</w:t>
      </w:r>
      <w:r>
        <w:rPr>
          <w:rFonts w:ascii="宋体" w:hAnsi="宋体" w:eastAsia="宋体" w:cs="宋体"/>
          <w:sz w:val="24"/>
          <w:szCs w:val="24"/>
        </w:rPr>
        <w:t xml:space="preserve">2008 </w:t>
      </w:r>
      <w:r>
        <w:rPr>
          <w:rFonts w:hint="eastAsia" w:ascii="宋体" w:hAnsi="宋体" w:eastAsia="宋体" w:cs="宋体"/>
          <w:sz w:val="24"/>
          <w:szCs w:val="24"/>
        </w:rPr>
        <w:t>《工业企业厂界环境噪声排放标准》中</w:t>
      </w:r>
      <w:r>
        <w:rPr>
          <w:rFonts w:ascii="宋体" w:hAnsi="宋体" w:eastAsia="宋体" w:cs="宋体"/>
          <w:sz w:val="24"/>
          <w:szCs w:val="24"/>
        </w:rPr>
        <w:t>2</w:t>
      </w:r>
      <w:r>
        <w:rPr>
          <w:rFonts w:hint="eastAsia" w:ascii="宋体" w:hAnsi="宋体" w:eastAsia="宋体" w:cs="宋体"/>
          <w:sz w:val="24"/>
          <w:szCs w:val="24"/>
        </w:rPr>
        <w:t>类标准</w:t>
      </w:r>
    </w:p>
    <w:p w14:paraId="235FE44E">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GB3095-2012 </w:t>
      </w:r>
      <w:r>
        <w:rPr>
          <w:rFonts w:hint="eastAsia" w:ascii="宋体" w:hAnsi="宋体" w:eastAsia="宋体" w:cs="宋体"/>
          <w:sz w:val="24"/>
          <w:szCs w:val="24"/>
        </w:rPr>
        <w:t>《环境空气质量标准》二级标准</w:t>
      </w:r>
    </w:p>
    <w:p w14:paraId="714B12E6">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GB/T 18883-2022 </w:t>
      </w:r>
      <w:r>
        <w:rPr>
          <w:rFonts w:hint="eastAsia" w:ascii="宋体" w:hAnsi="宋体" w:eastAsia="宋体" w:cs="宋体"/>
          <w:sz w:val="24"/>
          <w:szCs w:val="24"/>
        </w:rPr>
        <w:t>《室内空气质量标准》</w:t>
      </w:r>
    </w:p>
    <w:p w14:paraId="2DA6B102">
      <w:pPr>
        <w:spacing w:line="360" w:lineRule="auto"/>
        <w:ind w:firstLine="480" w:firstLineChars="200"/>
        <w:rPr>
          <w:rFonts w:ascii="宋体" w:hAnsi="宋体" w:eastAsia="宋体" w:cs="宋体"/>
          <w:color w:val="FF0000"/>
          <w:sz w:val="24"/>
          <w:szCs w:val="24"/>
        </w:rPr>
      </w:pPr>
      <w:r>
        <w:rPr>
          <w:rFonts w:ascii="宋体" w:hAnsi="宋体" w:eastAsia="宋体" w:cs="宋体"/>
          <w:sz w:val="24"/>
          <w:szCs w:val="24"/>
        </w:rPr>
        <w:t xml:space="preserve">JBJ16-2000 </w:t>
      </w:r>
      <w:r>
        <w:rPr>
          <w:rFonts w:hint="eastAsia" w:ascii="宋体" w:hAnsi="宋体" w:eastAsia="宋体" w:cs="宋体"/>
          <w:sz w:val="24"/>
          <w:szCs w:val="24"/>
        </w:rPr>
        <w:t>《机械工业环境保护设计规范》</w:t>
      </w:r>
    </w:p>
    <w:p w14:paraId="7DF2D068">
      <w:pPr>
        <w:spacing w:line="360" w:lineRule="auto"/>
        <w:ind w:firstLine="361" w:firstLineChars="150"/>
        <w:rPr>
          <w:rFonts w:ascii="宋体" w:hAnsi="宋体" w:eastAsia="宋体" w:cs="宋体"/>
          <w:b/>
          <w:sz w:val="24"/>
          <w:szCs w:val="24"/>
        </w:rPr>
      </w:pPr>
      <w:r>
        <w:rPr>
          <w:rFonts w:hint="eastAsia" w:ascii="宋体" w:hAnsi="宋体" w:eastAsia="宋体" w:cs="宋体"/>
          <w:b/>
          <w:sz w:val="24"/>
          <w:szCs w:val="24"/>
        </w:rPr>
        <w:t>四、货物需求一览表</w:t>
      </w:r>
    </w:p>
    <w:tbl>
      <w:tblPr>
        <w:tblStyle w:val="36"/>
        <w:tblpPr w:leftFromText="180" w:rightFromText="180" w:vertAnchor="text" w:horzAnchor="page" w:tblpX="1959" w:tblpY="21"/>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94"/>
        <w:gridCol w:w="838"/>
        <w:gridCol w:w="1562"/>
        <w:gridCol w:w="1545"/>
      </w:tblGrid>
      <w:tr w14:paraId="3754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5" w:type="dxa"/>
            <w:vAlign w:val="center"/>
          </w:tcPr>
          <w:p w14:paraId="5FE92775">
            <w:pPr>
              <w:jc w:val="center"/>
              <w:rPr>
                <w:rFonts w:ascii="宋体" w:hAnsi="宋体" w:eastAsia="宋体" w:cs="宋体"/>
                <w:sz w:val="24"/>
                <w:szCs w:val="24"/>
              </w:rPr>
            </w:pPr>
            <w:r>
              <w:rPr>
                <w:rFonts w:hint="eastAsia" w:ascii="宋体" w:hAnsi="宋体" w:eastAsia="宋体" w:cs="宋体"/>
                <w:sz w:val="24"/>
                <w:szCs w:val="24"/>
              </w:rPr>
              <w:t>序号</w:t>
            </w:r>
          </w:p>
        </w:tc>
        <w:tc>
          <w:tcPr>
            <w:tcW w:w="4794" w:type="dxa"/>
            <w:vAlign w:val="center"/>
          </w:tcPr>
          <w:p w14:paraId="53E6AE6C">
            <w:pPr>
              <w:jc w:val="center"/>
              <w:rPr>
                <w:rFonts w:ascii="宋体" w:hAnsi="宋体" w:eastAsia="宋体" w:cs="宋体"/>
                <w:sz w:val="24"/>
                <w:szCs w:val="24"/>
              </w:rPr>
            </w:pPr>
            <w:r>
              <w:rPr>
                <w:rFonts w:hint="eastAsia" w:ascii="宋体" w:hAnsi="宋体" w:eastAsia="宋体" w:cs="宋体"/>
                <w:sz w:val="24"/>
                <w:szCs w:val="24"/>
              </w:rPr>
              <w:t>名称</w:t>
            </w:r>
          </w:p>
        </w:tc>
        <w:tc>
          <w:tcPr>
            <w:tcW w:w="838" w:type="dxa"/>
            <w:vAlign w:val="center"/>
          </w:tcPr>
          <w:p w14:paraId="6C11D06C">
            <w:pPr>
              <w:jc w:val="center"/>
              <w:rPr>
                <w:rFonts w:ascii="宋体" w:hAnsi="宋体" w:eastAsia="宋体" w:cs="宋体"/>
                <w:sz w:val="24"/>
                <w:szCs w:val="24"/>
              </w:rPr>
            </w:pPr>
            <w:r>
              <w:rPr>
                <w:rFonts w:hint="eastAsia" w:ascii="宋体" w:hAnsi="宋体" w:eastAsia="宋体" w:cs="宋体"/>
                <w:sz w:val="24"/>
                <w:szCs w:val="24"/>
              </w:rPr>
              <w:t>数量</w:t>
            </w:r>
          </w:p>
        </w:tc>
        <w:tc>
          <w:tcPr>
            <w:tcW w:w="1562" w:type="dxa"/>
            <w:vAlign w:val="center"/>
          </w:tcPr>
          <w:p w14:paraId="26908C68">
            <w:pPr>
              <w:jc w:val="center"/>
              <w:rPr>
                <w:rFonts w:ascii="宋体" w:hAnsi="宋体" w:eastAsia="宋体" w:cs="宋体"/>
                <w:sz w:val="24"/>
                <w:szCs w:val="24"/>
              </w:rPr>
            </w:pPr>
            <w:r>
              <w:rPr>
                <w:rFonts w:hint="eastAsia" w:ascii="宋体" w:hAnsi="宋体" w:eastAsia="宋体" w:cs="宋体"/>
                <w:sz w:val="24"/>
                <w:szCs w:val="24"/>
              </w:rPr>
              <w:t>供货方式</w:t>
            </w:r>
          </w:p>
        </w:tc>
        <w:tc>
          <w:tcPr>
            <w:tcW w:w="1545" w:type="dxa"/>
            <w:vAlign w:val="center"/>
          </w:tcPr>
          <w:p w14:paraId="1063F086">
            <w:pPr>
              <w:jc w:val="center"/>
              <w:rPr>
                <w:rFonts w:ascii="宋体" w:hAnsi="宋体" w:eastAsia="宋体" w:cs="宋体"/>
                <w:sz w:val="24"/>
                <w:szCs w:val="24"/>
              </w:rPr>
            </w:pPr>
            <w:r>
              <w:rPr>
                <w:rFonts w:hint="eastAsia" w:ascii="宋体" w:hAnsi="宋体" w:eastAsia="宋体" w:cs="宋体"/>
                <w:sz w:val="24"/>
                <w:szCs w:val="24"/>
              </w:rPr>
              <w:t>备注</w:t>
            </w:r>
          </w:p>
        </w:tc>
      </w:tr>
      <w:tr w14:paraId="57D3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5" w:type="dxa"/>
            <w:vAlign w:val="center"/>
          </w:tcPr>
          <w:p w14:paraId="78A07A60">
            <w:pPr>
              <w:jc w:val="center"/>
              <w:rPr>
                <w:rFonts w:ascii="宋体" w:hAnsi="宋体" w:eastAsia="宋体" w:cs="宋体"/>
                <w:sz w:val="24"/>
                <w:szCs w:val="24"/>
              </w:rPr>
            </w:pPr>
            <w:r>
              <w:rPr>
                <w:rFonts w:hint="eastAsia" w:ascii="宋体" w:hAnsi="宋体" w:eastAsia="宋体" w:cs="宋体"/>
                <w:sz w:val="24"/>
                <w:szCs w:val="24"/>
              </w:rPr>
              <w:t>1</w:t>
            </w:r>
          </w:p>
        </w:tc>
        <w:tc>
          <w:tcPr>
            <w:tcW w:w="4794" w:type="dxa"/>
            <w:vAlign w:val="center"/>
          </w:tcPr>
          <w:p w14:paraId="5AAF1401">
            <w:pPr>
              <w:jc w:val="center"/>
              <w:rPr>
                <w:rFonts w:ascii="宋体" w:hAnsi="宋体" w:eastAsia="宋体" w:cs="宋体"/>
                <w:sz w:val="24"/>
                <w:szCs w:val="24"/>
              </w:rPr>
            </w:pPr>
            <w:r>
              <w:rPr>
                <w:rFonts w:ascii="宋体" w:hAnsi="宋体" w:eastAsia="宋体" w:cs="宋体"/>
                <w:sz w:val="24"/>
                <w:szCs w:val="24"/>
              </w:rPr>
              <w:t>全流量自动磷化除渣机</w:t>
            </w:r>
          </w:p>
        </w:tc>
        <w:tc>
          <w:tcPr>
            <w:tcW w:w="838" w:type="dxa"/>
            <w:vAlign w:val="center"/>
          </w:tcPr>
          <w:p w14:paraId="78060257">
            <w:pPr>
              <w:jc w:val="center"/>
              <w:rPr>
                <w:rFonts w:ascii="宋体" w:hAnsi="宋体" w:eastAsia="宋体" w:cs="宋体"/>
                <w:sz w:val="24"/>
                <w:szCs w:val="24"/>
              </w:rPr>
            </w:pPr>
            <w:r>
              <w:rPr>
                <w:rFonts w:hint="eastAsia" w:ascii="宋体" w:hAnsi="宋体" w:eastAsia="宋体" w:cs="宋体"/>
                <w:sz w:val="24"/>
                <w:szCs w:val="24"/>
              </w:rPr>
              <w:t>1套</w:t>
            </w:r>
          </w:p>
        </w:tc>
        <w:tc>
          <w:tcPr>
            <w:tcW w:w="1562" w:type="dxa"/>
            <w:vAlign w:val="center"/>
          </w:tcPr>
          <w:p w14:paraId="1F37A588">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47479FFF">
            <w:pPr>
              <w:jc w:val="center"/>
              <w:rPr>
                <w:rFonts w:ascii="宋体" w:hAnsi="宋体" w:eastAsia="宋体" w:cs="宋体"/>
                <w:sz w:val="24"/>
                <w:szCs w:val="24"/>
              </w:rPr>
            </w:pPr>
          </w:p>
        </w:tc>
      </w:tr>
      <w:tr w14:paraId="75D6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5" w:type="dxa"/>
            <w:vAlign w:val="center"/>
          </w:tcPr>
          <w:p w14:paraId="2BCFC006">
            <w:pPr>
              <w:jc w:val="center"/>
              <w:rPr>
                <w:rFonts w:ascii="宋体" w:hAnsi="宋体" w:eastAsia="宋体" w:cs="宋体"/>
                <w:sz w:val="24"/>
                <w:szCs w:val="24"/>
              </w:rPr>
            </w:pPr>
            <w:r>
              <w:rPr>
                <w:rFonts w:hint="eastAsia" w:ascii="宋体" w:hAnsi="宋体" w:eastAsia="宋体" w:cs="宋体"/>
                <w:sz w:val="24"/>
                <w:szCs w:val="24"/>
              </w:rPr>
              <w:t>2</w:t>
            </w:r>
          </w:p>
        </w:tc>
        <w:tc>
          <w:tcPr>
            <w:tcW w:w="4794" w:type="dxa"/>
            <w:vAlign w:val="center"/>
          </w:tcPr>
          <w:p w14:paraId="5673ED82">
            <w:pPr>
              <w:jc w:val="center"/>
              <w:rPr>
                <w:rFonts w:ascii="宋体" w:hAnsi="宋体" w:eastAsia="宋体" w:cs="宋体"/>
                <w:sz w:val="24"/>
                <w:szCs w:val="24"/>
              </w:rPr>
            </w:pPr>
            <w:r>
              <w:rPr>
                <w:rFonts w:hint="eastAsia" w:ascii="宋体" w:hAnsi="宋体" w:eastAsia="宋体" w:cs="宋体"/>
                <w:sz w:val="24"/>
                <w:szCs w:val="24"/>
              </w:rPr>
              <w:t>循环泵含电机</w:t>
            </w:r>
          </w:p>
        </w:tc>
        <w:tc>
          <w:tcPr>
            <w:tcW w:w="838" w:type="dxa"/>
            <w:vAlign w:val="center"/>
          </w:tcPr>
          <w:p w14:paraId="1EC8C268">
            <w:pPr>
              <w:jc w:val="center"/>
              <w:rPr>
                <w:rFonts w:ascii="宋体" w:hAnsi="宋体" w:eastAsia="宋体" w:cs="宋体"/>
                <w:sz w:val="24"/>
                <w:szCs w:val="24"/>
              </w:rPr>
            </w:pPr>
            <w:r>
              <w:rPr>
                <w:rFonts w:hint="eastAsia" w:ascii="宋体" w:hAnsi="宋体" w:eastAsia="宋体" w:cs="宋体"/>
                <w:sz w:val="24"/>
                <w:szCs w:val="24"/>
              </w:rPr>
              <w:t>1套</w:t>
            </w:r>
          </w:p>
        </w:tc>
        <w:tc>
          <w:tcPr>
            <w:tcW w:w="1562" w:type="dxa"/>
            <w:vAlign w:val="center"/>
          </w:tcPr>
          <w:p w14:paraId="2E9D908E">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5B5CD8F3">
            <w:pPr>
              <w:jc w:val="center"/>
              <w:rPr>
                <w:rFonts w:ascii="宋体" w:hAnsi="宋体" w:eastAsia="宋体" w:cs="宋体"/>
                <w:sz w:val="24"/>
                <w:szCs w:val="24"/>
              </w:rPr>
            </w:pPr>
          </w:p>
        </w:tc>
      </w:tr>
      <w:tr w14:paraId="7574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5" w:type="dxa"/>
            <w:vAlign w:val="center"/>
          </w:tcPr>
          <w:p w14:paraId="5E6804F3">
            <w:pPr>
              <w:jc w:val="center"/>
              <w:rPr>
                <w:rFonts w:ascii="宋体" w:hAnsi="宋体" w:eastAsia="宋体" w:cs="宋体"/>
                <w:sz w:val="24"/>
                <w:szCs w:val="24"/>
              </w:rPr>
            </w:pPr>
            <w:r>
              <w:rPr>
                <w:rFonts w:hint="eastAsia" w:ascii="宋体" w:hAnsi="宋体" w:eastAsia="宋体" w:cs="宋体"/>
                <w:sz w:val="24"/>
                <w:szCs w:val="24"/>
              </w:rPr>
              <w:t>3</w:t>
            </w:r>
          </w:p>
        </w:tc>
        <w:tc>
          <w:tcPr>
            <w:tcW w:w="4794" w:type="dxa"/>
            <w:vAlign w:val="center"/>
          </w:tcPr>
          <w:p w14:paraId="6D70CEDE">
            <w:pPr>
              <w:jc w:val="center"/>
              <w:rPr>
                <w:rFonts w:ascii="宋体" w:hAnsi="宋体" w:eastAsia="宋体" w:cs="宋体"/>
                <w:sz w:val="24"/>
                <w:szCs w:val="24"/>
              </w:rPr>
            </w:pPr>
            <w:r>
              <w:rPr>
                <w:rFonts w:hint="eastAsia" w:ascii="宋体" w:hAnsi="宋体" w:eastAsia="宋体" w:cs="宋体"/>
                <w:sz w:val="24"/>
                <w:szCs w:val="24"/>
              </w:rPr>
              <w:t>除渣机匹配磷化槽循环管路</w:t>
            </w:r>
          </w:p>
        </w:tc>
        <w:tc>
          <w:tcPr>
            <w:tcW w:w="838" w:type="dxa"/>
            <w:vAlign w:val="center"/>
          </w:tcPr>
          <w:p w14:paraId="6166A358">
            <w:pPr>
              <w:jc w:val="center"/>
              <w:rPr>
                <w:rFonts w:ascii="宋体" w:hAnsi="宋体" w:eastAsia="宋体" w:cs="宋体"/>
                <w:sz w:val="24"/>
                <w:szCs w:val="24"/>
              </w:rPr>
            </w:pPr>
            <w:r>
              <w:rPr>
                <w:rFonts w:hint="eastAsia" w:ascii="宋体" w:hAnsi="宋体" w:eastAsia="宋体" w:cs="宋体"/>
                <w:sz w:val="24"/>
                <w:szCs w:val="24"/>
              </w:rPr>
              <w:t>1宗</w:t>
            </w:r>
          </w:p>
        </w:tc>
        <w:tc>
          <w:tcPr>
            <w:tcW w:w="1562" w:type="dxa"/>
            <w:vAlign w:val="center"/>
          </w:tcPr>
          <w:p w14:paraId="01947260">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3821C932">
            <w:pPr>
              <w:jc w:val="center"/>
              <w:rPr>
                <w:rFonts w:ascii="宋体" w:hAnsi="宋体" w:eastAsia="宋体" w:cs="宋体"/>
                <w:sz w:val="24"/>
                <w:szCs w:val="24"/>
              </w:rPr>
            </w:pPr>
          </w:p>
        </w:tc>
      </w:tr>
      <w:tr w14:paraId="596F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5" w:type="dxa"/>
            <w:vAlign w:val="center"/>
          </w:tcPr>
          <w:p w14:paraId="1C3D2D0B">
            <w:pPr>
              <w:jc w:val="center"/>
              <w:rPr>
                <w:rFonts w:ascii="宋体" w:hAnsi="宋体" w:eastAsia="宋体" w:cs="宋体"/>
                <w:sz w:val="24"/>
                <w:szCs w:val="24"/>
              </w:rPr>
            </w:pPr>
            <w:r>
              <w:rPr>
                <w:rFonts w:hint="eastAsia" w:ascii="宋体" w:hAnsi="宋体" w:eastAsia="宋体" w:cs="宋体"/>
                <w:sz w:val="24"/>
                <w:szCs w:val="24"/>
              </w:rPr>
              <w:t>4</w:t>
            </w:r>
          </w:p>
        </w:tc>
        <w:tc>
          <w:tcPr>
            <w:tcW w:w="4794" w:type="dxa"/>
            <w:vAlign w:val="center"/>
          </w:tcPr>
          <w:p w14:paraId="5AF9DFAE">
            <w:pPr>
              <w:jc w:val="center"/>
              <w:rPr>
                <w:rFonts w:ascii="宋体" w:hAnsi="宋体" w:eastAsia="宋体" w:cs="宋体"/>
                <w:sz w:val="24"/>
                <w:szCs w:val="24"/>
              </w:rPr>
            </w:pPr>
            <w:r>
              <w:rPr>
                <w:rFonts w:hint="eastAsia" w:ascii="宋体" w:hAnsi="宋体" w:eastAsia="宋体" w:cs="宋体"/>
                <w:sz w:val="24"/>
                <w:szCs w:val="24"/>
              </w:rPr>
              <w:t>电缆、管件、辅料、人工安装</w:t>
            </w:r>
          </w:p>
        </w:tc>
        <w:tc>
          <w:tcPr>
            <w:tcW w:w="838" w:type="dxa"/>
            <w:vAlign w:val="center"/>
          </w:tcPr>
          <w:p w14:paraId="50DC9DB9">
            <w:pPr>
              <w:jc w:val="center"/>
              <w:rPr>
                <w:rFonts w:ascii="宋体" w:hAnsi="宋体" w:eastAsia="宋体" w:cs="宋体"/>
                <w:sz w:val="24"/>
                <w:szCs w:val="24"/>
              </w:rPr>
            </w:pPr>
            <w:r>
              <w:rPr>
                <w:rFonts w:hint="eastAsia" w:ascii="宋体" w:hAnsi="宋体" w:eastAsia="宋体" w:cs="宋体"/>
                <w:sz w:val="24"/>
                <w:szCs w:val="24"/>
              </w:rPr>
              <w:t>1宗</w:t>
            </w:r>
          </w:p>
        </w:tc>
        <w:tc>
          <w:tcPr>
            <w:tcW w:w="1562" w:type="dxa"/>
            <w:vAlign w:val="center"/>
          </w:tcPr>
          <w:p w14:paraId="0B448B2C">
            <w:pPr>
              <w:jc w:val="center"/>
              <w:rPr>
                <w:rFonts w:ascii="宋体" w:hAnsi="宋体" w:eastAsia="宋体" w:cs="宋体"/>
                <w:sz w:val="24"/>
                <w:szCs w:val="24"/>
              </w:rPr>
            </w:pPr>
            <w:r>
              <w:rPr>
                <w:rFonts w:hint="eastAsia" w:ascii="宋体" w:hAnsi="宋体" w:eastAsia="宋体" w:cs="宋体"/>
                <w:sz w:val="24"/>
                <w:szCs w:val="24"/>
              </w:rPr>
              <w:t>交钥匙方式</w:t>
            </w:r>
          </w:p>
        </w:tc>
        <w:tc>
          <w:tcPr>
            <w:tcW w:w="1545" w:type="dxa"/>
            <w:vAlign w:val="center"/>
          </w:tcPr>
          <w:p w14:paraId="03E8BEFC">
            <w:pPr>
              <w:jc w:val="center"/>
              <w:rPr>
                <w:rFonts w:ascii="宋体" w:hAnsi="宋体" w:eastAsia="宋体" w:cs="宋体"/>
                <w:sz w:val="24"/>
                <w:szCs w:val="24"/>
              </w:rPr>
            </w:pPr>
          </w:p>
        </w:tc>
      </w:tr>
    </w:tbl>
    <w:p w14:paraId="4F4EDACD">
      <w:pPr>
        <w:pStyle w:val="131"/>
        <w:spacing w:line="360" w:lineRule="auto"/>
        <w:ind w:left="361" w:firstLine="0" w:firstLineChars="0"/>
        <w:rPr>
          <w:rFonts w:ascii="宋体" w:hAnsi="宋体" w:eastAsia="宋体" w:cs="宋体"/>
          <w:b/>
          <w:sz w:val="24"/>
          <w:szCs w:val="24"/>
        </w:rPr>
      </w:pPr>
      <w:r>
        <w:rPr>
          <w:rFonts w:hint="eastAsia" w:ascii="宋体" w:hAnsi="宋体" w:eastAsia="宋体" w:cs="宋体"/>
          <w:b/>
          <w:sz w:val="24"/>
          <w:szCs w:val="24"/>
        </w:rPr>
        <w:t>五、技术规范</w:t>
      </w:r>
      <w:bookmarkStart w:id="41" w:name="_Toc9310"/>
    </w:p>
    <w:bookmarkEnd w:id="41"/>
    <w:p w14:paraId="1D882551">
      <w:pPr>
        <w:spacing w:line="360" w:lineRule="auto"/>
        <w:ind w:firstLine="424" w:firstLineChars="177"/>
        <w:rPr>
          <w:rFonts w:ascii="宋体" w:hAnsi="宋体" w:eastAsia="宋体" w:cs="宋体"/>
          <w:sz w:val="24"/>
          <w:szCs w:val="24"/>
        </w:rPr>
      </w:pPr>
      <w:r>
        <w:rPr>
          <w:rFonts w:hint="eastAsia" w:ascii="黑体" w:hAnsi="黑体" w:eastAsia="黑体" w:cs="宋体"/>
          <w:sz w:val="24"/>
          <w:szCs w:val="24"/>
        </w:rPr>
        <w:t>方案描述</w:t>
      </w:r>
    </w:p>
    <w:p w14:paraId="6DD17596">
      <w:pPr>
        <w:spacing w:line="360" w:lineRule="auto"/>
        <w:ind w:firstLine="240" w:firstLineChars="100"/>
        <w:jc w:val="left"/>
        <w:rPr>
          <w:rFonts w:ascii="宋体" w:hAnsi="宋体" w:eastAsia="宋体" w:cs="宋体"/>
          <w:sz w:val="24"/>
          <w:szCs w:val="24"/>
        </w:rPr>
      </w:pPr>
      <w:bookmarkStart w:id="42" w:name="_Toc24489"/>
      <w:r>
        <w:rPr>
          <w:rFonts w:hint="eastAsia" w:ascii="宋体" w:hAnsi="宋体" w:eastAsia="宋体" w:cs="宋体"/>
          <w:sz w:val="24"/>
          <w:szCs w:val="24"/>
        </w:rPr>
        <w:t>（1）拆除现有磷化除渣机以及磷化除渣泵；</w:t>
      </w:r>
    </w:p>
    <w:p w14:paraId="0AFE9A6D">
      <w:pPr>
        <w:spacing w:line="360" w:lineRule="auto"/>
        <w:ind w:firstLine="240" w:firstLineChars="100"/>
        <w:jc w:val="left"/>
        <w:rPr>
          <w:rFonts w:ascii="宋体" w:hAnsi="宋体" w:eastAsia="宋体" w:cs="宋体"/>
          <w:sz w:val="24"/>
          <w:szCs w:val="24"/>
        </w:rPr>
      </w:pPr>
      <w:r>
        <w:rPr>
          <w:rFonts w:hint="eastAsia" w:ascii="宋体" w:hAnsi="宋体" w:eastAsia="宋体" w:cs="宋体"/>
          <w:sz w:val="24"/>
          <w:szCs w:val="24"/>
        </w:rPr>
        <w:t>（2）安装全流量磷化除渣机，磷化池底部管道可直接接入循环泵至除渣机处理，不需要进入沉淀槽沉淀后处理。</w:t>
      </w:r>
    </w:p>
    <w:p w14:paraId="72471C3C">
      <w:pPr>
        <w:spacing w:line="360" w:lineRule="auto"/>
        <w:ind w:firstLine="240" w:firstLineChars="100"/>
        <w:jc w:val="left"/>
        <w:rPr>
          <w:rFonts w:ascii="宋体" w:hAnsi="宋体" w:eastAsia="宋体" w:cs="宋体"/>
          <w:sz w:val="24"/>
          <w:szCs w:val="24"/>
        </w:rPr>
      </w:pPr>
      <w:r>
        <w:rPr>
          <w:rFonts w:hint="eastAsia" w:ascii="宋体" w:hAnsi="宋体" w:eastAsia="宋体" w:cs="宋体"/>
          <w:sz w:val="24"/>
          <w:szCs w:val="24"/>
        </w:rPr>
        <w:t>（3）更换适配新磷化除渣机的磷化除渣泵及磷化槽循环管路，液体过流管路材质采用不锈钢304，设备进行防腐处理，非不锈钢金属表面先进行喷砂处理后喷涂防锈涂料。出渣位置增加漏斗可直接将磷化渣送至收集容器中。</w:t>
      </w:r>
    </w:p>
    <w:p w14:paraId="6B4243F1">
      <w:pPr>
        <w:spacing w:line="360" w:lineRule="auto"/>
        <w:ind w:firstLine="480" w:firstLineChars="200"/>
        <w:jc w:val="left"/>
        <w:rPr>
          <w:rFonts w:ascii="宋体" w:hAnsi="宋体" w:eastAsia="宋体" w:cs="宋体"/>
          <w:color w:val="000000"/>
          <w:sz w:val="24"/>
          <w:szCs w:val="24"/>
        </w:rPr>
      </w:pPr>
      <w:r>
        <w:rPr>
          <w:rFonts w:hint="eastAsia" w:ascii="黑体" w:hAnsi="黑体" w:eastAsia="黑体" w:cs="宋体"/>
          <w:sz w:val="24"/>
          <w:szCs w:val="24"/>
        </w:rPr>
        <w:t>总体技术要求</w:t>
      </w:r>
      <w:bookmarkEnd w:id="42"/>
    </w:p>
    <w:p w14:paraId="26A7D3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目前槽液约</w:t>
      </w:r>
      <w:r>
        <w:rPr>
          <w:rFonts w:ascii="宋体" w:hAnsi="宋体" w:eastAsia="宋体" w:cs="宋体"/>
          <w:sz w:val="24"/>
          <w:szCs w:val="24"/>
        </w:rPr>
        <w:t>160</w:t>
      </w:r>
      <w:r>
        <w:rPr>
          <w:rFonts w:hint="eastAsia" w:ascii="宋体" w:hAnsi="宋体" w:eastAsia="宋体" w:cs="宋体"/>
          <w:sz w:val="24"/>
          <w:szCs w:val="24"/>
        </w:rPr>
        <w:t>方，单车磷化面积按照 40 ㎡计算，单车出渣量满足 2—4g/㎡。 新除渣系统磷化渣含水率降低至 50%以下，滤渣系统不滴水。可继续使用原磷化除渣机日本三进FK4L同款规格滤纸，滤纸尺寸规格为0.65X50M</w:t>
      </w:r>
    </w:p>
    <w:p w14:paraId="7E3288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磷化除渣系统循环处理量满足 </w:t>
      </w:r>
      <w:r>
        <w:rPr>
          <w:rFonts w:ascii="宋体" w:hAnsi="宋体" w:eastAsia="宋体" w:cs="宋体"/>
          <w:sz w:val="24"/>
          <w:szCs w:val="24"/>
        </w:rPr>
        <w:t>6</w:t>
      </w:r>
      <w:r>
        <w:rPr>
          <w:rFonts w:hint="eastAsia" w:ascii="宋体" w:hAnsi="宋体" w:eastAsia="宋体" w:cs="宋体"/>
          <w:sz w:val="24"/>
          <w:szCs w:val="24"/>
        </w:rPr>
        <w:t>0—</w:t>
      </w:r>
      <w:r>
        <w:rPr>
          <w:rFonts w:ascii="宋体" w:hAnsi="宋体" w:eastAsia="宋体" w:cs="宋体"/>
          <w:sz w:val="24"/>
          <w:szCs w:val="24"/>
        </w:rPr>
        <w:t>9</w:t>
      </w:r>
      <w:r>
        <w:rPr>
          <w:rFonts w:hint="eastAsia" w:ascii="宋体" w:hAnsi="宋体" w:eastAsia="宋体" w:cs="宋体"/>
          <w:sz w:val="24"/>
          <w:szCs w:val="24"/>
        </w:rPr>
        <w:t>0m³/ h，</w:t>
      </w:r>
      <w:r>
        <w:rPr>
          <w:rFonts w:ascii="宋体" w:hAnsi="宋体" w:eastAsia="宋体" w:cs="宋体"/>
          <w:color w:val="000000" w:themeColor="text1"/>
          <w:sz w:val="24"/>
          <w:szCs w:val="24"/>
        </w:rPr>
        <w:t>磷化除渣机出口含渣量</w:t>
      </w:r>
      <w:r>
        <w:rPr>
          <w:rFonts w:hint="eastAsia" w:ascii="宋体" w:hAnsi="宋体" w:eastAsia="宋体" w:cs="宋体"/>
          <w:color w:val="000000" w:themeColor="text1"/>
          <w:sz w:val="24"/>
          <w:szCs w:val="24"/>
        </w:rPr>
        <w:t>＜</w:t>
      </w:r>
      <w:r>
        <w:rPr>
          <w:rFonts w:ascii="宋体" w:hAnsi="宋体" w:eastAsia="宋体" w:cs="宋体"/>
          <w:color w:val="000000" w:themeColor="text1"/>
          <w:sz w:val="24"/>
          <w:szCs w:val="24"/>
        </w:rPr>
        <w:t>500</w:t>
      </w:r>
      <w:r>
        <w:rPr>
          <w:rFonts w:hint="eastAsia" w:ascii="宋体" w:hAnsi="宋体" w:eastAsia="宋体" w:cs="宋体"/>
          <w:color w:val="000000" w:themeColor="text1"/>
          <w:sz w:val="24"/>
          <w:szCs w:val="24"/>
        </w:rPr>
        <w:t xml:space="preserve"> mg/L</w:t>
      </w:r>
      <w:r>
        <w:rPr>
          <w:rFonts w:hint="eastAsia" w:ascii="宋体" w:hAnsi="宋体" w:eastAsia="宋体" w:cs="宋体"/>
          <w:sz w:val="24"/>
          <w:szCs w:val="24"/>
        </w:rPr>
        <w:t>。</w:t>
      </w:r>
    </w:p>
    <w:p w14:paraId="37B705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磷化除渣机本体占地面积不超过：</w:t>
      </w:r>
      <w:r>
        <w:rPr>
          <w:rFonts w:ascii="宋体" w:hAnsi="宋体" w:eastAsia="宋体" w:cs="宋体"/>
          <w:sz w:val="24"/>
          <w:szCs w:val="24"/>
        </w:rPr>
        <w:t>3</w:t>
      </w:r>
      <w:r>
        <w:rPr>
          <w:rFonts w:hint="eastAsia" w:ascii="宋体" w:hAnsi="宋体" w:eastAsia="宋体" w:cs="宋体"/>
          <w:sz w:val="24"/>
          <w:szCs w:val="24"/>
        </w:rPr>
        <w:t>000*1</w:t>
      </w:r>
      <w:r>
        <w:rPr>
          <w:rFonts w:ascii="宋体" w:hAnsi="宋体" w:eastAsia="宋体" w:cs="宋体"/>
          <w:sz w:val="24"/>
          <w:szCs w:val="24"/>
        </w:rPr>
        <w:t>5</w:t>
      </w:r>
      <w:r>
        <w:rPr>
          <w:rFonts w:hint="eastAsia" w:ascii="宋体" w:hAnsi="宋体" w:eastAsia="宋体" w:cs="宋体"/>
          <w:sz w:val="24"/>
          <w:szCs w:val="24"/>
        </w:rPr>
        <w:t>00*</w:t>
      </w:r>
      <w:r>
        <w:rPr>
          <w:rFonts w:ascii="宋体" w:hAnsi="宋体" w:eastAsia="宋体" w:cs="宋体"/>
          <w:sz w:val="24"/>
          <w:szCs w:val="24"/>
        </w:rPr>
        <w:t>2500</w:t>
      </w:r>
      <w:r>
        <w:rPr>
          <w:rFonts w:hint="eastAsia" w:ascii="宋体" w:hAnsi="宋体" w:eastAsia="宋体" w:cs="宋体"/>
          <w:sz w:val="24"/>
          <w:szCs w:val="24"/>
        </w:rPr>
        <w:t xml:space="preserve"> (L*W*H,MM，以双方约定为准）。</w:t>
      </w:r>
    </w:p>
    <w:p w14:paraId="09AA74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液体过流管路材质为SUS304，设备防腐处理，非不锈钢金属表面先喷砂处理，再防锈漆/底漆/面漆。</w:t>
      </w:r>
    </w:p>
    <w:p w14:paraId="3B1604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设备整个工作循环由PLC控制手动/自动可切换控制，触摸屏控制，采用电磁换向阀控制操作压紧－保压－后退，采用自动保压装置</w:t>
      </w:r>
    </w:p>
    <w:p w14:paraId="236912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电控柜外饰为烤漆或喷塑，外形及颜色保持一致，颜色参考重汽标准。柜内配线时充分考虑其美观性。电线编号用打码机打码。柜内配线颜色按国际色标规定执行，各类导线以颜色区分；</w:t>
      </w:r>
    </w:p>
    <w:p w14:paraId="0DE6869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现场电缆、电线等均采用封闭式电缆桥架走线保护，出桥架部分均穿钢管保护，出钢管至负荷端或信号端的电缆电线均穿金属软管保护，现场电缆管线为全封闭安全结构形式；</w:t>
      </w:r>
    </w:p>
    <w:p w14:paraId="01095C9C">
      <w:pPr>
        <w:pStyle w:val="131"/>
        <w:spacing w:line="360" w:lineRule="auto"/>
        <w:ind w:left="480" w:firstLine="0" w:firstLineChars="0"/>
        <w:jc w:val="left"/>
        <w:rPr>
          <w:rFonts w:ascii="宋体" w:hAnsi="宋体" w:eastAsia="宋体" w:cs="宋体"/>
          <w:b/>
          <w:bCs/>
          <w:color w:val="000000"/>
          <w:sz w:val="24"/>
          <w:szCs w:val="24"/>
        </w:rPr>
      </w:pPr>
      <w:r>
        <w:rPr>
          <w:rFonts w:hint="eastAsia" w:ascii="宋体" w:hAnsi="宋体" w:eastAsia="宋体" w:cs="宋体"/>
          <w:b/>
          <w:bCs/>
          <w:color w:val="000000"/>
          <w:sz w:val="24"/>
          <w:szCs w:val="24"/>
        </w:rPr>
        <w:t>技术资料</w:t>
      </w:r>
    </w:p>
    <w:p w14:paraId="17671FA2">
      <w:pPr>
        <w:spacing w:line="360" w:lineRule="auto"/>
        <w:ind w:firstLine="420"/>
        <w:rPr>
          <w:rFonts w:ascii="宋体" w:hAnsi="宋体" w:eastAsia="宋体" w:cs="宋体"/>
          <w:sz w:val="24"/>
          <w:szCs w:val="24"/>
        </w:rPr>
      </w:pPr>
      <w:r>
        <w:rPr>
          <w:rFonts w:hint="eastAsia" w:ascii="宋体" w:hAnsi="宋体" w:eastAsia="宋体" w:cs="宋体"/>
          <w:sz w:val="24"/>
          <w:szCs w:val="24"/>
        </w:rPr>
        <w:t>投标方须在项目不同阶段向招标方提供项目资料，各阶段需提供资料如下表所示：</w:t>
      </w:r>
    </w:p>
    <w:tbl>
      <w:tblPr>
        <w:tblStyle w:val="36"/>
        <w:tblW w:w="9303" w:type="dxa"/>
        <w:tblInd w:w="91" w:type="dxa"/>
        <w:tblLayout w:type="autofit"/>
        <w:tblCellMar>
          <w:top w:w="0" w:type="dxa"/>
          <w:left w:w="108" w:type="dxa"/>
          <w:bottom w:w="0" w:type="dxa"/>
          <w:right w:w="108" w:type="dxa"/>
        </w:tblCellMar>
      </w:tblPr>
      <w:tblGrid>
        <w:gridCol w:w="555"/>
        <w:gridCol w:w="3435"/>
        <w:gridCol w:w="1100"/>
        <w:gridCol w:w="1888"/>
        <w:gridCol w:w="2325"/>
      </w:tblGrid>
      <w:tr w14:paraId="4E681239">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56FB">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4C4F">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资料名称</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7EFB">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设计审查</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47DF">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终验收</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0881">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备注</w:t>
            </w:r>
          </w:p>
        </w:tc>
      </w:tr>
      <w:tr w14:paraId="402EB7CA">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B8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9051">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设备说明书</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904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4F5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9F95">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新增或改造所涉及内容</w:t>
            </w:r>
          </w:p>
        </w:tc>
      </w:tr>
      <w:tr w14:paraId="10E1293E">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3F9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BD8C">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设备合格证</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EF6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B38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AB2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新增或改造所涉及内容</w:t>
            </w:r>
          </w:p>
        </w:tc>
      </w:tr>
      <w:tr w14:paraId="0998D68F">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74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5B94">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设备外形图纸</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78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42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4D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新增或改造所涉及内容</w:t>
            </w:r>
          </w:p>
        </w:tc>
      </w:tr>
      <w:tr w14:paraId="3047458E">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7F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9CE9">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货品清单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77B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5E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1E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新增或改造所涉及内容</w:t>
            </w:r>
          </w:p>
        </w:tc>
      </w:tr>
      <w:tr w14:paraId="4C2E94A9">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61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D620">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设备易损件清单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1A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C3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4C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新增或改造所涉及内容</w:t>
            </w:r>
          </w:p>
        </w:tc>
      </w:tr>
      <w:tr w14:paraId="79583ABA">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60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6F17">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安装使用、润滑维护保养手册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A8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DA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EC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新增或改造所涉及内容</w:t>
            </w:r>
          </w:p>
        </w:tc>
      </w:tr>
      <w:tr w14:paraId="059E4400">
        <w:tblPrEx>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15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8898">
            <w:pPr>
              <w:widowControl/>
              <w:jc w:val="left"/>
              <w:textAlignment w:val="center"/>
              <w:rPr>
                <w:rFonts w:ascii="宋体" w:hAnsi="宋体" w:eastAsia="宋体" w:cs="宋体"/>
                <w:color w:val="000000"/>
                <w:szCs w:val="21"/>
              </w:rPr>
            </w:pPr>
            <w:r>
              <w:rPr>
                <w:rFonts w:hint="eastAsia" w:ascii="宋体" w:hAnsi="宋体" w:eastAsia="宋体" w:cs="宋体"/>
                <w:color w:val="000000"/>
                <w:szCs w:val="21"/>
              </w:rPr>
              <w:t>设备程序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C6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7E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5D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新增或改造所涉及内容</w:t>
            </w:r>
          </w:p>
        </w:tc>
      </w:tr>
    </w:tbl>
    <w:p w14:paraId="4C463A22">
      <w:pPr>
        <w:spacing w:line="360" w:lineRule="auto"/>
        <w:ind w:firstLine="420"/>
        <w:rPr>
          <w:rFonts w:ascii="宋体" w:hAnsi="宋体" w:eastAsia="宋体" w:cs="宋体"/>
          <w:sz w:val="24"/>
          <w:szCs w:val="24"/>
        </w:rPr>
      </w:pPr>
      <w:r>
        <w:rPr>
          <w:rFonts w:hint="eastAsia" w:ascii="宋体" w:hAnsi="宋体" w:eastAsia="宋体" w:cs="宋体"/>
          <w:sz w:val="24"/>
          <w:szCs w:val="24"/>
        </w:rPr>
        <w:t>注：</w:t>
      </w:r>
    </w:p>
    <w:p w14:paraId="046540A5">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投标方应在项目各阶段，按照招标方要求的格式和内容提供相应文件。</w:t>
      </w:r>
    </w:p>
    <w:p w14:paraId="35CE0C3A">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根据验收要求，在设备有改动时，投标方要提供更新的技术文件。</w:t>
      </w:r>
    </w:p>
    <w:p w14:paraId="3DCD4F90">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所有文件都要配备中文。</w:t>
      </w:r>
    </w:p>
    <w:p w14:paraId="3976B715">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为保证现场验收满足招标方的要求，投标方应提交所有其提供设备的有关文件，由另一家公司提供的文件必须提交原件，不允许提供复印件，投标方丢失的任何文件必须免费补上。</w:t>
      </w:r>
    </w:p>
    <w:p w14:paraId="2E8704DA">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图纸交付文件格式：AUTOCAD2008、PDF格式。</w:t>
      </w:r>
    </w:p>
    <w:p w14:paraId="6150F1CA">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终验收时提交的电子文档应包含设计审查和预验收阶段提交的文件。</w:t>
      </w:r>
    </w:p>
    <w:p w14:paraId="416A71FC">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项目各阶段所需的电子资料以U盘形式提交。</w:t>
      </w:r>
    </w:p>
    <w:p w14:paraId="2BDC313C">
      <w:pPr>
        <w:pStyle w:val="57"/>
        <w:widowControl/>
        <w:numPr>
          <w:ilvl w:val="0"/>
          <w:numId w:val="28"/>
        </w:numPr>
        <w:spacing w:line="360" w:lineRule="auto"/>
        <w:ind w:left="0" w:firstLine="0" w:firstLineChars="0"/>
        <w:contextualSpacing/>
        <w:rPr>
          <w:rFonts w:ascii="宋体" w:hAnsi="宋体" w:eastAsia="宋体" w:cs="宋体"/>
          <w:sz w:val="24"/>
          <w:szCs w:val="24"/>
        </w:rPr>
      </w:pPr>
      <w:r>
        <w:rPr>
          <w:rFonts w:hint="eastAsia" w:ascii="宋体" w:hAnsi="宋体" w:eastAsia="宋体" w:cs="宋体"/>
          <w:sz w:val="24"/>
          <w:szCs w:val="24"/>
        </w:rPr>
        <w:t>投标方采购的设备，相关资料文件由投标方负责收集。</w:t>
      </w:r>
    </w:p>
    <w:p w14:paraId="2FDF6B5E">
      <w:pPr>
        <w:widowControl/>
        <w:jc w:val="left"/>
        <w:rPr>
          <w:rFonts w:ascii="宋体" w:hAnsi="宋体" w:eastAsia="等线" w:cs="Times New Roman"/>
          <w:b/>
          <w:sz w:val="28"/>
          <w:szCs w:val="24"/>
          <w:lang w:val="en-GB"/>
        </w:rPr>
      </w:pPr>
      <w:r>
        <w:rPr>
          <w:rFonts w:ascii="宋体" w:hAnsi="宋体" w:eastAsia="等线" w:cs="Times New Roman"/>
          <w:b/>
          <w:sz w:val="28"/>
          <w:szCs w:val="24"/>
          <w:lang w:val="en-GB"/>
        </w:rPr>
        <w:br w:type="page"/>
      </w:r>
    </w:p>
    <w:p w14:paraId="1BA44626">
      <w:pPr>
        <w:keepNext/>
        <w:keepLines/>
        <w:spacing w:before="120" w:after="120" w:line="360" w:lineRule="auto"/>
        <w:jc w:val="center"/>
        <w:outlineLvl w:val="0"/>
        <w:rPr>
          <w:rFonts w:ascii="宋体" w:hAnsi="宋体" w:eastAsia="等线" w:cs="宋体"/>
          <w:kern w:val="44"/>
          <w:sz w:val="28"/>
          <w:szCs w:val="28"/>
          <w:lang w:val="en-GB"/>
        </w:rPr>
      </w:pPr>
      <w:bookmarkStart w:id="43" w:name="_Toc20332"/>
      <w:bookmarkStart w:id="44" w:name="_Toc15157"/>
      <w:r>
        <w:rPr>
          <w:rFonts w:hint="eastAsia" w:ascii="宋体" w:hAnsi="宋体" w:eastAsia="等线" w:cs="宋体"/>
          <w:kern w:val="44"/>
          <w:sz w:val="28"/>
          <w:szCs w:val="28"/>
          <w:lang w:val="en-GB"/>
        </w:rPr>
        <w:t>第三章  供货范围及供货方式</w:t>
      </w:r>
      <w:bookmarkEnd w:id="43"/>
      <w:bookmarkEnd w:id="44"/>
    </w:p>
    <w:p w14:paraId="11D8C80A">
      <w:pPr>
        <w:keepNext/>
        <w:keepLines/>
        <w:spacing w:before="120" w:after="120" w:line="360" w:lineRule="auto"/>
        <w:jc w:val="center"/>
        <w:outlineLvl w:val="1"/>
        <w:rPr>
          <w:rFonts w:ascii="宋体" w:hAnsi="宋体" w:eastAsia="宋体" w:cs="Times New Roman"/>
          <w:sz w:val="24"/>
          <w:szCs w:val="24"/>
        </w:rPr>
      </w:pPr>
      <w:bookmarkStart w:id="45" w:name="_Toc9658381"/>
      <w:r>
        <w:rPr>
          <w:rFonts w:hint="eastAsia" w:ascii="宋体" w:hAnsi="宋体" w:eastAsia="宋体" w:cs="Times New Roman"/>
          <w:sz w:val="24"/>
          <w:szCs w:val="24"/>
        </w:rPr>
        <w:t>第一节</w:t>
      </w:r>
      <w:r>
        <w:rPr>
          <w:rFonts w:ascii="宋体" w:hAnsi="宋体" w:eastAsia="宋体" w:cs="Times New Roman"/>
          <w:sz w:val="24"/>
          <w:szCs w:val="24"/>
        </w:rPr>
        <w:t xml:space="preserve">  </w:t>
      </w:r>
      <w:r>
        <w:rPr>
          <w:rFonts w:hint="eastAsia" w:ascii="宋体" w:hAnsi="宋体" w:eastAsia="宋体" w:cs="Times New Roman"/>
          <w:sz w:val="24"/>
          <w:szCs w:val="24"/>
        </w:rPr>
        <w:t>供货范围</w:t>
      </w:r>
      <w:bookmarkEnd w:id="45"/>
    </w:p>
    <w:p w14:paraId="13435F08">
      <w:pPr>
        <w:spacing w:line="360" w:lineRule="auto"/>
        <w:ind w:firstLine="360" w:firstLineChars="150"/>
        <w:rPr>
          <w:rFonts w:ascii="宋体" w:hAnsi="宋体" w:eastAsia="宋体" w:cs="宋体"/>
          <w:sz w:val="24"/>
          <w:szCs w:val="24"/>
        </w:rPr>
      </w:pPr>
      <w:r>
        <w:rPr>
          <w:rFonts w:hint="eastAsia" w:ascii="宋体" w:hAnsi="宋体" w:eastAsia="宋体" w:cs="宋体"/>
          <w:sz w:val="24"/>
          <w:szCs w:val="24"/>
        </w:rPr>
        <w:t>一、供货范围</w:t>
      </w:r>
    </w:p>
    <w:p w14:paraId="76C45393">
      <w:pPr>
        <w:spacing w:line="360" w:lineRule="auto"/>
        <w:ind w:firstLine="241" w:firstLineChars="100"/>
        <w:rPr>
          <w:rFonts w:ascii="宋体" w:hAnsi="宋体" w:eastAsia="宋体" w:cs="宋体"/>
          <w:b/>
          <w:sz w:val="24"/>
          <w:szCs w:val="24"/>
        </w:rPr>
      </w:pPr>
      <w:r>
        <w:rPr>
          <w:rFonts w:hint="eastAsia" w:ascii="宋体" w:hAnsi="宋体" w:eastAsia="宋体" w:cs="宋体"/>
          <w:b/>
          <w:sz w:val="24"/>
          <w:szCs w:val="24"/>
        </w:rPr>
        <w:t>（一）一般界定</w:t>
      </w:r>
    </w:p>
    <w:p w14:paraId="0A7EA64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1.包括本技术标书所列明的主要货物及货物正常运行所必需的全套连线设备、材料等，如货物端联接法兰外端面之内的、电气系统接口压线板（插座等）之内的设备、材料、联接螺栓、垫片等。</w:t>
      </w:r>
    </w:p>
    <w:p w14:paraId="3A59B3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8FAF3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6163D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63A6ED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D7568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39BF0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1BDEC73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6D69E3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1.招标方提供货物所需的建筑物（如厂房等）和构筑物（如混凝土池、砼基础等），包含正常安装施工所需的预埋件（如穿管、预埋螺栓、螺母及垫片）。</w:t>
      </w:r>
    </w:p>
    <w:p w14:paraId="34130E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招标方提供符合本技术标书中“采购货物概况”和“使用环境”章节所列明品质的电力、自来水、压缩空气、蒸汽、天然气（或煤气）管线至系统接口，如：系统电力接口的接线端，水、气、汽等外围管线端连接法兰外端面。</w:t>
      </w:r>
    </w:p>
    <w:p w14:paraId="62569A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208A0E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3.对于招标文件中无明确具体要求而投标方认为必须具备的其他货物，投标方必须将该部分货物单独报价（该报价含运杂费及税费等其它费用，而且不再作为其他报价涉及的其他费用的计算基数）。</w:t>
      </w:r>
    </w:p>
    <w:p w14:paraId="34BA81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65665D2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二、备品备件、易损件和专用耗材供货范围</w:t>
      </w:r>
    </w:p>
    <w:p w14:paraId="18CC102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1.备品备件、易损件和专用耗材是招标方为保证货物质保期之后正常运行一年所自备自用的备品备件、易损件和专用耗材。</w:t>
      </w:r>
    </w:p>
    <w:p w14:paraId="57DC8C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47F322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64C3EE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三、技术资料供货范围</w:t>
      </w:r>
    </w:p>
    <w:p w14:paraId="100CDA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696697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1.在合同签订后</w:t>
      </w:r>
      <w:r>
        <w:rPr>
          <w:rFonts w:ascii="宋体" w:hAnsi="宋体" w:eastAsia="宋体" w:cs="宋体"/>
          <w:sz w:val="24"/>
          <w:szCs w:val="24"/>
          <w:u w:val="single"/>
          <w:shd w:val="pct10" w:color="auto" w:fill="FFFFFF"/>
        </w:rPr>
        <w:t xml:space="preserve">30 </w:t>
      </w:r>
      <w:r>
        <w:rPr>
          <w:rFonts w:hint="eastAsia" w:ascii="宋体" w:hAnsi="宋体" w:eastAsia="宋体" w:cs="宋体"/>
          <w:sz w:val="24"/>
          <w:szCs w:val="24"/>
        </w:rPr>
        <w:t>个日历日内，提供货物基础及相关的设计、制作所需的纸质及电子版资料；电子版文件应当能够使用常用版本软件可以阅读甚至使用，进口货物、设备应有中外文对照。</w:t>
      </w:r>
    </w:p>
    <w:p w14:paraId="4E59CD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5865F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3.在终验收前，提供为保证货物后续正常运行所需的工装、吊（挂）具明细及其图纸、具体技术要求等资料（如果供货范围包含该部分实物）。</w:t>
      </w:r>
    </w:p>
    <w:p w14:paraId="2AB91E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376745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5.在终验收后、终验收后的第一笔货款支付日之前，提供包括货物的备品备件、易损件和专用耗材的图纸及技术参数、技术要求等资料。</w:t>
      </w:r>
    </w:p>
    <w:p w14:paraId="470A3F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22404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EC253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8.本条款所列的技术资料、图片、影像等，投标方应各提供</w:t>
      </w:r>
      <w:r>
        <w:rPr>
          <w:rFonts w:ascii="宋体" w:hAnsi="宋体" w:eastAsia="宋体" w:cs="宋体"/>
          <w:sz w:val="24"/>
          <w:szCs w:val="24"/>
        </w:rPr>
        <w:t>5</w:t>
      </w:r>
      <w:r>
        <w:rPr>
          <w:rFonts w:hint="eastAsia" w:ascii="宋体" w:hAnsi="宋体" w:eastAsia="宋体" w:cs="宋体"/>
          <w:sz w:val="24"/>
          <w:szCs w:val="24"/>
        </w:rPr>
        <w:t>套，其中</w:t>
      </w:r>
      <w:r>
        <w:rPr>
          <w:rFonts w:ascii="宋体" w:hAnsi="宋体" w:eastAsia="宋体" w:cs="宋体"/>
          <w:sz w:val="24"/>
          <w:szCs w:val="24"/>
        </w:rPr>
        <w:t>2</w:t>
      </w:r>
      <w:r>
        <w:rPr>
          <w:rFonts w:hint="eastAsia" w:ascii="宋体" w:hAnsi="宋体" w:eastAsia="宋体" w:cs="宋体"/>
          <w:sz w:val="24"/>
          <w:szCs w:val="24"/>
        </w:rPr>
        <w:t>套为电子版光（软）盘；每份技术文件应装有目录清单。</w:t>
      </w:r>
    </w:p>
    <w:p w14:paraId="626CCF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7EEACC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四、供货范围特别提示</w:t>
      </w:r>
    </w:p>
    <w:p w14:paraId="45F23C0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0D8D72D3">
      <w:pPr>
        <w:rPr>
          <w:rFonts w:ascii="宋体" w:hAnsi="宋体" w:eastAsia="宋体" w:cs="宋体"/>
          <w:sz w:val="24"/>
          <w:szCs w:val="24"/>
        </w:rPr>
      </w:pPr>
      <w:r>
        <w:rPr>
          <w:rFonts w:ascii="宋体" w:hAnsi="宋体" w:eastAsia="宋体" w:cs="宋体"/>
          <w:sz w:val="24"/>
          <w:szCs w:val="24"/>
        </w:rPr>
        <w:br w:type="page"/>
      </w:r>
    </w:p>
    <w:p w14:paraId="60FEE44A">
      <w:pPr>
        <w:adjustRightInd w:val="0"/>
        <w:spacing w:before="120" w:after="156" w:afterLines="50" w:line="280" w:lineRule="atLeast"/>
        <w:textAlignment w:val="baseline"/>
        <w:rPr>
          <w:rFonts w:ascii="Calibri" w:hAnsi="Calibri" w:eastAsia="新宋体" w:cs="Times New Roman"/>
          <w:szCs w:val="21"/>
        </w:rPr>
      </w:pPr>
    </w:p>
    <w:p w14:paraId="267CBC6C">
      <w:pPr>
        <w:keepNext/>
        <w:keepLines/>
        <w:spacing w:before="120" w:after="120" w:line="360" w:lineRule="auto"/>
        <w:jc w:val="center"/>
        <w:outlineLvl w:val="1"/>
        <w:rPr>
          <w:rFonts w:ascii="Arial" w:hAnsi="Arial" w:eastAsia="宋体" w:cs="Times New Roman"/>
          <w:sz w:val="24"/>
          <w:szCs w:val="24"/>
        </w:rPr>
      </w:pPr>
      <w:bookmarkStart w:id="46" w:name="_Toc9658382"/>
      <w:r>
        <w:rPr>
          <w:rFonts w:hint="eastAsia" w:ascii="Arial" w:hAnsi="Arial" w:eastAsia="宋体" w:cs="Times New Roman"/>
          <w:sz w:val="24"/>
          <w:szCs w:val="24"/>
        </w:rPr>
        <w:t>第二节</w:t>
      </w:r>
      <w:r>
        <w:rPr>
          <w:rFonts w:ascii="Arial" w:hAnsi="Arial" w:eastAsia="宋体" w:cs="Times New Roman"/>
          <w:sz w:val="24"/>
          <w:szCs w:val="24"/>
        </w:rPr>
        <w:t xml:space="preserve">  </w:t>
      </w:r>
      <w:r>
        <w:rPr>
          <w:rFonts w:hint="eastAsia" w:ascii="Arial" w:hAnsi="Arial" w:eastAsia="宋体" w:cs="Times New Roman"/>
          <w:sz w:val="24"/>
          <w:szCs w:val="24"/>
        </w:rPr>
        <w:t>供货方式</w:t>
      </w:r>
      <w:bookmarkEnd w:id="46"/>
    </w:p>
    <w:p w14:paraId="67D304C0">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一、供货方式</w:t>
      </w:r>
    </w:p>
    <w:p w14:paraId="02786A58">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14:paraId="5712FC7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二、供货地点：济南轻卡制造公司。</w:t>
      </w:r>
    </w:p>
    <w:p w14:paraId="2FE8F44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三、供货时间</w:t>
      </w:r>
    </w:p>
    <w:p w14:paraId="4D02D92B">
      <w:pPr>
        <w:pStyle w:val="16"/>
        <w:ind w:firstLine="480" w:firstLineChars="200"/>
        <w:rPr>
          <w:rFonts w:hAnsi="宋体" w:eastAsia="宋体" w:cs="宋体"/>
          <w:color w:val="FF0000"/>
          <w:sz w:val="24"/>
          <w:szCs w:val="24"/>
        </w:rPr>
      </w:pPr>
      <w:r>
        <w:rPr>
          <w:rFonts w:hint="eastAsia" w:hAnsi="宋体" w:eastAsia="宋体" w:cs="宋体"/>
          <w:color w:val="FF0000"/>
          <w:sz w:val="24"/>
          <w:szCs w:val="24"/>
        </w:rPr>
        <w:t>交货期：</w:t>
      </w:r>
    </w:p>
    <w:p w14:paraId="7CA12E56">
      <w:pPr>
        <w:pStyle w:val="16"/>
        <w:spacing w:line="360" w:lineRule="auto"/>
        <w:ind w:firstLine="480" w:firstLineChars="200"/>
        <w:rPr>
          <w:rFonts w:hAnsi="宋体" w:eastAsia="宋体" w:cs="宋体"/>
          <w:color w:val="FF0000"/>
          <w:sz w:val="24"/>
          <w:szCs w:val="24"/>
        </w:rPr>
      </w:pPr>
      <w:r>
        <w:rPr>
          <w:rFonts w:hint="eastAsia" w:hAnsi="宋体" w:eastAsia="宋体" w:cs="宋体"/>
          <w:color w:val="FF0000"/>
          <w:sz w:val="24"/>
          <w:szCs w:val="24"/>
        </w:rPr>
        <w:t>1.2</w:t>
      </w:r>
      <w:r>
        <w:rPr>
          <w:rFonts w:hAnsi="宋体" w:eastAsia="宋体" w:cs="宋体"/>
          <w:color w:val="FF0000"/>
          <w:sz w:val="24"/>
          <w:szCs w:val="24"/>
        </w:rPr>
        <w:t>02</w:t>
      </w:r>
      <w:r>
        <w:rPr>
          <w:rFonts w:hint="eastAsia" w:hAnsi="宋体" w:eastAsia="宋体" w:cs="宋体"/>
          <w:color w:val="FF0000"/>
          <w:sz w:val="24"/>
          <w:szCs w:val="24"/>
        </w:rPr>
        <w:t>6年5月1日设备进场；</w:t>
      </w:r>
    </w:p>
    <w:p w14:paraId="3C57C6D2">
      <w:pPr>
        <w:pStyle w:val="16"/>
        <w:spacing w:line="360" w:lineRule="auto"/>
        <w:ind w:firstLine="480" w:firstLineChars="200"/>
        <w:rPr>
          <w:rFonts w:hAnsi="宋体" w:eastAsia="宋体" w:cs="宋体"/>
          <w:color w:val="FF0000"/>
          <w:sz w:val="24"/>
          <w:szCs w:val="24"/>
        </w:rPr>
      </w:pPr>
      <w:r>
        <w:rPr>
          <w:rFonts w:hint="eastAsia" w:hAnsi="宋体" w:eastAsia="宋体" w:cs="宋体"/>
          <w:color w:val="FF0000"/>
          <w:sz w:val="24"/>
          <w:szCs w:val="24"/>
        </w:rPr>
        <w:t>2.</w:t>
      </w:r>
      <w:r>
        <w:rPr>
          <w:rFonts w:hAnsi="宋体" w:eastAsia="宋体" w:cs="宋体"/>
          <w:color w:val="FF0000"/>
          <w:sz w:val="24"/>
          <w:szCs w:val="24"/>
        </w:rPr>
        <w:t>202</w:t>
      </w:r>
      <w:r>
        <w:rPr>
          <w:rFonts w:hint="eastAsia" w:hAnsi="宋体" w:eastAsia="宋体" w:cs="宋体"/>
          <w:color w:val="FF0000"/>
          <w:sz w:val="24"/>
          <w:szCs w:val="24"/>
        </w:rPr>
        <w:t>6年5月</w:t>
      </w:r>
      <w:r>
        <w:rPr>
          <w:rFonts w:hAnsi="宋体" w:eastAsia="宋体" w:cs="宋体"/>
          <w:color w:val="FF0000"/>
          <w:sz w:val="24"/>
          <w:szCs w:val="24"/>
        </w:rPr>
        <w:t>7</w:t>
      </w:r>
      <w:r>
        <w:rPr>
          <w:rFonts w:hint="eastAsia" w:hAnsi="宋体" w:eastAsia="宋体" w:cs="宋体"/>
          <w:color w:val="FF0000"/>
          <w:sz w:val="24"/>
          <w:szCs w:val="24"/>
        </w:rPr>
        <w:t>日安装调试完成，并具备生产能力保证；</w:t>
      </w:r>
    </w:p>
    <w:p w14:paraId="111412CA">
      <w:pPr>
        <w:pStyle w:val="16"/>
        <w:spacing w:line="360" w:lineRule="auto"/>
        <w:ind w:firstLine="480" w:firstLineChars="200"/>
        <w:rPr>
          <w:rFonts w:hAnsi="宋体" w:eastAsia="宋体" w:cs="宋体"/>
          <w:color w:val="FF0000"/>
          <w:sz w:val="24"/>
          <w:szCs w:val="24"/>
        </w:rPr>
      </w:pPr>
      <w:r>
        <w:rPr>
          <w:rFonts w:hint="eastAsia" w:hAnsi="宋体" w:eastAsia="宋体" w:cs="宋体"/>
          <w:color w:val="FF0000"/>
          <w:sz w:val="24"/>
          <w:szCs w:val="24"/>
        </w:rPr>
        <w:t>3.</w:t>
      </w:r>
      <w:r>
        <w:rPr>
          <w:rFonts w:hAnsi="宋体" w:eastAsia="宋体" w:cs="宋体"/>
          <w:color w:val="FF0000"/>
          <w:sz w:val="24"/>
          <w:szCs w:val="24"/>
        </w:rPr>
        <w:t>202</w:t>
      </w:r>
      <w:r>
        <w:rPr>
          <w:rFonts w:hint="eastAsia" w:hAnsi="宋体" w:eastAsia="宋体" w:cs="宋体"/>
          <w:color w:val="FF0000"/>
          <w:sz w:val="24"/>
          <w:szCs w:val="24"/>
        </w:rPr>
        <w:t>6年5月31日具备批量生产能力。</w:t>
      </w:r>
    </w:p>
    <w:p w14:paraId="7A857EB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安装调试时间或终验收时间超过规定时间的，投标方应当随标书提供详细的工期计划。</w:t>
      </w:r>
    </w:p>
    <w:p w14:paraId="4262290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四、包装</w:t>
      </w:r>
    </w:p>
    <w:p w14:paraId="144B14E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1FF89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E72163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15B0A0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3C934C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0ED564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6.每个包装箱应有明显标志，并具有中文书写的合同号、装运标志、发货和到货地点名称、发货人和收货人名称、货物名称和项目号、箱号和外形尺寸等内容。</w:t>
      </w:r>
    </w:p>
    <w:p w14:paraId="13FFBB0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7.应按照不同的装运要求在包装箱上标明“小心轻放”“箭头向上”“防潮”“防磁”“不准平放”等标志，以及其他适用的国标通用标志。</w:t>
      </w:r>
    </w:p>
    <w:p w14:paraId="3E2469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699803E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A66D5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五、运输</w:t>
      </w:r>
    </w:p>
    <w:p w14:paraId="7C09897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68E9C7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64609FC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2B547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59CCEF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661CEF9">
      <w:pPr>
        <w:rPr>
          <w:rFonts w:ascii="黑体" w:hAnsi="等线" w:eastAsia="黑体" w:cs="Times New Roman"/>
          <w:sz w:val="24"/>
          <w:szCs w:val="24"/>
        </w:rPr>
      </w:pPr>
      <w:bookmarkStart w:id="47" w:name="_Toc9658383"/>
      <w:r>
        <w:rPr>
          <w:rFonts w:ascii="黑体" w:hAnsi="等线" w:eastAsia="黑体" w:cs="Times New Roman"/>
          <w:sz w:val="24"/>
          <w:szCs w:val="24"/>
        </w:rPr>
        <w:br w:type="page"/>
      </w:r>
    </w:p>
    <w:p w14:paraId="072089B1">
      <w:pPr>
        <w:keepNext/>
        <w:keepLines/>
        <w:spacing w:before="120" w:after="120" w:line="360" w:lineRule="auto"/>
        <w:jc w:val="center"/>
        <w:outlineLvl w:val="0"/>
        <w:rPr>
          <w:rFonts w:ascii="宋体" w:hAnsi="宋体" w:eastAsia="等线" w:cs="宋体"/>
          <w:kern w:val="44"/>
          <w:sz w:val="28"/>
          <w:szCs w:val="28"/>
        </w:rPr>
      </w:pPr>
      <w:bookmarkStart w:id="48" w:name="_Toc14120"/>
      <w:bookmarkStart w:id="49" w:name="_Toc18023"/>
      <w:r>
        <w:rPr>
          <w:rFonts w:hint="eastAsia" w:ascii="宋体" w:hAnsi="宋体" w:eastAsia="等线" w:cs="宋体"/>
          <w:kern w:val="44"/>
          <w:sz w:val="28"/>
          <w:szCs w:val="28"/>
        </w:rPr>
        <w:t>第四章</w:t>
      </w:r>
      <w:r>
        <w:rPr>
          <w:rFonts w:ascii="宋体" w:hAnsi="宋体" w:eastAsia="等线" w:cs="宋体"/>
          <w:kern w:val="44"/>
          <w:sz w:val="28"/>
          <w:szCs w:val="28"/>
        </w:rPr>
        <w:t xml:space="preserve">  </w:t>
      </w:r>
      <w:r>
        <w:rPr>
          <w:rFonts w:hint="eastAsia" w:ascii="宋体" w:hAnsi="宋体" w:eastAsia="等线" w:cs="宋体"/>
          <w:kern w:val="44"/>
          <w:sz w:val="28"/>
          <w:szCs w:val="28"/>
        </w:rPr>
        <w:t>质保期及售后服务</w:t>
      </w:r>
      <w:bookmarkEnd w:id="47"/>
      <w:bookmarkEnd w:id="48"/>
      <w:bookmarkEnd w:id="49"/>
    </w:p>
    <w:p w14:paraId="127E92A0">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一、质保期及质保要求</w:t>
      </w:r>
    </w:p>
    <w:p w14:paraId="7E701B14">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 xml:space="preserve"> 壹 </w:t>
      </w:r>
      <w:r>
        <w:rPr>
          <w:rFonts w:hint="eastAsia" w:ascii="宋体" w:hAnsi="宋体" w:eastAsia="宋体" w:cs="宋体"/>
          <w:sz w:val="24"/>
          <w:szCs w:val="24"/>
        </w:rPr>
        <w:t>年。</w:t>
      </w:r>
    </w:p>
    <w:p w14:paraId="39AA296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10B80179">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29F87D2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2.质保期之内，如果货物出现设备、总成、关键零部件或者多处一般零部件的两次以上的更换或维修行为，则质保期自更换或维修行为结束、货物重新正常运行使用之日起重新计算。</w:t>
      </w:r>
    </w:p>
    <w:p w14:paraId="7AC2EBBD">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3.在质保期内免费提供零部件和及时有效的服务。质保期内因货物本身缺陷造成的各种故障，投标方应负责免费维修和服务。</w:t>
      </w:r>
    </w:p>
    <w:p w14:paraId="0DD0E67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4.质保期终止之日起一年内重复出现的质保期之内出现的故障，仍属于质保范围而且应当免费。</w:t>
      </w:r>
    </w:p>
    <w:p w14:paraId="4D6ECC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二、技术及培训服务</w:t>
      </w:r>
    </w:p>
    <w:p w14:paraId="3E1ABB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1.应免费提供一定数量的培训资料。</w:t>
      </w:r>
    </w:p>
    <w:p w14:paraId="35D3661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2.应按要求免费积极协助和提供招标方以及招标方所委托的工程设计单位有关人员所需要的、与货物有关的工程设计资料、技术咨询等。</w:t>
      </w:r>
    </w:p>
    <w:p w14:paraId="147ED3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3.若投标方提供货物涉及外购外协货物，而且该货物的技术质量等较为关键时，投标方应能保证得到配套厂家的技术支持，并免费为招标方提供技术服务。</w:t>
      </w:r>
    </w:p>
    <w:p w14:paraId="2B9C79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三、安装调试及验收服务</w:t>
      </w:r>
    </w:p>
    <w:p w14:paraId="376DA4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7D1E5A0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2.若投标方提供的货物涉及外购外协货物，而且该货物的技术质量等较为关键时，应保证能得到供应商的技术支持，并免费为招标方提供安装使用现场的指导与培训。</w:t>
      </w:r>
    </w:p>
    <w:p w14:paraId="025BB6C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7258AD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B0B7B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7D12862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622D50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四、售后服务</w:t>
      </w:r>
    </w:p>
    <w:p w14:paraId="7C3F77F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w:t>
      </w:r>
      <w:r>
        <w:rPr>
          <w:rFonts w:ascii="宋体" w:hAnsi="宋体" w:eastAsia="宋体" w:cs="宋体"/>
          <w:sz w:val="24"/>
          <w:szCs w:val="24"/>
        </w:rPr>
        <w:t>2</w:t>
      </w:r>
      <w:r>
        <w:rPr>
          <w:rFonts w:hint="eastAsia" w:ascii="宋体" w:hAnsi="宋体" w:eastAsia="宋体" w:cs="宋体"/>
          <w:sz w:val="24"/>
          <w:szCs w:val="24"/>
        </w:rPr>
        <w:t>小时内予以答复。</w:t>
      </w:r>
    </w:p>
    <w:p w14:paraId="43D1B1C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ascii="宋体" w:hAnsi="宋体" w:eastAsia="宋体" w:cs="宋体"/>
          <w:sz w:val="24"/>
          <w:szCs w:val="24"/>
          <w:u w:val="single"/>
          <w:shd w:val="pct10" w:color="auto" w:fill="FFFFFF"/>
        </w:rPr>
        <w:t xml:space="preserve"> 48 </w:t>
      </w:r>
      <w:r>
        <w:rPr>
          <w:rFonts w:hint="eastAsia" w:ascii="宋体" w:hAnsi="宋体" w:eastAsia="宋体" w:cs="宋体"/>
          <w:sz w:val="24"/>
          <w:szCs w:val="24"/>
        </w:rPr>
        <w:t>小时内派有关人员到达现场；在质保期之外，应在接到通知后</w:t>
      </w:r>
      <w:r>
        <w:rPr>
          <w:rFonts w:ascii="宋体" w:hAnsi="宋体" w:eastAsia="宋体" w:cs="宋体"/>
          <w:sz w:val="24"/>
          <w:szCs w:val="24"/>
          <w:u w:val="single"/>
          <w:shd w:val="pct10" w:color="auto" w:fill="FFFFFF"/>
        </w:rPr>
        <w:t xml:space="preserve"> 72 </w:t>
      </w:r>
      <w:r>
        <w:rPr>
          <w:rFonts w:hint="eastAsia" w:ascii="宋体" w:hAnsi="宋体" w:eastAsia="宋体" w:cs="宋体"/>
          <w:sz w:val="24"/>
          <w:szCs w:val="24"/>
        </w:rPr>
        <w:t>小时内派有关人员到达现场。</w:t>
      </w:r>
    </w:p>
    <w:p w14:paraId="67B3CDD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3.投标方派往招标方使用现场的人员，应具有较高的业务素质；在现场解决问题时，不得无故拖延或推迟，应为招标方提供最佳的服务。</w:t>
      </w:r>
    </w:p>
    <w:p w14:paraId="47B7FA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五、其他服务</w:t>
      </w:r>
    </w:p>
    <w:p w14:paraId="2A8993F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1.若投标方所提供货物有需要进口的，投标方一般应自行、自费办理；必要时，买卖双方共同办理。</w:t>
      </w:r>
    </w:p>
    <w:p w14:paraId="6F9D17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2.除招标文件、投标文件、答疑文件、技术协议、合同等约定之外，投标方应免费负责必要的或强制性的货物的检验、试验、化验等直接费用。</w:t>
      </w:r>
    </w:p>
    <w:p w14:paraId="143437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14:paraId="49D3B84E">
      <w:pPr>
        <w:rPr>
          <w:rFonts w:ascii="黑体" w:hAnsi="等线" w:eastAsia="黑体" w:cs="Times New Roman"/>
          <w:szCs w:val="24"/>
        </w:rPr>
      </w:pPr>
      <w:r>
        <w:rPr>
          <w:rFonts w:ascii="黑体" w:hAnsi="等线" w:eastAsia="黑体" w:cs="Times New Roman"/>
          <w:szCs w:val="24"/>
        </w:rPr>
        <w:br w:type="page"/>
      </w:r>
    </w:p>
    <w:p w14:paraId="6C995581">
      <w:pPr>
        <w:keepNext/>
        <w:keepLines/>
        <w:spacing w:before="120" w:after="120" w:line="360" w:lineRule="auto"/>
        <w:jc w:val="center"/>
        <w:outlineLvl w:val="0"/>
        <w:rPr>
          <w:rFonts w:ascii="宋体" w:hAnsi="宋体" w:eastAsia="等线" w:cs="宋体"/>
          <w:kern w:val="44"/>
          <w:sz w:val="28"/>
          <w:szCs w:val="28"/>
        </w:rPr>
      </w:pPr>
      <w:bookmarkStart w:id="50" w:name="_Toc29303"/>
      <w:bookmarkStart w:id="51" w:name="_Toc4160"/>
      <w:r>
        <w:rPr>
          <w:rFonts w:hint="eastAsia" w:ascii="宋体" w:hAnsi="宋体" w:eastAsia="等线" w:cs="宋体"/>
          <w:kern w:val="44"/>
          <w:sz w:val="28"/>
          <w:szCs w:val="28"/>
        </w:rPr>
        <w:t>第五章  验收</w:t>
      </w:r>
      <w:bookmarkEnd w:id="50"/>
      <w:bookmarkEnd w:id="51"/>
    </w:p>
    <w:p w14:paraId="69BEEF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一、验收依据和验收标准</w:t>
      </w:r>
    </w:p>
    <w:p w14:paraId="0CA8B9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1.验收标准一般以技术协议书和合同规定验收。无论技术协议书和合同，是否全部并准确列明验收所涉及的相关标准，均作为验收标准之一。</w:t>
      </w:r>
    </w:p>
    <w:p w14:paraId="5AB8929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14:paraId="2FC618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二、检验</w:t>
      </w:r>
    </w:p>
    <w:p w14:paraId="70DBB75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61572C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64E8A5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4DA33E1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2.1</w:t>
      </w:r>
      <w:r>
        <w:rPr>
          <w:rFonts w:hint="eastAsia" w:ascii="宋体" w:hAnsi="宋体" w:eastAsia="宋体" w:cs="宋体"/>
          <w:sz w:val="24"/>
          <w:szCs w:val="24"/>
        </w:rPr>
        <w:t>进口货物发货前，应对货物的质量、型号、规格、性能和数量</w:t>
      </w:r>
      <w:r>
        <w:rPr>
          <w:rFonts w:ascii="宋体" w:hAnsi="宋体" w:eastAsia="宋体" w:cs="宋体"/>
          <w:sz w:val="24"/>
          <w:szCs w:val="24"/>
        </w:rPr>
        <w:t>/</w:t>
      </w:r>
      <w:r>
        <w:rPr>
          <w:rFonts w:hint="eastAsia" w:ascii="宋体" w:hAnsi="宋体" w:eastAsia="宋体" w:cs="宋体"/>
          <w:sz w:val="24"/>
          <w:szCs w:val="24"/>
        </w:rPr>
        <w:t>重量作精密、全面的检验，并出具证明书，证明所供货物符合合同规定。</w:t>
      </w:r>
    </w:p>
    <w:p w14:paraId="24EE91E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rPr>
        <w:t>应依据合同规定的要求，提供买卖双方达成一致的货物的验收标准和装箱单，作为招标方检验的依据。</w:t>
      </w:r>
    </w:p>
    <w:p w14:paraId="7F3F0B4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2.3</w:t>
      </w:r>
      <w:r>
        <w:rPr>
          <w:rFonts w:hint="eastAsia" w:ascii="宋体" w:hAnsi="宋体" w:eastAsia="宋体" w:cs="宋体"/>
          <w:sz w:val="24"/>
          <w:szCs w:val="24"/>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rPr>
        <w:t>180</w:t>
      </w:r>
      <w:r>
        <w:rPr>
          <w:rFonts w:hint="eastAsia" w:ascii="宋体" w:hAnsi="宋体" w:eastAsia="宋体" w:cs="宋体"/>
          <w:sz w:val="24"/>
          <w:szCs w:val="24"/>
        </w:rPr>
        <w:t>个日历日内，根据中国商品检验检疫局出具的证明书向投标方提出索赔，因索赔所发生的一切费用（包括检验检疫费等）均由投标方承担。</w:t>
      </w:r>
    </w:p>
    <w:p w14:paraId="1635AA9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三、验收条件</w:t>
      </w:r>
    </w:p>
    <w:p w14:paraId="375046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验收一般分为预验收和终验收两部分。终验收在安装调试完成及试运行后的买方现场进行。但是所有的项目，包括不能预验收的项目和预验收通过的项目都在终验收时重新检验，最终只以终验收为准。</w:t>
      </w:r>
    </w:p>
    <w:p w14:paraId="50DDE3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3D60343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1.预验收</w:t>
      </w:r>
    </w:p>
    <w:p w14:paraId="75B4454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1.1预验收一般条件</w:t>
      </w:r>
    </w:p>
    <w:p w14:paraId="6629F0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1.1.1卖方已经按照“供货范围”要求提供了预验收资料，并且资料齐全、完整和有效。</w:t>
      </w:r>
    </w:p>
    <w:p w14:paraId="3C0511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1.1.2货物应完整，外观完整无损伤，货物标牌完整、清晰、明确。</w:t>
      </w:r>
    </w:p>
    <w:p w14:paraId="6552A8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1.1.3货物的安全要求符合中国最新的相关法律法规、标准和规范以及合同要求。 </w:t>
      </w:r>
    </w:p>
    <w:p w14:paraId="23E4CB4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1.2 预验收内容 </w:t>
      </w:r>
    </w:p>
    <w:p w14:paraId="46B6DD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1.2.1加工件外观无缺陷、无裂痕，材质无缺陷，坚固实用。</w:t>
      </w:r>
    </w:p>
    <w:p w14:paraId="33A6A0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1.2.2加工件表面无锋利边缘，焊缝无焊接缺陷。</w:t>
      </w:r>
    </w:p>
    <w:p w14:paraId="2393F94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1.2.3卖方按标书及合同技术协议的货物清单对货物进行清点，按标书及技术协议中的技术指标如设备功能、测量参数、控制参数、精度等对设备及其附件进行检验，达到协议要求且双方签字确认后，预验收完成。</w:t>
      </w:r>
    </w:p>
    <w:p w14:paraId="17D7985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1.2.4若生产过程中及生产完成后到材料生产地点进行预验收，招投标双方按照合同约定执行了合同并经检验合格，则具备验收条件。</w:t>
      </w:r>
    </w:p>
    <w:p w14:paraId="0273B08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1.2.5双方参加，检查结构件、货架、托盘加工及处理情况。经招标方确认合格后方可包装、发运。</w:t>
      </w:r>
    </w:p>
    <w:p w14:paraId="44068D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1.2.6预验收过程中，由于投标方设计或制造等原因而出现的质量问题，招标方有权提出并请投标方返修，然后再次检查直至合格。</w:t>
      </w:r>
    </w:p>
    <w:p w14:paraId="68C8E3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1.2.7预验收合格后，预验收合格的记录不能替代最终验收报告。</w:t>
      </w:r>
    </w:p>
    <w:p w14:paraId="1EC281A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w:t>
      </w:r>
    </w:p>
    <w:p w14:paraId="777928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2.1终验收一般条件</w:t>
      </w:r>
    </w:p>
    <w:p w14:paraId="1FD19DE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w:t>
      </w:r>
      <w:r>
        <w:rPr>
          <w:rFonts w:hint="eastAsia" w:ascii="宋体" w:hAnsi="宋体" w:eastAsia="宋体" w:cs="宋体"/>
          <w:sz w:val="24"/>
          <w:szCs w:val="24"/>
        </w:rPr>
        <w:t>投标方已经按照“供货范围”要求提供了预验收资料，并且资料齐全、完整和有效。</w:t>
      </w:r>
    </w:p>
    <w:p w14:paraId="04C4297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1.2</w:t>
      </w:r>
      <w:r>
        <w:rPr>
          <w:rFonts w:hint="eastAsia" w:ascii="宋体" w:hAnsi="宋体" w:eastAsia="宋体" w:cs="宋体"/>
          <w:sz w:val="24"/>
          <w:szCs w:val="24"/>
        </w:rPr>
        <w:t>货物安装调试完毕，并至少经过了验收要求的负荷试运行；投标方提出验收要求后，在连续1个月的生产周期内，设备故障率（因设备故障造成停线时间/总运行时间）在5%以下。</w:t>
      </w:r>
    </w:p>
    <w:p w14:paraId="1532F14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1.3</w:t>
      </w:r>
      <w:r>
        <w:rPr>
          <w:rFonts w:hint="eastAsia" w:ascii="宋体" w:hAnsi="宋体" w:eastAsia="宋体" w:cs="宋体"/>
          <w:sz w:val="24"/>
          <w:szCs w:val="24"/>
        </w:rPr>
        <w:t>货物应完整且所有的零部件应该安装牢固，外观无损伤，所有的焊缝饱满、无残渣等缺陷。</w:t>
      </w:r>
    </w:p>
    <w:p w14:paraId="29E91B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1.4</w:t>
      </w:r>
      <w:r>
        <w:rPr>
          <w:rFonts w:hint="eastAsia" w:ascii="宋体" w:hAnsi="宋体" w:eastAsia="宋体" w:cs="宋体"/>
          <w:sz w:val="24"/>
          <w:szCs w:val="24"/>
        </w:rPr>
        <w:t>一般情况下，所有的管路和线缆等，接头应完全正确、可靠地连接；应排列有序（正确、牢固、整齐），有必要的防护，无皱褶、收缩和裂缝等不良现象。</w:t>
      </w:r>
    </w:p>
    <w:p w14:paraId="69C3D89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1.5</w:t>
      </w:r>
      <w:r>
        <w:rPr>
          <w:rFonts w:hint="eastAsia" w:ascii="宋体" w:hAnsi="宋体" w:eastAsia="宋体" w:cs="宋体"/>
          <w:sz w:val="24"/>
          <w:szCs w:val="24"/>
        </w:rPr>
        <w:t>货物的润滑系统工作正常、可靠，润滑点易于到达。</w:t>
      </w:r>
    </w:p>
    <w:p w14:paraId="3A288C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1.6</w:t>
      </w:r>
      <w:r>
        <w:rPr>
          <w:rFonts w:hint="eastAsia" w:ascii="宋体" w:hAnsi="宋体" w:eastAsia="宋体" w:cs="宋体"/>
          <w:sz w:val="24"/>
          <w:szCs w:val="24"/>
        </w:rPr>
        <w:t>使用的压力容器、电气等应具备合格证（如果有压力容器）。</w:t>
      </w:r>
    </w:p>
    <w:p w14:paraId="7438AB1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1.7</w:t>
      </w:r>
      <w:r>
        <w:rPr>
          <w:rFonts w:hint="eastAsia" w:ascii="宋体" w:hAnsi="宋体" w:eastAsia="宋体" w:cs="宋体"/>
          <w:sz w:val="24"/>
          <w:szCs w:val="24"/>
        </w:rPr>
        <w:t>货物的油漆质量应饱满、有光泽，无掉漆、无色差、无“桔皮”等不良现象（特殊标志除外）。</w:t>
      </w:r>
    </w:p>
    <w:p w14:paraId="472762C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1.8</w:t>
      </w:r>
      <w:r>
        <w:rPr>
          <w:rFonts w:hint="eastAsia" w:ascii="宋体" w:hAnsi="宋体" w:eastAsia="宋体" w:cs="宋体"/>
          <w:sz w:val="24"/>
          <w:szCs w:val="24"/>
        </w:rPr>
        <w:t>货物标牌完整、清晰、明确。</w:t>
      </w:r>
    </w:p>
    <w:p w14:paraId="71FA80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1.9</w:t>
      </w:r>
      <w:r>
        <w:rPr>
          <w:rFonts w:hint="eastAsia" w:ascii="宋体" w:hAnsi="宋体" w:eastAsia="宋体" w:cs="宋体"/>
          <w:sz w:val="24"/>
          <w:szCs w:val="24"/>
        </w:rPr>
        <w:t>地线联接和地极符合国际（</w:t>
      </w:r>
      <w:r>
        <w:rPr>
          <w:rFonts w:ascii="宋体" w:hAnsi="宋体" w:eastAsia="宋体" w:cs="宋体"/>
          <w:sz w:val="24"/>
          <w:szCs w:val="24"/>
        </w:rPr>
        <w:t>ISO/IEC</w:t>
      </w:r>
      <w:r>
        <w:rPr>
          <w:rFonts w:hint="eastAsia" w:ascii="宋体" w:hAnsi="宋体" w:eastAsia="宋体" w:cs="宋体"/>
          <w:sz w:val="24"/>
          <w:szCs w:val="24"/>
        </w:rPr>
        <w:t>）标准规范。</w:t>
      </w:r>
    </w:p>
    <w:p w14:paraId="21F9C3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1.10</w:t>
      </w:r>
      <w:r>
        <w:rPr>
          <w:rFonts w:hint="eastAsia" w:ascii="宋体" w:hAnsi="宋体" w:eastAsia="宋体" w:cs="宋体"/>
          <w:sz w:val="24"/>
          <w:szCs w:val="24"/>
        </w:rPr>
        <w:t>货物的安全要求符合中国最新的相关法律法规、标准和规范以及合同要求。</w:t>
      </w:r>
    </w:p>
    <w:p w14:paraId="44CE991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2.1.11中标方提出终验收前1个月，需向招标方提供的技术文件资料：</w:t>
      </w:r>
    </w:p>
    <w:p w14:paraId="6937CF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1）所有技术文件资料均为纸质文件3套和电子版文件（含3D和2D）3套（U盘），其中所有电子版文件必须使用国际通用软件以确保能在招标方的计算机中打开并进行编辑和修改。</w:t>
      </w:r>
    </w:p>
    <w:p w14:paraId="6788E6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2）所有设备的数量、规格明细及可供制造或采购的图纸、标准；</w:t>
      </w:r>
    </w:p>
    <w:p w14:paraId="3CCB18E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3）标的物的操作、维护和维修手册，以及液压、电气、润滑（气动）原理图；</w:t>
      </w:r>
    </w:p>
    <w:p w14:paraId="5683CE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4）提供设施消耗电、气的详细资料；</w:t>
      </w:r>
    </w:p>
    <w:p w14:paraId="10BEE9B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5）工装图纸（包括总成图、分总成图、部件图、零件图以及适用的标准等技术文件），投标方专利部分图纸，可提供简图；</w:t>
      </w:r>
    </w:p>
    <w:p w14:paraId="6EA1DF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6）滑台的总图、装配安装图、部件图、零件图；</w:t>
      </w:r>
    </w:p>
    <w:p w14:paraId="14B5844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7）外购件明细表及相应的供应商联系地址和使用维修说明书；</w:t>
      </w:r>
    </w:p>
    <w:p w14:paraId="57FA5A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8）易损件和备件明细表，当投标方认为必要时在提供货物的同时应提供必要数量的易损件和备件；</w:t>
      </w:r>
    </w:p>
    <w:p w14:paraId="79F970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2.2终验收标准</w:t>
      </w:r>
    </w:p>
    <w:p w14:paraId="5A5A2B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2.2.1投标方派专家到招标方现场进行安装调试和技术指导。所有设备由投标方负责安装、调试完成后，双方在生产地点进行最终验收。</w:t>
      </w:r>
    </w:p>
    <w:p w14:paraId="0CC7509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2.2.2设备需连续运转8小时没有任何故障。在空运中，所有电器、液压系统须符合有关产品标准。超出以上规定时间，则重新开始计算。</w:t>
      </w:r>
    </w:p>
    <w:p w14:paraId="37F68C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在连续的生产周期内，设备故障率（因设备故障造成停线时间/总运行时间）在</w:t>
      </w:r>
      <w:r>
        <w:rPr>
          <w:rFonts w:ascii="宋体" w:hAnsi="宋体" w:eastAsia="宋体" w:cs="宋体"/>
          <w:sz w:val="24"/>
          <w:szCs w:val="24"/>
        </w:rPr>
        <w:t>5</w:t>
      </w:r>
      <w:r>
        <w:rPr>
          <w:rFonts w:hint="eastAsia" w:ascii="宋体" w:hAnsi="宋体" w:eastAsia="宋体" w:cs="宋体"/>
          <w:sz w:val="24"/>
          <w:szCs w:val="24"/>
        </w:rPr>
        <w:t>%以下。在此期间保证现有线体生产的车型至少有10辆份的测量数据且测量数据均满足驾驶室漆面要求。驾驶室总数量累计不得低于</w:t>
      </w:r>
      <w:r>
        <w:rPr>
          <w:rFonts w:ascii="宋体" w:hAnsi="宋体" w:eastAsia="宋体" w:cs="宋体"/>
          <w:sz w:val="24"/>
          <w:szCs w:val="24"/>
        </w:rPr>
        <w:t>50</w:t>
      </w:r>
      <w:r>
        <w:rPr>
          <w:rFonts w:hint="eastAsia" w:ascii="宋体" w:hAnsi="宋体" w:eastAsia="宋体" w:cs="宋体"/>
          <w:sz w:val="24"/>
          <w:szCs w:val="24"/>
        </w:rPr>
        <w:t>辆份并经过涂装验证，无问题后视为达到申请验收标准。</w:t>
      </w:r>
    </w:p>
    <w:p w14:paraId="4D5B614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2.2.3最终验收期间若发现合同供货内容有质量问题或发现破损、缺陷和缺少零件，投标方应根据招标方要求免费更换零部件并解决问题，并记录在最终验收的报告中。</w:t>
      </w:r>
    </w:p>
    <w:p w14:paraId="26B415E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2.2.4按合同要求验收，若投标方提供的标的内容、技术资料与合同中规定的内容有不符或缺少时，招标方有权要求更换及补偿。</w:t>
      </w:r>
    </w:p>
    <w:p w14:paraId="58E3EB1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2.2.5投标方一旦中标，需向招标方提供技术文件资料。</w:t>
      </w:r>
    </w:p>
    <w:p w14:paraId="43376A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2.2.6装配图、易损件2D零件图（若易损件需要加工型面，需增加提供3D图）、零件明细（内部标注易损件）。</w:t>
      </w:r>
    </w:p>
    <w:p w14:paraId="2433AE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2.2.7所有技术文件资料均为电子版文件（含3D和2D）</w:t>
      </w:r>
      <w:r>
        <w:rPr>
          <w:rFonts w:hint="eastAsia" w:ascii="宋体" w:hAnsi="宋体" w:eastAsia="宋体" w:cs="宋体"/>
          <w:sz w:val="24"/>
          <w:szCs w:val="24"/>
          <w:lang w:val="en-US" w:eastAsia="zh-CN"/>
        </w:rPr>
        <w:t>1</w:t>
      </w:r>
      <w:r>
        <w:rPr>
          <w:rFonts w:hint="eastAsia" w:ascii="宋体" w:hAnsi="宋体" w:eastAsia="宋体" w:cs="宋体"/>
          <w:sz w:val="24"/>
          <w:szCs w:val="24"/>
        </w:rPr>
        <w:t>套（U盘）</w:t>
      </w:r>
      <w:r>
        <w:rPr>
          <w:rFonts w:hint="eastAsia" w:ascii="宋体" w:hAnsi="宋体" w:eastAsia="宋体" w:cs="宋体"/>
          <w:sz w:val="24"/>
          <w:szCs w:val="24"/>
          <w:lang w:val="en-US" w:eastAsia="zh-CN"/>
        </w:rPr>
        <w:t>1</w:t>
      </w:r>
      <w:r>
        <w:rPr>
          <w:rFonts w:hint="eastAsia" w:ascii="宋体" w:hAnsi="宋体" w:eastAsia="宋体" w:cs="宋体"/>
          <w:sz w:val="24"/>
          <w:szCs w:val="24"/>
        </w:rPr>
        <w:t>套，纸质版文件</w:t>
      </w:r>
      <w:r>
        <w:rPr>
          <w:rFonts w:hint="eastAsia" w:ascii="宋体" w:hAnsi="宋体" w:eastAsia="宋体" w:cs="宋体"/>
          <w:sz w:val="24"/>
          <w:szCs w:val="24"/>
          <w:lang w:val="en-US" w:eastAsia="zh-CN"/>
        </w:rPr>
        <w:t>1</w:t>
      </w:r>
      <w:r>
        <w:rPr>
          <w:rFonts w:hint="eastAsia" w:ascii="宋体" w:hAnsi="宋体" w:eastAsia="宋体" w:cs="宋体"/>
          <w:sz w:val="24"/>
          <w:szCs w:val="24"/>
        </w:rPr>
        <w:t>份，其中所有电子版文件必须使用国际通用软件以确保能在招标方的计算机中打开并进行编辑和修改。</w:t>
      </w:r>
    </w:p>
    <w:p w14:paraId="6340242B">
      <w:pPr>
        <w:topLinePunct/>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8所配备的传感器等计量仪器、仪表配套合理，采用中国的法定计量单位，计量准确、灵敏可靠，能够实现预期的技术要求。</w:t>
      </w:r>
    </w:p>
    <w:p w14:paraId="249FF85C">
      <w:pPr>
        <w:topLinePunct/>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9控制系统运行稳定可靠，能够实现前述远程控制、状态监测、故障报警等功能。</w:t>
      </w:r>
    </w:p>
    <w:p w14:paraId="49A34EF8">
      <w:pPr>
        <w:topLinePunct/>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10试运行期间或之后无维修、调整等行为（特殊情况除外）。</w:t>
      </w:r>
    </w:p>
    <w:p w14:paraId="5DC80C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11验收原则上要求一次完成。若一次验收不成功，最多允许两次；如果出现第三次验收失败，重新作价或退货。</w:t>
      </w:r>
    </w:p>
    <w:p w14:paraId="3B6F5CC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12验收通过后买卖双方共同签署验收报告，并移交、核对全部供货范围内物品。</w:t>
      </w:r>
    </w:p>
    <w:p w14:paraId="5DF3D629">
      <w:pPr>
        <w:topLinePunct/>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3.技术培训</w:t>
      </w:r>
    </w:p>
    <w:p w14:paraId="27547DE8">
      <w:pPr>
        <w:topLinePunct/>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3.1在预验收和终验收期间，投标方应派有经验的专家对招标方相关人员进行理论和实际操作的培训，并提供成套培训资料，所有培训应是免费的。</w:t>
      </w:r>
    </w:p>
    <w:p w14:paraId="6E08BF17">
      <w:pPr>
        <w:rPr>
          <w:rFonts w:ascii="黑体" w:hAnsi="等线" w:eastAsia="黑体" w:cs="Times New Roman"/>
          <w:sz w:val="24"/>
          <w:szCs w:val="24"/>
        </w:rPr>
      </w:pPr>
      <w:bookmarkStart w:id="52" w:name="_Toc9658384"/>
      <w:r>
        <w:rPr>
          <w:rFonts w:ascii="黑体" w:hAnsi="等线" w:eastAsia="黑体" w:cs="Times New Roman"/>
          <w:sz w:val="24"/>
          <w:szCs w:val="24"/>
        </w:rPr>
        <w:br w:type="page"/>
      </w:r>
    </w:p>
    <w:p w14:paraId="5686AD6D">
      <w:pPr>
        <w:keepNext/>
        <w:keepLines/>
        <w:spacing w:before="120" w:after="120" w:line="360" w:lineRule="auto"/>
        <w:jc w:val="center"/>
        <w:outlineLvl w:val="0"/>
        <w:rPr>
          <w:rFonts w:ascii="宋体" w:hAnsi="宋体" w:eastAsia="等线" w:cs="宋体"/>
          <w:kern w:val="44"/>
          <w:sz w:val="28"/>
          <w:szCs w:val="28"/>
        </w:rPr>
      </w:pPr>
      <w:bookmarkStart w:id="53" w:name="_Toc28276"/>
      <w:bookmarkStart w:id="54" w:name="_Toc10390"/>
      <w:r>
        <w:rPr>
          <w:rFonts w:hint="eastAsia" w:ascii="宋体" w:hAnsi="宋体" w:eastAsia="等线" w:cs="宋体"/>
          <w:kern w:val="44"/>
          <w:sz w:val="28"/>
          <w:szCs w:val="28"/>
        </w:rPr>
        <w:t>第六章</w:t>
      </w:r>
      <w:r>
        <w:rPr>
          <w:rFonts w:ascii="宋体" w:hAnsi="宋体" w:eastAsia="等线" w:cs="宋体"/>
          <w:kern w:val="44"/>
          <w:sz w:val="28"/>
          <w:szCs w:val="28"/>
        </w:rPr>
        <w:t xml:space="preserve">  </w:t>
      </w:r>
      <w:r>
        <w:rPr>
          <w:rFonts w:hint="eastAsia" w:ascii="宋体" w:hAnsi="宋体" w:eastAsia="等线" w:cs="宋体"/>
          <w:kern w:val="44"/>
          <w:sz w:val="28"/>
          <w:szCs w:val="28"/>
        </w:rPr>
        <w:t>投标技术文件一般要求</w:t>
      </w:r>
      <w:bookmarkEnd w:id="52"/>
      <w:bookmarkEnd w:id="53"/>
      <w:bookmarkEnd w:id="54"/>
    </w:p>
    <w:p w14:paraId="55E0F9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一、技术文件一般内容要求</w:t>
      </w:r>
    </w:p>
    <w:p w14:paraId="2C1544A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0819F3E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855054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5046CC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481CE05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3AAB30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46B508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6.1  </w:t>
      </w:r>
      <w:r>
        <w:rPr>
          <w:rFonts w:hint="eastAsia" w:ascii="宋体" w:hAnsi="宋体" w:eastAsia="宋体" w:cs="宋体"/>
          <w:sz w:val="24"/>
          <w:szCs w:val="24"/>
        </w:rPr>
        <w:t>投标货物配置一览表：</w:t>
      </w:r>
    </w:p>
    <w:p w14:paraId="1249BACB">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投标货物配置一览表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421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1229EB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138D1D29">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388F8239">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62CF64C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6C2FA74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4E334747">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734E7DC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154B4B59">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3AA9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7980F1">
            <w:pPr>
              <w:adjustRightInd w:val="0"/>
              <w:snapToGrid w:val="0"/>
              <w:spacing w:line="360" w:lineRule="auto"/>
              <w:jc w:val="center"/>
              <w:rPr>
                <w:rFonts w:ascii="宋体" w:hAnsi="宋体" w:eastAsia="宋体" w:cs="宋体"/>
                <w:sz w:val="24"/>
                <w:szCs w:val="24"/>
              </w:rPr>
            </w:pPr>
          </w:p>
        </w:tc>
        <w:tc>
          <w:tcPr>
            <w:tcW w:w="1924" w:type="dxa"/>
          </w:tcPr>
          <w:p w14:paraId="6457E1FA">
            <w:pPr>
              <w:adjustRightInd w:val="0"/>
              <w:snapToGrid w:val="0"/>
              <w:spacing w:line="360" w:lineRule="auto"/>
              <w:rPr>
                <w:rFonts w:ascii="宋体" w:hAnsi="宋体" w:eastAsia="宋体" w:cs="宋体"/>
                <w:sz w:val="24"/>
                <w:szCs w:val="24"/>
              </w:rPr>
            </w:pPr>
          </w:p>
        </w:tc>
        <w:tc>
          <w:tcPr>
            <w:tcW w:w="1236" w:type="dxa"/>
          </w:tcPr>
          <w:p w14:paraId="4A4C843A">
            <w:pPr>
              <w:adjustRightInd w:val="0"/>
              <w:snapToGrid w:val="0"/>
              <w:spacing w:line="360" w:lineRule="auto"/>
              <w:rPr>
                <w:rFonts w:ascii="宋体" w:hAnsi="宋体" w:eastAsia="宋体" w:cs="宋体"/>
                <w:sz w:val="24"/>
                <w:szCs w:val="24"/>
              </w:rPr>
            </w:pPr>
          </w:p>
        </w:tc>
        <w:tc>
          <w:tcPr>
            <w:tcW w:w="720" w:type="dxa"/>
          </w:tcPr>
          <w:p w14:paraId="0614B9A5">
            <w:pPr>
              <w:adjustRightInd w:val="0"/>
              <w:snapToGrid w:val="0"/>
              <w:spacing w:line="360" w:lineRule="auto"/>
              <w:jc w:val="center"/>
              <w:rPr>
                <w:rFonts w:ascii="宋体" w:hAnsi="宋体" w:eastAsia="宋体" w:cs="宋体"/>
                <w:sz w:val="24"/>
                <w:szCs w:val="24"/>
              </w:rPr>
            </w:pPr>
          </w:p>
        </w:tc>
        <w:tc>
          <w:tcPr>
            <w:tcW w:w="720" w:type="dxa"/>
          </w:tcPr>
          <w:p w14:paraId="2837722A">
            <w:pPr>
              <w:adjustRightInd w:val="0"/>
              <w:snapToGrid w:val="0"/>
              <w:spacing w:line="360" w:lineRule="auto"/>
              <w:jc w:val="center"/>
              <w:rPr>
                <w:rFonts w:ascii="宋体" w:hAnsi="宋体" w:eastAsia="宋体" w:cs="宋体"/>
                <w:sz w:val="24"/>
                <w:szCs w:val="24"/>
              </w:rPr>
            </w:pPr>
          </w:p>
        </w:tc>
        <w:tc>
          <w:tcPr>
            <w:tcW w:w="720" w:type="dxa"/>
          </w:tcPr>
          <w:p w14:paraId="4B64B9B6">
            <w:pPr>
              <w:adjustRightInd w:val="0"/>
              <w:snapToGrid w:val="0"/>
              <w:spacing w:line="360" w:lineRule="auto"/>
              <w:jc w:val="center"/>
              <w:rPr>
                <w:rFonts w:ascii="宋体" w:hAnsi="宋体" w:eastAsia="宋体" w:cs="宋体"/>
                <w:sz w:val="24"/>
                <w:szCs w:val="24"/>
              </w:rPr>
            </w:pPr>
          </w:p>
        </w:tc>
        <w:tc>
          <w:tcPr>
            <w:tcW w:w="720" w:type="dxa"/>
          </w:tcPr>
          <w:p w14:paraId="5FE81C71">
            <w:pPr>
              <w:adjustRightInd w:val="0"/>
              <w:snapToGrid w:val="0"/>
              <w:spacing w:line="360" w:lineRule="auto"/>
              <w:jc w:val="center"/>
              <w:rPr>
                <w:rFonts w:ascii="宋体" w:hAnsi="宋体" w:eastAsia="宋体" w:cs="宋体"/>
                <w:sz w:val="24"/>
                <w:szCs w:val="24"/>
              </w:rPr>
            </w:pPr>
          </w:p>
        </w:tc>
        <w:tc>
          <w:tcPr>
            <w:tcW w:w="2235" w:type="dxa"/>
          </w:tcPr>
          <w:p w14:paraId="50969BAF">
            <w:pPr>
              <w:adjustRightInd w:val="0"/>
              <w:snapToGrid w:val="0"/>
              <w:spacing w:line="360" w:lineRule="auto"/>
              <w:rPr>
                <w:rFonts w:ascii="宋体" w:hAnsi="宋体" w:eastAsia="宋体" w:cs="宋体"/>
                <w:sz w:val="24"/>
                <w:szCs w:val="24"/>
              </w:rPr>
            </w:pPr>
          </w:p>
        </w:tc>
      </w:tr>
      <w:tr w14:paraId="6A74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408C32">
            <w:pPr>
              <w:adjustRightInd w:val="0"/>
              <w:snapToGrid w:val="0"/>
              <w:spacing w:line="360" w:lineRule="auto"/>
              <w:jc w:val="center"/>
              <w:rPr>
                <w:rFonts w:ascii="宋体" w:hAnsi="宋体" w:eastAsia="宋体" w:cs="宋体"/>
                <w:sz w:val="24"/>
                <w:szCs w:val="24"/>
              </w:rPr>
            </w:pPr>
          </w:p>
        </w:tc>
        <w:tc>
          <w:tcPr>
            <w:tcW w:w="1924" w:type="dxa"/>
          </w:tcPr>
          <w:p w14:paraId="17C249AC">
            <w:pPr>
              <w:adjustRightInd w:val="0"/>
              <w:snapToGrid w:val="0"/>
              <w:spacing w:line="360" w:lineRule="auto"/>
              <w:rPr>
                <w:rFonts w:ascii="宋体" w:hAnsi="宋体" w:eastAsia="宋体" w:cs="宋体"/>
                <w:sz w:val="24"/>
                <w:szCs w:val="24"/>
              </w:rPr>
            </w:pPr>
          </w:p>
        </w:tc>
        <w:tc>
          <w:tcPr>
            <w:tcW w:w="1236" w:type="dxa"/>
          </w:tcPr>
          <w:p w14:paraId="4172060B">
            <w:pPr>
              <w:adjustRightInd w:val="0"/>
              <w:snapToGrid w:val="0"/>
              <w:spacing w:line="360" w:lineRule="auto"/>
              <w:rPr>
                <w:rFonts w:ascii="宋体" w:hAnsi="宋体" w:eastAsia="宋体" w:cs="宋体"/>
                <w:sz w:val="24"/>
                <w:szCs w:val="24"/>
              </w:rPr>
            </w:pPr>
          </w:p>
        </w:tc>
        <w:tc>
          <w:tcPr>
            <w:tcW w:w="720" w:type="dxa"/>
          </w:tcPr>
          <w:p w14:paraId="7D3CAF95">
            <w:pPr>
              <w:adjustRightInd w:val="0"/>
              <w:snapToGrid w:val="0"/>
              <w:spacing w:line="360" w:lineRule="auto"/>
              <w:jc w:val="center"/>
              <w:rPr>
                <w:rFonts w:ascii="宋体" w:hAnsi="宋体" w:eastAsia="宋体" w:cs="宋体"/>
                <w:sz w:val="24"/>
                <w:szCs w:val="24"/>
              </w:rPr>
            </w:pPr>
          </w:p>
        </w:tc>
        <w:tc>
          <w:tcPr>
            <w:tcW w:w="720" w:type="dxa"/>
          </w:tcPr>
          <w:p w14:paraId="6D041287">
            <w:pPr>
              <w:adjustRightInd w:val="0"/>
              <w:snapToGrid w:val="0"/>
              <w:spacing w:line="360" w:lineRule="auto"/>
              <w:jc w:val="center"/>
              <w:rPr>
                <w:rFonts w:ascii="宋体" w:hAnsi="宋体" w:eastAsia="宋体" w:cs="宋体"/>
                <w:sz w:val="24"/>
                <w:szCs w:val="24"/>
              </w:rPr>
            </w:pPr>
          </w:p>
        </w:tc>
        <w:tc>
          <w:tcPr>
            <w:tcW w:w="720" w:type="dxa"/>
          </w:tcPr>
          <w:p w14:paraId="01549118">
            <w:pPr>
              <w:adjustRightInd w:val="0"/>
              <w:snapToGrid w:val="0"/>
              <w:spacing w:line="360" w:lineRule="auto"/>
              <w:jc w:val="center"/>
              <w:rPr>
                <w:rFonts w:ascii="宋体" w:hAnsi="宋体" w:eastAsia="宋体" w:cs="宋体"/>
                <w:sz w:val="24"/>
                <w:szCs w:val="24"/>
              </w:rPr>
            </w:pPr>
          </w:p>
        </w:tc>
        <w:tc>
          <w:tcPr>
            <w:tcW w:w="720" w:type="dxa"/>
          </w:tcPr>
          <w:p w14:paraId="068C7DBF">
            <w:pPr>
              <w:adjustRightInd w:val="0"/>
              <w:snapToGrid w:val="0"/>
              <w:spacing w:line="360" w:lineRule="auto"/>
              <w:jc w:val="center"/>
              <w:rPr>
                <w:rFonts w:ascii="宋体" w:hAnsi="宋体" w:eastAsia="宋体" w:cs="宋体"/>
                <w:sz w:val="24"/>
                <w:szCs w:val="24"/>
              </w:rPr>
            </w:pPr>
          </w:p>
        </w:tc>
        <w:tc>
          <w:tcPr>
            <w:tcW w:w="2235" w:type="dxa"/>
          </w:tcPr>
          <w:p w14:paraId="118B8B3A">
            <w:pPr>
              <w:adjustRightInd w:val="0"/>
              <w:snapToGrid w:val="0"/>
              <w:spacing w:line="360" w:lineRule="auto"/>
              <w:rPr>
                <w:rFonts w:ascii="宋体" w:hAnsi="宋体" w:eastAsia="宋体" w:cs="宋体"/>
                <w:sz w:val="24"/>
                <w:szCs w:val="24"/>
              </w:rPr>
            </w:pPr>
          </w:p>
        </w:tc>
      </w:tr>
      <w:tr w14:paraId="0842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D3165D">
            <w:pPr>
              <w:adjustRightInd w:val="0"/>
              <w:snapToGrid w:val="0"/>
              <w:spacing w:line="360" w:lineRule="auto"/>
              <w:jc w:val="center"/>
              <w:rPr>
                <w:rFonts w:ascii="宋体" w:hAnsi="宋体" w:eastAsia="宋体" w:cs="宋体"/>
                <w:sz w:val="24"/>
                <w:szCs w:val="24"/>
              </w:rPr>
            </w:pPr>
          </w:p>
        </w:tc>
        <w:tc>
          <w:tcPr>
            <w:tcW w:w="1924" w:type="dxa"/>
          </w:tcPr>
          <w:p w14:paraId="3414465F">
            <w:pPr>
              <w:adjustRightInd w:val="0"/>
              <w:snapToGrid w:val="0"/>
              <w:spacing w:line="360" w:lineRule="auto"/>
              <w:rPr>
                <w:rFonts w:ascii="宋体" w:hAnsi="宋体" w:eastAsia="宋体" w:cs="宋体"/>
                <w:sz w:val="24"/>
                <w:szCs w:val="24"/>
              </w:rPr>
            </w:pPr>
          </w:p>
        </w:tc>
        <w:tc>
          <w:tcPr>
            <w:tcW w:w="1236" w:type="dxa"/>
          </w:tcPr>
          <w:p w14:paraId="00485C5A">
            <w:pPr>
              <w:adjustRightInd w:val="0"/>
              <w:snapToGrid w:val="0"/>
              <w:spacing w:line="360" w:lineRule="auto"/>
              <w:rPr>
                <w:rFonts w:ascii="宋体" w:hAnsi="宋体" w:eastAsia="宋体" w:cs="宋体"/>
                <w:sz w:val="24"/>
                <w:szCs w:val="24"/>
              </w:rPr>
            </w:pPr>
          </w:p>
        </w:tc>
        <w:tc>
          <w:tcPr>
            <w:tcW w:w="720" w:type="dxa"/>
          </w:tcPr>
          <w:p w14:paraId="4C40730D">
            <w:pPr>
              <w:adjustRightInd w:val="0"/>
              <w:snapToGrid w:val="0"/>
              <w:spacing w:line="360" w:lineRule="auto"/>
              <w:jc w:val="center"/>
              <w:rPr>
                <w:rFonts w:ascii="宋体" w:hAnsi="宋体" w:eastAsia="宋体" w:cs="宋体"/>
                <w:sz w:val="24"/>
                <w:szCs w:val="24"/>
              </w:rPr>
            </w:pPr>
          </w:p>
        </w:tc>
        <w:tc>
          <w:tcPr>
            <w:tcW w:w="720" w:type="dxa"/>
          </w:tcPr>
          <w:p w14:paraId="71B7DFFC">
            <w:pPr>
              <w:adjustRightInd w:val="0"/>
              <w:snapToGrid w:val="0"/>
              <w:spacing w:line="360" w:lineRule="auto"/>
              <w:jc w:val="center"/>
              <w:rPr>
                <w:rFonts w:ascii="宋体" w:hAnsi="宋体" w:eastAsia="宋体" w:cs="宋体"/>
                <w:sz w:val="24"/>
                <w:szCs w:val="24"/>
              </w:rPr>
            </w:pPr>
          </w:p>
        </w:tc>
        <w:tc>
          <w:tcPr>
            <w:tcW w:w="720" w:type="dxa"/>
          </w:tcPr>
          <w:p w14:paraId="66DF50D0">
            <w:pPr>
              <w:adjustRightInd w:val="0"/>
              <w:snapToGrid w:val="0"/>
              <w:spacing w:line="360" w:lineRule="auto"/>
              <w:jc w:val="center"/>
              <w:rPr>
                <w:rFonts w:ascii="宋体" w:hAnsi="宋体" w:eastAsia="宋体" w:cs="宋体"/>
                <w:sz w:val="24"/>
                <w:szCs w:val="24"/>
              </w:rPr>
            </w:pPr>
          </w:p>
        </w:tc>
        <w:tc>
          <w:tcPr>
            <w:tcW w:w="720" w:type="dxa"/>
          </w:tcPr>
          <w:p w14:paraId="053CC4FB">
            <w:pPr>
              <w:adjustRightInd w:val="0"/>
              <w:snapToGrid w:val="0"/>
              <w:spacing w:line="360" w:lineRule="auto"/>
              <w:jc w:val="center"/>
              <w:rPr>
                <w:rFonts w:ascii="宋体" w:hAnsi="宋体" w:eastAsia="宋体" w:cs="宋体"/>
                <w:sz w:val="24"/>
                <w:szCs w:val="24"/>
              </w:rPr>
            </w:pPr>
          </w:p>
        </w:tc>
        <w:tc>
          <w:tcPr>
            <w:tcW w:w="2235" w:type="dxa"/>
          </w:tcPr>
          <w:p w14:paraId="5A23BCB9">
            <w:pPr>
              <w:adjustRightInd w:val="0"/>
              <w:snapToGrid w:val="0"/>
              <w:spacing w:line="360" w:lineRule="auto"/>
              <w:rPr>
                <w:rFonts w:ascii="宋体" w:hAnsi="宋体" w:eastAsia="宋体" w:cs="宋体"/>
                <w:sz w:val="24"/>
                <w:szCs w:val="24"/>
              </w:rPr>
            </w:pPr>
          </w:p>
        </w:tc>
      </w:tr>
      <w:tr w14:paraId="26A8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649B05E">
            <w:pPr>
              <w:adjustRightInd w:val="0"/>
              <w:snapToGrid w:val="0"/>
              <w:spacing w:line="360" w:lineRule="auto"/>
              <w:jc w:val="center"/>
              <w:rPr>
                <w:rFonts w:ascii="宋体" w:hAnsi="宋体" w:eastAsia="宋体" w:cs="宋体"/>
                <w:sz w:val="24"/>
                <w:szCs w:val="24"/>
              </w:rPr>
            </w:pPr>
          </w:p>
        </w:tc>
        <w:tc>
          <w:tcPr>
            <w:tcW w:w="1924" w:type="dxa"/>
          </w:tcPr>
          <w:p w14:paraId="415FB245">
            <w:pPr>
              <w:adjustRightInd w:val="0"/>
              <w:snapToGrid w:val="0"/>
              <w:spacing w:line="360" w:lineRule="auto"/>
              <w:rPr>
                <w:rFonts w:ascii="宋体" w:hAnsi="宋体" w:eastAsia="宋体" w:cs="宋体"/>
                <w:sz w:val="24"/>
                <w:szCs w:val="24"/>
              </w:rPr>
            </w:pPr>
          </w:p>
        </w:tc>
        <w:tc>
          <w:tcPr>
            <w:tcW w:w="1236" w:type="dxa"/>
          </w:tcPr>
          <w:p w14:paraId="1BA19ECE">
            <w:pPr>
              <w:adjustRightInd w:val="0"/>
              <w:snapToGrid w:val="0"/>
              <w:spacing w:line="360" w:lineRule="auto"/>
              <w:rPr>
                <w:rFonts w:ascii="宋体" w:hAnsi="宋体" w:eastAsia="宋体" w:cs="宋体"/>
                <w:sz w:val="24"/>
                <w:szCs w:val="24"/>
              </w:rPr>
            </w:pPr>
          </w:p>
        </w:tc>
        <w:tc>
          <w:tcPr>
            <w:tcW w:w="720" w:type="dxa"/>
          </w:tcPr>
          <w:p w14:paraId="3C1D0A7A">
            <w:pPr>
              <w:adjustRightInd w:val="0"/>
              <w:snapToGrid w:val="0"/>
              <w:spacing w:line="360" w:lineRule="auto"/>
              <w:jc w:val="center"/>
              <w:rPr>
                <w:rFonts w:ascii="宋体" w:hAnsi="宋体" w:eastAsia="宋体" w:cs="宋体"/>
                <w:sz w:val="24"/>
                <w:szCs w:val="24"/>
              </w:rPr>
            </w:pPr>
          </w:p>
        </w:tc>
        <w:tc>
          <w:tcPr>
            <w:tcW w:w="720" w:type="dxa"/>
          </w:tcPr>
          <w:p w14:paraId="4EE081D8">
            <w:pPr>
              <w:adjustRightInd w:val="0"/>
              <w:snapToGrid w:val="0"/>
              <w:spacing w:line="360" w:lineRule="auto"/>
              <w:jc w:val="center"/>
              <w:rPr>
                <w:rFonts w:ascii="宋体" w:hAnsi="宋体" w:eastAsia="宋体" w:cs="宋体"/>
                <w:sz w:val="24"/>
                <w:szCs w:val="24"/>
              </w:rPr>
            </w:pPr>
          </w:p>
        </w:tc>
        <w:tc>
          <w:tcPr>
            <w:tcW w:w="720" w:type="dxa"/>
          </w:tcPr>
          <w:p w14:paraId="105007DC">
            <w:pPr>
              <w:adjustRightInd w:val="0"/>
              <w:snapToGrid w:val="0"/>
              <w:spacing w:line="360" w:lineRule="auto"/>
              <w:jc w:val="center"/>
              <w:rPr>
                <w:rFonts w:ascii="宋体" w:hAnsi="宋体" w:eastAsia="宋体" w:cs="宋体"/>
                <w:sz w:val="24"/>
                <w:szCs w:val="24"/>
              </w:rPr>
            </w:pPr>
          </w:p>
        </w:tc>
        <w:tc>
          <w:tcPr>
            <w:tcW w:w="720" w:type="dxa"/>
          </w:tcPr>
          <w:p w14:paraId="04ADF593">
            <w:pPr>
              <w:adjustRightInd w:val="0"/>
              <w:snapToGrid w:val="0"/>
              <w:spacing w:line="360" w:lineRule="auto"/>
              <w:jc w:val="center"/>
              <w:rPr>
                <w:rFonts w:ascii="宋体" w:hAnsi="宋体" w:eastAsia="宋体" w:cs="宋体"/>
                <w:sz w:val="24"/>
                <w:szCs w:val="24"/>
              </w:rPr>
            </w:pPr>
          </w:p>
        </w:tc>
        <w:tc>
          <w:tcPr>
            <w:tcW w:w="2235" w:type="dxa"/>
          </w:tcPr>
          <w:p w14:paraId="6D3E6D0C">
            <w:pPr>
              <w:adjustRightInd w:val="0"/>
              <w:snapToGrid w:val="0"/>
              <w:spacing w:line="360" w:lineRule="auto"/>
              <w:rPr>
                <w:rFonts w:ascii="宋体" w:hAnsi="宋体" w:eastAsia="宋体" w:cs="宋体"/>
                <w:sz w:val="24"/>
                <w:szCs w:val="24"/>
              </w:rPr>
            </w:pPr>
          </w:p>
        </w:tc>
      </w:tr>
    </w:tbl>
    <w:p w14:paraId="6CB3178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6.2  </w:t>
      </w:r>
      <w:r>
        <w:rPr>
          <w:rFonts w:hint="eastAsia" w:ascii="宋体" w:hAnsi="宋体" w:eastAsia="宋体" w:cs="宋体"/>
          <w:sz w:val="24"/>
          <w:szCs w:val="24"/>
        </w:rPr>
        <w:t>备品备件、易损件和专用耗材明细表：</w:t>
      </w:r>
    </w:p>
    <w:p w14:paraId="60FBE512">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23D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7A83B3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5A20901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22CD140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7C9F890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19A51B2B">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778EB995">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1501DB07">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44F0DA6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2AAD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555623">
            <w:pPr>
              <w:adjustRightInd w:val="0"/>
              <w:snapToGrid w:val="0"/>
              <w:spacing w:line="360" w:lineRule="auto"/>
              <w:jc w:val="center"/>
              <w:rPr>
                <w:rFonts w:ascii="宋体" w:hAnsi="宋体" w:eastAsia="宋体" w:cs="宋体"/>
                <w:sz w:val="24"/>
                <w:szCs w:val="24"/>
              </w:rPr>
            </w:pPr>
          </w:p>
        </w:tc>
        <w:tc>
          <w:tcPr>
            <w:tcW w:w="1924" w:type="dxa"/>
          </w:tcPr>
          <w:p w14:paraId="4C4376C4">
            <w:pPr>
              <w:adjustRightInd w:val="0"/>
              <w:snapToGrid w:val="0"/>
              <w:spacing w:line="360" w:lineRule="auto"/>
              <w:rPr>
                <w:rFonts w:ascii="宋体" w:hAnsi="宋体" w:eastAsia="宋体" w:cs="宋体"/>
                <w:sz w:val="24"/>
                <w:szCs w:val="24"/>
              </w:rPr>
            </w:pPr>
          </w:p>
        </w:tc>
        <w:tc>
          <w:tcPr>
            <w:tcW w:w="1236" w:type="dxa"/>
          </w:tcPr>
          <w:p w14:paraId="57ED0573">
            <w:pPr>
              <w:adjustRightInd w:val="0"/>
              <w:snapToGrid w:val="0"/>
              <w:spacing w:line="360" w:lineRule="auto"/>
              <w:rPr>
                <w:rFonts w:ascii="宋体" w:hAnsi="宋体" w:eastAsia="宋体" w:cs="宋体"/>
                <w:sz w:val="24"/>
                <w:szCs w:val="24"/>
              </w:rPr>
            </w:pPr>
          </w:p>
        </w:tc>
        <w:tc>
          <w:tcPr>
            <w:tcW w:w="720" w:type="dxa"/>
          </w:tcPr>
          <w:p w14:paraId="274B844D">
            <w:pPr>
              <w:adjustRightInd w:val="0"/>
              <w:snapToGrid w:val="0"/>
              <w:spacing w:line="360" w:lineRule="auto"/>
              <w:jc w:val="center"/>
              <w:rPr>
                <w:rFonts w:ascii="宋体" w:hAnsi="宋体" w:eastAsia="宋体" w:cs="宋体"/>
                <w:sz w:val="24"/>
                <w:szCs w:val="24"/>
              </w:rPr>
            </w:pPr>
          </w:p>
        </w:tc>
        <w:tc>
          <w:tcPr>
            <w:tcW w:w="720" w:type="dxa"/>
          </w:tcPr>
          <w:p w14:paraId="242C4F27">
            <w:pPr>
              <w:adjustRightInd w:val="0"/>
              <w:snapToGrid w:val="0"/>
              <w:spacing w:line="360" w:lineRule="auto"/>
              <w:jc w:val="center"/>
              <w:rPr>
                <w:rFonts w:ascii="宋体" w:hAnsi="宋体" w:eastAsia="宋体" w:cs="宋体"/>
                <w:sz w:val="24"/>
                <w:szCs w:val="24"/>
              </w:rPr>
            </w:pPr>
          </w:p>
        </w:tc>
        <w:tc>
          <w:tcPr>
            <w:tcW w:w="720" w:type="dxa"/>
          </w:tcPr>
          <w:p w14:paraId="2C64E475">
            <w:pPr>
              <w:adjustRightInd w:val="0"/>
              <w:snapToGrid w:val="0"/>
              <w:spacing w:line="360" w:lineRule="auto"/>
              <w:jc w:val="center"/>
              <w:rPr>
                <w:rFonts w:ascii="宋体" w:hAnsi="宋体" w:eastAsia="宋体" w:cs="宋体"/>
                <w:sz w:val="24"/>
                <w:szCs w:val="24"/>
              </w:rPr>
            </w:pPr>
          </w:p>
        </w:tc>
        <w:tc>
          <w:tcPr>
            <w:tcW w:w="720" w:type="dxa"/>
          </w:tcPr>
          <w:p w14:paraId="37F3D342">
            <w:pPr>
              <w:adjustRightInd w:val="0"/>
              <w:snapToGrid w:val="0"/>
              <w:spacing w:line="360" w:lineRule="auto"/>
              <w:jc w:val="center"/>
              <w:rPr>
                <w:rFonts w:ascii="宋体" w:hAnsi="宋体" w:eastAsia="宋体" w:cs="宋体"/>
                <w:sz w:val="24"/>
                <w:szCs w:val="24"/>
              </w:rPr>
            </w:pPr>
          </w:p>
        </w:tc>
        <w:tc>
          <w:tcPr>
            <w:tcW w:w="2235" w:type="dxa"/>
          </w:tcPr>
          <w:p w14:paraId="12DD7E09">
            <w:pPr>
              <w:adjustRightInd w:val="0"/>
              <w:snapToGrid w:val="0"/>
              <w:spacing w:line="360" w:lineRule="auto"/>
              <w:rPr>
                <w:rFonts w:ascii="宋体" w:hAnsi="宋体" w:eastAsia="宋体" w:cs="宋体"/>
                <w:sz w:val="24"/>
                <w:szCs w:val="24"/>
              </w:rPr>
            </w:pPr>
          </w:p>
        </w:tc>
      </w:tr>
      <w:tr w14:paraId="544A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9B31A3">
            <w:pPr>
              <w:adjustRightInd w:val="0"/>
              <w:snapToGrid w:val="0"/>
              <w:spacing w:line="360" w:lineRule="auto"/>
              <w:jc w:val="center"/>
              <w:rPr>
                <w:rFonts w:ascii="宋体" w:hAnsi="宋体" w:eastAsia="宋体" w:cs="宋体"/>
                <w:sz w:val="24"/>
                <w:szCs w:val="24"/>
              </w:rPr>
            </w:pPr>
          </w:p>
        </w:tc>
        <w:tc>
          <w:tcPr>
            <w:tcW w:w="1924" w:type="dxa"/>
          </w:tcPr>
          <w:p w14:paraId="5C1304FC">
            <w:pPr>
              <w:adjustRightInd w:val="0"/>
              <w:snapToGrid w:val="0"/>
              <w:spacing w:line="360" w:lineRule="auto"/>
              <w:rPr>
                <w:rFonts w:ascii="宋体" w:hAnsi="宋体" w:eastAsia="宋体" w:cs="宋体"/>
                <w:sz w:val="24"/>
                <w:szCs w:val="24"/>
              </w:rPr>
            </w:pPr>
          </w:p>
        </w:tc>
        <w:tc>
          <w:tcPr>
            <w:tcW w:w="1236" w:type="dxa"/>
          </w:tcPr>
          <w:p w14:paraId="2A65321D">
            <w:pPr>
              <w:adjustRightInd w:val="0"/>
              <w:snapToGrid w:val="0"/>
              <w:spacing w:line="360" w:lineRule="auto"/>
              <w:rPr>
                <w:rFonts w:ascii="宋体" w:hAnsi="宋体" w:eastAsia="宋体" w:cs="宋体"/>
                <w:sz w:val="24"/>
                <w:szCs w:val="24"/>
              </w:rPr>
            </w:pPr>
          </w:p>
        </w:tc>
        <w:tc>
          <w:tcPr>
            <w:tcW w:w="720" w:type="dxa"/>
          </w:tcPr>
          <w:p w14:paraId="71C50F55">
            <w:pPr>
              <w:adjustRightInd w:val="0"/>
              <w:snapToGrid w:val="0"/>
              <w:spacing w:line="360" w:lineRule="auto"/>
              <w:jc w:val="center"/>
              <w:rPr>
                <w:rFonts w:ascii="宋体" w:hAnsi="宋体" w:eastAsia="宋体" w:cs="宋体"/>
                <w:sz w:val="24"/>
                <w:szCs w:val="24"/>
              </w:rPr>
            </w:pPr>
          </w:p>
        </w:tc>
        <w:tc>
          <w:tcPr>
            <w:tcW w:w="720" w:type="dxa"/>
          </w:tcPr>
          <w:p w14:paraId="608406E7">
            <w:pPr>
              <w:adjustRightInd w:val="0"/>
              <w:snapToGrid w:val="0"/>
              <w:spacing w:line="360" w:lineRule="auto"/>
              <w:jc w:val="center"/>
              <w:rPr>
                <w:rFonts w:ascii="宋体" w:hAnsi="宋体" w:eastAsia="宋体" w:cs="宋体"/>
                <w:sz w:val="24"/>
                <w:szCs w:val="24"/>
              </w:rPr>
            </w:pPr>
          </w:p>
        </w:tc>
        <w:tc>
          <w:tcPr>
            <w:tcW w:w="720" w:type="dxa"/>
          </w:tcPr>
          <w:p w14:paraId="4BD50E4C">
            <w:pPr>
              <w:adjustRightInd w:val="0"/>
              <w:snapToGrid w:val="0"/>
              <w:spacing w:line="360" w:lineRule="auto"/>
              <w:jc w:val="center"/>
              <w:rPr>
                <w:rFonts w:ascii="宋体" w:hAnsi="宋体" w:eastAsia="宋体" w:cs="宋体"/>
                <w:sz w:val="24"/>
                <w:szCs w:val="24"/>
              </w:rPr>
            </w:pPr>
          </w:p>
        </w:tc>
        <w:tc>
          <w:tcPr>
            <w:tcW w:w="720" w:type="dxa"/>
          </w:tcPr>
          <w:p w14:paraId="2C71E7B5">
            <w:pPr>
              <w:adjustRightInd w:val="0"/>
              <w:snapToGrid w:val="0"/>
              <w:spacing w:line="360" w:lineRule="auto"/>
              <w:jc w:val="center"/>
              <w:rPr>
                <w:rFonts w:ascii="宋体" w:hAnsi="宋体" w:eastAsia="宋体" w:cs="宋体"/>
                <w:sz w:val="24"/>
                <w:szCs w:val="24"/>
              </w:rPr>
            </w:pPr>
          </w:p>
        </w:tc>
        <w:tc>
          <w:tcPr>
            <w:tcW w:w="2235" w:type="dxa"/>
          </w:tcPr>
          <w:p w14:paraId="5E9BA74D">
            <w:pPr>
              <w:adjustRightInd w:val="0"/>
              <w:snapToGrid w:val="0"/>
              <w:spacing w:line="360" w:lineRule="auto"/>
              <w:rPr>
                <w:rFonts w:ascii="宋体" w:hAnsi="宋体" w:eastAsia="宋体" w:cs="宋体"/>
                <w:sz w:val="24"/>
                <w:szCs w:val="24"/>
              </w:rPr>
            </w:pPr>
          </w:p>
        </w:tc>
      </w:tr>
      <w:tr w14:paraId="040D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FA9369">
            <w:pPr>
              <w:adjustRightInd w:val="0"/>
              <w:snapToGrid w:val="0"/>
              <w:spacing w:line="360" w:lineRule="auto"/>
              <w:jc w:val="center"/>
              <w:rPr>
                <w:rFonts w:ascii="宋体" w:hAnsi="宋体" w:eastAsia="宋体" w:cs="宋体"/>
                <w:sz w:val="24"/>
                <w:szCs w:val="24"/>
              </w:rPr>
            </w:pPr>
          </w:p>
        </w:tc>
        <w:tc>
          <w:tcPr>
            <w:tcW w:w="1924" w:type="dxa"/>
          </w:tcPr>
          <w:p w14:paraId="509702C8">
            <w:pPr>
              <w:adjustRightInd w:val="0"/>
              <w:snapToGrid w:val="0"/>
              <w:spacing w:line="360" w:lineRule="auto"/>
              <w:rPr>
                <w:rFonts w:ascii="宋体" w:hAnsi="宋体" w:eastAsia="宋体" w:cs="宋体"/>
                <w:sz w:val="24"/>
                <w:szCs w:val="24"/>
              </w:rPr>
            </w:pPr>
          </w:p>
        </w:tc>
        <w:tc>
          <w:tcPr>
            <w:tcW w:w="1236" w:type="dxa"/>
          </w:tcPr>
          <w:p w14:paraId="265BC6AA">
            <w:pPr>
              <w:adjustRightInd w:val="0"/>
              <w:snapToGrid w:val="0"/>
              <w:spacing w:line="360" w:lineRule="auto"/>
              <w:rPr>
                <w:rFonts w:ascii="宋体" w:hAnsi="宋体" w:eastAsia="宋体" w:cs="宋体"/>
                <w:sz w:val="24"/>
                <w:szCs w:val="24"/>
              </w:rPr>
            </w:pPr>
          </w:p>
        </w:tc>
        <w:tc>
          <w:tcPr>
            <w:tcW w:w="720" w:type="dxa"/>
          </w:tcPr>
          <w:p w14:paraId="089D28BA">
            <w:pPr>
              <w:adjustRightInd w:val="0"/>
              <w:snapToGrid w:val="0"/>
              <w:spacing w:line="360" w:lineRule="auto"/>
              <w:jc w:val="center"/>
              <w:rPr>
                <w:rFonts w:ascii="宋体" w:hAnsi="宋体" w:eastAsia="宋体" w:cs="宋体"/>
                <w:sz w:val="24"/>
                <w:szCs w:val="24"/>
              </w:rPr>
            </w:pPr>
          </w:p>
        </w:tc>
        <w:tc>
          <w:tcPr>
            <w:tcW w:w="720" w:type="dxa"/>
          </w:tcPr>
          <w:p w14:paraId="5FD9E70F">
            <w:pPr>
              <w:adjustRightInd w:val="0"/>
              <w:snapToGrid w:val="0"/>
              <w:spacing w:line="360" w:lineRule="auto"/>
              <w:jc w:val="center"/>
              <w:rPr>
                <w:rFonts w:ascii="宋体" w:hAnsi="宋体" w:eastAsia="宋体" w:cs="宋体"/>
                <w:sz w:val="24"/>
                <w:szCs w:val="24"/>
              </w:rPr>
            </w:pPr>
          </w:p>
        </w:tc>
        <w:tc>
          <w:tcPr>
            <w:tcW w:w="720" w:type="dxa"/>
          </w:tcPr>
          <w:p w14:paraId="25309C4D">
            <w:pPr>
              <w:adjustRightInd w:val="0"/>
              <w:snapToGrid w:val="0"/>
              <w:spacing w:line="360" w:lineRule="auto"/>
              <w:jc w:val="center"/>
              <w:rPr>
                <w:rFonts w:ascii="宋体" w:hAnsi="宋体" w:eastAsia="宋体" w:cs="宋体"/>
                <w:sz w:val="24"/>
                <w:szCs w:val="24"/>
              </w:rPr>
            </w:pPr>
          </w:p>
        </w:tc>
        <w:tc>
          <w:tcPr>
            <w:tcW w:w="720" w:type="dxa"/>
          </w:tcPr>
          <w:p w14:paraId="7DB8CF2F">
            <w:pPr>
              <w:adjustRightInd w:val="0"/>
              <w:snapToGrid w:val="0"/>
              <w:spacing w:line="360" w:lineRule="auto"/>
              <w:jc w:val="center"/>
              <w:rPr>
                <w:rFonts w:ascii="宋体" w:hAnsi="宋体" w:eastAsia="宋体" w:cs="宋体"/>
                <w:sz w:val="24"/>
                <w:szCs w:val="24"/>
              </w:rPr>
            </w:pPr>
          </w:p>
        </w:tc>
        <w:tc>
          <w:tcPr>
            <w:tcW w:w="2235" w:type="dxa"/>
          </w:tcPr>
          <w:p w14:paraId="3592E57B">
            <w:pPr>
              <w:adjustRightInd w:val="0"/>
              <w:snapToGrid w:val="0"/>
              <w:spacing w:line="360" w:lineRule="auto"/>
              <w:rPr>
                <w:rFonts w:ascii="宋体" w:hAnsi="宋体" w:eastAsia="宋体" w:cs="宋体"/>
                <w:sz w:val="24"/>
                <w:szCs w:val="24"/>
              </w:rPr>
            </w:pPr>
          </w:p>
        </w:tc>
      </w:tr>
      <w:tr w14:paraId="3AB9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045F21">
            <w:pPr>
              <w:adjustRightInd w:val="0"/>
              <w:snapToGrid w:val="0"/>
              <w:spacing w:line="360" w:lineRule="auto"/>
              <w:jc w:val="center"/>
              <w:rPr>
                <w:rFonts w:ascii="宋体" w:hAnsi="宋体" w:eastAsia="宋体" w:cs="宋体"/>
                <w:sz w:val="24"/>
                <w:szCs w:val="24"/>
              </w:rPr>
            </w:pPr>
          </w:p>
        </w:tc>
        <w:tc>
          <w:tcPr>
            <w:tcW w:w="1924" w:type="dxa"/>
          </w:tcPr>
          <w:p w14:paraId="13456EE7">
            <w:pPr>
              <w:adjustRightInd w:val="0"/>
              <w:snapToGrid w:val="0"/>
              <w:spacing w:line="360" w:lineRule="auto"/>
              <w:rPr>
                <w:rFonts w:ascii="宋体" w:hAnsi="宋体" w:eastAsia="宋体" w:cs="宋体"/>
                <w:sz w:val="24"/>
                <w:szCs w:val="24"/>
              </w:rPr>
            </w:pPr>
          </w:p>
        </w:tc>
        <w:tc>
          <w:tcPr>
            <w:tcW w:w="1236" w:type="dxa"/>
          </w:tcPr>
          <w:p w14:paraId="2C1787BC">
            <w:pPr>
              <w:adjustRightInd w:val="0"/>
              <w:snapToGrid w:val="0"/>
              <w:spacing w:line="360" w:lineRule="auto"/>
              <w:rPr>
                <w:rFonts w:ascii="宋体" w:hAnsi="宋体" w:eastAsia="宋体" w:cs="宋体"/>
                <w:sz w:val="24"/>
                <w:szCs w:val="24"/>
              </w:rPr>
            </w:pPr>
          </w:p>
        </w:tc>
        <w:tc>
          <w:tcPr>
            <w:tcW w:w="720" w:type="dxa"/>
          </w:tcPr>
          <w:p w14:paraId="746E53E5">
            <w:pPr>
              <w:adjustRightInd w:val="0"/>
              <w:snapToGrid w:val="0"/>
              <w:spacing w:line="360" w:lineRule="auto"/>
              <w:jc w:val="center"/>
              <w:rPr>
                <w:rFonts w:ascii="宋体" w:hAnsi="宋体" w:eastAsia="宋体" w:cs="宋体"/>
                <w:sz w:val="24"/>
                <w:szCs w:val="24"/>
              </w:rPr>
            </w:pPr>
          </w:p>
        </w:tc>
        <w:tc>
          <w:tcPr>
            <w:tcW w:w="720" w:type="dxa"/>
          </w:tcPr>
          <w:p w14:paraId="46827037">
            <w:pPr>
              <w:adjustRightInd w:val="0"/>
              <w:snapToGrid w:val="0"/>
              <w:spacing w:line="360" w:lineRule="auto"/>
              <w:jc w:val="center"/>
              <w:rPr>
                <w:rFonts w:ascii="宋体" w:hAnsi="宋体" w:eastAsia="宋体" w:cs="宋体"/>
                <w:sz w:val="24"/>
                <w:szCs w:val="24"/>
              </w:rPr>
            </w:pPr>
          </w:p>
        </w:tc>
        <w:tc>
          <w:tcPr>
            <w:tcW w:w="720" w:type="dxa"/>
          </w:tcPr>
          <w:p w14:paraId="7DF8E46C">
            <w:pPr>
              <w:adjustRightInd w:val="0"/>
              <w:snapToGrid w:val="0"/>
              <w:spacing w:line="360" w:lineRule="auto"/>
              <w:jc w:val="center"/>
              <w:rPr>
                <w:rFonts w:ascii="宋体" w:hAnsi="宋体" w:eastAsia="宋体" w:cs="宋体"/>
                <w:sz w:val="24"/>
                <w:szCs w:val="24"/>
              </w:rPr>
            </w:pPr>
          </w:p>
        </w:tc>
        <w:tc>
          <w:tcPr>
            <w:tcW w:w="720" w:type="dxa"/>
          </w:tcPr>
          <w:p w14:paraId="466E0D10">
            <w:pPr>
              <w:adjustRightInd w:val="0"/>
              <w:snapToGrid w:val="0"/>
              <w:spacing w:line="360" w:lineRule="auto"/>
              <w:jc w:val="center"/>
              <w:rPr>
                <w:rFonts w:ascii="宋体" w:hAnsi="宋体" w:eastAsia="宋体" w:cs="宋体"/>
                <w:sz w:val="24"/>
                <w:szCs w:val="24"/>
              </w:rPr>
            </w:pPr>
          </w:p>
        </w:tc>
        <w:tc>
          <w:tcPr>
            <w:tcW w:w="2235" w:type="dxa"/>
          </w:tcPr>
          <w:p w14:paraId="0FCB1A02">
            <w:pPr>
              <w:adjustRightInd w:val="0"/>
              <w:snapToGrid w:val="0"/>
              <w:spacing w:line="360" w:lineRule="auto"/>
              <w:rPr>
                <w:rFonts w:ascii="宋体" w:hAnsi="宋体" w:eastAsia="宋体" w:cs="宋体"/>
                <w:sz w:val="24"/>
                <w:szCs w:val="24"/>
              </w:rPr>
            </w:pPr>
          </w:p>
        </w:tc>
      </w:tr>
      <w:tr w14:paraId="671F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7EEAEF5">
            <w:pPr>
              <w:adjustRightInd w:val="0"/>
              <w:snapToGrid w:val="0"/>
              <w:spacing w:line="360" w:lineRule="auto"/>
              <w:jc w:val="center"/>
              <w:rPr>
                <w:rFonts w:ascii="宋体" w:hAnsi="宋体" w:eastAsia="宋体" w:cs="宋体"/>
                <w:sz w:val="24"/>
                <w:szCs w:val="24"/>
              </w:rPr>
            </w:pPr>
          </w:p>
        </w:tc>
        <w:tc>
          <w:tcPr>
            <w:tcW w:w="1924" w:type="dxa"/>
          </w:tcPr>
          <w:p w14:paraId="6017BC17">
            <w:pPr>
              <w:adjustRightInd w:val="0"/>
              <w:snapToGrid w:val="0"/>
              <w:spacing w:line="360" w:lineRule="auto"/>
              <w:rPr>
                <w:rFonts w:ascii="宋体" w:hAnsi="宋体" w:eastAsia="宋体" w:cs="宋体"/>
                <w:sz w:val="24"/>
                <w:szCs w:val="24"/>
              </w:rPr>
            </w:pPr>
          </w:p>
        </w:tc>
        <w:tc>
          <w:tcPr>
            <w:tcW w:w="1236" w:type="dxa"/>
          </w:tcPr>
          <w:p w14:paraId="7AB820E6">
            <w:pPr>
              <w:adjustRightInd w:val="0"/>
              <w:snapToGrid w:val="0"/>
              <w:spacing w:line="360" w:lineRule="auto"/>
              <w:rPr>
                <w:rFonts w:ascii="宋体" w:hAnsi="宋体" w:eastAsia="宋体" w:cs="宋体"/>
                <w:sz w:val="24"/>
                <w:szCs w:val="24"/>
              </w:rPr>
            </w:pPr>
          </w:p>
        </w:tc>
        <w:tc>
          <w:tcPr>
            <w:tcW w:w="720" w:type="dxa"/>
          </w:tcPr>
          <w:p w14:paraId="40FEA07C">
            <w:pPr>
              <w:adjustRightInd w:val="0"/>
              <w:snapToGrid w:val="0"/>
              <w:spacing w:line="360" w:lineRule="auto"/>
              <w:jc w:val="center"/>
              <w:rPr>
                <w:rFonts w:ascii="宋体" w:hAnsi="宋体" w:eastAsia="宋体" w:cs="宋体"/>
                <w:sz w:val="24"/>
                <w:szCs w:val="24"/>
              </w:rPr>
            </w:pPr>
          </w:p>
        </w:tc>
        <w:tc>
          <w:tcPr>
            <w:tcW w:w="720" w:type="dxa"/>
          </w:tcPr>
          <w:p w14:paraId="3C61B9C8">
            <w:pPr>
              <w:adjustRightInd w:val="0"/>
              <w:snapToGrid w:val="0"/>
              <w:spacing w:line="360" w:lineRule="auto"/>
              <w:jc w:val="center"/>
              <w:rPr>
                <w:rFonts w:ascii="宋体" w:hAnsi="宋体" w:eastAsia="宋体" w:cs="宋体"/>
                <w:sz w:val="24"/>
                <w:szCs w:val="24"/>
              </w:rPr>
            </w:pPr>
          </w:p>
        </w:tc>
        <w:tc>
          <w:tcPr>
            <w:tcW w:w="720" w:type="dxa"/>
          </w:tcPr>
          <w:p w14:paraId="04E4FD2D">
            <w:pPr>
              <w:adjustRightInd w:val="0"/>
              <w:snapToGrid w:val="0"/>
              <w:spacing w:line="360" w:lineRule="auto"/>
              <w:jc w:val="center"/>
              <w:rPr>
                <w:rFonts w:ascii="宋体" w:hAnsi="宋体" w:eastAsia="宋体" w:cs="宋体"/>
                <w:sz w:val="24"/>
                <w:szCs w:val="24"/>
              </w:rPr>
            </w:pPr>
          </w:p>
        </w:tc>
        <w:tc>
          <w:tcPr>
            <w:tcW w:w="720" w:type="dxa"/>
          </w:tcPr>
          <w:p w14:paraId="0523553C">
            <w:pPr>
              <w:adjustRightInd w:val="0"/>
              <w:snapToGrid w:val="0"/>
              <w:spacing w:line="360" w:lineRule="auto"/>
              <w:jc w:val="center"/>
              <w:rPr>
                <w:rFonts w:ascii="宋体" w:hAnsi="宋体" w:eastAsia="宋体" w:cs="宋体"/>
                <w:sz w:val="24"/>
                <w:szCs w:val="24"/>
              </w:rPr>
            </w:pPr>
          </w:p>
        </w:tc>
        <w:tc>
          <w:tcPr>
            <w:tcW w:w="2235" w:type="dxa"/>
          </w:tcPr>
          <w:p w14:paraId="6C9493A6">
            <w:pPr>
              <w:adjustRightInd w:val="0"/>
              <w:snapToGrid w:val="0"/>
              <w:spacing w:line="360" w:lineRule="auto"/>
              <w:rPr>
                <w:rFonts w:ascii="宋体" w:hAnsi="宋体" w:eastAsia="宋体" w:cs="宋体"/>
                <w:sz w:val="24"/>
                <w:szCs w:val="24"/>
              </w:rPr>
            </w:pPr>
          </w:p>
        </w:tc>
      </w:tr>
    </w:tbl>
    <w:p w14:paraId="53D5C86C">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6.3  </w:t>
      </w:r>
      <w:r>
        <w:rPr>
          <w:rFonts w:hint="eastAsia" w:ascii="宋体" w:hAnsi="宋体" w:eastAsia="宋体" w:cs="宋体"/>
          <w:sz w:val="24"/>
          <w:szCs w:val="24"/>
        </w:rPr>
        <w:t>“一览表”和“明细表”仅作为投标方编制投标技术文件的一般格式。其中序号编写应当便于招标方了解分类或分项货物之间的所属关系，如</w:t>
      </w:r>
      <w:r>
        <w:rPr>
          <w:rFonts w:ascii="宋体" w:hAnsi="宋体" w:eastAsia="宋体" w:cs="宋体"/>
          <w:sz w:val="24"/>
          <w:szCs w:val="24"/>
        </w:rPr>
        <w:t>1</w:t>
      </w:r>
      <w:r>
        <w:rPr>
          <w:rFonts w:hint="eastAsia" w:ascii="宋体" w:hAnsi="宋体" w:eastAsia="宋体" w:cs="宋体"/>
          <w:sz w:val="24"/>
          <w:szCs w:val="24"/>
        </w:rPr>
        <w:t>、</w:t>
      </w:r>
      <w:r>
        <w:rPr>
          <w:rFonts w:ascii="宋体" w:hAnsi="宋体" w:eastAsia="宋体" w:cs="宋体"/>
          <w:sz w:val="24"/>
          <w:szCs w:val="24"/>
        </w:rPr>
        <w:t>1.1</w:t>
      </w:r>
      <w:r>
        <w:rPr>
          <w:rFonts w:hint="eastAsia" w:ascii="宋体" w:hAnsi="宋体" w:eastAsia="宋体" w:cs="宋体"/>
          <w:sz w:val="24"/>
          <w:szCs w:val="24"/>
        </w:rPr>
        <w:t>、</w:t>
      </w:r>
      <w:r>
        <w:rPr>
          <w:rFonts w:ascii="宋体" w:hAnsi="宋体" w:eastAsia="宋体" w:cs="宋体"/>
          <w:sz w:val="24"/>
          <w:szCs w:val="24"/>
        </w:rPr>
        <w:t>1.2</w:t>
      </w:r>
      <w:r>
        <w:rPr>
          <w:rFonts w:hint="eastAsia" w:ascii="宋体" w:hAnsi="宋体" w:eastAsia="宋体" w:cs="宋体"/>
          <w:sz w:val="24"/>
          <w:szCs w:val="24"/>
        </w:rPr>
        <w:t>。</w:t>
      </w:r>
    </w:p>
    <w:p w14:paraId="0A53665E">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6.4  </w:t>
      </w:r>
      <w:r>
        <w:rPr>
          <w:rFonts w:hint="eastAsia" w:ascii="宋体" w:hAnsi="宋体" w:eastAsia="宋体" w:cs="宋体"/>
          <w:sz w:val="24"/>
          <w:szCs w:val="24"/>
        </w:rPr>
        <w:t>应当尽可能将货物的配置列全、列细，这将有助于投标方胜出。</w:t>
      </w:r>
    </w:p>
    <w:p w14:paraId="4590CF15">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6.5  </w:t>
      </w:r>
      <w:r>
        <w:rPr>
          <w:rFonts w:hint="eastAsia" w:ascii="宋体" w:hAnsi="宋体" w:eastAsia="宋体" w:cs="宋体"/>
          <w:sz w:val="24"/>
          <w:szCs w:val="24"/>
        </w:rPr>
        <w:t>单价与总价之间、总价与分类小计价之间、分类小计价与合计价之间数据应当齐全而且准确。</w:t>
      </w:r>
    </w:p>
    <w:p w14:paraId="565133F1">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6.6  </w:t>
      </w:r>
      <w:r>
        <w:rPr>
          <w:rFonts w:hint="eastAsia" w:ascii="宋体" w:hAnsi="宋体" w:eastAsia="宋体" w:cs="宋体"/>
          <w:sz w:val="24"/>
          <w:szCs w:val="24"/>
        </w:rPr>
        <w:t>本条款表格中的制造商，应当为全称或公认的简称。</w:t>
      </w:r>
    </w:p>
    <w:p w14:paraId="480C85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二、技术文件中货物报价格式要求</w:t>
      </w:r>
    </w:p>
    <w:p w14:paraId="3A6A191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1.货物配置一览表合计价以及备品备件、易损件和专用耗材明细表合计价应当在投标总报价内对应重现而且应当数据准确。</w:t>
      </w:r>
    </w:p>
    <w:p w14:paraId="7A2929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其中，质保期之内需要的备品备件、易损件和专用耗材，需要在配置一览表内单独分类列出并计入货物配置一览表合计价。</w:t>
      </w:r>
    </w:p>
    <w:p w14:paraId="737CF1C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5CCBFD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3.如果投标总报价与其他价格出现错误或不一致，将有可能导致废标。</w:t>
      </w:r>
    </w:p>
    <w:p w14:paraId="4EA797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4.投标总报价为自合同签订生效至合同无异议执行完毕涉及的招标方需要支付的全部费用。如投标方认为本招标及投标货物涉及特需或专门的设计，应当单独列明设计费。</w:t>
      </w:r>
    </w:p>
    <w:p w14:paraId="06B60D1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14:paraId="6C91C3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14:paraId="366A8EF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三、验收标准及内容要求</w:t>
      </w:r>
    </w:p>
    <w:p w14:paraId="313AFA4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除招标文件明确的验收标准或内容之外，投标方应当在投标文件中提供预验收（必要时）和终验收的标准以及规程；在合同签订之前，经投标方和招标方双方洽谈确认并签署，以作为验收标准执行。</w:t>
      </w:r>
    </w:p>
    <w:p w14:paraId="5C37E45B">
      <w:pPr>
        <w:rPr>
          <w:rFonts w:ascii="黑体" w:hAnsi="等线" w:eastAsia="黑体" w:cs="Times New Roman"/>
          <w:sz w:val="24"/>
          <w:szCs w:val="24"/>
        </w:rPr>
      </w:pPr>
      <w:bookmarkStart w:id="55" w:name="_Toc9658385"/>
      <w:r>
        <w:rPr>
          <w:rFonts w:ascii="黑体" w:hAnsi="等线" w:eastAsia="黑体" w:cs="Times New Roman"/>
          <w:sz w:val="24"/>
          <w:szCs w:val="24"/>
        </w:rPr>
        <w:br w:type="page"/>
      </w:r>
    </w:p>
    <w:p w14:paraId="4069DF10">
      <w:pPr>
        <w:keepNext/>
        <w:keepLines/>
        <w:spacing w:before="120" w:after="120" w:line="360" w:lineRule="auto"/>
        <w:jc w:val="center"/>
        <w:outlineLvl w:val="0"/>
        <w:rPr>
          <w:rFonts w:ascii="宋体" w:hAnsi="宋体" w:eastAsia="等线" w:cs="宋体"/>
          <w:kern w:val="44"/>
          <w:sz w:val="28"/>
          <w:szCs w:val="28"/>
        </w:rPr>
      </w:pPr>
      <w:bookmarkStart w:id="56" w:name="_Toc5478"/>
      <w:bookmarkStart w:id="57" w:name="_Toc8307"/>
      <w:r>
        <w:rPr>
          <w:rFonts w:hint="eastAsia" w:ascii="宋体" w:hAnsi="宋体" w:eastAsia="等线" w:cs="宋体"/>
          <w:kern w:val="44"/>
          <w:sz w:val="28"/>
          <w:szCs w:val="28"/>
        </w:rPr>
        <w:t>第七章</w:t>
      </w:r>
      <w:r>
        <w:rPr>
          <w:rFonts w:ascii="宋体" w:hAnsi="宋体" w:eastAsia="等线" w:cs="宋体"/>
          <w:kern w:val="44"/>
          <w:sz w:val="28"/>
          <w:szCs w:val="28"/>
        </w:rPr>
        <w:t xml:space="preserve">  </w:t>
      </w:r>
      <w:r>
        <w:rPr>
          <w:rFonts w:hint="eastAsia" w:ascii="宋体" w:hAnsi="宋体" w:eastAsia="等线" w:cs="宋体"/>
          <w:kern w:val="44"/>
          <w:sz w:val="28"/>
          <w:szCs w:val="28"/>
        </w:rPr>
        <w:t>其他要求及说明</w:t>
      </w:r>
      <w:bookmarkEnd w:id="55"/>
      <w:bookmarkEnd w:id="56"/>
      <w:bookmarkEnd w:id="57"/>
    </w:p>
    <w:p w14:paraId="1EE0CD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一、要求</w:t>
      </w:r>
    </w:p>
    <w:p w14:paraId="553ABB2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4CFB47A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rPr>
        <w:t>/</w:t>
      </w:r>
      <w:r>
        <w:rPr>
          <w:rFonts w:hint="eastAsia" w:ascii="宋体" w:hAnsi="宋体" w:eastAsia="宋体" w:cs="宋体"/>
          <w:sz w:val="24"/>
          <w:szCs w:val="24"/>
        </w:rPr>
        <w:t>柴油加热方式）、相关案例的验收检测报告，并保证其真实性和有效性。</w:t>
      </w:r>
    </w:p>
    <w:p w14:paraId="566EFF1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w:t>
      </w:r>
      <w:r>
        <w:rPr>
          <w:rFonts w:ascii="宋体" w:hAnsi="宋体" w:eastAsia="宋体" w:cs="宋体"/>
          <w:sz w:val="24"/>
          <w:szCs w:val="24"/>
        </w:rPr>
        <w:t>ISO9001</w:t>
      </w:r>
      <w:r>
        <w:rPr>
          <w:rFonts w:hint="eastAsia" w:ascii="宋体" w:hAnsi="宋体" w:eastAsia="宋体" w:cs="宋体"/>
          <w:sz w:val="24"/>
          <w:szCs w:val="24"/>
        </w:rPr>
        <w:t>、</w:t>
      </w:r>
      <w:r>
        <w:rPr>
          <w:rFonts w:ascii="宋体" w:hAnsi="宋体" w:eastAsia="宋体" w:cs="宋体"/>
          <w:sz w:val="24"/>
          <w:szCs w:val="24"/>
        </w:rPr>
        <w:t>VDA6.1</w:t>
      </w:r>
      <w:r>
        <w:rPr>
          <w:rFonts w:hint="eastAsia" w:ascii="宋体" w:hAnsi="宋体" w:eastAsia="宋体" w:cs="宋体"/>
          <w:sz w:val="24"/>
          <w:szCs w:val="24"/>
        </w:rPr>
        <w:t>、</w:t>
      </w:r>
      <w:r>
        <w:rPr>
          <w:rFonts w:ascii="宋体" w:hAnsi="宋体" w:eastAsia="宋体" w:cs="宋体"/>
          <w:sz w:val="24"/>
          <w:szCs w:val="24"/>
        </w:rPr>
        <w:t>QS9000</w:t>
      </w:r>
      <w:r>
        <w:rPr>
          <w:rFonts w:hint="eastAsia" w:ascii="宋体" w:hAnsi="宋体" w:eastAsia="宋体" w:cs="宋体"/>
          <w:sz w:val="24"/>
          <w:szCs w:val="24"/>
        </w:rPr>
        <w:t>等。</w:t>
      </w:r>
    </w:p>
    <w:p w14:paraId="6102BDD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w:t>
      </w:r>
      <w:r>
        <w:rPr>
          <w:rFonts w:ascii="宋体" w:hAnsi="宋体" w:eastAsia="宋体" w:cs="宋体"/>
          <w:sz w:val="24"/>
          <w:szCs w:val="24"/>
        </w:rPr>
        <w:t>CCC</w:t>
      </w:r>
      <w:r>
        <w:rPr>
          <w:rFonts w:hint="eastAsia" w:ascii="宋体" w:hAnsi="宋体" w:eastAsia="宋体" w:cs="宋体"/>
          <w:sz w:val="24"/>
          <w:szCs w:val="24"/>
        </w:rPr>
        <w:t>证书）。</w:t>
      </w:r>
    </w:p>
    <w:p w14:paraId="1A7CBFD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4.应附有其他与投标单位、采购货物有关的荣誉证书或资料。</w:t>
      </w:r>
    </w:p>
    <w:p w14:paraId="3AD73C3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4E8B8EFD">
      <w:pPr>
        <w:spacing w:line="360" w:lineRule="auto"/>
        <w:ind w:firstLine="477" w:firstLineChars="199"/>
        <w:rPr>
          <w:rFonts w:ascii="宋体" w:hAnsi="宋体" w:eastAsia="宋体" w:cs="宋体"/>
          <w:sz w:val="24"/>
          <w:szCs w:val="24"/>
        </w:rPr>
      </w:pPr>
      <w:r>
        <w:rPr>
          <w:rFonts w:ascii="宋体" w:hAnsi="宋体" w:eastAsia="宋体" w:cs="宋体"/>
          <w:sz w:val="24"/>
          <w:szCs w:val="24"/>
        </w:rPr>
        <w:t>5.1</w:t>
      </w:r>
      <w:r>
        <w:rPr>
          <w:rFonts w:hint="eastAsia" w:ascii="宋体" w:hAnsi="宋体" w:eastAsia="宋体" w:cs="宋体"/>
          <w:sz w:val="24"/>
          <w:szCs w:val="24"/>
        </w:rPr>
        <w:t>国家相关机构颁发的有效期之内所必需的《生产许可证》。</w:t>
      </w:r>
    </w:p>
    <w:p w14:paraId="1394CA1F">
      <w:pPr>
        <w:spacing w:line="360" w:lineRule="auto"/>
        <w:ind w:firstLine="477" w:firstLineChars="199"/>
        <w:rPr>
          <w:rFonts w:ascii="宋体" w:hAnsi="宋体" w:eastAsia="宋体" w:cs="宋体"/>
          <w:sz w:val="24"/>
          <w:szCs w:val="24"/>
        </w:rPr>
      </w:pPr>
      <w:r>
        <w:rPr>
          <w:rFonts w:ascii="宋体" w:hAnsi="宋体" w:eastAsia="宋体" w:cs="宋体"/>
          <w:sz w:val="24"/>
          <w:szCs w:val="24"/>
        </w:rPr>
        <w:t>5.2</w:t>
      </w:r>
      <w:r>
        <w:rPr>
          <w:rFonts w:hint="eastAsia" w:ascii="宋体" w:hAnsi="宋体" w:eastAsia="宋体" w:cs="宋体"/>
          <w:sz w:val="24"/>
          <w:szCs w:val="24"/>
        </w:rPr>
        <w:t>产品（或技术）鉴定报告</w:t>
      </w:r>
      <w:r>
        <w:rPr>
          <w:rFonts w:ascii="宋体" w:hAnsi="宋体" w:eastAsia="宋体" w:cs="宋体"/>
          <w:sz w:val="24"/>
          <w:szCs w:val="24"/>
        </w:rPr>
        <w:t>/</w:t>
      </w:r>
      <w:r>
        <w:rPr>
          <w:rFonts w:hint="eastAsia" w:ascii="宋体" w:hAnsi="宋体" w:eastAsia="宋体" w:cs="宋体"/>
          <w:sz w:val="24"/>
          <w:szCs w:val="24"/>
        </w:rPr>
        <w:t>证书、专利证书或专利许可证书、新技术成果证书等。</w:t>
      </w:r>
    </w:p>
    <w:p w14:paraId="693176A4">
      <w:pPr>
        <w:spacing w:line="360" w:lineRule="auto"/>
        <w:ind w:firstLine="477" w:firstLineChars="199"/>
        <w:rPr>
          <w:rFonts w:ascii="宋体" w:hAnsi="宋体" w:eastAsia="宋体" w:cs="宋体"/>
          <w:sz w:val="24"/>
          <w:szCs w:val="24"/>
        </w:rPr>
      </w:pPr>
      <w:r>
        <w:rPr>
          <w:rFonts w:ascii="宋体" w:hAnsi="宋体" w:eastAsia="宋体" w:cs="宋体"/>
          <w:sz w:val="24"/>
          <w:szCs w:val="24"/>
        </w:rPr>
        <w:t>5.3</w:t>
      </w:r>
      <w:r>
        <w:rPr>
          <w:rFonts w:hint="eastAsia" w:ascii="宋体" w:hAnsi="宋体" w:eastAsia="宋体" w:cs="宋体"/>
          <w:sz w:val="24"/>
          <w:szCs w:val="24"/>
        </w:rPr>
        <w:t>产品相关检验、试验报告，如：型式试验检验报告、安全试验检验报告、电弧效应试验报告、噪声检测报告等</w:t>
      </w:r>
    </w:p>
    <w:p w14:paraId="36F0EB06">
      <w:pPr>
        <w:spacing w:line="360" w:lineRule="auto"/>
        <w:ind w:firstLine="477" w:firstLineChars="199"/>
        <w:rPr>
          <w:rFonts w:ascii="宋体" w:hAnsi="宋体" w:eastAsia="宋体" w:cs="宋体"/>
          <w:sz w:val="24"/>
          <w:szCs w:val="24"/>
        </w:rPr>
      </w:pPr>
      <w:r>
        <w:rPr>
          <w:rFonts w:ascii="宋体" w:hAnsi="宋体" w:eastAsia="宋体" w:cs="宋体"/>
          <w:sz w:val="24"/>
          <w:szCs w:val="24"/>
        </w:rPr>
        <w:t>5.4</w:t>
      </w:r>
      <w:r>
        <w:rPr>
          <w:rFonts w:hint="eastAsia" w:ascii="宋体" w:hAnsi="宋体" w:eastAsia="宋体" w:cs="宋体"/>
          <w:sz w:val="24"/>
          <w:szCs w:val="24"/>
        </w:rPr>
        <w:t>其他能够证明所供货物的质量水平、技术水平、安全性水平、节能性水平、环保性水平等相关的其他证明文件或资料、报告等。</w:t>
      </w:r>
    </w:p>
    <w:p w14:paraId="40851A8F">
      <w:pPr>
        <w:spacing w:line="360" w:lineRule="auto"/>
        <w:ind w:firstLine="477" w:firstLineChars="199"/>
        <w:rPr>
          <w:rFonts w:ascii="宋体" w:hAnsi="宋体" w:eastAsia="宋体" w:cs="宋体"/>
          <w:sz w:val="24"/>
          <w:szCs w:val="24"/>
        </w:rPr>
      </w:pPr>
      <w:r>
        <w:rPr>
          <w:rFonts w:ascii="宋体" w:hAnsi="宋体" w:eastAsia="宋体" w:cs="宋体"/>
          <w:sz w:val="24"/>
          <w:szCs w:val="24"/>
        </w:rPr>
        <w:t>5.5</w:t>
      </w:r>
      <w:r>
        <w:rPr>
          <w:rFonts w:hint="eastAsia" w:ascii="宋体" w:hAnsi="宋体" w:eastAsia="宋体" w:cs="宋体"/>
          <w:sz w:val="24"/>
          <w:szCs w:val="24"/>
        </w:rPr>
        <w:t>该类报告或证明材料对于投标方胜出乃至中标极为重要！</w:t>
      </w:r>
    </w:p>
    <w:p w14:paraId="58B2EF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二、说明</w:t>
      </w:r>
    </w:p>
    <w:p w14:paraId="0743EF4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1.投标方可以根据自身的技术、经验等优势以及对招标文件和本技术标书的理解，写明对招标方所采购货物的优化方案或建议意见。投标方的这些努力，投标方表示感谢，并将有助于投标方优先胜出。</w:t>
      </w:r>
    </w:p>
    <w:p w14:paraId="061F7B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E3B4D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11332D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4.招标文件、投标文件、答疑文件、技术交流文件、技术协议书等，在采购过程中全部为有效文件，如有差异，以对招标方最有利的条款为准。</w:t>
      </w:r>
    </w:p>
    <w:p w14:paraId="4BF35A24">
      <w:pPr>
        <w:spacing w:line="360" w:lineRule="auto"/>
        <w:ind w:firstLine="480" w:firstLineChars="200"/>
        <w:rPr>
          <w:rFonts w:hAnsi="宋体" w:eastAsia="宋体" w:cs="Times New Roman"/>
          <w:b/>
          <w:color w:val="000000"/>
          <w:sz w:val="24"/>
          <w:szCs w:val="24"/>
        </w:rPr>
      </w:pPr>
      <w:r>
        <w:rPr>
          <w:rFonts w:hint="eastAsia" w:ascii="宋体" w:hAnsi="宋体" w:eastAsia="宋体" w:cs="宋体"/>
          <w:sz w:val="24"/>
          <w:szCs w:val="24"/>
        </w:rPr>
        <w:t>5.为避免歧义，本技术标书涉及招投标环节的条款，均将潜在的卖方称为投标方、将买方称为招标方；定标后合同签署环节以及后续的合同执行环节条款，招标方称为买方、投标方中的中标方称为卖方。</w:t>
      </w:r>
    </w:p>
    <w:bookmarkEnd w:id="33"/>
    <w:p w14:paraId="1CE3B33A">
      <w:pPr>
        <w:rPr>
          <w:rFonts w:hAnsi="宋体" w:eastAsia="宋体" w:cs="Times New Roman"/>
          <w:b/>
          <w:color w:val="000000"/>
          <w:sz w:val="24"/>
          <w:szCs w:val="24"/>
        </w:rPr>
      </w:pPr>
    </w:p>
    <w:p w14:paraId="625AC154">
      <w:pPr>
        <w:pStyle w:val="136"/>
        <w:outlineLvl w:val="1"/>
        <w:rPr>
          <w:rFonts w:hint="eastAsia"/>
        </w:rPr>
      </w:pPr>
    </w:p>
    <w:p w14:paraId="6EF20DC9">
      <w:pPr>
        <w:pStyle w:val="146"/>
        <w:rPr>
          <w:b/>
          <w:bCs/>
        </w:rPr>
        <w:sectPr>
          <w:footerReference r:id="rId12" w:type="first"/>
          <w:footerReference r:id="rId11" w:type="default"/>
          <w:pgSz w:w="11906" w:h="16838"/>
          <w:pgMar w:top="1588" w:right="1418" w:bottom="1134" w:left="1418" w:header="851" w:footer="992" w:gutter="0"/>
          <w:pgNumType w:fmt="numberInDash"/>
          <w:cols w:space="720" w:num="1"/>
          <w:titlePg/>
          <w:docGrid w:type="lines" w:linePitch="312" w:charSpace="0"/>
        </w:sectPr>
      </w:pPr>
    </w:p>
    <w:p w14:paraId="5871DF53">
      <w:pPr>
        <w:pStyle w:val="143"/>
      </w:pPr>
      <w:bookmarkStart w:id="58" w:name="_Toc18817"/>
      <w:r>
        <w:rPr>
          <w:rFonts w:hint="eastAsia"/>
        </w:rPr>
        <w:t>第三部分　合同主要条款</w:t>
      </w:r>
      <w:bookmarkEnd w:id="34"/>
      <w:bookmarkEnd w:id="35"/>
      <w:bookmarkEnd w:id="58"/>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6"/>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9" w:name="_Toc21324"/>
      <w:bookmarkStart w:id="60" w:name="_Toc15976"/>
      <w:r>
        <w:rPr>
          <w:rFonts w:hint="eastAsia" w:ascii="黑体" w:hAnsi="黑体" w:eastAsia="黑体" w:cs="黑体"/>
          <w:b w:val="0"/>
          <w:iCs/>
          <w:kern w:val="2"/>
          <w:sz w:val="24"/>
          <w:szCs w:val="24"/>
          <w:lang w:val="en-US" w:eastAsia="zh-CN" w:bidi="ar-SA"/>
        </w:rPr>
        <w:t>1.合同设备标的</w:t>
      </w:r>
      <w:bookmarkEnd w:id="59"/>
      <w:bookmarkEnd w:id="60"/>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12732"/>
      <w:bookmarkStart w:id="62" w:name="_Toc18410"/>
      <w:r>
        <w:rPr>
          <w:rFonts w:hint="eastAsia" w:ascii="黑体" w:hAnsi="黑体" w:eastAsia="黑体" w:cs="黑体"/>
          <w:b w:val="0"/>
          <w:iCs/>
          <w:kern w:val="2"/>
          <w:sz w:val="24"/>
          <w:szCs w:val="24"/>
          <w:lang w:val="en-US" w:eastAsia="zh-CN" w:bidi="ar-SA"/>
        </w:rPr>
        <w:t>2.结算付款约定</w:t>
      </w:r>
      <w:bookmarkEnd w:id="61"/>
      <w:bookmarkEnd w:id="62"/>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08"/>
        <w:gridCol w:w="3708"/>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0" w:type="auto"/>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0" w:type="auto"/>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0" w:type="auto"/>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0" w:type="auto"/>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0" w:type="auto"/>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0" w:type="auto"/>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0" w:type="auto"/>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0" w:type="auto"/>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0" w:type="auto"/>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0" w:type="auto"/>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0" w:type="auto"/>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0" w:type="auto"/>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0" w:type="auto"/>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0" w:type="auto"/>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0" w:type="auto"/>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0" w:type="auto"/>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0" w:type="auto"/>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0" w:type="auto"/>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0" w:type="auto"/>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0" w:type="auto"/>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0" w:type="auto"/>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0" w:type="auto"/>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0" w:type="auto"/>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0" w:type="auto"/>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3" w:name="_Toc2420"/>
      <w:bookmarkStart w:id="64" w:name="_Toc11031"/>
      <w:r>
        <w:rPr>
          <w:rFonts w:hint="eastAsia" w:ascii="黑体" w:hAnsi="黑体" w:eastAsia="黑体" w:cs="黑体"/>
          <w:b w:val="0"/>
          <w:iCs/>
          <w:kern w:val="2"/>
          <w:sz w:val="24"/>
          <w:szCs w:val="24"/>
          <w:lang w:val="en-US" w:eastAsia="zh-CN" w:bidi="ar-SA"/>
        </w:rPr>
        <w:t>3.生效条款</w:t>
      </w:r>
      <w:bookmarkEnd w:id="63"/>
      <w:bookmarkEnd w:id="64"/>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65" w:name="_Toc23222"/>
      <w:bookmarkStart w:id="66" w:name="_Toc9882"/>
      <w:r>
        <w:rPr>
          <w:rFonts w:hint="eastAsia" w:ascii="黑体" w:hAnsi="黑体" w:eastAsia="黑体" w:cs="黑体"/>
          <w:b w:val="0"/>
          <w:iCs/>
          <w:kern w:val="2"/>
          <w:sz w:val="24"/>
          <w:szCs w:val="24"/>
          <w:lang w:val="en-US" w:eastAsia="zh-CN" w:bidi="ar-SA"/>
        </w:rPr>
        <w:t>4.特殊约定</w:t>
      </w:r>
      <w:bookmarkEnd w:id="65"/>
      <w:bookmarkEnd w:id="66"/>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16330018"/>
      <w:bookmarkStart w:id="68" w:name="_Toc11930"/>
      <w:bookmarkStart w:id="69" w:name="_Toc11823"/>
      <w:bookmarkStart w:id="70" w:name="_Toc17619"/>
      <w:bookmarkStart w:id="71" w:name="_Toc11192"/>
      <w:bookmarkStart w:id="72" w:name="_Toc30215"/>
      <w:r>
        <w:rPr>
          <w:rFonts w:hint="eastAsia" w:ascii="黑体" w:hAnsi="黑体" w:eastAsia="黑体" w:cs="黑体"/>
          <w:b w:val="0"/>
          <w:iCs/>
          <w:kern w:val="2"/>
          <w:sz w:val="24"/>
          <w:szCs w:val="24"/>
          <w:lang w:val="en-US" w:eastAsia="zh-CN" w:bidi="ar-SA"/>
        </w:rPr>
        <w:t>1 合同设备</w:t>
      </w:r>
      <w:bookmarkEnd w:id="67"/>
      <w:bookmarkEnd w:id="68"/>
      <w:bookmarkEnd w:id="69"/>
      <w:bookmarkEnd w:id="70"/>
      <w:bookmarkEnd w:id="71"/>
      <w:bookmarkEnd w:id="72"/>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73" w:name="_Toc29026"/>
      <w:bookmarkStart w:id="74" w:name="_Toc22800"/>
      <w:bookmarkStart w:id="75" w:name="_Toc32510"/>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6" w:name="_Toc16330019"/>
      <w:bookmarkStart w:id="77" w:name="_Toc16451"/>
      <w:bookmarkStart w:id="78" w:name="_Toc28306"/>
      <w:r>
        <w:rPr>
          <w:rFonts w:hint="eastAsia" w:ascii="黑体" w:hAnsi="黑体" w:eastAsia="黑体" w:cs="黑体"/>
          <w:b w:val="0"/>
          <w:iCs/>
          <w:kern w:val="2"/>
          <w:sz w:val="24"/>
          <w:szCs w:val="24"/>
          <w:lang w:val="en-US" w:eastAsia="zh-CN" w:bidi="ar-SA"/>
        </w:rPr>
        <w:t>2 包装</w:t>
      </w:r>
      <w:bookmarkEnd w:id="73"/>
      <w:bookmarkEnd w:id="74"/>
      <w:bookmarkEnd w:id="75"/>
      <w:bookmarkEnd w:id="76"/>
      <w:bookmarkEnd w:id="77"/>
      <w:bookmarkEnd w:id="78"/>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13922"/>
      <w:bookmarkStart w:id="80" w:name="_Toc2833"/>
      <w:bookmarkStart w:id="81" w:name="_Toc16330020"/>
      <w:bookmarkStart w:id="82" w:name="_Toc32306"/>
      <w:bookmarkStart w:id="83" w:name="_Toc27453"/>
      <w:bookmarkStart w:id="84" w:name="_Toc27144"/>
      <w:r>
        <w:rPr>
          <w:rFonts w:hint="eastAsia" w:ascii="黑体" w:hAnsi="黑体" w:eastAsia="黑体" w:cs="黑体"/>
          <w:b w:val="0"/>
          <w:iCs/>
          <w:kern w:val="2"/>
          <w:sz w:val="24"/>
          <w:szCs w:val="24"/>
          <w:lang w:val="en-US" w:eastAsia="zh-CN" w:bidi="ar-SA"/>
        </w:rPr>
        <w:t>3 运输标记</w:t>
      </w:r>
      <w:bookmarkEnd w:id="79"/>
      <w:bookmarkEnd w:id="80"/>
      <w:bookmarkEnd w:id="81"/>
      <w:bookmarkEnd w:id="82"/>
      <w:bookmarkEnd w:id="83"/>
      <w:bookmarkEnd w:id="84"/>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5" w:name="_Toc6516"/>
      <w:bookmarkStart w:id="86" w:name="_Toc16330021"/>
      <w:bookmarkStart w:id="87" w:name="_Toc10630"/>
      <w:bookmarkStart w:id="88" w:name="_Toc7431"/>
      <w:bookmarkStart w:id="89" w:name="_Toc16133"/>
      <w:bookmarkStart w:id="90" w:name="_Toc6783"/>
      <w:r>
        <w:rPr>
          <w:rFonts w:hint="eastAsia" w:ascii="黑体" w:hAnsi="黑体" w:eastAsia="黑体" w:cs="黑体"/>
          <w:b w:val="0"/>
          <w:iCs/>
          <w:kern w:val="2"/>
          <w:sz w:val="24"/>
          <w:szCs w:val="24"/>
          <w:lang w:val="en-US" w:eastAsia="zh-CN" w:bidi="ar-SA"/>
        </w:rPr>
        <w:t>4 检验</w:t>
      </w:r>
      <w:bookmarkEnd w:id="85"/>
      <w:bookmarkEnd w:id="86"/>
      <w:bookmarkEnd w:id="87"/>
      <w:bookmarkEnd w:id="88"/>
      <w:bookmarkEnd w:id="89"/>
      <w:bookmarkEnd w:id="90"/>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1" w:name="_Toc32576"/>
      <w:bookmarkStart w:id="92" w:name="_Toc16330022"/>
      <w:bookmarkStart w:id="93" w:name="_Toc19850"/>
      <w:bookmarkStart w:id="94" w:name="_Toc24467"/>
      <w:bookmarkStart w:id="95" w:name="_Toc15840"/>
      <w:bookmarkStart w:id="96" w:name="_Toc11217"/>
      <w:r>
        <w:rPr>
          <w:rFonts w:hint="eastAsia" w:ascii="黑体" w:hAnsi="黑体" w:eastAsia="黑体" w:cs="黑体"/>
          <w:b w:val="0"/>
          <w:iCs/>
          <w:kern w:val="2"/>
          <w:sz w:val="24"/>
          <w:szCs w:val="24"/>
          <w:lang w:val="en-US" w:eastAsia="zh-CN" w:bidi="ar-SA"/>
        </w:rPr>
        <w:t>5 权利担保</w:t>
      </w:r>
      <w:bookmarkEnd w:id="91"/>
      <w:bookmarkEnd w:id="92"/>
      <w:bookmarkEnd w:id="93"/>
      <w:bookmarkEnd w:id="94"/>
      <w:bookmarkEnd w:id="95"/>
      <w:bookmarkEnd w:id="96"/>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7" w:name="_Toc11759"/>
      <w:bookmarkStart w:id="98" w:name="_Toc19937"/>
      <w:bookmarkStart w:id="99" w:name="_Toc4722"/>
      <w:bookmarkStart w:id="100" w:name="_Toc14809"/>
      <w:bookmarkStart w:id="101" w:name="_Toc27500"/>
      <w:bookmarkStart w:id="102" w:name="_Toc16330023"/>
      <w:r>
        <w:rPr>
          <w:rFonts w:hint="eastAsia" w:ascii="黑体" w:hAnsi="黑体" w:eastAsia="黑体" w:cs="黑体"/>
          <w:b w:val="0"/>
          <w:iCs/>
          <w:kern w:val="2"/>
          <w:sz w:val="24"/>
          <w:szCs w:val="24"/>
          <w:lang w:val="en-US" w:eastAsia="zh-CN" w:bidi="ar-SA"/>
        </w:rPr>
        <w:t>6 交货</w:t>
      </w:r>
      <w:bookmarkEnd w:id="97"/>
      <w:bookmarkEnd w:id="98"/>
      <w:bookmarkEnd w:id="99"/>
      <w:bookmarkEnd w:id="100"/>
      <w:bookmarkEnd w:id="101"/>
      <w:bookmarkEnd w:id="102"/>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3" w:name="_Toc25510"/>
      <w:bookmarkStart w:id="104" w:name="_Toc2984"/>
      <w:bookmarkStart w:id="105" w:name="_Toc8024"/>
      <w:bookmarkStart w:id="106" w:name="_Toc16330024"/>
      <w:bookmarkStart w:id="107" w:name="_Toc13185"/>
      <w:bookmarkStart w:id="108" w:name="_Toc2348"/>
      <w:r>
        <w:rPr>
          <w:rFonts w:hint="eastAsia" w:ascii="黑体" w:hAnsi="黑体" w:eastAsia="黑体" w:cs="黑体"/>
          <w:b w:val="0"/>
          <w:iCs/>
          <w:kern w:val="2"/>
          <w:sz w:val="24"/>
          <w:szCs w:val="24"/>
          <w:lang w:val="en-US" w:eastAsia="zh-CN" w:bidi="ar-SA"/>
        </w:rPr>
        <w:t>7 安装、调试</w:t>
      </w:r>
      <w:bookmarkEnd w:id="103"/>
      <w:bookmarkEnd w:id="104"/>
      <w:bookmarkEnd w:id="105"/>
      <w:bookmarkEnd w:id="106"/>
      <w:bookmarkEnd w:id="107"/>
      <w:bookmarkEnd w:id="108"/>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9" w:name="_Toc16330025"/>
      <w:bookmarkStart w:id="110" w:name="_Toc6350"/>
      <w:bookmarkStart w:id="111" w:name="_Toc14098"/>
      <w:bookmarkStart w:id="112" w:name="_Toc30207"/>
      <w:bookmarkStart w:id="113" w:name="_Toc14260"/>
      <w:bookmarkStart w:id="114" w:name="_Toc22891"/>
      <w:r>
        <w:rPr>
          <w:rFonts w:hint="eastAsia" w:ascii="黑体" w:hAnsi="黑体" w:eastAsia="黑体" w:cs="黑体"/>
          <w:b w:val="0"/>
          <w:iCs/>
          <w:kern w:val="2"/>
          <w:sz w:val="24"/>
          <w:szCs w:val="24"/>
          <w:lang w:val="en-US" w:eastAsia="zh-CN" w:bidi="ar-SA"/>
        </w:rPr>
        <w:t>8 价款与支付</w:t>
      </w:r>
      <w:bookmarkEnd w:id="109"/>
      <w:bookmarkEnd w:id="110"/>
      <w:bookmarkEnd w:id="111"/>
      <w:bookmarkEnd w:id="112"/>
      <w:bookmarkEnd w:id="113"/>
      <w:bookmarkEnd w:id="114"/>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5" w:name="_Toc16330026"/>
      <w:bookmarkStart w:id="116" w:name="_Toc22195"/>
      <w:bookmarkStart w:id="117" w:name="_Toc24085"/>
      <w:bookmarkStart w:id="118" w:name="_Toc25708"/>
      <w:bookmarkStart w:id="119" w:name="_Toc23616"/>
      <w:bookmarkStart w:id="120" w:name="_Toc6726"/>
      <w:r>
        <w:rPr>
          <w:rFonts w:hint="eastAsia" w:ascii="黑体" w:hAnsi="黑体" w:eastAsia="黑体" w:cs="黑体"/>
          <w:b w:val="0"/>
          <w:iCs/>
          <w:kern w:val="2"/>
          <w:sz w:val="24"/>
          <w:szCs w:val="24"/>
          <w:lang w:val="en-US" w:eastAsia="zh-CN" w:bidi="ar-SA"/>
        </w:rPr>
        <w:t>9 质量保证及售后服务</w:t>
      </w:r>
      <w:bookmarkEnd w:id="115"/>
      <w:bookmarkEnd w:id="116"/>
      <w:bookmarkEnd w:id="117"/>
      <w:bookmarkEnd w:id="118"/>
      <w:bookmarkEnd w:id="119"/>
      <w:bookmarkEnd w:id="120"/>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121" w:name="_Toc10359"/>
      <w:bookmarkStart w:id="122" w:name="_Toc15570"/>
      <w:bookmarkStart w:id="123" w:name="_Toc16330027"/>
      <w:bookmarkStart w:id="124" w:name="_Toc12927"/>
      <w:bookmarkStart w:id="125" w:name="_Toc19254"/>
      <w:bookmarkStart w:id="126" w:name="_Toc12415"/>
      <w:r>
        <w:rPr>
          <w:rFonts w:hint="eastAsia" w:ascii="黑体" w:hAnsi="黑体" w:eastAsia="黑体" w:cs="黑体"/>
          <w:b w:val="0"/>
          <w:iCs/>
          <w:kern w:val="2"/>
          <w:sz w:val="24"/>
          <w:szCs w:val="24"/>
          <w:lang w:val="en-US" w:eastAsia="zh-CN" w:bidi="ar-SA"/>
        </w:rPr>
        <w:t>10法定责任</w:t>
      </w:r>
      <w:bookmarkEnd w:id="121"/>
      <w:bookmarkEnd w:id="122"/>
      <w:bookmarkEnd w:id="123"/>
      <w:bookmarkEnd w:id="124"/>
      <w:r>
        <w:rPr>
          <w:rFonts w:hint="eastAsia" w:ascii="黑体" w:hAnsi="黑体" w:eastAsia="黑体" w:cs="黑体"/>
          <w:b w:val="0"/>
          <w:iCs/>
          <w:kern w:val="2"/>
          <w:sz w:val="24"/>
          <w:szCs w:val="24"/>
          <w:lang w:val="en-US" w:eastAsia="zh-CN" w:bidi="ar-SA"/>
        </w:rPr>
        <w:t>及合规责任</w:t>
      </w:r>
      <w:bookmarkEnd w:id="125"/>
      <w:bookmarkEnd w:id="126"/>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7" w:name="_Toc16330028"/>
      <w:bookmarkStart w:id="128" w:name="_Toc9708"/>
      <w:bookmarkStart w:id="129" w:name="_Toc27314"/>
      <w:bookmarkStart w:id="130" w:name="_Toc30381"/>
      <w:bookmarkStart w:id="131" w:name="_Toc6932"/>
      <w:bookmarkStart w:id="132" w:name="_Toc22629"/>
      <w:r>
        <w:rPr>
          <w:rFonts w:hint="eastAsia" w:ascii="黑体" w:hAnsi="黑体" w:eastAsia="黑体" w:cs="黑体"/>
          <w:b w:val="0"/>
          <w:iCs/>
          <w:kern w:val="2"/>
          <w:sz w:val="24"/>
          <w:szCs w:val="24"/>
          <w:lang w:val="en-US" w:eastAsia="zh-CN" w:bidi="ar-SA"/>
        </w:rPr>
        <w:t>11 违约责任</w:t>
      </w:r>
      <w:bookmarkEnd w:id="127"/>
      <w:bookmarkEnd w:id="128"/>
      <w:bookmarkEnd w:id="129"/>
      <w:bookmarkEnd w:id="130"/>
      <w:bookmarkEnd w:id="131"/>
      <w:bookmarkEnd w:id="132"/>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3" w:name="_Toc28757"/>
      <w:bookmarkStart w:id="134" w:name="_Toc8535"/>
      <w:bookmarkStart w:id="135" w:name="_Toc16330029"/>
      <w:bookmarkStart w:id="136" w:name="_Toc31554"/>
      <w:bookmarkStart w:id="137" w:name="_Toc1827"/>
      <w:bookmarkStart w:id="138" w:name="_Toc9172"/>
      <w:r>
        <w:rPr>
          <w:rFonts w:hint="eastAsia" w:ascii="黑体" w:hAnsi="黑体" w:eastAsia="黑体" w:cs="黑体"/>
          <w:b w:val="0"/>
          <w:iCs/>
          <w:kern w:val="2"/>
          <w:sz w:val="24"/>
          <w:szCs w:val="24"/>
          <w:lang w:val="en-US" w:eastAsia="zh-CN" w:bidi="ar-SA"/>
        </w:rPr>
        <w:t>12 合同的终止与解除</w:t>
      </w:r>
      <w:bookmarkEnd w:id="133"/>
      <w:bookmarkEnd w:id="134"/>
      <w:bookmarkEnd w:id="135"/>
      <w:bookmarkEnd w:id="136"/>
      <w:bookmarkEnd w:id="137"/>
      <w:bookmarkEnd w:id="138"/>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9" w:name="_Toc31945"/>
      <w:bookmarkStart w:id="140" w:name="_Toc13671"/>
      <w:bookmarkStart w:id="141" w:name="_Toc8620"/>
      <w:bookmarkStart w:id="142" w:name="_Toc14575"/>
      <w:bookmarkStart w:id="143" w:name="_Toc16330030"/>
      <w:bookmarkStart w:id="144" w:name="_Toc31426"/>
      <w:r>
        <w:rPr>
          <w:rFonts w:hint="eastAsia" w:ascii="黑体" w:hAnsi="黑体" w:eastAsia="黑体" w:cs="黑体"/>
          <w:b w:val="0"/>
          <w:iCs/>
          <w:kern w:val="2"/>
          <w:sz w:val="24"/>
          <w:szCs w:val="24"/>
          <w:lang w:val="en-US" w:eastAsia="zh-CN" w:bidi="ar-SA"/>
        </w:rPr>
        <w:t>13 不可抗力</w:t>
      </w:r>
      <w:bookmarkEnd w:id="139"/>
      <w:bookmarkEnd w:id="140"/>
      <w:bookmarkEnd w:id="141"/>
      <w:bookmarkEnd w:id="142"/>
      <w:bookmarkEnd w:id="143"/>
      <w:bookmarkEnd w:id="144"/>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5" w:name="_Toc3849"/>
      <w:bookmarkStart w:id="146" w:name="_Toc637"/>
      <w:bookmarkStart w:id="147" w:name="_Toc16330031"/>
      <w:bookmarkStart w:id="148" w:name="_Toc30389"/>
      <w:bookmarkStart w:id="149" w:name="_Toc8545"/>
      <w:bookmarkStart w:id="150" w:name="_Toc31243"/>
      <w:r>
        <w:rPr>
          <w:rFonts w:hint="eastAsia" w:ascii="黑体" w:hAnsi="黑体" w:eastAsia="黑体" w:cs="黑体"/>
          <w:b w:val="0"/>
          <w:iCs/>
          <w:kern w:val="2"/>
          <w:sz w:val="24"/>
          <w:szCs w:val="24"/>
          <w:lang w:val="en-US" w:eastAsia="zh-CN" w:bidi="ar-SA"/>
        </w:rPr>
        <w:t>14 通讯</w:t>
      </w:r>
      <w:bookmarkEnd w:id="145"/>
      <w:bookmarkEnd w:id="146"/>
      <w:bookmarkEnd w:id="147"/>
      <w:bookmarkEnd w:id="148"/>
      <w:bookmarkEnd w:id="149"/>
      <w:bookmarkEnd w:id="150"/>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1" w:name="_Toc11290"/>
      <w:bookmarkStart w:id="152" w:name="_Toc28292"/>
      <w:bookmarkStart w:id="153" w:name="_Toc6534"/>
      <w:bookmarkStart w:id="154" w:name="_Toc12984"/>
      <w:bookmarkStart w:id="155" w:name="_Toc9915"/>
      <w:bookmarkStart w:id="156" w:name="_Toc16330032"/>
      <w:r>
        <w:rPr>
          <w:rFonts w:hint="eastAsia" w:ascii="黑体" w:hAnsi="黑体" w:eastAsia="黑体" w:cs="黑体"/>
          <w:b w:val="0"/>
          <w:iCs/>
          <w:kern w:val="2"/>
          <w:sz w:val="24"/>
          <w:szCs w:val="24"/>
          <w:lang w:val="en-US" w:eastAsia="zh-CN" w:bidi="ar-SA"/>
        </w:rPr>
        <w:t>15 适用法律及争议解决</w:t>
      </w:r>
      <w:bookmarkEnd w:id="151"/>
      <w:bookmarkEnd w:id="152"/>
      <w:bookmarkEnd w:id="153"/>
      <w:bookmarkEnd w:id="154"/>
      <w:bookmarkEnd w:id="155"/>
      <w:bookmarkEnd w:id="156"/>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7" w:name="_Toc26977"/>
      <w:bookmarkStart w:id="158" w:name="_Toc19464"/>
      <w:bookmarkStart w:id="159" w:name="_Toc18207"/>
      <w:bookmarkStart w:id="160" w:name="_Toc23765"/>
      <w:bookmarkStart w:id="161" w:name="_Toc23906"/>
      <w:bookmarkStart w:id="162" w:name="_Toc16330033"/>
      <w:r>
        <w:rPr>
          <w:rFonts w:hint="eastAsia" w:ascii="黑体" w:hAnsi="黑体" w:eastAsia="黑体" w:cs="黑体"/>
          <w:b w:val="0"/>
          <w:iCs/>
          <w:kern w:val="2"/>
          <w:sz w:val="24"/>
          <w:szCs w:val="24"/>
          <w:lang w:val="en-US" w:eastAsia="zh-CN" w:bidi="ar-SA"/>
        </w:rPr>
        <w:t>16 附件</w:t>
      </w:r>
      <w:bookmarkEnd w:id="157"/>
      <w:bookmarkEnd w:id="158"/>
      <w:bookmarkEnd w:id="159"/>
      <w:bookmarkEnd w:id="160"/>
      <w:bookmarkEnd w:id="161"/>
      <w:bookmarkEnd w:id="162"/>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63" w:name="_Toc17656"/>
      <w:bookmarkStart w:id="164" w:name="_Toc27202"/>
      <w:bookmarkStart w:id="165" w:name="_Toc10952"/>
      <w:bookmarkStart w:id="166" w:name="_Toc3303"/>
      <w:bookmarkStart w:id="167" w:name="_Toc31331"/>
      <w:bookmarkStart w:id="168" w:name="_Toc16330034"/>
      <w:r>
        <w:rPr>
          <w:rFonts w:hint="eastAsia" w:ascii="黑体" w:hAnsi="黑体" w:eastAsia="黑体" w:cs="黑体"/>
          <w:b w:val="0"/>
          <w:iCs/>
          <w:kern w:val="2"/>
          <w:sz w:val="24"/>
          <w:szCs w:val="24"/>
          <w:lang w:val="en-US" w:eastAsia="zh-CN" w:bidi="ar-SA"/>
        </w:rPr>
        <w:t>17 其他规定</w:t>
      </w:r>
      <w:bookmarkEnd w:id="163"/>
      <w:bookmarkEnd w:id="164"/>
      <w:bookmarkEnd w:id="165"/>
      <w:bookmarkEnd w:id="166"/>
      <w:bookmarkEnd w:id="167"/>
      <w:bookmarkEnd w:id="168"/>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69" w:name="_Toc17952"/>
      <w:bookmarkStart w:id="170" w:name="_Toc19077"/>
      <w:bookmarkStart w:id="171" w:name="_Toc29136"/>
      <w:bookmarkStart w:id="172"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73" w:name="_Toc1399"/>
      <w:bookmarkStart w:id="174" w:name="_Toc5855"/>
      <w:r>
        <w:rPr>
          <w:rFonts w:hint="eastAsia" w:ascii="黑体" w:hAnsi="黑体" w:eastAsia="黑体" w:cs="黑体"/>
          <w:b w:val="0"/>
          <w:iCs/>
          <w:kern w:val="2"/>
          <w:sz w:val="24"/>
          <w:szCs w:val="24"/>
          <w:lang w:val="en-US" w:eastAsia="zh-CN" w:bidi="ar-SA"/>
        </w:rPr>
        <w:t>18 签署事项</w:t>
      </w:r>
      <w:bookmarkEnd w:id="169"/>
      <w:bookmarkEnd w:id="170"/>
      <w:bookmarkEnd w:id="171"/>
      <w:bookmarkEnd w:id="172"/>
      <w:bookmarkEnd w:id="173"/>
      <w:bookmarkEnd w:id="174"/>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2106"/>
        <w:gridCol w:w="636"/>
        <w:gridCol w:w="636"/>
        <w:gridCol w:w="846"/>
        <w:gridCol w:w="636"/>
        <w:gridCol w:w="636"/>
        <w:gridCol w:w="636"/>
        <w:gridCol w:w="636"/>
        <w:gridCol w:w="63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0" w:type="auto"/>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0" w:type="auto"/>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0" w:type="auto"/>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0" w:type="auto"/>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0" w:type="auto"/>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0" w:type="auto"/>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0" w:type="auto"/>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0" w:type="auto"/>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0" w:type="auto"/>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0" w:type="auto"/>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0" w:type="auto"/>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0" w:type="auto"/>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0" w:type="auto"/>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7792998">
            <w:pPr>
              <w:spacing w:after="0" w:line="360" w:lineRule="auto"/>
              <w:jc w:val="center"/>
              <w:rPr>
                <w:rFonts w:ascii="仿宋_GB2312" w:hAnsi="宋体" w:eastAsia="仿宋_GB2312" w:cs="宋体"/>
              </w:rPr>
            </w:pPr>
          </w:p>
        </w:tc>
        <w:tc>
          <w:tcPr>
            <w:tcW w:w="0" w:type="auto"/>
            <w:vAlign w:val="center"/>
          </w:tcPr>
          <w:p w14:paraId="6E220184">
            <w:pPr>
              <w:spacing w:after="0" w:line="360" w:lineRule="auto"/>
              <w:jc w:val="center"/>
              <w:rPr>
                <w:rFonts w:ascii="仿宋_GB2312" w:hAnsi="宋体" w:eastAsia="仿宋_GB2312" w:cs="宋体"/>
              </w:rPr>
            </w:pPr>
          </w:p>
        </w:tc>
        <w:tc>
          <w:tcPr>
            <w:tcW w:w="0" w:type="auto"/>
            <w:vAlign w:val="center"/>
          </w:tcPr>
          <w:p w14:paraId="4A5B8689">
            <w:pPr>
              <w:spacing w:after="0" w:line="360" w:lineRule="auto"/>
              <w:jc w:val="center"/>
              <w:rPr>
                <w:rFonts w:ascii="仿宋_GB2312" w:hAnsi="宋体" w:eastAsia="仿宋_GB2312" w:cs="宋体"/>
              </w:rPr>
            </w:pPr>
          </w:p>
        </w:tc>
        <w:tc>
          <w:tcPr>
            <w:tcW w:w="0" w:type="auto"/>
            <w:vAlign w:val="center"/>
          </w:tcPr>
          <w:p w14:paraId="7E32BC93">
            <w:pPr>
              <w:spacing w:after="0" w:line="360" w:lineRule="auto"/>
              <w:jc w:val="center"/>
              <w:rPr>
                <w:rFonts w:ascii="仿宋_GB2312" w:hAnsi="宋体" w:eastAsia="仿宋_GB2312" w:cs="宋体"/>
              </w:rPr>
            </w:pPr>
          </w:p>
        </w:tc>
        <w:tc>
          <w:tcPr>
            <w:tcW w:w="0" w:type="auto"/>
            <w:vAlign w:val="center"/>
          </w:tcPr>
          <w:p w14:paraId="5A8B913F">
            <w:pPr>
              <w:spacing w:after="0" w:line="360" w:lineRule="auto"/>
              <w:jc w:val="center"/>
              <w:rPr>
                <w:rFonts w:ascii="仿宋_GB2312" w:hAnsi="宋体" w:eastAsia="仿宋_GB2312" w:cs="宋体"/>
              </w:rPr>
            </w:pPr>
          </w:p>
        </w:tc>
        <w:tc>
          <w:tcPr>
            <w:tcW w:w="0" w:type="auto"/>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143"/>
        <w:rPr>
          <w:rFonts w:hint="default" w:eastAsia="黑体"/>
          <w:lang w:val="en-US" w:eastAsia="zh-CN"/>
        </w:rPr>
      </w:pPr>
      <w:bookmarkStart w:id="175" w:name="_Toc47976615"/>
      <w:bookmarkStart w:id="176" w:name="_Toc21485"/>
      <w:bookmarkStart w:id="177" w:name="_Toc5925"/>
      <w:r>
        <w:rPr>
          <w:rFonts w:hint="eastAsia"/>
        </w:rPr>
        <w:t>第四部分　</w:t>
      </w:r>
      <w:bookmarkEnd w:id="175"/>
      <w:r>
        <w:rPr>
          <w:rFonts w:hint="eastAsia"/>
          <w:lang w:val="en-US" w:eastAsia="zh-CN"/>
        </w:rPr>
        <w:t>投标文件附件</w:t>
      </w:r>
      <w:bookmarkEnd w:id="176"/>
      <w:bookmarkEnd w:id="177"/>
    </w:p>
    <w:p w14:paraId="600DE1DD">
      <w:pPr>
        <w:pStyle w:val="143"/>
        <w:jc w:val="left"/>
        <w:rPr>
          <w:rFonts w:hint="eastAsia" w:ascii="宋体" w:hAnsi="宋体" w:eastAsia="宋体" w:cs="宋体"/>
          <w:sz w:val="32"/>
          <w:szCs w:val="32"/>
          <w:highlight w:val="none"/>
          <w:lang w:eastAsia="zh-CN"/>
        </w:rPr>
      </w:pPr>
      <w:bookmarkStart w:id="178" w:name="_Toc4225"/>
      <w:bookmarkStart w:id="179" w:name="_Toc47976616"/>
      <w:bookmarkStart w:id="180" w:name="_Toc17167"/>
      <w:bookmarkStart w:id="181" w:name="_Toc78"/>
      <w:r>
        <w:rPr>
          <w:rFonts w:hint="eastAsia" w:ascii="宋体" w:hAnsi="宋体" w:eastAsia="宋体" w:cs="宋体"/>
          <w:sz w:val="32"/>
          <w:szCs w:val="32"/>
          <w:highlight w:val="none"/>
        </w:rPr>
        <w:t>附件</w:t>
      </w:r>
      <w:bookmarkEnd w:id="178"/>
      <w:bookmarkEnd w:id="179"/>
      <w:r>
        <w:rPr>
          <w:rFonts w:hint="eastAsia" w:ascii="宋体" w:hAnsi="宋体" w:eastAsia="宋体" w:cs="宋体"/>
          <w:sz w:val="32"/>
          <w:szCs w:val="32"/>
          <w:highlight w:val="none"/>
          <w:lang w:val="en-US" w:eastAsia="zh-CN"/>
        </w:rPr>
        <w:t>1</w:t>
      </w:r>
      <w:bookmarkEnd w:id="180"/>
      <w:bookmarkEnd w:id="181"/>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eastAsia="宋体" w:cs="Times New Roman"/>
          <w:color w:val="000000"/>
          <w:sz w:val="24"/>
          <w:szCs w:val="24"/>
          <w:highlight w:val="none"/>
          <w:lang w:val="en-US" w:eastAsia="zh-CN"/>
        </w:rPr>
        <w:t>济南商用车</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144"/>
        <w:numPr>
          <w:ilvl w:val="0"/>
          <w:numId w:val="0"/>
        </w:numPr>
        <w:ind w:leftChars="0"/>
        <w:rPr>
          <w:rFonts w:hint="eastAsia" w:ascii="宋体" w:hAnsi="宋体" w:eastAsia="宋体" w:cs="宋体"/>
          <w:sz w:val="32"/>
          <w:szCs w:val="32"/>
          <w:highlight w:val="none"/>
          <w:lang w:val="en-US" w:eastAsia="zh-CN"/>
        </w:rPr>
      </w:pPr>
      <w:bookmarkStart w:id="182" w:name="_Toc47976618"/>
      <w:bookmarkStart w:id="183" w:name="_Toc29366865"/>
      <w:bookmarkStart w:id="184" w:name="_Toc29366869"/>
      <w:r>
        <w:rPr>
          <w:rFonts w:hint="eastAsia" w:ascii="宋体" w:hAnsi="宋体" w:eastAsia="宋体" w:cs="宋体"/>
          <w:sz w:val="32"/>
          <w:szCs w:val="32"/>
          <w:highlight w:val="none"/>
          <w:lang w:val="en-US" w:eastAsia="zh-CN"/>
        </w:rPr>
        <w:t>附件2</w:t>
      </w:r>
      <w:bookmarkEnd w:id="182"/>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r>
        <w:rPr>
          <w:rFonts w:hint="eastAsia" w:ascii="宋体" w:hAnsi="宋体" w:eastAsia="宋体" w:cs="宋体"/>
          <w:b/>
          <w:bCs/>
          <w:sz w:val="24"/>
          <w:szCs w:val="24"/>
          <w:u w:val="single"/>
          <w:lang w:val="en-US" w:eastAsia="zh-CN"/>
        </w:rPr>
        <w:t>（ZBGL2026030180</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6"/>
      </w:pPr>
    </w:p>
    <w:p w14:paraId="3A5DEF51">
      <w:pPr>
        <w:spacing w:line="360" w:lineRule="auto"/>
        <w:rPr>
          <w:rFonts w:ascii="宋体" w:hAnsi="宋体" w:cs="宋体"/>
          <w:sz w:val="24"/>
          <w:szCs w:val="21"/>
        </w:rPr>
      </w:pPr>
    </w:p>
    <w:bookmarkEnd w:id="183"/>
    <w:bookmarkEnd w:id="184"/>
    <w:p w14:paraId="33174FF7">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5"/>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rPr>
            </w:pPr>
          </w:p>
        </w:tc>
        <w:tc>
          <w:tcPr>
            <w:tcW w:w="1310" w:type="dxa"/>
          </w:tcPr>
          <w:p w14:paraId="10E514A6">
            <w:pPr>
              <w:pStyle w:val="135"/>
              <w:spacing w:before="106"/>
              <w:ind w:left="154" w:right="26"/>
              <w:jc w:val="center"/>
              <w:rPr>
                <w:color w:val="000000" w:themeColor="text1"/>
              </w:rPr>
            </w:pPr>
            <w:r>
              <w:rPr>
                <w:color w:val="000000" w:themeColor="text1"/>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5"/>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rPr>
            </w:pPr>
          </w:p>
        </w:tc>
        <w:tc>
          <w:tcPr>
            <w:tcW w:w="1310" w:type="dxa"/>
          </w:tcPr>
          <w:p w14:paraId="1B4F21D6">
            <w:pPr>
              <w:pStyle w:val="135"/>
              <w:spacing w:before="106"/>
              <w:ind w:left="154" w:right="26"/>
              <w:jc w:val="center"/>
              <w:rPr>
                <w:color w:val="000000" w:themeColor="text1"/>
              </w:rPr>
            </w:pPr>
            <w:r>
              <w:rPr>
                <w:color w:val="000000" w:themeColor="text1"/>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5"/>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rPr>
            </w:pPr>
          </w:p>
        </w:tc>
        <w:tc>
          <w:tcPr>
            <w:tcW w:w="1310" w:type="dxa"/>
          </w:tcPr>
          <w:p w14:paraId="135A9CD2">
            <w:pPr>
              <w:pStyle w:val="135"/>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5"/>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14:paraId="39809702">
            <w:pPr>
              <w:pStyle w:val="135"/>
              <w:spacing w:before="103"/>
              <w:ind w:right="26"/>
              <w:jc w:val="center"/>
              <w:rPr>
                <w:color w:val="000000" w:themeColor="text1"/>
              </w:rPr>
            </w:pPr>
            <w:r>
              <w:rPr>
                <w:color w:val="000000" w:themeColor="text1"/>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5"/>
              <w:spacing w:before="114"/>
              <w:ind w:left="720"/>
            </w:pPr>
            <w:r>
              <w:t xml:space="preserve">品牌区分 </w:t>
            </w:r>
          </w:p>
        </w:tc>
        <w:tc>
          <w:tcPr>
            <w:tcW w:w="7500" w:type="dxa"/>
            <w:gridSpan w:val="6"/>
          </w:tcPr>
          <w:p w14:paraId="6CB73591">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5"/>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35"/>
              <w:spacing w:before="15"/>
              <w:ind w:left="279"/>
            </w:pPr>
            <w:r>
              <w:rPr>
                <w:spacing w:val="-2"/>
              </w:rPr>
              <w:t>质量</w:t>
            </w:r>
            <w:r>
              <w:t xml:space="preserve"> </w:t>
            </w:r>
          </w:p>
          <w:p w14:paraId="7E67F972">
            <w:pPr>
              <w:pStyle w:val="135"/>
              <w:spacing w:before="30" w:line="277" w:lineRule="exact"/>
              <w:ind w:left="279"/>
            </w:pPr>
            <w:r>
              <w:rPr>
                <w:rFonts w:hint="eastAsia"/>
              </w:rPr>
              <w:t>体系</w:t>
            </w:r>
          </w:p>
        </w:tc>
        <w:tc>
          <w:tcPr>
            <w:tcW w:w="2820" w:type="dxa"/>
            <w:gridSpan w:val="2"/>
          </w:tcPr>
          <w:p w14:paraId="75D97D6D">
            <w:pPr>
              <w:pStyle w:val="135"/>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5"/>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rPr>
      </w:pPr>
      <w:r>
        <w:rPr>
          <w:rFonts w:hAnsi="宋体" w:eastAsia="宋体" w:cs="宋体"/>
          <w:spacing w:val="-9"/>
          <w:sz w:val="24"/>
          <w:szCs w:val="24"/>
        </w:rPr>
        <w:br w:type="page"/>
      </w:r>
    </w:p>
    <w:p w14:paraId="3AF3DD7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3883E50A">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2BD7BBFB">
      <w:pPr>
        <w:rPr>
          <w:rFonts w:hint="eastAsia" w:ascii="Times New Roman" w:hAnsi="Times New Roman" w:eastAsia="宋体" w:cs="Times New Roman"/>
          <w:b/>
          <w:bCs/>
          <w:color w:val="000000"/>
          <w:sz w:val="24"/>
          <w:szCs w:val="24"/>
        </w:rPr>
        <w:sectPr>
          <w:footerReference r:id="rId13" w:type="default"/>
          <w:pgSz w:w="11907" w:h="16841"/>
          <w:pgMar w:top="1587" w:right="1417" w:bottom="1134" w:left="1417" w:header="0" w:footer="990" w:gutter="0"/>
          <w:pgNumType w:fmt="numberInDash"/>
          <w:cols w:equalWidth="0" w:num="1">
            <w:col w:w="13980"/>
          </w:cols>
        </w:sectPr>
      </w:pPr>
    </w:p>
    <w:p w14:paraId="53398DE2">
      <w:pPr>
        <w:rPr>
          <w:rFonts w:hint="eastAsia" w:ascii="Times New Roman" w:hAnsi="Times New Roman" w:eastAsia="宋体" w:cs="Times New Roman"/>
          <w:b/>
          <w:bCs/>
          <w:color w:val="000000"/>
          <w:sz w:val="24"/>
          <w:szCs w:val="24"/>
        </w:rPr>
      </w:pPr>
    </w:p>
    <w:p w14:paraId="313ACAB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w:t>
      </w:r>
      <w:r>
        <w:rPr>
          <w:rFonts w:hint="eastAsia" w:ascii="Times New Roman" w:hAnsi="Times New Roman" w:eastAsia="宋体" w:cs="宋体"/>
          <w:b/>
          <w:bCs/>
          <w:color w:val="000000"/>
          <w:sz w:val="24"/>
          <w:szCs w:val="24"/>
          <w:highlight w:val="none"/>
        </w:rPr>
        <w:t>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p>
    <w:p w14:paraId="6E2E2542">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r>
        <w:rPr>
          <w:rFonts w:ascii="宋体" w:hAnsi="宋体" w:eastAsia="宋体" w:cs="宋体"/>
          <w:spacing w:val="8"/>
          <w:sz w:val="24"/>
          <w:szCs w:val="24"/>
          <w:highlight w:val="none"/>
        </w:rPr>
        <w:t>表</w:t>
      </w:r>
    </w:p>
    <w:p w14:paraId="143365F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p>
    <w:tbl>
      <w:tblPr>
        <w:tblStyle w:val="133"/>
        <w:tblW w:w="13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2579"/>
        <w:gridCol w:w="2580"/>
        <w:gridCol w:w="1538"/>
        <w:gridCol w:w="2102"/>
        <w:gridCol w:w="2722"/>
        <w:gridCol w:w="1561"/>
      </w:tblGrid>
      <w:tr w14:paraId="1E7E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74" w:type="dxa"/>
          </w:tcPr>
          <w:p w14:paraId="5469B2F6">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2579" w:type="dxa"/>
          </w:tcPr>
          <w:p w14:paraId="3078309E">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2580" w:type="dxa"/>
          </w:tcPr>
          <w:p w14:paraId="12197885">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538" w:type="dxa"/>
          </w:tcPr>
          <w:p w14:paraId="2240BF42">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2102" w:type="dxa"/>
          </w:tcPr>
          <w:p w14:paraId="076A293C">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2722" w:type="dxa"/>
            <w:tcBorders>
              <w:left w:val="single" w:color="000000" w:sz="4" w:space="0"/>
            </w:tcBorders>
          </w:tcPr>
          <w:p w14:paraId="54D64E83">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561" w:type="dxa"/>
          </w:tcPr>
          <w:p w14:paraId="2FBA34D7">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14:paraId="2769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74" w:type="dxa"/>
            <w:vAlign w:val="center"/>
          </w:tcPr>
          <w:p w14:paraId="5B9A1868">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579" w:type="dxa"/>
            <w:vAlign w:val="center"/>
          </w:tcPr>
          <w:p w14:paraId="2F8F6BC9">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580" w:type="dxa"/>
            <w:vAlign w:val="center"/>
          </w:tcPr>
          <w:p w14:paraId="181DE3FA">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538" w:type="dxa"/>
            <w:vAlign w:val="center"/>
          </w:tcPr>
          <w:p w14:paraId="5AFA8FD5">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单位</w:t>
            </w:r>
          </w:p>
        </w:tc>
        <w:tc>
          <w:tcPr>
            <w:tcW w:w="2102" w:type="dxa"/>
            <w:vAlign w:val="center"/>
          </w:tcPr>
          <w:p w14:paraId="031D32BB">
            <w:pPr>
              <w:spacing w:before="0" w:line="221" w:lineRule="auto"/>
              <w:ind w:left="0" w:right="0" w:firstLine="0"/>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数量</w:t>
            </w:r>
          </w:p>
        </w:tc>
        <w:tc>
          <w:tcPr>
            <w:tcW w:w="2722" w:type="dxa"/>
            <w:tcBorders>
              <w:left w:val="single" w:color="000000" w:sz="4" w:space="0"/>
            </w:tcBorders>
            <w:vAlign w:val="center"/>
          </w:tcPr>
          <w:p w14:paraId="34A3CA49">
            <w:pPr>
              <w:spacing w:before="0" w:line="221" w:lineRule="auto"/>
              <w:ind w:left="0" w:leftChars="0"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561" w:type="dxa"/>
            <w:vAlign w:val="center"/>
          </w:tcPr>
          <w:p w14:paraId="6A20E931">
            <w:pPr>
              <w:spacing w:before="0" w:line="221" w:lineRule="auto"/>
              <w:ind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487BB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03B0EAE">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1</w:t>
            </w:r>
          </w:p>
        </w:tc>
        <w:tc>
          <w:tcPr>
            <w:tcW w:w="2579" w:type="dxa"/>
            <w:vAlign w:val="center"/>
          </w:tcPr>
          <w:p w14:paraId="03146F1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35B43372">
            <w:pPr>
              <w:rPr>
                <w:rFonts w:ascii="Arial"/>
                <w:highlight w:val="none"/>
              </w:rPr>
            </w:pPr>
          </w:p>
        </w:tc>
        <w:tc>
          <w:tcPr>
            <w:tcW w:w="1538" w:type="dxa"/>
            <w:vAlign w:val="center"/>
          </w:tcPr>
          <w:p w14:paraId="1F70849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05B2C110">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1619C97E">
            <w:pPr>
              <w:rPr>
                <w:rFonts w:ascii="Arial"/>
                <w:highlight w:val="none"/>
              </w:rPr>
            </w:pPr>
          </w:p>
        </w:tc>
        <w:tc>
          <w:tcPr>
            <w:tcW w:w="1561" w:type="dxa"/>
          </w:tcPr>
          <w:p w14:paraId="2C91C3A9">
            <w:pPr>
              <w:rPr>
                <w:rFonts w:ascii="Arial"/>
                <w:highlight w:val="none"/>
              </w:rPr>
            </w:pPr>
          </w:p>
        </w:tc>
      </w:tr>
      <w:tr w14:paraId="615A1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3B14CBBC">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2</w:t>
            </w:r>
          </w:p>
        </w:tc>
        <w:tc>
          <w:tcPr>
            <w:tcW w:w="2579" w:type="dxa"/>
            <w:vAlign w:val="center"/>
          </w:tcPr>
          <w:p w14:paraId="3502F91F">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6DEC17E2">
            <w:pPr>
              <w:rPr>
                <w:rFonts w:ascii="Arial"/>
                <w:highlight w:val="none"/>
              </w:rPr>
            </w:pPr>
          </w:p>
        </w:tc>
        <w:tc>
          <w:tcPr>
            <w:tcW w:w="1538" w:type="dxa"/>
            <w:vAlign w:val="center"/>
          </w:tcPr>
          <w:p w14:paraId="4564E77D">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7DEA513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4F6BF2BC">
            <w:pPr>
              <w:rPr>
                <w:rFonts w:ascii="Arial"/>
                <w:highlight w:val="none"/>
              </w:rPr>
            </w:pPr>
          </w:p>
        </w:tc>
        <w:tc>
          <w:tcPr>
            <w:tcW w:w="1561" w:type="dxa"/>
          </w:tcPr>
          <w:p w14:paraId="57834D10">
            <w:pPr>
              <w:rPr>
                <w:rFonts w:ascii="Arial"/>
                <w:highlight w:val="none"/>
              </w:rPr>
            </w:pPr>
          </w:p>
        </w:tc>
      </w:tr>
      <w:tr w14:paraId="4BB98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24492693">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3</w:t>
            </w:r>
          </w:p>
        </w:tc>
        <w:tc>
          <w:tcPr>
            <w:tcW w:w="2579" w:type="dxa"/>
            <w:vAlign w:val="center"/>
          </w:tcPr>
          <w:p w14:paraId="529C4FB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2AC09AC1">
            <w:pPr>
              <w:rPr>
                <w:rFonts w:ascii="Arial"/>
                <w:highlight w:val="none"/>
              </w:rPr>
            </w:pPr>
          </w:p>
        </w:tc>
        <w:tc>
          <w:tcPr>
            <w:tcW w:w="1538" w:type="dxa"/>
            <w:vAlign w:val="center"/>
          </w:tcPr>
          <w:p w14:paraId="6DCDD81E">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16B34E1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2066FDDA">
            <w:pPr>
              <w:rPr>
                <w:rFonts w:ascii="Arial"/>
                <w:highlight w:val="none"/>
              </w:rPr>
            </w:pPr>
          </w:p>
        </w:tc>
        <w:tc>
          <w:tcPr>
            <w:tcW w:w="1561" w:type="dxa"/>
          </w:tcPr>
          <w:p w14:paraId="3C59607F">
            <w:pPr>
              <w:rPr>
                <w:rFonts w:ascii="Arial"/>
                <w:highlight w:val="none"/>
              </w:rPr>
            </w:pPr>
          </w:p>
        </w:tc>
      </w:tr>
      <w:tr w14:paraId="1199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751D2C2">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4</w:t>
            </w:r>
          </w:p>
        </w:tc>
        <w:tc>
          <w:tcPr>
            <w:tcW w:w="2579" w:type="dxa"/>
            <w:vAlign w:val="center"/>
          </w:tcPr>
          <w:p w14:paraId="7B5774C2">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1B2CC471">
            <w:pPr>
              <w:rPr>
                <w:rFonts w:ascii="Arial"/>
                <w:highlight w:val="none"/>
              </w:rPr>
            </w:pPr>
          </w:p>
        </w:tc>
        <w:tc>
          <w:tcPr>
            <w:tcW w:w="1538" w:type="dxa"/>
            <w:vAlign w:val="center"/>
          </w:tcPr>
          <w:p w14:paraId="11D53E1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17B9CEF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289EA3F7">
            <w:pPr>
              <w:rPr>
                <w:rFonts w:ascii="Arial"/>
                <w:highlight w:val="none"/>
              </w:rPr>
            </w:pPr>
          </w:p>
        </w:tc>
        <w:tc>
          <w:tcPr>
            <w:tcW w:w="1561" w:type="dxa"/>
          </w:tcPr>
          <w:p w14:paraId="686EC229">
            <w:pPr>
              <w:rPr>
                <w:rFonts w:ascii="Arial"/>
                <w:highlight w:val="none"/>
              </w:rPr>
            </w:pPr>
          </w:p>
        </w:tc>
      </w:tr>
      <w:tr w14:paraId="30DA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90EFD09">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5</w:t>
            </w:r>
          </w:p>
        </w:tc>
        <w:tc>
          <w:tcPr>
            <w:tcW w:w="2579" w:type="dxa"/>
            <w:vAlign w:val="center"/>
          </w:tcPr>
          <w:p w14:paraId="4422205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5C853C66">
            <w:pPr>
              <w:rPr>
                <w:rFonts w:ascii="Arial"/>
                <w:highlight w:val="none"/>
              </w:rPr>
            </w:pPr>
          </w:p>
        </w:tc>
        <w:tc>
          <w:tcPr>
            <w:tcW w:w="1538" w:type="dxa"/>
            <w:vAlign w:val="center"/>
          </w:tcPr>
          <w:p w14:paraId="6E732035">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1E042B2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67DACAC5">
            <w:pPr>
              <w:rPr>
                <w:rFonts w:ascii="Arial"/>
                <w:highlight w:val="none"/>
              </w:rPr>
            </w:pPr>
          </w:p>
        </w:tc>
        <w:tc>
          <w:tcPr>
            <w:tcW w:w="1561" w:type="dxa"/>
          </w:tcPr>
          <w:p w14:paraId="05257B4C">
            <w:pPr>
              <w:rPr>
                <w:rFonts w:ascii="Arial"/>
                <w:highlight w:val="none"/>
              </w:rPr>
            </w:pPr>
          </w:p>
        </w:tc>
      </w:tr>
      <w:tr w14:paraId="3F71D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111C896">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6</w:t>
            </w:r>
          </w:p>
        </w:tc>
        <w:tc>
          <w:tcPr>
            <w:tcW w:w="2579" w:type="dxa"/>
            <w:vAlign w:val="center"/>
          </w:tcPr>
          <w:p w14:paraId="3E496F2B">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66056099">
            <w:pPr>
              <w:rPr>
                <w:rFonts w:ascii="Arial"/>
                <w:highlight w:val="none"/>
              </w:rPr>
            </w:pPr>
          </w:p>
        </w:tc>
        <w:tc>
          <w:tcPr>
            <w:tcW w:w="1538" w:type="dxa"/>
            <w:vAlign w:val="center"/>
          </w:tcPr>
          <w:p w14:paraId="6916A5CC">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2B96953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289D078B">
            <w:pPr>
              <w:rPr>
                <w:rFonts w:ascii="Arial"/>
                <w:highlight w:val="none"/>
              </w:rPr>
            </w:pPr>
          </w:p>
        </w:tc>
        <w:tc>
          <w:tcPr>
            <w:tcW w:w="1561" w:type="dxa"/>
          </w:tcPr>
          <w:p w14:paraId="362298FF">
            <w:pPr>
              <w:rPr>
                <w:rFonts w:ascii="Arial"/>
                <w:highlight w:val="none"/>
              </w:rPr>
            </w:pPr>
          </w:p>
        </w:tc>
      </w:tr>
      <w:tr w14:paraId="37BF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A9886B8">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7</w:t>
            </w:r>
          </w:p>
        </w:tc>
        <w:tc>
          <w:tcPr>
            <w:tcW w:w="2579" w:type="dxa"/>
            <w:vAlign w:val="center"/>
          </w:tcPr>
          <w:p w14:paraId="38003D0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6E382FCC">
            <w:pPr>
              <w:rPr>
                <w:rFonts w:ascii="Arial"/>
                <w:highlight w:val="none"/>
              </w:rPr>
            </w:pPr>
          </w:p>
        </w:tc>
        <w:tc>
          <w:tcPr>
            <w:tcW w:w="1538" w:type="dxa"/>
            <w:vAlign w:val="center"/>
          </w:tcPr>
          <w:p w14:paraId="7BA4056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72F0165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43CA89F9">
            <w:pPr>
              <w:rPr>
                <w:rFonts w:ascii="Arial"/>
                <w:highlight w:val="none"/>
              </w:rPr>
            </w:pPr>
          </w:p>
        </w:tc>
        <w:tc>
          <w:tcPr>
            <w:tcW w:w="1561" w:type="dxa"/>
          </w:tcPr>
          <w:p w14:paraId="06BCBF94">
            <w:pPr>
              <w:rPr>
                <w:rFonts w:ascii="Arial"/>
                <w:highlight w:val="none"/>
              </w:rPr>
            </w:pPr>
          </w:p>
        </w:tc>
      </w:tr>
      <w:tr w14:paraId="045F6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3AA43B3E">
            <w:pPr>
              <w:spacing w:line="360" w:lineRule="exact"/>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8</w:t>
            </w:r>
          </w:p>
        </w:tc>
        <w:tc>
          <w:tcPr>
            <w:tcW w:w="2579" w:type="dxa"/>
            <w:vAlign w:val="center"/>
          </w:tcPr>
          <w:p w14:paraId="5622A58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3236709F">
            <w:pPr>
              <w:rPr>
                <w:rFonts w:ascii="Arial"/>
                <w:highlight w:val="none"/>
              </w:rPr>
            </w:pPr>
          </w:p>
        </w:tc>
        <w:tc>
          <w:tcPr>
            <w:tcW w:w="1538" w:type="dxa"/>
            <w:vAlign w:val="center"/>
          </w:tcPr>
          <w:p w14:paraId="6582BA0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4027D896">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0FA8C6EE">
            <w:pPr>
              <w:rPr>
                <w:rFonts w:ascii="Arial"/>
                <w:highlight w:val="none"/>
              </w:rPr>
            </w:pPr>
          </w:p>
        </w:tc>
        <w:tc>
          <w:tcPr>
            <w:tcW w:w="1561" w:type="dxa"/>
          </w:tcPr>
          <w:p w14:paraId="01F0640E">
            <w:pPr>
              <w:rPr>
                <w:rFonts w:ascii="Arial"/>
                <w:highlight w:val="none"/>
              </w:rPr>
            </w:pPr>
          </w:p>
        </w:tc>
      </w:tr>
      <w:tr w14:paraId="68B6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774" w:type="dxa"/>
          </w:tcPr>
          <w:p w14:paraId="58949CE2">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579" w:type="dxa"/>
          </w:tcPr>
          <w:p w14:paraId="563E62A3">
            <w:pPr>
              <w:rPr>
                <w:rFonts w:ascii="Arial"/>
                <w:highlight w:val="none"/>
              </w:rPr>
            </w:pPr>
            <w:r>
              <w:rPr>
                <w:rFonts w:hint="eastAsia" w:ascii="宋体" w:hAnsi="宋体" w:eastAsia="宋体" w:cs="宋体"/>
                <w:highlight w:val="none"/>
              </w:rPr>
              <w:t>以上投标设备不足之处请往下添加序号自行补充</w:t>
            </w:r>
          </w:p>
        </w:tc>
        <w:tc>
          <w:tcPr>
            <w:tcW w:w="2580" w:type="dxa"/>
          </w:tcPr>
          <w:p w14:paraId="429FAD1B">
            <w:pPr>
              <w:rPr>
                <w:rFonts w:ascii="Arial"/>
                <w:highlight w:val="none"/>
              </w:rPr>
            </w:pPr>
          </w:p>
        </w:tc>
        <w:tc>
          <w:tcPr>
            <w:tcW w:w="1538" w:type="dxa"/>
          </w:tcPr>
          <w:p w14:paraId="02DF32E9">
            <w:pPr>
              <w:rPr>
                <w:rFonts w:ascii="Arial"/>
                <w:highlight w:val="none"/>
              </w:rPr>
            </w:pPr>
          </w:p>
        </w:tc>
        <w:tc>
          <w:tcPr>
            <w:tcW w:w="2102" w:type="dxa"/>
          </w:tcPr>
          <w:p w14:paraId="2110148A">
            <w:pPr>
              <w:rPr>
                <w:rFonts w:ascii="Arial"/>
                <w:highlight w:val="none"/>
              </w:rPr>
            </w:pPr>
          </w:p>
        </w:tc>
        <w:tc>
          <w:tcPr>
            <w:tcW w:w="2722" w:type="dxa"/>
            <w:tcBorders>
              <w:left w:val="single" w:color="000000" w:sz="4" w:space="0"/>
            </w:tcBorders>
          </w:tcPr>
          <w:p w14:paraId="062D8F9E">
            <w:pPr>
              <w:rPr>
                <w:rFonts w:ascii="Arial"/>
                <w:highlight w:val="none"/>
              </w:rPr>
            </w:pPr>
          </w:p>
        </w:tc>
        <w:tc>
          <w:tcPr>
            <w:tcW w:w="1561" w:type="dxa"/>
          </w:tcPr>
          <w:p w14:paraId="3494BA50">
            <w:pPr>
              <w:rPr>
                <w:rFonts w:ascii="Arial"/>
                <w:highlight w:val="none"/>
              </w:rPr>
            </w:pPr>
          </w:p>
        </w:tc>
      </w:tr>
    </w:tbl>
    <w:p w14:paraId="394E28E9">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3181B9F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3677B0D5">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7C15BBDB">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2E73CABF">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4FF92C35">
      <w:pPr>
        <w:sectPr>
          <w:pgSz w:w="16841" w:h="11907" w:orient="landscape"/>
          <w:pgMar w:top="1417" w:right="1587" w:bottom="1417" w:left="1134" w:header="0" w:footer="990" w:gutter="0"/>
          <w:pgNumType w:fmt="numberInDash"/>
          <w:cols w:equalWidth="0" w:num="1">
            <w:col w:w="13980"/>
          </w:cols>
        </w:sectPr>
      </w:pPr>
    </w:p>
    <w:p w14:paraId="422E3A4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0280B1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566705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6E73C1">
      <w:pPr>
        <w:rPr>
          <w:rFonts w:ascii="宋体" w:hAnsi="宋体" w:eastAsia="宋体" w:cs="宋体"/>
          <w:sz w:val="24"/>
          <w:szCs w:val="24"/>
        </w:rPr>
        <w:sectPr>
          <w:type w:val="continuous"/>
          <w:pgSz w:w="16841" w:h="11907"/>
          <w:pgMar w:top="400" w:right="1387" w:bottom="1168" w:left="1473" w:header="0" w:footer="990" w:gutter="0"/>
          <w:pgNumType w:fmt="numberInDash"/>
          <w:cols w:equalWidth="0" w:num="2">
            <w:col w:w="4757" w:space="100"/>
            <w:col w:w="9124"/>
          </w:cols>
        </w:sectPr>
      </w:pP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tbl>
      <w:tblPr>
        <w:tblStyle w:val="36"/>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tbl>
      <w:tblPr>
        <w:tblStyle w:val="36"/>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449"/>
        <w:gridCol w:w="1042"/>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449"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42"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default" w:ascii="Times New Roman" w:hAnsi="Times New Roman" w:eastAsia="宋体" w:cs="Times New Roman"/>
                <w:b/>
                <w:szCs w:val="20"/>
                <w:lang w:val="en-US" w:eastAsia="zh-CN"/>
              </w:rPr>
              <w:t>济南轻卡制造公司涂装磷化除渣系统改造技改项目</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449"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42"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6"/>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6"/>
        <w:sectPr>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14:paraId="1A986012">
      <w:pPr>
        <w:pStyle w:val="5"/>
        <w:spacing w:after="0"/>
      </w:pPr>
      <w:r>
        <w:rPr>
          <w:rFonts w:ascii="宋体" w:hAnsi="宋体" w:eastAsia="宋体" w:cs="宋体"/>
          <w:spacing w:val="-9"/>
          <w:sz w:val="24"/>
          <w:szCs w:val="24"/>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9</w:t>
      </w:r>
      <w:r>
        <w:rPr>
          <w:rFonts w:ascii="宋体" w:hAnsi="宋体" w:eastAsia="宋体" w:cs="宋体"/>
          <w:spacing w:val="-7"/>
          <w:sz w:val="24"/>
          <w:szCs w:val="24"/>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第   页</w:t>
      </w:r>
      <w:r>
        <w:rPr>
          <w:rFonts w:hint="eastAsia" w:ascii="宋体" w:hAnsi="宋体" w:eastAsia="宋体" w:cs="宋体"/>
          <w:szCs w:val="21"/>
        </w:rPr>
        <w:t xml:space="preserve"> </w:t>
      </w:r>
      <w:r>
        <w:rPr>
          <w:rFonts w:ascii="宋体" w:hAnsi="宋体" w:eastAsia="宋体" w:cs="宋体"/>
          <w:szCs w:val="21"/>
        </w:rPr>
        <w:t>共</w:t>
      </w:r>
      <w:r>
        <w:rPr>
          <w:rFonts w:hint="eastAsia" w:ascii="宋体" w:hAnsi="宋体" w:eastAsia="宋体" w:cs="宋体"/>
          <w:szCs w:val="21"/>
        </w:rPr>
        <w:t xml:space="preserve">  </w:t>
      </w:r>
      <w:r>
        <w:rPr>
          <w:rFonts w:ascii="宋体" w:hAnsi="宋体" w:eastAsia="宋体" w:cs="宋体"/>
          <w:szCs w:val="21"/>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rPr>
        <w:t>运</w:t>
      </w:r>
      <w:r>
        <w:rPr>
          <w:rFonts w:ascii="宋体" w:hAnsi="宋体" w:eastAsia="宋体" w:cs="宋体"/>
          <w:spacing w:val="9"/>
          <w:sz w:val="24"/>
          <w:szCs w:val="24"/>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4" w:type="default"/>
          <w:footerReference r:id="rId15"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rPr>
        <w:t>技术服务和培训分项报价</w:t>
      </w:r>
      <w:r>
        <w:rPr>
          <w:rFonts w:ascii="宋体" w:hAnsi="宋体" w:eastAsia="宋体" w:cs="宋体"/>
          <w:spacing w:val="9"/>
          <w:sz w:val="24"/>
          <w:szCs w:val="24"/>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 xml:space="preserve">总价合计列入价格汇总表 </w:t>
            </w:r>
            <w:r>
              <w:rPr>
                <w:rFonts w:hint="eastAsia" w:ascii="宋体" w:hAnsi="宋体" w:eastAsia="宋体" w:cs="宋体"/>
                <w:spacing w:val="-1"/>
                <w:szCs w:val="21"/>
              </w:rPr>
              <w:t>9</w:t>
            </w:r>
            <w:r>
              <w:rPr>
                <w:rFonts w:ascii="宋体" w:hAnsi="宋体" w:eastAsia="宋体" w:cs="宋体"/>
                <w:spacing w:val="-1"/>
                <w:szCs w:val="21"/>
              </w:rPr>
              <w:t>-</w:t>
            </w:r>
            <w:r>
              <w:rPr>
                <w:rFonts w:hint="eastAsia" w:ascii="宋体" w:hAnsi="宋体" w:eastAsia="宋体" w:cs="宋体"/>
                <w:spacing w:val="-1"/>
                <w:szCs w:val="21"/>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zCs w:val="21"/>
              </w:rPr>
              <w:t>（不含税）</w:t>
            </w:r>
            <w:r>
              <w:rPr>
                <w:rFonts w:ascii="宋体" w:hAnsi="宋体" w:eastAsia="宋体" w:cs="宋体"/>
                <w:spacing w:val="-1"/>
                <w:szCs w:val="21"/>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6"/>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6"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rPr>
        <w:t>表</w:t>
      </w:r>
      <w:r>
        <w:rPr>
          <w:rFonts w:ascii="宋体" w:hAnsi="宋体" w:eastAsia="宋体" w:cs="宋体"/>
          <w:spacing w:val="-9"/>
          <w:sz w:val="24"/>
          <w:szCs w:val="24"/>
        </w:rPr>
        <w:t xml:space="preserve"> </w:t>
      </w:r>
      <w:r>
        <w:rPr>
          <w:rFonts w:hint="eastAsia" w:ascii="宋体" w:hAnsi="宋体" w:eastAsia="宋体" w:cs="宋体"/>
          <w:spacing w:val="-9"/>
          <w:sz w:val="24"/>
          <w:szCs w:val="24"/>
        </w:rPr>
        <w:t>9</w:t>
      </w:r>
      <w:r>
        <w:rPr>
          <w:rFonts w:ascii="宋体" w:hAnsi="宋体" w:eastAsia="宋体" w:cs="宋体"/>
          <w:spacing w:val="-9"/>
          <w:sz w:val="24"/>
          <w:szCs w:val="24"/>
        </w:rPr>
        <w:t>-</w:t>
      </w:r>
      <w:r>
        <w:rPr>
          <w:rFonts w:hint="eastAsia" w:ascii="宋体" w:hAnsi="宋体" w:eastAsia="宋体" w:cs="宋体"/>
          <w:spacing w:val="-9"/>
          <w:sz w:val="24"/>
          <w:szCs w:val="24"/>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rPr>
        <w:t>分项报价</w:t>
      </w:r>
      <w:r>
        <w:rPr>
          <w:rFonts w:ascii="宋体" w:hAnsi="宋体" w:eastAsia="宋体" w:cs="宋体"/>
          <w:spacing w:val="7"/>
          <w:sz w:val="24"/>
          <w:szCs w:val="24"/>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备件或</w:t>
            </w:r>
            <w:r>
              <w:rPr>
                <w:rFonts w:hint="eastAsia" w:ascii="宋体" w:hAnsi="宋体" w:eastAsia="宋体" w:cs="宋体"/>
                <w:spacing w:val="-1"/>
                <w:szCs w:val="21"/>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w:t>
            </w:r>
            <w:r>
              <w:rPr>
                <w:rFonts w:ascii="宋体" w:hAnsi="宋体" w:eastAsia="宋体" w:cs="宋体"/>
                <w:spacing w:val="-1"/>
                <w:szCs w:val="21"/>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制造商</w:t>
            </w:r>
            <w:r>
              <w:rPr>
                <w:rFonts w:hint="eastAsia" w:ascii="宋体" w:hAnsi="宋体" w:eastAsia="宋体" w:cs="宋体"/>
                <w:spacing w:val="-1"/>
                <w:szCs w:val="21"/>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w:t>
            </w:r>
            <w:r>
              <w:rPr>
                <w:rFonts w:hint="eastAsia" w:ascii="宋体" w:hAnsi="宋体" w:eastAsia="宋体" w:cs="宋体"/>
                <w:spacing w:val="-1"/>
                <w:szCs w:val="21"/>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w:t>
            </w:r>
            <w:r>
              <w:rPr>
                <w:rFonts w:hint="eastAsia" w:ascii="宋体" w:hAnsi="宋体" w:eastAsia="宋体" w:cs="宋体"/>
                <w:spacing w:val="-1"/>
                <w:szCs w:val="21"/>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7"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rPr>
        <w:t>价</w:t>
      </w:r>
      <w:r>
        <w:rPr>
          <w:rFonts w:ascii="宋体" w:hAnsi="宋体" w:eastAsia="宋体" w:cs="宋体"/>
          <w:spacing w:val="8"/>
          <w:sz w:val="24"/>
          <w:szCs w:val="24"/>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第   页共   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（不含税）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r>
              <w:rPr>
                <w:rFonts w:hint="eastAsia" w:ascii="宋体" w:hAnsi="宋体" w:eastAsia="宋体" w:cs="宋体"/>
                <w:spacing w:val="-1"/>
                <w:szCs w:val="21"/>
              </w:rPr>
              <w:t xml:space="preserve"> （税率：</w:t>
            </w:r>
            <w:r>
              <w:rPr>
                <w:rFonts w:hint="eastAsia" w:ascii="宋体" w:hAnsi="宋体" w:eastAsia="宋体" w:cs="宋体"/>
                <w:spacing w:val="-1"/>
                <w:szCs w:val="21"/>
                <w:u w:val="single"/>
              </w:rPr>
              <w:t xml:space="preserve">   </w:t>
            </w:r>
            <w:r>
              <w:rPr>
                <w:rFonts w:hint="eastAsia" w:ascii="宋体" w:hAnsi="宋体" w:eastAsia="宋体" w:cs="宋体"/>
                <w:spacing w:val="-1"/>
                <w:szCs w:val="21"/>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6"/>
        <w:pageBreakBefore w:val="0"/>
        <w:widowControl w:val="0"/>
        <w:kinsoku/>
        <w:wordWrap/>
        <w:overflowPunct/>
        <w:topLinePunct w:val="0"/>
        <w:autoSpaceDE/>
        <w:autoSpaceDN/>
        <w:bidi w:val="0"/>
        <w:adjustRightInd/>
        <w:snapToGrid/>
        <w:spacing w:after="0"/>
        <w:textAlignment w:val="auto"/>
      </w:pPr>
    </w:p>
    <w:p w14:paraId="1976CBAA">
      <w:pPr>
        <w:pStyle w:val="16"/>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8"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6"/>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6"/>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9" w:type="first"/>
          <w:footerReference r:id="rId21" w:type="first"/>
          <w:footerReference r:id="rId20"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04931FC9">
      <w:pPr>
        <w:pageBreakBefore w:val="0"/>
        <w:kinsoku/>
        <w:wordWrap/>
        <w:overflowPunct/>
        <w:topLinePunct w:val="0"/>
        <w:autoSpaceDE/>
        <w:autoSpaceDN/>
        <w:bidi w:val="0"/>
        <w:spacing w:after="0"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none"/>
          <w:u w:val="single"/>
          <w:lang w:val="en-US" w:eastAsia="zh-CN"/>
        </w:rPr>
        <w:t>济南轻卡制造公司涂装磷化除渣系统改造技改项目</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6"/>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40"/>
                <w:rFonts w:hint="default"/>
                <w:spacing w:val="315"/>
                <w:kern w:val="0"/>
                <w:fitText w:val="1050" w:id="23403264"/>
                <w:lang w:bidi="ar"/>
              </w:rPr>
              <w:t>内</w:t>
            </w:r>
            <w:r>
              <w:rPr>
                <w:rStyle w:val="140"/>
                <w:rFonts w:hint="default"/>
                <w:spacing w:val="0"/>
                <w:kern w:val="0"/>
                <w:fitText w:val="1050" w:id="23403264"/>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40"/>
                <w:rFonts w:hint="eastAsia" w:eastAsia="宋体"/>
                <w:lang w:val="en-US" w:eastAsia="zh-CN" w:bidi="ar"/>
              </w:rPr>
            </w:pPr>
            <w:r>
              <w:rPr>
                <w:rStyle w:val="140"/>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6"/>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6"/>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8"/>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9"/>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0"/>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1"/>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6"/>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2"/>
                    <a:stretch>
                      <a:fillRect/>
                    </a:stretch>
                  </pic:blipFill>
                  <pic:spPr>
                    <a:xfrm>
                      <a:off x="0" y="0"/>
                      <a:ext cx="5760085" cy="2810122"/>
                    </a:xfrm>
                    <a:prstGeom prst="rect">
                      <a:avLst/>
                    </a:prstGeom>
                  </pic:spPr>
                </pic:pic>
              </a:graphicData>
            </a:graphic>
          </wp:inline>
        </w:drawing>
      </w:r>
    </w:p>
    <w:p w14:paraId="7362023B">
      <w:pPr>
        <w:pStyle w:val="16"/>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3"/>
                    <a:stretch>
                      <a:fillRect/>
                    </a:stretch>
                  </pic:blipFill>
                  <pic:spPr>
                    <a:xfrm>
                      <a:off x="0" y="0"/>
                      <a:ext cx="5760085" cy="2820042"/>
                    </a:xfrm>
                    <a:prstGeom prst="rect">
                      <a:avLst/>
                    </a:prstGeom>
                  </pic:spPr>
                </pic:pic>
              </a:graphicData>
            </a:graphic>
          </wp:inline>
        </w:drawing>
      </w:r>
    </w:p>
    <w:p w14:paraId="11FC7CE2">
      <w:pPr>
        <w:pStyle w:val="16"/>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6"/>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6"/>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6"/>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4"/>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5"/>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6"/>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6"/>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7"/>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38"/>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9"/>
                    <a:stretch>
                      <a:fillRect/>
                    </a:stretch>
                  </pic:blipFill>
                  <pic:spPr>
                    <a:xfrm>
                      <a:off x="0" y="0"/>
                      <a:ext cx="6002655" cy="2518410"/>
                    </a:xfrm>
                    <a:prstGeom prst="rect">
                      <a:avLst/>
                    </a:prstGeom>
                  </pic:spPr>
                </pic:pic>
              </a:graphicData>
            </a:graphic>
          </wp:inline>
        </w:drawing>
      </w:r>
    </w:p>
    <w:p w14:paraId="3121E729">
      <w:pPr>
        <w:pStyle w:val="146"/>
        <w:rPr>
          <w:rFonts w:hint="default" w:hAnsi="宋体"/>
          <w:sz w:val="24"/>
          <w:lang w:val="en-US"/>
        </w:rPr>
      </w:pPr>
    </w:p>
    <w:p w14:paraId="6101508F">
      <w:pPr>
        <w:rPr>
          <w:rFonts w:hint="eastAsia" w:hAnsi="宋体" w:eastAsia="宋体" w:cs="Times New Roman"/>
          <w:b/>
          <w:color w:val="000000"/>
          <w:sz w:val="24"/>
          <w:szCs w:val="24"/>
          <w:highlight w:val="none"/>
        </w:rPr>
      </w:pPr>
    </w:p>
    <w:p w14:paraId="25E208E5">
      <w:pPr>
        <w:rPr>
          <w:rFonts w:hint="eastAsia"/>
        </w:rPr>
      </w:pPr>
    </w:p>
    <w:sectPr>
      <w:headerReference r:id="rId23" w:type="first"/>
      <w:footerReference r:id="rId25" w:type="first"/>
      <w:headerReference r:id="rId22" w:type="default"/>
      <w:footerReference r:id="rId24" w:type="default"/>
      <w:pgSz w:w="11906" w:h="16838"/>
      <w:pgMar w:top="1588"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A09A2">
    <w:pPr>
      <w:pStyle w:val="21"/>
      <w:rPr>
        <w:rFonts w:hint="eastAsia"/>
      </w:rPr>
    </w:pPr>
    <w:r>
      <w:pict>
        <v:shape id="文本框 4" o:spid="_x0000_s310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w:pict>
        <v:shape id="_x0000_s3097" o:spid="_x0000_s309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0.5pt"/>
          <v:imagedata o:title=""/>
          <o:lock v:ext="edit" aspectratio="f"/>
          <v:textbox inset="0mm,0mm,0mm,0mm" style="mso-fit-shape-to-text:t;">
            <w:txbxContent>
              <w:p w14:paraId="025E71B3">
                <w:pPr>
                  <w:pStyle w:val="21"/>
                </w:pPr>
                <w:r>
                  <w:fldChar w:fldCharType="begin"/>
                </w:r>
                <w:r>
                  <w:instrText xml:space="preserve"> PAGE  \* MERGEFORMAT </w:instrText>
                </w:r>
                <w:r>
                  <w:fldChar w:fldCharType="separate"/>
                </w:r>
                <w:r>
                  <w:t>- 68 -</w:t>
                </w:r>
                <w:r>
                  <w:fldChar w:fldCharType="end"/>
                </w:r>
              </w:p>
            </w:txbxContent>
          </v:textbox>
        </v:shape>
      </w:pict>
    </w:r>
    <w:r>
      <w:rPr>
        <w:rFonts w:ascii="Times New Roman" w:hAnsi="Times New Roman" w:eastAsia="Times New Roman" w:cs="Times New Roman"/>
        <w:spacing w:val="-2"/>
        <w:sz w:val="18"/>
        <w:szCs w:val="18"/>
      </w:rPr>
      <w:t>36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w:pict>
        <v:shape id="文本框 34" o:spid="_x0000_s3098"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weight="0.5pt"/>
          <v:imagedata o:title=""/>
          <o:lock v:ext="edit" aspectratio="f"/>
          <v:textbox inset="0mm,0mm,0mm,0mm" style="mso-fit-shape-to-text:t;">
            <w:txbxContent>
              <w:p w14:paraId="06738C4C">
                <w:pPr>
                  <w:pStyle w:val="21"/>
                </w:pPr>
                <w:r>
                  <w:fldChar w:fldCharType="begin"/>
                </w:r>
                <w:r>
                  <w:instrText xml:space="preserve"> PAGE  \* MERGEFORMAT </w:instrText>
                </w:r>
                <w:r>
                  <w:fldChar w:fldCharType="separate"/>
                </w:r>
                <w:r>
                  <w:t>- 69 -</w:t>
                </w:r>
                <w:r>
                  <w:fldChar w:fldCharType="end"/>
                </w:r>
              </w:p>
            </w:txbxContent>
          </v:textbox>
        </v:shape>
      </w:pict>
    </w:r>
    <w:r>
      <w:rPr>
        <w:rFonts w:ascii="Times New Roman" w:hAnsi="Times New Roman" w:eastAsia="Times New Roman" w:cs="Times New Roman"/>
        <w:spacing w:val="-2"/>
        <w:sz w:val="18"/>
        <w:szCs w:val="18"/>
      </w:rPr>
      <w:t>35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w:pict>
        <v:shape id="文本框 35" o:spid="_x0000_s3091"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weight="0.5pt"/>
          <v:imagedata o:title=""/>
          <o:lock v:ext="edit" aspectratio="f"/>
          <v:textbox inset="0mm,0mm,0mm,0mm" style="mso-fit-shape-to-text:t;">
            <w:txbxContent>
              <w:p w14:paraId="4724A1B9">
                <w:pPr>
                  <w:pStyle w:val="21"/>
                </w:pPr>
                <w:r>
                  <w:fldChar w:fldCharType="begin"/>
                </w:r>
                <w:r>
                  <w:instrText xml:space="preserve"> PAGE  \* MERGEFORMAT </w:instrText>
                </w:r>
                <w:r>
                  <w:fldChar w:fldCharType="separate"/>
                </w:r>
                <w:r>
                  <w:t>- 70 -</w:t>
                </w:r>
                <w:r>
                  <w:fldChar w:fldCharType="end"/>
                </w:r>
              </w:p>
            </w:txbxContent>
          </v:textbox>
        </v:shape>
      </w:pic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w:pict>
        <v:shape id="文本框 10" o:spid="_x0000_s3092"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0.5pt"/>
          <v:imagedata o:title=""/>
          <o:lock v:ext="edit" aspectratio="f"/>
          <v:textbox inset="0mm,0mm,0mm,0mm" style="mso-fit-shape-to-text:t;">
            <w:txbxContent>
              <w:p w14:paraId="2DAEC731">
                <w:pPr>
                  <w:pStyle w:val="21"/>
                </w:pPr>
                <w:r>
                  <w:fldChar w:fldCharType="begin"/>
                </w:r>
                <w:r>
                  <w:instrText xml:space="preserve"> PAGE  \* MERGEFORMAT </w:instrText>
                </w:r>
                <w:r>
                  <w:fldChar w:fldCharType="separate"/>
                </w:r>
                <w:r>
                  <w:t>- 72 -</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1"/>
      <w:jc w:val="center"/>
    </w:pPr>
    <w:r>
      <w:pict>
        <v:shape id="文本框 9" o:spid="_x0000_s309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14:paraId="4C2687F4">
                <w:pPr>
                  <w:snapToGrid w:val="0"/>
                  <w:rPr>
                    <w:sz w:val="18"/>
                  </w:rPr>
                </w:pPr>
                <w:r>
                  <w:rPr>
                    <w:sz w:val="18"/>
                  </w:rPr>
                  <w:fldChar w:fldCharType="begin"/>
                </w:r>
                <w:r>
                  <w:rPr>
                    <w:sz w:val="18"/>
                  </w:rPr>
                  <w:instrText xml:space="preserve"> PAGE  \* MERGEFORMAT </w:instrText>
                </w:r>
                <w:r>
                  <w:rPr>
                    <w:sz w:val="18"/>
                  </w:rPr>
                  <w:fldChar w:fldCharType="separate"/>
                </w:r>
                <w:r>
                  <w:rPr>
                    <w:sz w:val="18"/>
                  </w:rPr>
                  <w:t>- 71 -</w:t>
                </w:r>
                <w:r>
                  <w:rPr>
                    <w:sz w:val="18"/>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76FFC">
    <w:pPr>
      <w:spacing w:line="194" w:lineRule="auto"/>
      <w:rPr>
        <w:rFonts w:hint="eastAsia" w:ascii="等线" w:hAnsi="等线" w:eastAsia="等线" w:cs="等线"/>
        <w:sz w:val="17"/>
        <w:szCs w:val="17"/>
      </w:rPr>
    </w:pPr>
    <w:r>
      <w:rPr>
        <w:rFonts w:hint="eastAsia"/>
        <w:sz w:val="17"/>
      </w:rPr>
      <w:pict>
        <v:shape id="_x0000_s3106" o:spid="_x0000_s3106"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weight="0.5pt"/>
          <v:imagedata o:title=""/>
          <o:lock v:ext="edit" aspectratio="f"/>
          <v:textbox inset="0mm,0mm,0mm,0mm" style="mso-fit-shape-to-text:t;">
            <w:txbxContent>
              <w:p w14:paraId="54CF8898">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- 81 -</w:t>
                </w:r>
                <w:r>
                  <w:rPr>
                    <w:rFonts w:hint="eastAsia"/>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3253">
    <w:pPr>
      <w:pStyle w:val="21"/>
      <w:jc w:val="center"/>
      <w:rPr>
        <w:rFonts w:hint="eastAsia"/>
      </w:rPr>
    </w:pPr>
    <w:r>
      <w:rPr>
        <w:rFonts w:hint="eastAsia"/>
      </w:rPr>
      <w:pict>
        <v:shape id="_x0000_s3074" o:spid="_x0000_s3074"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weight="0.5pt"/>
          <v:imagedata o:title=""/>
          <o:lock v:ext="edit" aspectratio="f"/>
          <v:textbox inset="0mm,0mm,0mm,0mm" style="mso-fit-shape-to-text:t;">
            <w:txbxContent>
              <w:p w14:paraId="6C6CF9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- 80 -</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48D4">
    <w:pPr>
      <w:pStyle w:val="21"/>
      <w:jc w:val="center"/>
      <w:rPr>
        <w:rFonts w:hint="eastAsia"/>
      </w:rPr>
    </w:pPr>
    <w:r>
      <w:pict>
        <v:shape id="文本框 5"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- 1 -</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F636">
    <w:pPr>
      <w:pStyle w:val="21"/>
      <w:jc w:val="center"/>
      <w:rPr>
        <w:sz w:val="21"/>
        <w:szCs w:val="20"/>
      </w:rPr>
    </w:pPr>
    <w:r>
      <w:rPr>
        <w:sz w:val="21"/>
      </w:rPr>
      <w:pict>
        <v:shape id="文本框 8" o:spid="_x0000_s310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14:paraId="41F298B5">
                <w:r>
                  <w:fldChar w:fldCharType="begin"/>
                </w:r>
                <w:r>
                  <w:instrText xml:space="preserve"> PAGE  \* MERGEFORMAT </w:instrText>
                </w:r>
                <w:r>
                  <w:fldChar w:fldCharType="separate"/>
                </w:r>
                <w:r>
                  <w:t>- 2 -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49AF2">
    <w:pPr>
      <w:pStyle w:val="21"/>
      <w:jc w:val="center"/>
    </w:pPr>
    <w:r>
      <w:rPr>
        <w:sz w:val="18"/>
      </w:rPr>
      <w:pict>
        <v:shape id="文本框 7" o:spid="_x0000_s309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0.5pt"/>
          <v:imagedata o:title=""/>
          <o:lock v:ext="edit" aspectratio="f"/>
          <v:textbox inset="0mm,0mm,0mm,0mm" style="mso-fit-shape-to-text:t;">
            <w:txbxContent>
              <w:p w14:paraId="7D6E6A3F">
                <w:r>
                  <w:fldChar w:fldCharType="begin"/>
                </w:r>
                <w:r>
                  <w:instrText xml:space="preserve"> PAGE  \* MERGEFORMAT </w:instrText>
                </w:r>
                <w:r>
                  <w:fldChar w:fldCharType="separate"/>
                </w:r>
                <w:r>
                  <w:t>- 1 -</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4F1">
    <w:pPr>
      <w:pStyle w:val="21"/>
      <w:jc w:val="center"/>
      <w:rPr>
        <w:rFonts w:hint="eastAsia"/>
      </w:rPr>
    </w:pPr>
    <w:r>
      <w:pict>
        <v:shape id="文本框 2" o:spid="_x0000_s3094"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- 16 -</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E853">
    <w:pPr>
      <w:pStyle w:val="21"/>
      <w:rPr>
        <w:rFonts w:hint="eastAsia"/>
      </w:rPr>
    </w:pPr>
    <w:r>
      <w:rPr>
        <w:rFonts w:hint="eastAsia"/>
      </w:rPr>
      <w:pict>
        <v:shape id="_x0000_s3105" o:spid="_x0000_s3105"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0.5pt"/>
          <v:imagedata o:title=""/>
          <o:lock v:ext="edit" aspectratio="f"/>
          <v:textbox inset="0mm,0mm,0mm,0mm" style="mso-fit-shape-to-text:t;">
            <w:txbxContent>
              <w:p w14:paraId="266CB256">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- 18 -</w:t>
                </w:r>
                <w:r>
                  <w:rPr>
                    <w:rFonts w:hint="eastAsia"/>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C0493">
    <w:pPr>
      <w:pStyle w:val="21"/>
      <w:jc w:val="center"/>
      <w:rPr>
        <w:rFonts w:hint="eastAsia"/>
      </w:rPr>
    </w:pPr>
    <w:r>
      <w:rPr>
        <w:rFonts w:hint="eastAsia"/>
      </w:rPr>
      <w:pict>
        <v:shape id="_x0000_s3104" o:spid="_x0000_s310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0.5pt"/>
          <v:imagedata o:title=""/>
          <o:lock v:ext="edit" aspectratio="f"/>
          <v:textbox inset="0mm,0mm,0mm,0mm" style="mso-fit-shape-to-text:t;">
            <w:txbxContent>
              <w:p w14:paraId="3906F95B">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- 17 -</w:t>
                </w:r>
                <w:r>
                  <w:rPr>
                    <w:rFonts w:hint="eastAsia"/>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7941">
    <w:pPr>
      <w:spacing w:line="182" w:lineRule="auto"/>
      <w:ind w:left="6866"/>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w:pict>
        <v:shape id="_x0000_s3095" o:spid="_x0000_s3095"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weight="0.5pt"/>
          <v:imagedata o:title=""/>
          <o:lock v:ext="edit" aspectratio="f"/>
          <v:textbox inset="0mm,0mm,0mm,0mm" style="mso-fit-shape-to-text:t;">
            <w:txbxContent>
              <w:p w14:paraId="647017F9">
                <w:pPr>
                  <w:pStyle w:val="21"/>
                </w:pPr>
                <w:r>
                  <w:fldChar w:fldCharType="begin"/>
                </w:r>
                <w:r>
                  <w:instrText xml:space="preserve"> PAGE  \* MERGEFORMAT </w:instrText>
                </w:r>
                <w:r>
                  <w:fldChar w:fldCharType="separate"/>
                </w:r>
                <w:r>
                  <w:t>- 66 -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DCAE0">
    <w:pPr>
      <w:pStyle w:val="22"/>
      <w:ind w:firstLine="360"/>
      <w:jc w:val="right"/>
    </w:pPr>
    <w:r>
      <w:rPr>
        <w:rFonts w:hint="eastAsia"/>
      </w:rPr>
      <w:t>济南轻卡制造公司涂装磷化除渣系统改造技改项</w:t>
    </w:r>
    <w:r>
      <w:rPr>
        <w:rFonts w:hint="eastAsia"/>
        <w:lang w:val="en-US" w:eastAsia="zh-CN"/>
      </w:rPr>
      <w:t>目</w:t>
    </w:r>
    <w:r>
      <w:rPr>
        <w:rFonts w:hint="eastAsia"/>
      </w:rPr>
      <w:t>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04E2F">
    <w:pPr>
      <w:pStyle w:val="22"/>
      <w:ind w:firstLine="360"/>
      <w:jc w:val="right"/>
    </w:pPr>
    <w:r>
      <w:rPr>
        <w:rFonts w:hint="eastAsia"/>
      </w:rPr>
      <w:t>济南轻卡制造公司涂装磷化除渣系统改造技改项</w:t>
    </w:r>
    <w:r>
      <w:rPr>
        <w:rFonts w:hint="eastAsia"/>
        <w:lang w:val="en-US" w:eastAsia="zh-CN"/>
      </w:rPr>
      <w:t>目</w:t>
    </w:r>
    <w:r>
      <w:rPr>
        <w:rFonts w:hint="eastAsia"/>
      </w:rPr>
      <w:t>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74190">
    <w:pPr>
      <w:pStyle w:val="22"/>
      <w:ind w:firstLine="360"/>
      <w:jc w:val="right"/>
      <w:rPr>
        <w:rFonts w:hint="eastAsia"/>
      </w:rPr>
    </w:pPr>
    <w:r>
      <w:rPr>
        <w:rFonts w:hint="eastAsia"/>
      </w:rPr>
      <w:t>济南轻卡制造公司涂装磷化除渣系统改造技改项</w:t>
    </w:r>
    <w:r>
      <w:rPr>
        <w:rFonts w:hint="eastAsia"/>
        <w:lang w:val="en-US" w:eastAsia="zh-CN"/>
      </w:rPr>
      <w:t>目</w:t>
    </w:r>
    <w:r>
      <w:rPr>
        <w:rFonts w:hint="eastAsia"/>
      </w:rPr>
      <w:t>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0974F">
    <w:pPr>
      <w:pStyle w:val="22"/>
      <w:ind w:firstLine="360"/>
      <w:jc w:val="right"/>
    </w:pPr>
    <w:r>
      <w:rPr>
        <w:rFonts w:hint="eastAsia"/>
      </w:rPr>
      <w:t>济南轻卡制造公司涂装磷化除渣系统改造技改项</w:t>
    </w:r>
    <w:r>
      <w:rPr>
        <w:rFonts w:hint="eastAsia"/>
        <w:lang w:val="en-US" w:eastAsia="zh-CN"/>
      </w:rPr>
      <w:t>目</w:t>
    </w:r>
    <w:r>
      <w:rPr>
        <w:rFonts w:hint="eastAsia"/>
      </w:rPr>
      <w:t>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2E4CF">
    <w:pPr>
      <w:pStyle w:val="22"/>
      <w:ind w:firstLine="360"/>
      <w:jc w:val="right"/>
    </w:pPr>
    <w:r>
      <w:rPr>
        <w:rFonts w:hint="eastAsia"/>
      </w:rPr>
      <w:t>济南轻卡制造公司涂装磷化除渣系统改造技改项</w:t>
    </w:r>
    <w:r>
      <w:rPr>
        <w:rFonts w:hint="eastAsia"/>
        <w:lang w:val="en-US" w:eastAsia="zh-CN"/>
      </w:rPr>
      <w:t>目</w:t>
    </w:r>
    <w:r>
      <w:rPr>
        <w:rFonts w:hint="eastAsia"/>
      </w:rPr>
      <w:t>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2BC68">
    <w:pPr>
      <w:pStyle w:val="22"/>
      <w:ind w:firstLine="360"/>
      <w:jc w:val="right"/>
      <w:rPr>
        <w:rFonts w:hint="eastAsia"/>
      </w:rPr>
    </w:pPr>
    <w:r>
      <w:rPr>
        <w:rFonts w:hint="eastAsia"/>
      </w:rPr>
      <w:t>济南轻卡制造公司涂装磷化除渣系统改造技改项</w:t>
    </w:r>
    <w:r>
      <w:rPr>
        <w:rFonts w:hint="eastAsia"/>
        <w:lang w:val="en-US" w:eastAsia="zh-CN"/>
      </w:rPr>
      <w:t>目</w:t>
    </w:r>
    <w:r>
      <w:rPr>
        <w:rFonts w:hint="eastAsia"/>
      </w:rPr>
      <w:t>招标书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A908">
    <w:pPr>
      <w:pStyle w:val="22"/>
      <w:ind w:firstLine="360"/>
      <w:jc w:val="right"/>
      <w:rPr>
        <w:rFonts w:hint="eastAsia"/>
        <w:lang w:val="en-US" w:eastAsia="zh-CN"/>
      </w:rPr>
    </w:pPr>
    <w:r>
      <w:rPr>
        <w:rFonts w:hint="eastAsia"/>
      </w:rPr>
      <w:t>济南轻卡制造公司涂装磷化除渣系统改造技改项</w:t>
    </w:r>
    <w:r>
      <w:rPr>
        <w:rFonts w:hint="eastAsia"/>
        <w:lang w:val="en-US" w:eastAsia="zh-CN"/>
      </w:rPr>
      <w:t>目</w:t>
    </w:r>
    <w:r>
      <w:rPr>
        <w:rFonts w:hint="eastAsia"/>
      </w:rPr>
      <w:t>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13">
    <w:nsid w:val="06882CE3"/>
    <w:multiLevelType w:val="multilevel"/>
    <w:tmpl w:val="06882CE3"/>
    <w:lvl w:ilvl="0" w:tentative="0">
      <w:start w:val="1"/>
      <w:numFmt w:val="decimal"/>
      <w:pStyle w:val="148"/>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3265E1EC"/>
    <w:multiLevelType w:val="singleLevel"/>
    <w:tmpl w:val="3265E1EC"/>
    <w:lvl w:ilvl="0" w:tentative="0">
      <w:start w:val="1"/>
      <w:numFmt w:val="decimal"/>
      <w:lvlText w:val="(%1)"/>
      <w:lvlJc w:val="left"/>
      <w:pPr>
        <w:ind w:left="425" w:hanging="425"/>
      </w:pPr>
      <w:rPr>
        <w:rFonts w:hint="default"/>
      </w:r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F170FA9"/>
    <w:multiLevelType w:val="singleLevel"/>
    <w:tmpl w:val="4F170FA9"/>
    <w:lvl w:ilvl="0" w:tentative="0">
      <w:start w:val="1"/>
      <w:numFmt w:val="bullet"/>
      <w:lvlText w:val=""/>
      <w:lvlJc w:val="left"/>
      <w:pPr>
        <w:ind w:left="420" w:hanging="420"/>
      </w:pPr>
      <w:rPr>
        <w:rFonts w:hint="default" w:ascii="Wingdings" w:hAnsi="Wingdings"/>
      </w:rPr>
    </w:lvl>
  </w:abstractNum>
  <w:abstractNum w:abstractNumId="19">
    <w:nsid w:val="520018B0"/>
    <w:multiLevelType w:val="multilevel"/>
    <w:tmpl w:val="520018B0"/>
    <w:lvl w:ilvl="0" w:tentative="0">
      <w:start w:val="1"/>
      <w:numFmt w:val="decimal"/>
      <w:pStyle w:val="14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14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5983D379"/>
    <w:multiLevelType w:val="singleLevel"/>
    <w:tmpl w:val="5983D379"/>
    <w:lvl w:ilvl="0" w:tentative="0">
      <w:start w:val="1"/>
      <w:numFmt w:val="decimal"/>
      <w:lvlText w:val="(%1)"/>
      <w:lvlJc w:val="left"/>
      <w:pPr>
        <w:ind w:left="425" w:hanging="425"/>
      </w:pPr>
      <w:rPr>
        <w:rFonts w:hint="default"/>
      </w:rPr>
    </w:lvl>
  </w:abstractNum>
  <w:abstractNum w:abstractNumId="22">
    <w:nsid w:val="656A6EAE"/>
    <w:multiLevelType w:val="multilevel"/>
    <w:tmpl w:val="656A6EAE"/>
    <w:lvl w:ilvl="0" w:tentative="0">
      <w:start w:val="1"/>
      <w:numFmt w:val="chineseCountingThousand"/>
      <w:pStyle w:val="14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3"/>
      <w:suff w:val="nothing"/>
      <w:lvlText w:val="%1%2　"/>
      <w:lvlJc w:val="left"/>
      <w:pPr>
        <w:ind w:left="420" w:firstLine="0"/>
      </w:pPr>
      <w:rPr>
        <w:rFonts w:hint="eastAsia" w:ascii="黑体" w:hAnsi="Times New Roman" w:eastAsia="黑体"/>
        <w:b w:val="0"/>
        <w:i w:val="0"/>
        <w:sz w:val="21"/>
      </w:rPr>
    </w:lvl>
    <w:lvl w:ilvl="2" w:tentative="0">
      <w:start w:val="1"/>
      <w:numFmt w:val="decimal"/>
      <w:pStyle w:val="108"/>
      <w:suff w:val="nothing"/>
      <w:lvlText w:val="%1%2.%3　"/>
      <w:lvlJc w:val="left"/>
      <w:pPr>
        <w:ind w:left="709" w:firstLine="0"/>
      </w:pPr>
      <w:rPr>
        <w:rFonts w:hint="eastAsia" w:ascii="黑体" w:hAnsi="Times New Roman" w:eastAsia="黑体"/>
        <w:b w:val="0"/>
        <w:i w:val="0"/>
        <w:sz w:val="21"/>
      </w:rPr>
    </w:lvl>
    <w:lvl w:ilvl="3" w:tentative="0">
      <w:start w:val="1"/>
      <w:numFmt w:val="decimal"/>
      <w:pStyle w:val="152"/>
      <w:suff w:val="nothing"/>
      <w:lvlText w:val="%1%2.%3.%4　"/>
      <w:lvlJc w:val="left"/>
      <w:pPr>
        <w:ind w:left="283" w:firstLine="0"/>
      </w:pPr>
      <w:rPr>
        <w:rFonts w:hint="eastAsia" w:ascii="黑体" w:hAnsi="Times New Roman" w:eastAsia="黑体"/>
        <w:b w:val="0"/>
        <w:i w:val="0"/>
        <w:color w:val="auto"/>
        <w:sz w:val="21"/>
      </w:rPr>
    </w:lvl>
    <w:lvl w:ilvl="4" w:tentative="0">
      <w:start w:val="1"/>
      <w:numFmt w:val="decimal"/>
      <w:pStyle w:val="154"/>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7C006D1E"/>
    <w:multiLevelType w:val="multilevel"/>
    <w:tmpl w:val="7C006D1E"/>
    <w:lvl w:ilvl="0" w:tentative="0">
      <w:start w:val="1"/>
      <w:numFmt w:val="bullet"/>
      <w:lvlText w:val=""/>
      <w:lvlJc w:val="left"/>
      <w:pPr>
        <w:ind w:left="1140" w:hanging="360"/>
      </w:pPr>
      <w:rPr>
        <w:rFonts w:hint="default" w:ascii="Wingdings" w:hAnsi="Wingdings"/>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23"/>
  </w:num>
  <w:num w:numId="2">
    <w:abstractNumId w:val="22"/>
  </w:num>
  <w:num w:numId="3">
    <w:abstractNumId w:val="20"/>
  </w:num>
  <w:num w:numId="4">
    <w:abstractNumId w:val="19"/>
  </w:num>
  <w:num w:numId="5">
    <w:abstractNumId w:val="13"/>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5"/>
  </w:num>
  <w:num w:numId="12">
    <w:abstractNumId w:val="0"/>
  </w:num>
  <w:num w:numId="13">
    <w:abstractNumId w:val="3"/>
  </w:num>
  <w:num w:numId="14">
    <w:abstractNumId w:val="21"/>
  </w:num>
  <w:num w:numId="15">
    <w:abstractNumId w:val="24"/>
  </w:num>
  <w:num w:numId="16">
    <w:abstractNumId w:val="14"/>
  </w:num>
  <w:num w:numId="17">
    <w:abstractNumId w:val="9"/>
  </w:num>
  <w:num w:numId="18">
    <w:abstractNumId w:val="8"/>
  </w:num>
  <w:num w:numId="19">
    <w:abstractNumId w:val="4"/>
  </w:num>
  <w:num w:numId="20">
    <w:abstractNumId w:val="1"/>
  </w:num>
  <w:num w:numId="21">
    <w:abstractNumId w:val="6"/>
  </w:num>
  <w:num w:numId="22">
    <w:abstractNumId w:val="11"/>
  </w:num>
  <w:num w:numId="23">
    <w:abstractNumId w:val="10"/>
  </w:num>
  <w:num w:numId="24">
    <w:abstractNumId w:val="17"/>
  </w:num>
  <w:num w:numId="25">
    <w:abstractNumId w:val="15"/>
  </w:num>
  <w:num w:numId="26">
    <w:abstractNumId w:val="12"/>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zIxZjA4NjBkY2VhOTI2YTQyZjIwOGJmZjI0MTZmYTgifQ=="/>
    <w:docVar w:name="KSO_WPS_MARK_KEY" w:val="288773bf-0df4-413a-9f38-c1906dd68f40"/>
  </w:docVars>
  <w:rsids>
    <w:rsidRoot w:val="0056018A"/>
    <w:rsid w:val="000139F5"/>
    <w:rsid w:val="00022B06"/>
    <w:rsid w:val="00036836"/>
    <w:rsid w:val="00041168"/>
    <w:rsid w:val="00044EF2"/>
    <w:rsid w:val="00056B44"/>
    <w:rsid w:val="0005777A"/>
    <w:rsid w:val="00065382"/>
    <w:rsid w:val="00080223"/>
    <w:rsid w:val="00082D2B"/>
    <w:rsid w:val="0008485B"/>
    <w:rsid w:val="000A5309"/>
    <w:rsid w:val="000D6A51"/>
    <w:rsid w:val="000E3EA5"/>
    <w:rsid w:val="000F45A3"/>
    <w:rsid w:val="00112247"/>
    <w:rsid w:val="00123FEC"/>
    <w:rsid w:val="00161047"/>
    <w:rsid w:val="00177B0E"/>
    <w:rsid w:val="001C1EE3"/>
    <w:rsid w:val="001C713C"/>
    <w:rsid w:val="001D75B9"/>
    <w:rsid w:val="001E400C"/>
    <w:rsid w:val="001F5010"/>
    <w:rsid w:val="00200F05"/>
    <w:rsid w:val="00220056"/>
    <w:rsid w:val="00262679"/>
    <w:rsid w:val="002626ED"/>
    <w:rsid w:val="00265A40"/>
    <w:rsid w:val="00282FDE"/>
    <w:rsid w:val="002866FD"/>
    <w:rsid w:val="0029130A"/>
    <w:rsid w:val="002B72D4"/>
    <w:rsid w:val="002E5C3E"/>
    <w:rsid w:val="003350EC"/>
    <w:rsid w:val="00357692"/>
    <w:rsid w:val="003624D5"/>
    <w:rsid w:val="00375FA5"/>
    <w:rsid w:val="003825C2"/>
    <w:rsid w:val="0039476D"/>
    <w:rsid w:val="003A4540"/>
    <w:rsid w:val="003B4D7D"/>
    <w:rsid w:val="003E0AB3"/>
    <w:rsid w:val="003E7D2A"/>
    <w:rsid w:val="00401C42"/>
    <w:rsid w:val="004076DE"/>
    <w:rsid w:val="00455E23"/>
    <w:rsid w:val="00460AFB"/>
    <w:rsid w:val="00462893"/>
    <w:rsid w:val="00470130"/>
    <w:rsid w:val="00482D85"/>
    <w:rsid w:val="00483B0A"/>
    <w:rsid w:val="004A0895"/>
    <w:rsid w:val="004A3BFE"/>
    <w:rsid w:val="004B0E22"/>
    <w:rsid w:val="004B27DC"/>
    <w:rsid w:val="004B5126"/>
    <w:rsid w:val="004F70EA"/>
    <w:rsid w:val="004F7838"/>
    <w:rsid w:val="00503391"/>
    <w:rsid w:val="00520E48"/>
    <w:rsid w:val="005266C0"/>
    <w:rsid w:val="00544B3D"/>
    <w:rsid w:val="00552960"/>
    <w:rsid w:val="0056018A"/>
    <w:rsid w:val="00567344"/>
    <w:rsid w:val="005829DC"/>
    <w:rsid w:val="005C0B4E"/>
    <w:rsid w:val="005C421F"/>
    <w:rsid w:val="005C5B4C"/>
    <w:rsid w:val="005F16F0"/>
    <w:rsid w:val="00620A4E"/>
    <w:rsid w:val="006238AB"/>
    <w:rsid w:val="00642474"/>
    <w:rsid w:val="0065185D"/>
    <w:rsid w:val="00680629"/>
    <w:rsid w:val="00686C52"/>
    <w:rsid w:val="006A63F8"/>
    <w:rsid w:val="006A6E1F"/>
    <w:rsid w:val="006C435E"/>
    <w:rsid w:val="006F1414"/>
    <w:rsid w:val="007043C0"/>
    <w:rsid w:val="007054EE"/>
    <w:rsid w:val="007106F9"/>
    <w:rsid w:val="007266BC"/>
    <w:rsid w:val="007432BF"/>
    <w:rsid w:val="007525BF"/>
    <w:rsid w:val="00767296"/>
    <w:rsid w:val="007768D0"/>
    <w:rsid w:val="007800DC"/>
    <w:rsid w:val="007838AA"/>
    <w:rsid w:val="00783D5E"/>
    <w:rsid w:val="00785FD6"/>
    <w:rsid w:val="007B212D"/>
    <w:rsid w:val="007D7A72"/>
    <w:rsid w:val="00806A61"/>
    <w:rsid w:val="0081327B"/>
    <w:rsid w:val="00824BFD"/>
    <w:rsid w:val="00830FFE"/>
    <w:rsid w:val="00843F57"/>
    <w:rsid w:val="008453B3"/>
    <w:rsid w:val="008D3B56"/>
    <w:rsid w:val="008D5CEF"/>
    <w:rsid w:val="008E45E8"/>
    <w:rsid w:val="009037F8"/>
    <w:rsid w:val="00930798"/>
    <w:rsid w:val="009360F9"/>
    <w:rsid w:val="009426E9"/>
    <w:rsid w:val="00964F00"/>
    <w:rsid w:val="00982CD6"/>
    <w:rsid w:val="009A2F47"/>
    <w:rsid w:val="009B511E"/>
    <w:rsid w:val="009D310C"/>
    <w:rsid w:val="009E0F5E"/>
    <w:rsid w:val="009F4302"/>
    <w:rsid w:val="00A03AF3"/>
    <w:rsid w:val="00A21EB2"/>
    <w:rsid w:val="00A31561"/>
    <w:rsid w:val="00A43634"/>
    <w:rsid w:val="00A54E95"/>
    <w:rsid w:val="00A80564"/>
    <w:rsid w:val="00A90522"/>
    <w:rsid w:val="00A960B2"/>
    <w:rsid w:val="00AE6633"/>
    <w:rsid w:val="00AF59B2"/>
    <w:rsid w:val="00B01FF1"/>
    <w:rsid w:val="00B30684"/>
    <w:rsid w:val="00B5411E"/>
    <w:rsid w:val="00B613C7"/>
    <w:rsid w:val="00B72516"/>
    <w:rsid w:val="00B92C97"/>
    <w:rsid w:val="00BA3C70"/>
    <w:rsid w:val="00BA6FAF"/>
    <w:rsid w:val="00BB1608"/>
    <w:rsid w:val="00BB4E42"/>
    <w:rsid w:val="00BF0E19"/>
    <w:rsid w:val="00C01073"/>
    <w:rsid w:val="00C22FC1"/>
    <w:rsid w:val="00C32C7A"/>
    <w:rsid w:val="00C71D1A"/>
    <w:rsid w:val="00C736E0"/>
    <w:rsid w:val="00C855F6"/>
    <w:rsid w:val="00C92F53"/>
    <w:rsid w:val="00CD5223"/>
    <w:rsid w:val="00CE409A"/>
    <w:rsid w:val="00CE5010"/>
    <w:rsid w:val="00CE6E17"/>
    <w:rsid w:val="00D0528A"/>
    <w:rsid w:val="00D11B37"/>
    <w:rsid w:val="00D408EF"/>
    <w:rsid w:val="00D44015"/>
    <w:rsid w:val="00D5145C"/>
    <w:rsid w:val="00D57EA8"/>
    <w:rsid w:val="00D62ED5"/>
    <w:rsid w:val="00D64DAE"/>
    <w:rsid w:val="00D729A1"/>
    <w:rsid w:val="00DB5225"/>
    <w:rsid w:val="00DB7E17"/>
    <w:rsid w:val="00DD1E5E"/>
    <w:rsid w:val="00DD3D18"/>
    <w:rsid w:val="00DE474D"/>
    <w:rsid w:val="00DE6417"/>
    <w:rsid w:val="00E16182"/>
    <w:rsid w:val="00E1627A"/>
    <w:rsid w:val="00E20C70"/>
    <w:rsid w:val="00E34C35"/>
    <w:rsid w:val="00E57BC5"/>
    <w:rsid w:val="00E650A8"/>
    <w:rsid w:val="00E878B4"/>
    <w:rsid w:val="00EB3D00"/>
    <w:rsid w:val="00EE6D96"/>
    <w:rsid w:val="00F14C40"/>
    <w:rsid w:val="00F4721A"/>
    <w:rsid w:val="00F545E2"/>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B31787"/>
    <w:rsid w:val="03D567D9"/>
    <w:rsid w:val="04027A1F"/>
    <w:rsid w:val="041078B8"/>
    <w:rsid w:val="042921B6"/>
    <w:rsid w:val="043B72BB"/>
    <w:rsid w:val="04461EC1"/>
    <w:rsid w:val="04504B3F"/>
    <w:rsid w:val="04831DF5"/>
    <w:rsid w:val="04A3012C"/>
    <w:rsid w:val="04AD02B8"/>
    <w:rsid w:val="04DE51C8"/>
    <w:rsid w:val="04DF17D4"/>
    <w:rsid w:val="050664D1"/>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CE1C7C"/>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47485"/>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3057392"/>
    <w:rsid w:val="13695B36"/>
    <w:rsid w:val="136D7E57"/>
    <w:rsid w:val="1372609F"/>
    <w:rsid w:val="138A301D"/>
    <w:rsid w:val="13CD6F8A"/>
    <w:rsid w:val="13D73572"/>
    <w:rsid w:val="13EC668D"/>
    <w:rsid w:val="141476FE"/>
    <w:rsid w:val="1449272D"/>
    <w:rsid w:val="14504752"/>
    <w:rsid w:val="145A6A37"/>
    <w:rsid w:val="1467440F"/>
    <w:rsid w:val="146B2014"/>
    <w:rsid w:val="147F6DAD"/>
    <w:rsid w:val="14846AB8"/>
    <w:rsid w:val="14E05B4D"/>
    <w:rsid w:val="14FA1F7A"/>
    <w:rsid w:val="15400323"/>
    <w:rsid w:val="15433A9B"/>
    <w:rsid w:val="15545B0C"/>
    <w:rsid w:val="155B4CA6"/>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1FF90157"/>
    <w:rsid w:val="20107567"/>
    <w:rsid w:val="20313E48"/>
    <w:rsid w:val="204E750E"/>
    <w:rsid w:val="208244E5"/>
    <w:rsid w:val="20AB56C6"/>
    <w:rsid w:val="20E21F80"/>
    <w:rsid w:val="212D571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145597"/>
    <w:rsid w:val="243F7403"/>
    <w:rsid w:val="247575BE"/>
    <w:rsid w:val="247E4FED"/>
    <w:rsid w:val="24AD78E0"/>
    <w:rsid w:val="24B30BE8"/>
    <w:rsid w:val="24BC5AD3"/>
    <w:rsid w:val="24E10292"/>
    <w:rsid w:val="24E34060"/>
    <w:rsid w:val="253A0491"/>
    <w:rsid w:val="254E0478"/>
    <w:rsid w:val="259322B4"/>
    <w:rsid w:val="25AF6361"/>
    <w:rsid w:val="25C50504"/>
    <w:rsid w:val="25E036B2"/>
    <w:rsid w:val="25E75BA2"/>
    <w:rsid w:val="25E9082A"/>
    <w:rsid w:val="25E97949"/>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C91E34"/>
    <w:rsid w:val="2EFB1B0E"/>
    <w:rsid w:val="2F5C684F"/>
    <w:rsid w:val="2F63756E"/>
    <w:rsid w:val="2F695B05"/>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367B01"/>
    <w:rsid w:val="35486AF7"/>
    <w:rsid w:val="359009FB"/>
    <w:rsid w:val="35D354B8"/>
    <w:rsid w:val="35D4025C"/>
    <w:rsid w:val="36063A32"/>
    <w:rsid w:val="362666BC"/>
    <w:rsid w:val="36445A95"/>
    <w:rsid w:val="368A6B11"/>
    <w:rsid w:val="36A238B1"/>
    <w:rsid w:val="37085B1F"/>
    <w:rsid w:val="37103EE5"/>
    <w:rsid w:val="372E04CB"/>
    <w:rsid w:val="37317C9C"/>
    <w:rsid w:val="388572C9"/>
    <w:rsid w:val="38E070F2"/>
    <w:rsid w:val="390D33AB"/>
    <w:rsid w:val="390F0EBE"/>
    <w:rsid w:val="391E6D06"/>
    <w:rsid w:val="393409E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744F28"/>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494B04"/>
    <w:rsid w:val="407D0E43"/>
    <w:rsid w:val="409669EA"/>
    <w:rsid w:val="40980F08"/>
    <w:rsid w:val="40C83C56"/>
    <w:rsid w:val="40DE50BE"/>
    <w:rsid w:val="40E340D5"/>
    <w:rsid w:val="40F3251B"/>
    <w:rsid w:val="40F54E96"/>
    <w:rsid w:val="412732B7"/>
    <w:rsid w:val="4127791F"/>
    <w:rsid w:val="41281794"/>
    <w:rsid w:val="413C1FDF"/>
    <w:rsid w:val="41806A69"/>
    <w:rsid w:val="41980AAB"/>
    <w:rsid w:val="41A40141"/>
    <w:rsid w:val="41B0259C"/>
    <w:rsid w:val="41BC6F1C"/>
    <w:rsid w:val="41EF2363"/>
    <w:rsid w:val="41F77860"/>
    <w:rsid w:val="424A4B98"/>
    <w:rsid w:val="424F27D8"/>
    <w:rsid w:val="42581D3A"/>
    <w:rsid w:val="425E5296"/>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6754E"/>
    <w:rsid w:val="45EA5542"/>
    <w:rsid w:val="45FA7999"/>
    <w:rsid w:val="45FB0F21"/>
    <w:rsid w:val="46130905"/>
    <w:rsid w:val="46167166"/>
    <w:rsid w:val="4636719A"/>
    <w:rsid w:val="463A65C6"/>
    <w:rsid w:val="464858DB"/>
    <w:rsid w:val="4650656B"/>
    <w:rsid w:val="46685E10"/>
    <w:rsid w:val="46812687"/>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B2BC0"/>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378B9"/>
    <w:rsid w:val="4A7706DB"/>
    <w:rsid w:val="4A901A63"/>
    <w:rsid w:val="4A9C5875"/>
    <w:rsid w:val="4AC85D49"/>
    <w:rsid w:val="4ACD18C8"/>
    <w:rsid w:val="4AE308A9"/>
    <w:rsid w:val="4AF37A2B"/>
    <w:rsid w:val="4B260F2D"/>
    <w:rsid w:val="4B9A1456"/>
    <w:rsid w:val="4BA32C82"/>
    <w:rsid w:val="4BDB6202"/>
    <w:rsid w:val="4BE70627"/>
    <w:rsid w:val="4C0A5AE1"/>
    <w:rsid w:val="4C130AB8"/>
    <w:rsid w:val="4C5A284D"/>
    <w:rsid w:val="4C5C0673"/>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E915EFB"/>
    <w:rsid w:val="4ED432AF"/>
    <w:rsid w:val="4F08773C"/>
    <w:rsid w:val="4F31409F"/>
    <w:rsid w:val="4F391107"/>
    <w:rsid w:val="4F5E670E"/>
    <w:rsid w:val="4F846A83"/>
    <w:rsid w:val="4FBC5F0F"/>
    <w:rsid w:val="50070E2C"/>
    <w:rsid w:val="50093D5E"/>
    <w:rsid w:val="501112F3"/>
    <w:rsid w:val="504B57F2"/>
    <w:rsid w:val="50514152"/>
    <w:rsid w:val="50850D04"/>
    <w:rsid w:val="50C5433A"/>
    <w:rsid w:val="50C62BC7"/>
    <w:rsid w:val="50C879B4"/>
    <w:rsid w:val="50D40EA8"/>
    <w:rsid w:val="50F72A66"/>
    <w:rsid w:val="5123368C"/>
    <w:rsid w:val="51291C37"/>
    <w:rsid w:val="5130747C"/>
    <w:rsid w:val="51394522"/>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656190"/>
    <w:rsid w:val="547748A2"/>
    <w:rsid w:val="548D01DC"/>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9D7135"/>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406C5A"/>
    <w:rsid w:val="5D722852"/>
    <w:rsid w:val="5DCD1833"/>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5FD352B"/>
    <w:rsid w:val="66174109"/>
    <w:rsid w:val="6617798C"/>
    <w:rsid w:val="66307F76"/>
    <w:rsid w:val="66580EAF"/>
    <w:rsid w:val="66694D0D"/>
    <w:rsid w:val="667B4472"/>
    <w:rsid w:val="66F041A8"/>
    <w:rsid w:val="66F513E0"/>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448A1"/>
    <w:rsid w:val="6855023B"/>
    <w:rsid w:val="68673E5E"/>
    <w:rsid w:val="68761190"/>
    <w:rsid w:val="68817BAC"/>
    <w:rsid w:val="689A5E59"/>
    <w:rsid w:val="68A94E70"/>
    <w:rsid w:val="68AB31C8"/>
    <w:rsid w:val="68EB61B0"/>
    <w:rsid w:val="68EE72DF"/>
    <w:rsid w:val="68FE51D1"/>
    <w:rsid w:val="69075AE0"/>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C965ED"/>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46499"/>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4ED9"/>
    <w:rsid w:val="743D3AC4"/>
    <w:rsid w:val="747D20BB"/>
    <w:rsid w:val="74A11E7D"/>
    <w:rsid w:val="74AE727B"/>
    <w:rsid w:val="74EC1DD5"/>
    <w:rsid w:val="754532C6"/>
    <w:rsid w:val="75590B0A"/>
    <w:rsid w:val="758075D4"/>
    <w:rsid w:val="7582279F"/>
    <w:rsid w:val="75843EB5"/>
    <w:rsid w:val="75BB71AF"/>
    <w:rsid w:val="75F01962"/>
    <w:rsid w:val="760E19DF"/>
    <w:rsid w:val="762A586E"/>
    <w:rsid w:val="76426697"/>
    <w:rsid w:val="764E52E0"/>
    <w:rsid w:val="76557F3E"/>
    <w:rsid w:val="76676A53"/>
    <w:rsid w:val="76766E1C"/>
    <w:rsid w:val="76A3294D"/>
    <w:rsid w:val="76B620A1"/>
    <w:rsid w:val="76D0016F"/>
    <w:rsid w:val="76E51777"/>
    <w:rsid w:val="76F20814"/>
    <w:rsid w:val="77050D7C"/>
    <w:rsid w:val="77462524"/>
    <w:rsid w:val="77854826"/>
    <w:rsid w:val="779A6594"/>
    <w:rsid w:val="77A06CE7"/>
    <w:rsid w:val="77A21064"/>
    <w:rsid w:val="77E34EB2"/>
    <w:rsid w:val="781564B8"/>
    <w:rsid w:val="78224ACF"/>
    <w:rsid w:val="783751ED"/>
    <w:rsid w:val="78C7099A"/>
    <w:rsid w:val="78CD6DCC"/>
    <w:rsid w:val="78D07CAF"/>
    <w:rsid w:val="78DE12D7"/>
    <w:rsid w:val="78F51D0A"/>
    <w:rsid w:val="79055F9C"/>
    <w:rsid w:val="79202AC9"/>
    <w:rsid w:val="79210683"/>
    <w:rsid w:val="79535D1B"/>
    <w:rsid w:val="796A5940"/>
    <w:rsid w:val="79936B04"/>
    <w:rsid w:val="799C3465"/>
    <w:rsid w:val="79B14EC4"/>
    <w:rsid w:val="7A0D2A6B"/>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8941C8"/>
    <w:rsid w:val="7DAA6C39"/>
    <w:rsid w:val="7DB23041"/>
    <w:rsid w:val="7DD86484"/>
    <w:rsid w:val="7E163D6A"/>
    <w:rsid w:val="7E2120FB"/>
    <w:rsid w:val="7E412630"/>
    <w:rsid w:val="7E5F7809"/>
    <w:rsid w:val="7E813212"/>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jc w:val="center"/>
      <w:outlineLvl w:val="0"/>
    </w:pPr>
    <w:rPr>
      <w:b/>
      <w:bCs/>
      <w:kern w:val="44"/>
      <w:sz w:val="36"/>
      <w:szCs w:val="44"/>
    </w:rPr>
  </w:style>
  <w:style w:type="paragraph" w:styleId="3">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0"/>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1"/>
    <w:qFormat/>
    <w:uiPriority w:val="0"/>
    <w:pPr>
      <w:jc w:val="left"/>
    </w:pPr>
  </w:style>
  <w:style w:type="paragraph" w:styleId="11">
    <w:name w:val="Body Text"/>
    <w:basedOn w:val="1"/>
    <w:link w:val="82"/>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79"/>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Body Text 2"/>
    <w:basedOn w:val="1"/>
    <w:link w:val="141"/>
    <w:semiHidden/>
    <w:unhideWhenUsed/>
    <w:qFormat/>
    <w:uiPriority w:val="99"/>
    <w:pPr>
      <w:spacing w:after="120" w:line="480" w:lineRule="auto"/>
    </w:p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0"/>
    <w:next w:val="10"/>
    <w:link w:val="52"/>
    <w:qFormat/>
    <w:uiPriority w:val="0"/>
    <w:rPr>
      <w:b/>
    </w:rPr>
  </w:style>
  <w:style w:type="paragraph" w:styleId="35">
    <w:name w:val="Body Text First Indent 2"/>
    <w:basedOn w:val="12"/>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jc w:val="center"/>
    </w:pPr>
    <w:rPr>
      <w:rFonts w:ascii="Arial" w:hAnsi="Arial"/>
      <w:kern w:val="0"/>
      <w:szCs w:val="20"/>
      <w:lang w:val="de-DE" w:eastAsia="de-DE"/>
    </w:rPr>
  </w:style>
  <w:style w:type="character" w:customStyle="1" w:styleId="47">
    <w:name w:val="标题 1 字符"/>
    <w:basedOn w:val="38"/>
    <w:link w:val="2"/>
    <w:qFormat/>
    <w:uiPriority w:val="9"/>
    <w:rPr>
      <w:rFonts w:ascii="Calibri" w:hAnsi="Calibri" w:eastAsia="宋体" w:cs="Times New Roman"/>
      <w:b/>
      <w:bCs/>
      <w:kern w:val="44"/>
      <w:sz w:val="36"/>
      <w:szCs w:val="44"/>
    </w:rPr>
  </w:style>
  <w:style w:type="character" w:customStyle="1" w:styleId="48">
    <w:name w:val="标题 2 字符"/>
    <w:basedOn w:val="38"/>
    <w:link w:val="3"/>
    <w:qFormat/>
    <w:uiPriority w:val="9"/>
    <w:rPr>
      <w:rFonts w:ascii="Arial" w:hAnsi="Arial" w:eastAsia="宋体" w:cs="Times New Roman"/>
      <w:b/>
      <w:bCs/>
      <w:sz w:val="24"/>
      <w:szCs w:val="32"/>
    </w:rPr>
  </w:style>
  <w:style w:type="character" w:customStyle="1" w:styleId="49">
    <w:name w:val="标题 3 字符"/>
    <w:basedOn w:val="38"/>
    <w:link w:val="4"/>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19"/>
    <w:qFormat/>
    <w:locked/>
    <w:uiPriority w:val="0"/>
  </w:style>
  <w:style w:type="character" w:customStyle="1" w:styleId="52">
    <w:name w:val="批注主题 字符"/>
    <w:link w:val="34"/>
    <w:qFormat/>
    <w:locked/>
    <w:uiPriority w:val="0"/>
    <w:rPr>
      <w:b/>
    </w:rPr>
  </w:style>
  <w:style w:type="character" w:customStyle="1" w:styleId="53">
    <w:name w:val="正文文本缩进 3 字符"/>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字符"/>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0"/>
    <w:qFormat/>
    <w:locked/>
    <w:uiPriority w:val="0"/>
  </w:style>
  <w:style w:type="character" w:customStyle="1" w:styleId="62">
    <w:name w:val="标题 字符"/>
    <w:link w:val="33"/>
    <w:qFormat/>
    <w:locked/>
    <w:uiPriority w:val="0"/>
    <w:rPr>
      <w:rFonts w:ascii="Arial" w:hAnsi="Arial"/>
      <w:b/>
      <w:sz w:val="32"/>
    </w:rPr>
  </w:style>
  <w:style w:type="character" w:customStyle="1" w:styleId="63">
    <w:name w:val="日期 字符"/>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8"/>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6"/>
    <w:qFormat/>
    <w:locked/>
    <w:uiPriority w:val="0"/>
    <w:rPr>
      <w:rFonts w:ascii="宋体" w:hAnsi="Courier New"/>
    </w:rPr>
  </w:style>
  <w:style w:type="character" w:customStyle="1" w:styleId="73">
    <w:name w:val="页脚 字符"/>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字符"/>
    <w:basedOn w:val="38"/>
    <w:link w:val="12"/>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字符"/>
    <w:basedOn w:val="38"/>
    <w:link w:val="11"/>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03"/>
    <w:next w:val="105"/>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章标题"/>
    <w:next w:val="104"/>
    <w:semiHidden/>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4">
    <w:name w:val="段"/>
    <w:semiHidden/>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5">
    <w:name w:val="0"/>
    <w:basedOn w:val="104"/>
    <w:qFormat/>
    <w:uiPriority w:val="0"/>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08"/>
    <w:next w:val="105"/>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一级条标题"/>
    <w:basedOn w:val="103"/>
    <w:next w:val="104"/>
    <w:semiHidden/>
    <w:qFormat/>
    <w:uiPriority w:val="0"/>
    <w:pPr>
      <w:numPr>
        <w:ilvl w:val="2"/>
        <w:numId w:val="1"/>
      </w:numPr>
      <w:spacing w:beforeLines="0" w:afterLines="0"/>
      <w:outlineLvl w:val="2"/>
    </w:p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16"/>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34"/>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无间隔1"/>
    <w:qFormat/>
    <w:uiPriority w:val="0"/>
    <w:rPr>
      <w:rFonts w:ascii="Calibri" w:hAnsi="Calibri" w:eastAsia="Calibri" w:cs="Times New Roman"/>
      <w:szCs w:val="22"/>
      <w:lang w:val="en-GB" w:eastAsia="en-US" w:bidi="ar-SA"/>
    </w:rPr>
  </w:style>
  <w:style w:type="paragraph" w:customStyle="1" w:styleId="138">
    <w:name w:val="CM22"/>
    <w:basedOn w:val="75"/>
    <w:next w:val="75"/>
    <w:qFormat/>
    <w:uiPriority w:val="0"/>
    <w:pPr>
      <w:spacing w:after="125"/>
    </w:pPr>
    <w:rPr>
      <w:rFonts w:cs="Times New Roman"/>
      <w:color w:val="auto"/>
    </w:rPr>
  </w:style>
  <w:style w:type="paragraph" w:customStyle="1" w:styleId="139">
    <w:name w:val="List Paragraph1"/>
    <w:basedOn w:val="1"/>
    <w:qFormat/>
    <w:uiPriority w:val="0"/>
    <w:pPr>
      <w:ind w:firstLine="420" w:firstLineChars="200"/>
    </w:pPr>
    <w:rPr>
      <w:rFonts w:ascii="Calibri" w:hAnsi="Calibri"/>
    </w:rPr>
  </w:style>
  <w:style w:type="character" w:customStyle="1" w:styleId="140">
    <w:name w:val="font11"/>
    <w:basedOn w:val="38"/>
    <w:qFormat/>
    <w:uiPriority w:val="0"/>
    <w:rPr>
      <w:rFonts w:hint="eastAsia" w:ascii="宋体" w:hAnsi="宋体" w:eastAsia="宋体" w:cs="宋体"/>
      <w:b/>
      <w:bCs/>
      <w:color w:val="000000"/>
      <w:sz w:val="21"/>
      <w:szCs w:val="21"/>
      <w:u w:val="none"/>
    </w:rPr>
  </w:style>
  <w:style w:type="character" w:customStyle="1" w:styleId="141">
    <w:name w:val="正文文本 2 字符"/>
    <w:basedOn w:val="38"/>
    <w:link w:val="30"/>
    <w:semiHidden/>
    <w:qFormat/>
    <w:uiPriority w:val="99"/>
    <w:rPr>
      <w:rFonts w:asciiTheme="minorHAnsi" w:hAnsiTheme="minorHAnsi" w:eastAsiaTheme="minorEastAsia" w:cstheme="minorBidi"/>
      <w:kern w:val="2"/>
      <w:sz w:val="21"/>
      <w:szCs w:val="22"/>
    </w:rPr>
  </w:style>
  <w:style w:type="paragraph" w:customStyle="1" w:styleId="142">
    <w:name w:val="表格"/>
    <w:basedOn w:val="1"/>
    <w:qFormat/>
    <w:uiPriority w:val="10"/>
    <w:rPr>
      <w:rFonts w:ascii="宋体" w:hAnsi="宋体"/>
      <w:szCs w:val="30"/>
    </w:rPr>
  </w:style>
  <w:style w:type="paragraph" w:customStyle="1" w:styleId="143">
    <w:name w:val="章节"/>
    <w:basedOn w:val="16"/>
    <w:qFormat/>
    <w:uiPriority w:val="0"/>
    <w:pPr>
      <w:spacing w:line="360" w:lineRule="auto"/>
      <w:jc w:val="center"/>
      <w:outlineLvl w:val="0"/>
    </w:pPr>
    <w:rPr>
      <w:rFonts w:ascii="黑体" w:eastAsia="黑体"/>
      <w:b/>
      <w:bCs/>
      <w:sz w:val="36"/>
      <w:szCs w:val="36"/>
    </w:rPr>
  </w:style>
  <w:style w:type="paragraph" w:customStyle="1" w:styleId="144">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145">
    <w:name w:val="（二）级标题"/>
    <w:basedOn w:val="16"/>
    <w:qFormat/>
    <w:uiPriority w:val="2"/>
    <w:pPr>
      <w:numPr>
        <w:ilvl w:val="0"/>
        <w:numId w:val="3"/>
      </w:numPr>
      <w:spacing w:line="360" w:lineRule="auto"/>
      <w:outlineLvl w:val="2"/>
    </w:pPr>
    <w:rPr>
      <w:b/>
    </w:rPr>
  </w:style>
  <w:style w:type="paragraph" w:customStyle="1" w:styleId="146">
    <w:name w:val="标书正文"/>
    <w:basedOn w:val="16"/>
    <w:qFormat/>
    <w:uiPriority w:val="9"/>
    <w:pPr>
      <w:spacing w:line="360" w:lineRule="auto"/>
      <w:jc w:val="left"/>
    </w:pPr>
  </w:style>
  <w:style w:type="paragraph" w:customStyle="1" w:styleId="147">
    <w:name w:val="3级标题"/>
    <w:basedOn w:val="16"/>
    <w:qFormat/>
    <w:uiPriority w:val="3"/>
    <w:pPr>
      <w:numPr>
        <w:ilvl w:val="0"/>
        <w:numId w:val="4"/>
      </w:numPr>
      <w:spacing w:line="360" w:lineRule="auto"/>
      <w:outlineLvl w:val="3"/>
    </w:pPr>
    <w:rPr>
      <w:b/>
    </w:rPr>
  </w:style>
  <w:style w:type="paragraph" w:customStyle="1" w:styleId="148">
    <w:name w:val="（4）级标题"/>
    <w:basedOn w:val="16"/>
    <w:qFormat/>
    <w:uiPriority w:val="8"/>
    <w:pPr>
      <w:numPr>
        <w:ilvl w:val="0"/>
        <w:numId w:val="5"/>
      </w:numPr>
      <w:spacing w:line="360" w:lineRule="auto"/>
      <w:outlineLvl w:val="4"/>
    </w:pPr>
  </w:style>
  <w:style w:type="paragraph" w:customStyle="1" w:styleId="149">
    <w:name w:val="3.1"/>
    <w:basedOn w:val="150"/>
    <w:next w:val="105"/>
    <w:qFormat/>
    <w:uiPriority w:val="0"/>
    <w:pPr>
      <w:spacing w:before="25" w:beforeLines="25" w:after="25" w:afterLines="25"/>
    </w:pPr>
  </w:style>
  <w:style w:type="paragraph" w:customStyle="1" w:styleId="150">
    <w:name w:val="二级条标题"/>
    <w:basedOn w:val="108"/>
    <w:next w:val="104"/>
    <w:semiHidden/>
    <w:qFormat/>
    <w:uiPriority w:val="0"/>
    <w:pPr>
      <w:numPr>
        <w:ilvl w:val="3"/>
        <w:numId w:val="1"/>
      </w:numPr>
      <w:outlineLvl w:val="3"/>
    </w:pPr>
  </w:style>
  <w:style w:type="paragraph" w:customStyle="1" w:styleId="151">
    <w:name w:val="_Style 1"/>
    <w:basedOn w:val="1"/>
    <w:semiHidden/>
    <w:qFormat/>
    <w:uiPriority w:val="34"/>
    <w:pPr>
      <w:ind w:firstLine="420" w:firstLineChars="200"/>
    </w:pPr>
  </w:style>
  <w:style w:type="paragraph" w:customStyle="1" w:styleId="152">
    <w:name w:val="3.2"/>
    <w:basedOn w:val="150"/>
    <w:next w:val="105"/>
    <w:qFormat/>
    <w:uiPriority w:val="0"/>
    <w:pPr>
      <w:numPr>
        <w:ilvl w:val="3"/>
        <w:numId w:val="1"/>
      </w:numPr>
      <w:spacing w:before="25" w:beforeLines="25" w:after="25" w:afterLines="25"/>
    </w:pPr>
    <w:rPr>
      <w:rFonts w:ascii="宋体" w:hAnsi="宋体" w:eastAsia="宋体"/>
    </w:rPr>
  </w:style>
  <w:style w:type="paragraph" w:customStyle="1" w:styleId="153">
    <w:name w:val="4"/>
    <w:basedOn w:val="150"/>
    <w:next w:val="105"/>
    <w:qFormat/>
    <w:uiPriority w:val="0"/>
    <w:pPr>
      <w:numPr>
        <w:ilvl w:val="4"/>
        <w:numId w:val="1"/>
      </w:numPr>
      <w:outlineLvl w:val="4"/>
    </w:pPr>
    <w:rPr>
      <w:rFonts w:ascii="宋体" w:hAnsi="宋体" w:eastAsia="宋体"/>
      <w:color w:val="000000"/>
      <w:szCs w:val="21"/>
    </w:rPr>
  </w:style>
  <w:style w:type="paragraph" w:customStyle="1" w:styleId="154">
    <w:name w:val="三级条标题"/>
    <w:basedOn w:val="150"/>
    <w:next w:val="104"/>
    <w:qFormat/>
    <w:uiPriority w:val="0"/>
    <w:pPr>
      <w:numPr>
        <w:ilvl w:val="4"/>
      </w:numPr>
      <w:outlineLvl w:val="4"/>
    </w:pPr>
  </w:style>
  <w:style w:type="paragraph" w:customStyle="1" w:styleId="15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56">
    <w:name w:val="标准书脚_偶数页"/>
    <w:qFormat/>
    <w:uiPriority w:val="0"/>
    <w:pPr>
      <w:spacing w:before="120"/>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100"/>
    <customShpInfo spid="_x0000_s3073"/>
    <customShpInfo spid="_x0000_s3101" textRotate="1"/>
    <customShpInfo spid="_x0000_s3093" textRotate="1"/>
    <customShpInfo spid="_x0000_s3094"/>
    <customShpInfo spid="_x0000_s3105"/>
    <customShpInfo spid="_x0000_s3104"/>
    <customShpInfo spid="_x0000_s3095" textRotate="1"/>
    <customShpInfo spid="_x0000_s3097" textRotate="1"/>
    <customShpInfo spid="_x0000_s3098" textRotate="1"/>
    <customShpInfo spid="_x0000_s3091" textRotate="1"/>
    <customShpInfo spid="_x0000_s3092"/>
    <customShpInfo spid="_x0000_s3099"/>
    <customShpInfo spid="_x0000_s3106"/>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84</Pages>
  <Words>13618</Words>
  <Characters>14409</Characters>
  <Lines>293</Lines>
  <Paragraphs>82</Paragraphs>
  <TotalTime>5</TotalTime>
  <ScaleCrop>false</ScaleCrop>
  <LinksUpToDate>false</LinksUpToDate>
  <CharactersWithSpaces>14535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OUTSIDER</cp:lastModifiedBy>
  <cp:lastPrinted>2022-07-01T11:19:00Z</cp:lastPrinted>
  <dcterms:modified xsi:type="dcterms:W3CDTF">2026-03-11T09:50:24Z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ED02EB12B8294FE5807EAA5D2C3C24E0</vt:lpwstr>
  </property>
  <property fmtid="{D5CDD505-2E9C-101B-9397-08002B2CF9AE}" pid="4" name="KSOTemplateDocerSaveRecord">
    <vt:lpwstr>eyJoZGlkIjoiMDgwMGY1YTdiNGZkNWNlNjk3MDRhNTZmYTg3Nzk2YzYiLCJ1c2VySWQiOiI1MzQzNDE1NjEifQ==</vt:lpwstr>
  </property>
</Properties>
</file>