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01DC3">
      <w:pPr>
        <w:pStyle w:val="94"/>
        <w:rPr>
          <w:color w:val="auto"/>
          <w:highlight w:val="none"/>
        </w:rPr>
      </w:pPr>
      <w:r>
        <w:rPr>
          <w:color w:val="auto"/>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C53FCD6">
      <w:pPr>
        <w:ind w:right="280"/>
        <w:jc w:val="center"/>
        <w:rPr>
          <w:rFonts w:ascii="宋体" w:hAnsi="宋体"/>
          <w:color w:val="auto"/>
          <w:sz w:val="48"/>
          <w:szCs w:val="48"/>
          <w:highlight w:val="none"/>
        </w:rPr>
      </w:pPr>
    </w:p>
    <w:p w14:paraId="29BBD8D2">
      <w:pPr>
        <w:ind w:right="280"/>
        <w:jc w:val="center"/>
        <w:rPr>
          <w:rFonts w:ascii="宋体" w:hAnsi="宋体"/>
          <w:color w:val="auto"/>
          <w:sz w:val="48"/>
          <w:szCs w:val="48"/>
          <w:highlight w:val="none"/>
        </w:rPr>
      </w:pPr>
    </w:p>
    <w:p w14:paraId="057F6063">
      <w:pPr>
        <w:ind w:right="280"/>
        <w:jc w:val="center"/>
        <w:rPr>
          <w:rFonts w:ascii="宋体" w:hAnsi="宋体"/>
          <w:color w:val="auto"/>
          <w:sz w:val="48"/>
          <w:szCs w:val="48"/>
          <w:highlight w:val="none"/>
        </w:rPr>
      </w:pPr>
    </w:p>
    <w:p w14:paraId="63F83887">
      <w:pPr>
        <w:ind w:right="280"/>
        <w:jc w:val="center"/>
        <w:rPr>
          <w:rFonts w:ascii="宋体" w:hAnsi="宋体"/>
          <w:color w:val="auto"/>
          <w:sz w:val="48"/>
          <w:szCs w:val="48"/>
          <w:highlight w:val="none"/>
        </w:rPr>
      </w:pPr>
    </w:p>
    <w:p w14:paraId="454F52BF">
      <w:pPr>
        <w:ind w:right="280"/>
        <w:jc w:val="center"/>
        <w:rPr>
          <w:rFonts w:ascii="楷体_GB2312" w:hAnsi="宋体" w:eastAsia="楷体_GB2312"/>
          <w:color w:val="auto"/>
          <w:sz w:val="52"/>
          <w:szCs w:val="52"/>
          <w:highlight w:val="none"/>
        </w:rPr>
      </w:pPr>
    </w:p>
    <w:p w14:paraId="2AEEB89E">
      <w:pPr>
        <w:jc w:val="center"/>
        <w:rPr>
          <w:rFonts w:hint="eastAsia" w:ascii="宋体" w:hAnsi="宋体" w:cs="宋体"/>
          <w:b/>
          <w:color w:val="auto"/>
          <w:sz w:val="48"/>
          <w:szCs w:val="48"/>
          <w:highlight w:val="none"/>
          <w:lang w:bidi="ar"/>
        </w:rPr>
      </w:pPr>
      <w:r>
        <w:rPr>
          <w:rFonts w:hint="eastAsia" w:ascii="宋体" w:hAnsi="宋体" w:cs="宋体"/>
          <w:b/>
          <w:color w:val="auto"/>
          <w:sz w:val="48"/>
          <w:szCs w:val="48"/>
          <w:highlight w:val="none"/>
          <w:lang w:bidi="ar"/>
        </w:rPr>
        <w:t>济南轻卡制造公司总装现场</w:t>
      </w:r>
    </w:p>
    <w:p w14:paraId="6AE3579C">
      <w:pPr>
        <w:jc w:val="center"/>
        <w:rPr>
          <w:rFonts w:hint="eastAsia" w:ascii="宋体" w:hAnsi="宋体" w:cs="宋体"/>
          <w:b/>
          <w:color w:val="auto"/>
          <w:sz w:val="48"/>
          <w:szCs w:val="48"/>
          <w:highlight w:val="none"/>
          <w:lang w:val="en-US" w:eastAsia="zh-CN" w:bidi="ar"/>
        </w:rPr>
      </w:pPr>
      <w:r>
        <w:rPr>
          <w:rFonts w:hint="eastAsia" w:ascii="宋体" w:hAnsi="宋体" w:cs="宋体"/>
          <w:b/>
          <w:color w:val="auto"/>
          <w:sz w:val="48"/>
          <w:szCs w:val="48"/>
          <w:highlight w:val="none"/>
          <w:lang w:bidi="ar"/>
        </w:rPr>
        <w:t>LED大屏</w:t>
      </w:r>
      <w:r>
        <w:rPr>
          <w:rFonts w:hint="eastAsia" w:ascii="宋体" w:hAnsi="宋体" w:cs="宋体"/>
          <w:b/>
          <w:color w:val="auto"/>
          <w:sz w:val="48"/>
          <w:szCs w:val="48"/>
          <w:highlight w:val="none"/>
          <w:lang w:val="en-US" w:eastAsia="zh-CN" w:bidi="ar"/>
        </w:rPr>
        <w:t>项目</w:t>
      </w:r>
    </w:p>
    <w:p w14:paraId="464428E3">
      <w:pPr>
        <w:ind w:right="280"/>
        <w:jc w:val="center"/>
        <w:rPr>
          <w:color w:val="auto"/>
          <w:sz w:val="28"/>
          <w:szCs w:val="28"/>
          <w:highlight w:val="none"/>
        </w:rPr>
      </w:pPr>
    </w:p>
    <w:p w14:paraId="57E6271F">
      <w:pPr>
        <w:ind w:right="280"/>
        <w:jc w:val="center"/>
        <w:rPr>
          <w:color w:val="auto"/>
          <w:sz w:val="28"/>
          <w:szCs w:val="28"/>
          <w:highlight w:val="none"/>
        </w:rPr>
      </w:pPr>
    </w:p>
    <w:p w14:paraId="4B722D1F">
      <w:pPr>
        <w:jc w:val="center"/>
        <w:rPr>
          <w:rFonts w:ascii="宋体" w:hAnsi="宋体" w:cs="宋体"/>
          <w:color w:val="auto"/>
          <w:sz w:val="72"/>
          <w:szCs w:val="72"/>
          <w:highlight w:val="none"/>
        </w:rPr>
      </w:pPr>
      <w:r>
        <w:rPr>
          <w:rFonts w:hint="eastAsia" w:ascii="宋体" w:hAnsi="宋体" w:cs="宋体"/>
          <w:color w:val="auto"/>
          <w:sz w:val="72"/>
          <w:szCs w:val="72"/>
          <w:highlight w:val="none"/>
        </w:rPr>
        <w:t>招标文件</w:t>
      </w:r>
    </w:p>
    <w:p w14:paraId="0C312C29">
      <w:pPr>
        <w:jc w:val="center"/>
        <w:rPr>
          <w:rFonts w:ascii="宋体" w:hAnsi="宋体"/>
          <w:color w:val="auto"/>
          <w:sz w:val="48"/>
          <w:szCs w:val="48"/>
          <w:highlight w:val="none"/>
        </w:rPr>
      </w:pPr>
    </w:p>
    <w:p w14:paraId="207B5CB9">
      <w:pPr>
        <w:jc w:val="center"/>
        <w:rPr>
          <w:rFonts w:ascii="宋体" w:hAnsi="宋体"/>
          <w:color w:val="auto"/>
          <w:sz w:val="48"/>
          <w:szCs w:val="48"/>
          <w:highlight w:val="none"/>
        </w:rPr>
      </w:pPr>
    </w:p>
    <w:p w14:paraId="08888FF2">
      <w:pPr>
        <w:widowControl/>
        <w:spacing w:line="360" w:lineRule="auto"/>
        <w:jc w:val="center"/>
        <w:rPr>
          <w:rFonts w:ascii="宋体" w:hAnsi="宋体" w:cs="宋体"/>
          <w:b/>
          <w:bCs/>
          <w:color w:val="auto"/>
          <w:kern w:val="0"/>
          <w:sz w:val="32"/>
          <w:szCs w:val="32"/>
          <w:highlight w:val="none"/>
          <w:u w:val="single"/>
        </w:rPr>
      </w:pPr>
      <w:r>
        <w:rPr>
          <w:rFonts w:hint="eastAsia" w:ascii="宋体" w:hAnsi="宋体" w:cs="宋体"/>
          <w:b/>
          <w:bCs/>
          <w:color w:val="auto"/>
          <w:kern w:val="0"/>
          <w:sz w:val="32"/>
          <w:szCs w:val="32"/>
          <w:highlight w:val="none"/>
        </w:rPr>
        <w:t>项目编号：_</w:t>
      </w:r>
      <w:r>
        <w:rPr>
          <w:rFonts w:ascii="宋体" w:hAnsi="宋体" w:cs="宋体"/>
          <w:b/>
          <w:bCs/>
          <w:color w:val="auto"/>
          <w:kern w:val="0"/>
          <w:sz w:val="32"/>
          <w:szCs w:val="32"/>
          <w:highlight w:val="none"/>
          <w:u w:val="single"/>
        </w:rPr>
        <w:t>_</w:t>
      </w:r>
      <w:r>
        <w:rPr>
          <w:rFonts w:hint="eastAsia" w:ascii="宋体" w:hAnsi="宋体" w:cs="宋体"/>
          <w:b/>
          <w:bCs/>
          <w:color w:val="auto"/>
          <w:kern w:val="0"/>
          <w:sz w:val="32"/>
          <w:szCs w:val="32"/>
          <w:highlight w:val="none"/>
          <w:u w:val="single"/>
        </w:rPr>
        <w:t>ZBGL2026020032</w:t>
      </w:r>
      <w:r>
        <w:rPr>
          <w:rFonts w:ascii="宋体" w:hAnsi="宋体" w:cs="宋体"/>
          <w:b/>
          <w:bCs/>
          <w:color w:val="auto"/>
          <w:kern w:val="0"/>
          <w:sz w:val="32"/>
          <w:szCs w:val="32"/>
          <w:highlight w:val="none"/>
          <w:u w:val="single"/>
        </w:rPr>
        <w:t>__</w:t>
      </w:r>
    </w:p>
    <w:p w14:paraId="7379A46D">
      <w:pPr>
        <w:jc w:val="center"/>
        <w:rPr>
          <w:rFonts w:ascii="宋体" w:hAnsi="宋体"/>
          <w:color w:val="auto"/>
          <w:sz w:val="48"/>
          <w:szCs w:val="48"/>
          <w:highlight w:val="none"/>
        </w:rPr>
      </w:pPr>
    </w:p>
    <w:p w14:paraId="0A3A9A04">
      <w:pPr>
        <w:jc w:val="center"/>
        <w:rPr>
          <w:rFonts w:ascii="宋体" w:hAnsi="宋体"/>
          <w:color w:val="auto"/>
          <w:sz w:val="48"/>
          <w:szCs w:val="48"/>
          <w:highlight w:val="none"/>
        </w:rPr>
      </w:pPr>
    </w:p>
    <w:p w14:paraId="21D98E80">
      <w:pPr>
        <w:jc w:val="center"/>
        <w:rPr>
          <w:rFonts w:ascii="宋体" w:hAnsi="宋体"/>
          <w:color w:val="auto"/>
          <w:sz w:val="28"/>
          <w:szCs w:val="28"/>
          <w:highlight w:val="none"/>
        </w:rPr>
      </w:pPr>
    </w:p>
    <w:p w14:paraId="3118BFF8">
      <w:pPr>
        <w:jc w:val="center"/>
        <w:rPr>
          <w:rFonts w:ascii="宋体" w:hAnsi="宋体"/>
          <w:color w:val="auto"/>
          <w:sz w:val="28"/>
          <w:szCs w:val="28"/>
          <w:highlight w:val="none"/>
        </w:rPr>
      </w:pPr>
    </w:p>
    <w:p w14:paraId="05ECF1AD">
      <w:pPr>
        <w:jc w:val="center"/>
        <w:rPr>
          <w:rFonts w:hint="eastAsia" w:ascii="宋体" w:hAnsi="宋体" w:cs="Times New Roman"/>
          <w:color w:val="auto"/>
          <w:sz w:val="28"/>
          <w:szCs w:val="28"/>
          <w:highlight w:val="none"/>
        </w:rPr>
      </w:pPr>
      <w:r>
        <w:rPr>
          <w:rFonts w:hint="eastAsia" w:ascii="宋体" w:hAnsi="宋体"/>
          <w:color w:val="auto"/>
          <w:sz w:val="28"/>
          <w:szCs w:val="28"/>
          <w:highlight w:val="none"/>
        </w:rPr>
        <w:t>招 标 人：中国重汽集团</w:t>
      </w:r>
      <w:r>
        <w:rPr>
          <w:rFonts w:hint="eastAsia" w:ascii="宋体" w:hAnsi="宋体" w:cs="Times New Roman"/>
          <w:color w:val="auto"/>
          <w:sz w:val="28"/>
          <w:szCs w:val="28"/>
          <w:highlight w:val="none"/>
          <w:lang w:val="en-US" w:eastAsia="zh-CN"/>
        </w:rPr>
        <w:t>济南商用车有限公司</w:t>
      </w:r>
    </w:p>
    <w:p w14:paraId="2196C663">
      <w:pPr>
        <w:jc w:val="center"/>
        <w:rPr>
          <w:rFonts w:hint="eastAsia" w:ascii="宋体" w:hAnsi="宋体" w:cs="Times New Roman"/>
          <w:color w:val="auto"/>
          <w:sz w:val="28"/>
          <w:szCs w:val="28"/>
          <w:highlight w:val="none"/>
        </w:rPr>
      </w:pPr>
      <w:r>
        <w:rPr>
          <w:rFonts w:hint="eastAsia" w:ascii="宋体" w:hAnsi="宋体" w:cs="Times New Roman"/>
          <w:color w:val="auto"/>
          <w:sz w:val="28"/>
          <w:szCs w:val="28"/>
          <w:highlight w:val="none"/>
        </w:rPr>
        <w:t>20</w:t>
      </w:r>
      <w:r>
        <w:rPr>
          <w:rFonts w:hint="eastAsia" w:ascii="宋体" w:hAnsi="宋体" w:cs="Times New Roman"/>
          <w:color w:val="auto"/>
          <w:sz w:val="28"/>
          <w:szCs w:val="28"/>
          <w:highlight w:val="none"/>
          <w:lang w:val="en-US" w:eastAsia="zh-CN"/>
        </w:rPr>
        <w:t>26</w:t>
      </w:r>
      <w:r>
        <w:rPr>
          <w:rFonts w:hint="eastAsia" w:ascii="宋体" w:hAnsi="宋体" w:cs="Times New Roman"/>
          <w:color w:val="auto"/>
          <w:sz w:val="28"/>
          <w:szCs w:val="28"/>
          <w:highlight w:val="none"/>
        </w:rPr>
        <w:t>年</w:t>
      </w:r>
      <w:r>
        <w:rPr>
          <w:rFonts w:hint="eastAsia" w:ascii="宋体" w:hAnsi="宋体" w:cs="Times New Roman"/>
          <w:color w:val="auto"/>
          <w:sz w:val="28"/>
          <w:szCs w:val="28"/>
          <w:highlight w:val="none"/>
          <w:lang w:val="en-US" w:eastAsia="zh-CN"/>
        </w:rPr>
        <w:t>2</w:t>
      </w:r>
      <w:r>
        <w:rPr>
          <w:rFonts w:hint="eastAsia" w:ascii="宋体" w:hAnsi="宋体" w:cs="Times New Roman"/>
          <w:color w:val="auto"/>
          <w:sz w:val="28"/>
          <w:szCs w:val="28"/>
          <w:highlight w:val="none"/>
        </w:rPr>
        <w:t>月</w:t>
      </w:r>
    </w:p>
    <w:p w14:paraId="1B7699AF">
      <w:pPr>
        <w:spacing w:line="480" w:lineRule="auto"/>
        <w:jc w:val="center"/>
        <w:rPr>
          <w:rFonts w:ascii="宋体" w:hAnsi="宋体"/>
          <w:b/>
          <w:bCs/>
          <w:color w:val="auto"/>
          <w:sz w:val="48"/>
          <w:szCs w:val="48"/>
          <w:highlight w:val="none"/>
        </w:rPr>
      </w:pPr>
    </w:p>
    <w:p w14:paraId="4A9446F0">
      <w:pPr>
        <w:spacing w:line="480" w:lineRule="auto"/>
        <w:jc w:val="center"/>
        <w:rPr>
          <w:rFonts w:ascii="宋体" w:hAnsi="宋体"/>
          <w:b/>
          <w:bCs/>
          <w:color w:val="auto"/>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0F2E67FB">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518FF1D7">
          <w:pPr>
            <w:pStyle w:val="20"/>
            <w:tabs>
              <w:tab w:val="right" w:leader="middleDot" w:pos="9070"/>
              <w:tab w:val="clear" w:pos="8729"/>
            </w:tabs>
            <w:rPr>
              <w:color w:val="auto"/>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rFonts w:hint="eastAsia" w:ascii="Calibri" w:hAnsi="Calibri"/>
              <w:bCs/>
              <w:color w:val="auto"/>
              <w:kern w:val="44"/>
              <w:szCs w:val="44"/>
              <w:highlight w:val="none"/>
            </w:rPr>
            <w:fldChar w:fldCharType="begin"/>
          </w:r>
          <w:r>
            <w:rPr>
              <w:rFonts w:hint="eastAsia" w:ascii="Calibri" w:hAnsi="Calibri"/>
              <w:bCs/>
              <w:color w:val="auto"/>
              <w:kern w:val="44"/>
              <w:szCs w:val="44"/>
              <w:highlight w:val="none"/>
            </w:rPr>
            <w:instrText xml:space="preserve"> HYPERLINK \l _Toc7104 </w:instrText>
          </w:r>
          <w:r>
            <w:rPr>
              <w:rFonts w:hint="eastAsia" w:ascii="Calibri" w:hAnsi="Calibri"/>
              <w:bCs/>
              <w:color w:val="auto"/>
              <w:kern w:val="44"/>
              <w:szCs w:val="44"/>
              <w:highlight w:val="none"/>
            </w:rPr>
            <w:fldChar w:fldCharType="separate"/>
          </w:r>
          <w:r>
            <w:rPr>
              <w:rFonts w:hint="eastAsia"/>
              <w:color w:val="auto"/>
              <w:highlight w:val="none"/>
            </w:rPr>
            <w:t>招标公告（适用于公开招标）</w:t>
          </w:r>
          <w:r>
            <w:rPr>
              <w:color w:val="auto"/>
              <w:highlight w:val="none"/>
            </w:rPr>
            <w:tab/>
          </w:r>
          <w:r>
            <w:rPr>
              <w:color w:val="auto"/>
              <w:highlight w:val="none"/>
            </w:rPr>
            <w:fldChar w:fldCharType="begin"/>
          </w:r>
          <w:r>
            <w:rPr>
              <w:color w:val="auto"/>
              <w:highlight w:val="none"/>
            </w:rPr>
            <w:instrText xml:space="preserve"> PAGEREF _Toc7104 \h </w:instrText>
          </w:r>
          <w:r>
            <w:rPr>
              <w:color w:val="auto"/>
              <w:highlight w:val="none"/>
            </w:rPr>
            <w:fldChar w:fldCharType="separate"/>
          </w:r>
          <w:r>
            <w:rPr>
              <w:color w:val="auto"/>
              <w:highlight w:val="none"/>
            </w:rPr>
            <w:t>- 1 -</w:t>
          </w:r>
          <w:r>
            <w:rPr>
              <w:color w:val="auto"/>
              <w:highlight w:val="none"/>
            </w:rPr>
            <w:fldChar w:fldCharType="end"/>
          </w:r>
          <w:r>
            <w:rPr>
              <w:rFonts w:hint="eastAsia" w:ascii="Calibri" w:hAnsi="Calibri"/>
              <w:bCs/>
              <w:color w:val="auto"/>
              <w:kern w:val="44"/>
              <w:szCs w:val="44"/>
              <w:highlight w:val="none"/>
            </w:rPr>
            <w:fldChar w:fldCharType="end"/>
          </w:r>
        </w:p>
        <w:p w14:paraId="3237DA89">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_Toc7753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第一部分  投标人须知</w:t>
          </w:r>
          <w:r>
            <w:rPr>
              <w:color w:val="auto"/>
              <w:highlight w:val="none"/>
            </w:rPr>
            <w:tab/>
          </w:r>
          <w:r>
            <w:rPr>
              <w:color w:val="auto"/>
              <w:highlight w:val="none"/>
            </w:rPr>
            <w:fldChar w:fldCharType="begin"/>
          </w:r>
          <w:r>
            <w:rPr>
              <w:color w:val="auto"/>
              <w:highlight w:val="none"/>
            </w:rPr>
            <w:instrText xml:space="preserve"> PAGEREF _Toc7753 \h </w:instrText>
          </w:r>
          <w:r>
            <w:rPr>
              <w:color w:val="auto"/>
              <w:highlight w:val="none"/>
            </w:rPr>
            <w:fldChar w:fldCharType="separate"/>
          </w:r>
          <w:r>
            <w:rPr>
              <w:color w:val="auto"/>
              <w:highlight w:val="none"/>
            </w:rPr>
            <w:t>- 2 -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F3128F8">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_Toc1910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第二部分　</w:t>
          </w:r>
          <w:r>
            <w:rPr>
              <w:rFonts w:hint="eastAsia"/>
              <w:color w:val="auto"/>
              <w:highlight w:val="none"/>
              <w:lang w:val="en-US" w:eastAsia="zh-CN"/>
            </w:rPr>
            <w:t>技术标书</w:t>
          </w:r>
          <w:r>
            <w:rPr>
              <w:color w:val="auto"/>
              <w:highlight w:val="none"/>
            </w:rPr>
            <w:tab/>
          </w:r>
          <w:r>
            <w:rPr>
              <w:color w:val="auto"/>
              <w:highlight w:val="none"/>
            </w:rPr>
            <w:fldChar w:fldCharType="begin"/>
          </w:r>
          <w:r>
            <w:rPr>
              <w:color w:val="auto"/>
              <w:highlight w:val="none"/>
            </w:rPr>
            <w:instrText xml:space="preserve"> PAGEREF _Toc1910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63F67007">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_Toc20595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第三部分　合同主要条款</w:t>
          </w:r>
          <w:r>
            <w:rPr>
              <w:color w:val="auto"/>
              <w:highlight w:val="none"/>
            </w:rPr>
            <w:tab/>
          </w:r>
          <w:r>
            <w:rPr>
              <w:color w:val="auto"/>
              <w:highlight w:val="none"/>
            </w:rPr>
            <w:fldChar w:fldCharType="begin"/>
          </w:r>
          <w:r>
            <w:rPr>
              <w:color w:val="auto"/>
              <w:highlight w:val="none"/>
            </w:rPr>
            <w:instrText xml:space="preserve"> PAGEREF _Toc20595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9A8CF5F">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_Toc5925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第四部分　</w:t>
          </w:r>
          <w:r>
            <w:rPr>
              <w:rFonts w:hint="eastAsia"/>
              <w:color w:val="auto"/>
              <w:highlight w:val="none"/>
              <w:lang w:val="en-US" w:eastAsia="zh-CN"/>
            </w:rPr>
            <w:t>投标文件附件</w:t>
          </w:r>
          <w:r>
            <w:rPr>
              <w:color w:val="auto"/>
              <w:highlight w:val="none"/>
            </w:rPr>
            <w:tab/>
          </w:r>
          <w:r>
            <w:rPr>
              <w:color w:val="auto"/>
              <w:highlight w:val="none"/>
            </w:rPr>
            <w:fldChar w:fldCharType="begin"/>
          </w:r>
          <w:r>
            <w:rPr>
              <w:color w:val="auto"/>
              <w:highlight w:val="none"/>
            </w:rPr>
            <w:instrText xml:space="preserve"> PAGEREF _Toc5925 \h </w:instrText>
          </w:r>
          <w:r>
            <w:rPr>
              <w:color w:val="auto"/>
              <w:highlight w:val="none"/>
            </w:rPr>
            <w:fldChar w:fldCharType="separate"/>
          </w:r>
          <w:r>
            <w:rPr>
              <w:color w:val="auto"/>
              <w:highlight w:val="none"/>
            </w:rPr>
            <w:t>- 9 -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1B416EA">
          <w:pPr>
            <w:pStyle w:val="20"/>
            <w:rPr>
              <w:color w:val="auto"/>
              <w:highlight w:val="none"/>
            </w:rPr>
          </w:pPr>
          <w:r>
            <w:rPr>
              <w:rFonts w:hint="eastAsia" w:ascii="Calibri" w:hAnsi="Calibri" w:eastAsia="宋体" w:cs="Times New Roman"/>
              <w:bCs/>
              <w:color w:val="auto"/>
              <w:kern w:val="44"/>
              <w:szCs w:val="44"/>
              <w:highlight w:val="none"/>
            </w:rPr>
            <w:fldChar w:fldCharType="end"/>
          </w:r>
        </w:p>
      </w:sdtContent>
    </w:sdt>
    <w:p w14:paraId="2EEB5C73">
      <w:pPr>
        <w:pStyle w:val="14"/>
        <w:tabs>
          <w:tab w:val="left" w:pos="2940"/>
        </w:tabs>
        <w:spacing w:line="360" w:lineRule="auto"/>
        <w:rPr>
          <w:color w:val="auto"/>
          <w:highlight w:val="none"/>
        </w:rPr>
      </w:pPr>
      <w:r>
        <w:rPr>
          <w:color w:val="auto"/>
          <w:highlight w:val="none"/>
        </w:rPr>
        <w:tab/>
      </w:r>
    </w:p>
    <w:p w14:paraId="7950973A">
      <w:pPr>
        <w:pStyle w:val="14"/>
        <w:spacing w:line="360" w:lineRule="auto"/>
        <w:jc w:val="center"/>
        <w:rPr>
          <w:color w:val="auto"/>
          <w:highlight w:val="none"/>
        </w:rPr>
      </w:pPr>
    </w:p>
    <w:p w14:paraId="00FD4A97">
      <w:pPr>
        <w:pStyle w:val="14"/>
        <w:spacing w:line="360" w:lineRule="auto"/>
        <w:jc w:val="center"/>
        <w:rPr>
          <w:color w:val="auto"/>
          <w:highlight w:val="none"/>
        </w:rP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7FE8B79F">
      <w:pPr>
        <w:pStyle w:val="71"/>
        <w:rPr>
          <w:color w:val="auto"/>
          <w:highlight w:val="none"/>
        </w:rPr>
      </w:pPr>
      <w:bookmarkStart w:id="0" w:name="_Toc47976587"/>
      <w:bookmarkStart w:id="1" w:name="_Toc7104"/>
      <w:r>
        <w:rPr>
          <w:rFonts w:hint="eastAsia"/>
          <w:color w:val="auto"/>
          <w:highlight w:val="none"/>
        </w:rPr>
        <w:t>招标公告</w:t>
      </w:r>
      <w:bookmarkEnd w:id="0"/>
      <w:r>
        <w:rPr>
          <w:rFonts w:hint="eastAsia"/>
          <w:color w:val="auto"/>
          <w:highlight w:val="none"/>
        </w:rPr>
        <w:t>（适用于公开招标）</w:t>
      </w:r>
      <w:bookmarkEnd w:id="1"/>
    </w:p>
    <w:p w14:paraId="50786FAF">
      <w:pPr>
        <w:jc w:val="center"/>
        <w:rPr>
          <w:rFonts w:hint="eastAsia" w:ascii="黑体" w:hAnsi="Courier New" w:eastAsia="黑体" w:cs="Times New Roman"/>
          <w:b/>
          <w:bCs/>
          <w:color w:val="auto"/>
          <w:kern w:val="2"/>
          <w:sz w:val="28"/>
          <w:szCs w:val="36"/>
          <w:highlight w:val="none"/>
          <w:lang w:val="en-US" w:eastAsia="zh-CN" w:bidi="ar-SA"/>
        </w:rPr>
      </w:pPr>
      <w:bookmarkStart w:id="2" w:name="_Toc32474"/>
      <w:r>
        <w:rPr>
          <w:rFonts w:hint="eastAsia" w:ascii="黑体" w:hAnsi="Courier New" w:eastAsia="黑体" w:cs="Times New Roman"/>
          <w:b/>
          <w:bCs/>
          <w:color w:val="auto"/>
          <w:kern w:val="2"/>
          <w:sz w:val="28"/>
          <w:szCs w:val="36"/>
          <w:highlight w:val="none"/>
          <w:lang w:val="en-US" w:eastAsia="zh-CN" w:bidi="ar-SA"/>
        </w:rPr>
        <w:t>济南轻卡制造公司总装现场LED大屏项目</w:t>
      </w:r>
    </w:p>
    <w:p w14:paraId="3A0EFE92">
      <w:pPr>
        <w:pStyle w:val="71"/>
        <w:rPr>
          <w:rFonts w:hint="eastAsia"/>
          <w:color w:val="auto"/>
          <w:sz w:val="28"/>
          <w:highlight w:val="none"/>
        </w:rPr>
      </w:pPr>
      <w:r>
        <w:rPr>
          <w:rFonts w:hint="eastAsia"/>
          <w:color w:val="auto"/>
          <w:sz w:val="28"/>
          <w:highlight w:val="none"/>
        </w:rPr>
        <w:t>招标公告</w:t>
      </w:r>
      <w:bookmarkEnd w:id="2"/>
    </w:p>
    <w:p w14:paraId="49A75D83">
      <w:pPr>
        <w:pStyle w:val="71"/>
        <w:rPr>
          <w:rFonts w:hint="eastAsia"/>
          <w:color w:val="auto"/>
          <w:highlight w:val="none"/>
        </w:rPr>
      </w:pPr>
    </w:p>
    <w:p w14:paraId="4FB6AF81">
      <w:pPr>
        <w:pStyle w:val="72"/>
        <w:rPr>
          <w:color w:val="auto"/>
          <w:highlight w:val="none"/>
        </w:rPr>
      </w:pPr>
      <w:bookmarkStart w:id="3" w:name="_Toc47976588"/>
      <w:r>
        <w:rPr>
          <w:rFonts w:hint="eastAsia"/>
          <w:color w:val="auto"/>
          <w:highlight w:val="none"/>
        </w:rPr>
        <w:t>项目名称及项目编号</w:t>
      </w:r>
      <w:bookmarkEnd w:id="3"/>
    </w:p>
    <w:p w14:paraId="2426DE41">
      <w:pPr>
        <w:pStyle w:val="73"/>
        <w:rPr>
          <w:color w:val="auto"/>
          <w:highlight w:val="none"/>
        </w:rPr>
      </w:pPr>
      <w:r>
        <w:rPr>
          <w:rFonts w:hint="eastAsia"/>
          <w:color w:val="auto"/>
          <w:highlight w:val="none"/>
        </w:rPr>
        <w:t>项目名称： 济南轻卡制造公司总装现场LED大屏项目</w:t>
      </w:r>
    </w:p>
    <w:p w14:paraId="76EFDDD6">
      <w:pPr>
        <w:pStyle w:val="73"/>
        <w:rPr>
          <w:color w:val="auto"/>
          <w:highlight w:val="none"/>
        </w:rPr>
      </w:pPr>
      <w:r>
        <w:rPr>
          <w:rFonts w:hint="eastAsia"/>
          <w:color w:val="auto"/>
          <w:highlight w:val="none"/>
        </w:rPr>
        <w:t>项目编号： ZBGL2026020032</w:t>
      </w:r>
    </w:p>
    <w:p w14:paraId="36F5642D">
      <w:pPr>
        <w:pStyle w:val="72"/>
        <w:rPr>
          <w:color w:val="auto"/>
          <w:highlight w:val="none"/>
        </w:rPr>
      </w:pPr>
      <w:bookmarkStart w:id="4" w:name="_Toc47976589"/>
      <w:r>
        <w:rPr>
          <w:rFonts w:hint="eastAsia"/>
          <w:color w:val="auto"/>
          <w:highlight w:val="none"/>
          <w:lang w:val="en-US" w:eastAsia="zh-CN"/>
        </w:rPr>
        <w:t>项目概况</w:t>
      </w:r>
      <w:r>
        <w:rPr>
          <w:rFonts w:hint="eastAsia"/>
          <w:color w:val="auto"/>
          <w:highlight w:val="none"/>
        </w:rPr>
        <w:t>及招标形式</w:t>
      </w:r>
      <w:bookmarkEnd w:id="4"/>
    </w:p>
    <w:p w14:paraId="0EFA70FB">
      <w:pPr>
        <w:pStyle w:val="73"/>
        <w:numPr>
          <w:ilvl w:val="0"/>
          <w:numId w:val="9"/>
        </w:numPr>
        <w:rPr>
          <w:rFonts w:hint="eastAsia"/>
          <w:color w:val="auto"/>
          <w:highlight w:val="none"/>
        </w:rPr>
      </w:pPr>
      <w:r>
        <w:rPr>
          <w:rFonts w:hint="eastAsia"/>
          <w:color w:val="auto"/>
          <w:highlight w:val="none"/>
        </w:rPr>
        <w:t>招标内容：济南轻卡制造公司总装现场 LED大屏</w:t>
      </w:r>
    </w:p>
    <w:p w14:paraId="344BCAB4">
      <w:pPr>
        <w:pStyle w:val="73"/>
        <w:rPr>
          <w:color w:val="auto"/>
          <w:highlight w:val="none"/>
        </w:rPr>
      </w:pPr>
      <w:r>
        <w:rPr>
          <w:rFonts w:hint="eastAsia"/>
          <w:color w:val="auto"/>
          <w:highlight w:val="none"/>
        </w:rPr>
        <w:t>招标形式：公开招标</w:t>
      </w:r>
      <w:r>
        <w:rPr>
          <w:rStyle w:val="97"/>
          <w:rFonts w:hint="eastAsia"/>
          <w:b w:val="0"/>
          <w:color w:val="auto"/>
          <w:highlight w:val="none"/>
        </w:rPr>
        <w:t>。</w:t>
      </w:r>
    </w:p>
    <w:p w14:paraId="34B84E92">
      <w:pPr>
        <w:pStyle w:val="72"/>
        <w:rPr>
          <w:color w:val="auto"/>
          <w:highlight w:val="none"/>
        </w:rPr>
      </w:pPr>
      <w:bookmarkStart w:id="5" w:name="_Toc47976590"/>
      <w:r>
        <w:rPr>
          <w:rFonts w:hint="eastAsia"/>
          <w:color w:val="auto"/>
          <w:highlight w:val="none"/>
        </w:rPr>
        <w:t>投标人资格要求</w:t>
      </w:r>
      <w:bookmarkEnd w:id="5"/>
    </w:p>
    <w:p w14:paraId="6084B00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1E47736E">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cs="Times New Roman"/>
          <w:color w:val="auto"/>
          <w:highlight w:val="none"/>
          <w:lang w:val="en-US" w:eastAsia="zh-CN"/>
        </w:rPr>
        <w:t>300</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42B7755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C26D5B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5E2FFA55">
      <w:pPr>
        <w:pStyle w:val="73"/>
        <w:numPr>
          <w:ilvl w:val="0"/>
          <w:numId w:val="10"/>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452D3B33">
      <w:pPr>
        <w:pStyle w:val="73"/>
        <w:numPr>
          <w:ilvl w:val="0"/>
          <w:numId w:val="10"/>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2FA9EDF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35E09CF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1682A8F0">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5151515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2CBC0E1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1FED2AB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5140C1B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173A3B6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0CD8E00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p>
    <w:p w14:paraId="750FDC4B">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bCs w:val="0"/>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w:t>
      </w:r>
      <w:r>
        <w:rPr>
          <w:rFonts w:hint="eastAsia"/>
          <w:b w:val="0"/>
          <w:bCs/>
          <w:strike w:val="0"/>
          <w:dstrike w:val="0"/>
          <w:color w:val="auto"/>
          <w:highlight w:val="none"/>
          <w:lang w:eastAsia="zh-CN"/>
        </w:rPr>
        <w:t>，</w:t>
      </w:r>
      <w:r>
        <w:rPr>
          <w:rFonts w:hint="eastAsia"/>
          <w:b w:val="0"/>
          <w:bCs/>
          <w:strike w:val="0"/>
          <w:dstrike w:val="0"/>
          <w:color w:val="auto"/>
          <w:highlight w:val="none"/>
          <w:lang w:val="en-US" w:eastAsia="zh-CN"/>
        </w:rPr>
        <w:t>代理商</w:t>
      </w:r>
      <w:r>
        <w:rPr>
          <w:rFonts w:hint="eastAsia"/>
          <w:b w:val="0"/>
          <w:bCs/>
          <w:strike w:val="0"/>
          <w:dstrike w:val="0"/>
          <w:color w:val="auto"/>
          <w:highlight w:val="none"/>
        </w:rPr>
        <w:t>投标</w:t>
      </w:r>
      <w:r>
        <w:rPr>
          <w:rFonts w:hint="eastAsia"/>
          <w:b w:val="0"/>
          <w:bCs/>
          <w:strike w:val="0"/>
          <w:dstrike w:val="0"/>
          <w:color w:val="auto"/>
          <w:highlight w:val="none"/>
          <w:lang w:eastAsia="zh-CN"/>
        </w:rPr>
        <w:t>；</w:t>
      </w:r>
    </w:p>
    <w:p w14:paraId="1CCA9DDE">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7217610E">
      <w:pPr>
        <w:pStyle w:val="72"/>
        <w:rPr>
          <w:color w:val="auto"/>
          <w:highlight w:val="none"/>
        </w:rPr>
      </w:pPr>
      <w:bookmarkStart w:id="6" w:name="_Toc47976591"/>
      <w:r>
        <w:rPr>
          <w:rFonts w:hint="eastAsia"/>
          <w:color w:val="auto"/>
          <w:highlight w:val="none"/>
        </w:rPr>
        <w:t>报名及招标文件的获取</w:t>
      </w:r>
      <w:bookmarkEnd w:id="6"/>
    </w:p>
    <w:p w14:paraId="3DC049A9">
      <w:pPr>
        <w:pStyle w:val="14"/>
        <w:numPr>
          <w:ilvl w:val="0"/>
          <w:numId w:val="11"/>
        </w:numPr>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报名截止时间：202</w:t>
      </w:r>
      <w:r>
        <w:rPr>
          <w:rFonts w:hint="eastAsia" w:hAnsi="宋体" w:cs="宋体"/>
          <w:b/>
          <w:bCs/>
          <w:color w:val="auto"/>
          <w:szCs w:val="21"/>
          <w:highlight w:val="none"/>
          <w:lang w:val="en-US" w:eastAsia="zh-CN"/>
        </w:rPr>
        <w:t>6</w:t>
      </w:r>
      <w:r>
        <w:rPr>
          <w:rFonts w:hint="eastAsia" w:hAnsi="宋体" w:cs="宋体"/>
          <w:b/>
          <w:bCs/>
          <w:color w:val="auto"/>
          <w:szCs w:val="21"/>
          <w:highlight w:val="none"/>
        </w:rPr>
        <w:t>年</w:t>
      </w:r>
      <w:r>
        <w:rPr>
          <w:rFonts w:hint="eastAsia" w:hAnsi="宋体" w:cs="宋体"/>
          <w:b/>
          <w:bCs/>
          <w:color w:val="auto"/>
          <w:szCs w:val="21"/>
          <w:highlight w:val="none"/>
          <w:lang w:val="en-US" w:eastAsia="zh-CN"/>
        </w:rPr>
        <w:t>3</w:t>
      </w:r>
      <w:r>
        <w:rPr>
          <w:rFonts w:hint="eastAsia" w:hAnsi="宋体" w:cs="宋体"/>
          <w:b/>
          <w:bCs/>
          <w:color w:val="auto"/>
          <w:szCs w:val="21"/>
          <w:highlight w:val="none"/>
        </w:rPr>
        <w:t>月</w:t>
      </w:r>
      <w:r>
        <w:rPr>
          <w:rFonts w:hint="eastAsia" w:ascii="黑体" w:eastAsia="黑体" w:cs="Times New Roman"/>
          <w:b/>
          <w:bCs/>
          <w:color w:val="auto"/>
          <w:kern w:val="2"/>
          <w:sz w:val="28"/>
          <w:highlight w:val="none"/>
          <w:lang w:val="en-US" w:eastAsia="zh-CN" w:bidi="ar-SA"/>
        </w:rPr>
        <w:t>17</w:t>
      </w:r>
      <w:r>
        <w:rPr>
          <w:rFonts w:hint="eastAsia" w:hAnsi="宋体" w:cs="宋体"/>
          <w:b/>
          <w:bCs/>
          <w:color w:val="auto"/>
          <w:szCs w:val="21"/>
          <w:highlight w:val="none"/>
        </w:rPr>
        <w:t>日下午17点</w:t>
      </w:r>
    </w:p>
    <w:p w14:paraId="6C614983">
      <w:pPr>
        <w:pStyle w:val="14"/>
        <w:numPr>
          <w:ilvl w:val="0"/>
          <w:numId w:val="11"/>
        </w:numPr>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招标文件获取方式：投标人在上述时间范围内，在中国重汽e采通平台上获取招标文件</w:t>
      </w:r>
    </w:p>
    <w:p w14:paraId="6F94E085">
      <w:pPr>
        <w:pStyle w:val="72"/>
        <w:numPr>
          <w:ilvl w:val="0"/>
          <w:numId w:val="0"/>
        </w:numPr>
        <w:ind w:leftChars="0"/>
        <w:rPr>
          <w:color w:val="auto"/>
          <w:highlight w:val="none"/>
        </w:rPr>
      </w:pPr>
      <w:r>
        <w:rPr>
          <w:rFonts w:hint="eastAsia" w:ascii="宋体" w:hAnsi="宋体" w:eastAsia="宋体" w:cs="宋体"/>
          <w:color w:val="auto"/>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color w:val="auto"/>
          <w:sz w:val="21"/>
          <w:szCs w:val="21"/>
          <w:highlight w:val="none"/>
          <w:lang w:val="en-US" w:eastAsia="zh-CN"/>
        </w:rPr>
        <w:t>中的</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资质标书》</w:t>
      </w:r>
      <w:r>
        <w:rPr>
          <w:rFonts w:hint="eastAsia" w:ascii="宋体" w:hAnsi="宋体" w:eastAsia="宋体" w:cs="宋体"/>
          <w:color w:val="auto"/>
          <w:sz w:val="21"/>
          <w:szCs w:val="21"/>
          <w:highlight w:val="none"/>
        </w:rPr>
        <w:t>准备资料并上传，资质审查通过即为报名成功；公示期间请尽快报名。</w:t>
      </w:r>
    </w:p>
    <w:p w14:paraId="4763D599">
      <w:pPr>
        <w:pStyle w:val="72"/>
        <w:rPr>
          <w:color w:val="auto"/>
          <w:highlight w:val="none"/>
        </w:rPr>
      </w:pPr>
      <w:bookmarkStart w:id="7" w:name="_Toc47976592"/>
      <w:r>
        <w:rPr>
          <w:rFonts w:hint="eastAsia"/>
          <w:color w:val="auto"/>
          <w:highlight w:val="none"/>
        </w:rPr>
        <w:t>投标文件的递交</w:t>
      </w:r>
      <w:bookmarkEnd w:id="7"/>
    </w:p>
    <w:p w14:paraId="351ED2C3">
      <w:pPr>
        <w:pStyle w:val="72"/>
        <w:numPr>
          <w:ilvl w:val="0"/>
          <w:numId w:val="0"/>
        </w:numPr>
        <w:ind w:leftChars="0"/>
        <w:rPr>
          <w:color w:val="auto"/>
          <w:highlight w:val="none"/>
        </w:rPr>
      </w:pPr>
      <w:r>
        <w:rPr>
          <w:rFonts w:hint="eastAsia" w:ascii="宋体" w:hAnsi="宋体" w:eastAsia="宋体" w:cs="宋体"/>
          <w:color w:val="auto"/>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p>
    <w:p w14:paraId="7690B414">
      <w:pPr>
        <w:pStyle w:val="72"/>
        <w:rPr>
          <w:color w:val="auto"/>
          <w:highlight w:val="none"/>
        </w:rPr>
      </w:pPr>
      <w:r>
        <w:rPr>
          <w:rFonts w:hint="eastAsia"/>
          <w:color w:val="auto"/>
          <w:highlight w:val="none"/>
          <w:lang w:val="en-US" w:eastAsia="zh-CN"/>
        </w:rPr>
        <w:t>开标时间和地点</w:t>
      </w:r>
    </w:p>
    <w:p w14:paraId="08C8E911">
      <w:pPr>
        <w:pStyle w:val="72"/>
        <w:numPr>
          <w:ilvl w:val="0"/>
          <w:numId w:val="12"/>
        </w:numPr>
        <w:ind w:left="840"/>
        <w:rPr>
          <w:color w:val="auto"/>
          <w:highlight w:val="none"/>
        </w:rPr>
      </w:pPr>
      <w:r>
        <w:rPr>
          <w:rFonts w:hint="eastAsia" w:ascii="宋体" w:hAnsi="宋体" w:eastAsia="宋体" w:cs="宋体"/>
          <w:color w:val="auto"/>
          <w:sz w:val="21"/>
          <w:szCs w:val="21"/>
          <w:highlight w:val="none"/>
        </w:rPr>
        <w:t>时间：202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日9:00:00</w:t>
      </w:r>
    </w:p>
    <w:p w14:paraId="686456B8">
      <w:pPr>
        <w:pStyle w:val="72"/>
        <w:numPr>
          <w:ilvl w:val="0"/>
          <w:numId w:val="12"/>
        </w:numPr>
        <w:ind w:left="840"/>
        <w:rPr>
          <w:color w:val="auto"/>
          <w:highlight w:val="none"/>
        </w:rPr>
      </w:pPr>
      <w:r>
        <w:rPr>
          <w:rFonts w:hint="eastAsia" w:ascii="宋体" w:hAnsi="宋体" w:eastAsia="宋体" w:cs="宋体"/>
          <w:color w:val="auto"/>
          <w:sz w:val="21"/>
          <w:szCs w:val="21"/>
          <w:highlight w:val="none"/>
        </w:rPr>
        <w:t>地点：</w:t>
      </w:r>
      <w:bookmarkStart w:id="8" w:name="_Toc47976593"/>
      <w:r>
        <w:rPr>
          <w:rFonts w:hint="eastAsia" w:ascii="宋体" w:hAnsi="宋体" w:eastAsia="宋体" w:cs="宋体"/>
          <w:color w:val="auto"/>
          <w:sz w:val="21"/>
          <w:szCs w:val="21"/>
          <w:highlight w:val="none"/>
          <w:lang w:val="en-US" w:eastAsia="zh-CN"/>
        </w:rPr>
        <w:t>山东省</w:t>
      </w:r>
      <w:r>
        <w:rPr>
          <w:rFonts w:hint="eastAsia" w:ascii="宋体" w:hAnsi="宋体" w:eastAsia="宋体" w:cs="宋体"/>
          <w:color w:val="auto"/>
          <w:sz w:val="21"/>
          <w:szCs w:val="21"/>
          <w:highlight w:val="none"/>
        </w:rPr>
        <w:t>济南市章丘区潘王路东园区十一号路北，济南轻卡制造公司</w:t>
      </w:r>
    </w:p>
    <w:p w14:paraId="6D73F676">
      <w:pPr>
        <w:pStyle w:val="72"/>
        <w:rPr>
          <w:color w:val="auto"/>
          <w:highlight w:val="none"/>
        </w:rPr>
      </w:pPr>
      <w:r>
        <w:rPr>
          <w:rFonts w:hint="eastAsia"/>
          <w:color w:val="auto"/>
          <w:highlight w:val="none"/>
        </w:rPr>
        <w:t>招标公告发布媒介</w:t>
      </w:r>
      <w:bookmarkEnd w:id="8"/>
    </w:p>
    <w:p w14:paraId="761C3A55">
      <w:pPr>
        <w:pStyle w:val="73"/>
        <w:numPr>
          <w:ilvl w:val="0"/>
          <w:numId w:val="0"/>
        </w:numPr>
        <w:ind w:left="1130" w:hanging="420"/>
        <w:rPr>
          <w:rFonts w:hint="eastAsia"/>
          <w:color w:val="auto"/>
          <w:highlight w:val="none"/>
        </w:rPr>
      </w:pPr>
      <w:r>
        <w:rPr>
          <w:rFonts w:hint="eastAsia"/>
          <w:color w:val="auto"/>
          <w:highlight w:val="none"/>
        </w:rPr>
        <w:t>本次招标公告同时在中国重汽官网+中国重汽e采通等公开媒体发布。</w:t>
      </w:r>
    </w:p>
    <w:p w14:paraId="4698A0DF">
      <w:pPr>
        <w:pStyle w:val="72"/>
        <w:rPr>
          <w:color w:val="auto"/>
          <w:highlight w:val="none"/>
        </w:rPr>
      </w:pPr>
      <w:bookmarkStart w:id="9" w:name="_Toc47976594"/>
      <w:r>
        <w:rPr>
          <w:rFonts w:hint="eastAsia"/>
          <w:color w:val="auto"/>
          <w:highlight w:val="none"/>
        </w:rPr>
        <w:t>联系方式</w:t>
      </w:r>
      <w:bookmarkEnd w:id="9"/>
    </w:p>
    <w:p w14:paraId="317E23C7">
      <w:pPr>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招标人名称：</w:t>
      </w:r>
      <w:r>
        <w:rPr>
          <w:rFonts w:hint="eastAsia" w:ascii="宋体" w:hAnsi="宋体" w:cs="宋体"/>
          <w:b/>
          <w:color w:val="auto"/>
          <w:szCs w:val="21"/>
          <w:highlight w:val="none"/>
          <w:u w:val="single"/>
        </w:rPr>
        <w:t>中国重汽集团济南商用车有限公司</w:t>
      </w:r>
    </w:p>
    <w:p w14:paraId="3399D3BE">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商务联系人</w:t>
      </w:r>
      <w:r>
        <w:rPr>
          <w:rFonts w:hint="eastAsia" w:ascii="宋体" w:hAnsi="Courier New" w:eastAsia="宋体" w:cs="Times New Roman"/>
          <w:b/>
          <w:bCs w:val="0"/>
          <w:color w:val="auto"/>
          <w:kern w:val="2"/>
          <w:sz w:val="21"/>
          <w:highlight w:val="none"/>
          <w:lang w:val="en-US" w:eastAsia="zh-CN" w:bidi="ar-SA"/>
        </w:rPr>
        <w:t>：</w:t>
      </w:r>
      <w:r>
        <w:rPr>
          <w:rFonts w:hint="eastAsia" w:ascii="宋体" w:hAnsi="宋体" w:eastAsia="宋体" w:cs="宋体"/>
          <w:bCs w:val="0"/>
          <w:color w:val="auto"/>
          <w:sz w:val="21"/>
          <w:szCs w:val="21"/>
          <w:highlight w:val="none"/>
          <w:lang w:val="en-US" w:eastAsia="zh-CN"/>
        </w:rPr>
        <w:t>石康</w:t>
      </w:r>
    </w:p>
    <w:p w14:paraId="5A25F5DD">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1AEB0214">
      <w:pPr>
        <w:pStyle w:val="72"/>
        <w:numPr>
          <w:ilvl w:val="0"/>
          <w:numId w:val="0"/>
        </w:numPr>
        <w:ind w:firstLine="422" w:firstLineChars="200"/>
        <w:rPr>
          <w:rFonts w:hint="eastAsia" w:ascii="宋体" w:hAnsi="宋体" w:eastAsia="宋体" w:cs="宋体"/>
          <w:bCs w:val="0"/>
          <w:color w:val="auto"/>
          <w:sz w:val="21"/>
          <w:szCs w:val="21"/>
          <w:highlight w:val="none"/>
          <w:lang w:val="en-US" w:eastAsia="zh-CN"/>
        </w:rPr>
      </w:pPr>
      <w:r>
        <w:rPr>
          <w:rFonts w:hint="eastAsia" w:ascii="宋体" w:hAnsi="宋体" w:eastAsia="宋体" w:cs="宋体"/>
          <w:b/>
          <w:bCs/>
          <w:color w:val="auto"/>
          <w:sz w:val="21"/>
          <w:szCs w:val="21"/>
          <w:highlight w:val="none"/>
        </w:rPr>
        <w:t>邮箱：shikang@sinotruk.com</w:t>
      </w:r>
    </w:p>
    <w:p w14:paraId="02D1DCCF">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技术联系人：</w:t>
      </w:r>
      <w:r>
        <w:rPr>
          <w:rFonts w:hint="eastAsia" w:ascii="宋体" w:hAnsi="宋体" w:eastAsia="宋体" w:cs="宋体"/>
          <w:bCs w:val="0"/>
          <w:color w:val="auto"/>
          <w:sz w:val="21"/>
          <w:szCs w:val="21"/>
          <w:highlight w:val="none"/>
          <w:lang w:val="en-US" w:eastAsia="zh-CN"/>
        </w:rPr>
        <w:t>石康</w:t>
      </w:r>
    </w:p>
    <w:p w14:paraId="33EE91E5">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7C944875">
      <w:pPr>
        <w:pStyle w:val="72"/>
        <w:numPr>
          <w:ilvl w:val="0"/>
          <w:numId w:val="0"/>
        </w:numPr>
        <w:ind w:leftChars="0" w:firstLine="422" w:firstLineChars="200"/>
        <w:rPr>
          <w:color w:val="auto"/>
          <w:highlight w:val="none"/>
        </w:rPr>
      </w:pPr>
      <w:r>
        <w:rPr>
          <w:rFonts w:hint="eastAsia" w:ascii="宋体" w:hAnsi="宋体" w:eastAsia="宋体" w:cs="宋体"/>
          <w:b/>
          <w:bCs/>
          <w:color w:val="auto"/>
          <w:sz w:val="21"/>
          <w:szCs w:val="21"/>
          <w:highlight w:val="none"/>
        </w:rPr>
        <w:t>邮箱：shikang@sinotruk.com</w:t>
      </w:r>
    </w:p>
    <w:p w14:paraId="27687245">
      <w:pPr>
        <w:pStyle w:val="72"/>
        <w:numPr>
          <w:ilvl w:val="0"/>
          <w:numId w:val="0"/>
        </w:numPr>
        <w:ind w:leftChars="0"/>
        <w:rPr>
          <w:color w:val="auto"/>
          <w:highlight w:val="none"/>
        </w:rPr>
      </w:pPr>
    </w:p>
    <w:p w14:paraId="4822C2EE">
      <w:pPr>
        <w:pStyle w:val="71"/>
        <w:rPr>
          <w:color w:val="auto"/>
          <w:highlight w:val="none"/>
        </w:rPr>
      </w:pPr>
      <w:bookmarkStart w:id="10" w:name="_Toc7753"/>
      <w:bookmarkStart w:id="11" w:name="_Toc47976595"/>
      <w:r>
        <w:rPr>
          <w:rFonts w:hint="eastAsia"/>
          <w:color w:val="auto"/>
          <w:highlight w:val="none"/>
        </w:rPr>
        <w:t>第一部分  投标人须知</w:t>
      </w:r>
      <w:bookmarkEnd w:id="10"/>
      <w:bookmarkEnd w:id="11"/>
    </w:p>
    <w:p w14:paraId="7272715D">
      <w:pPr>
        <w:pStyle w:val="72"/>
        <w:numPr>
          <w:ilvl w:val="0"/>
          <w:numId w:val="13"/>
        </w:numPr>
        <w:ind w:left="420"/>
        <w:jc w:val="left"/>
        <w:rPr>
          <w:color w:val="auto"/>
          <w:highlight w:val="none"/>
        </w:rPr>
      </w:pPr>
      <w:bookmarkStart w:id="12" w:name="_Toc47976596"/>
      <w:r>
        <w:rPr>
          <w:rFonts w:hint="eastAsia"/>
          <w:color w:val="auto"/>
          <w:highlight w:val="none"/>
        </w:rPr>
        <w:t>项目介绍</w:t>
      </w:r>
      <w:bookmarkEnd w:id="12"/>
    </w:p>
    <w:p w14:paraId="1A5A711A">
      <w:pPr>
        <w:pStyle w:val="76"/>
        <w:numPr>
          <w:ilvl w:val="0"/>
          <w:numId w:val="14"/>
        </w:numPr>
        <w:ind w:left="425" w:leftChars="0" w:hanging="425" w:firstLineChars="0"/>
        <w:rPr>
          <w:color w:val="auto"/>
          <w:highlight w:val="none"/>
        </w:rPr>
      </w:pPr>
      <w:r>
        <w:rPr>
          <w:rFonts w:hint="eastAsia"/>
          <w:color w:val="auto"/>
          <w:highlight w:val="none"/>
        </w:rPr>
        <w:t>项目名称：济南轻卡制造公司总装现场LED大屏</w:t>
      </w:r>
      <w:r>
        <w:rPr>
          <w:rFonts w:hint="eastAsia"/>
          <w:color w:val="auto"/>
          <w:highlight w:val="none"/>
          <w:lang w:val="en-US" w:eastAsia="zh-CN"/>
        </w:rPr>
        <w:t>项目</w:t>
      </w:r>
    </w:p>
    <w:p w14:paraId="1620EE5C">
      <w:pPr>
        <w:pStyle w:val="76"/>
        <w:numPr>
          <w:ilvl w:val="0"/>
          <w:numId w:val="14"/>
        </w:numPr>
        <w:ind w:left="425" w:leftChars="0" w:hanging="425" w:firstLineChars="0"/>
        <w:rPr>
          <w:color w:val="auto"/>
          <w:highlight w:val="none"/>
        </w:rPr>
      </w:pPr>
      <w:r>
        <w:rPr>
          <w:rFonts w:hint="eastAsia"/>
          <w:color w:val="auto"/>
          <w:highlight w:val="none"/>
        </w:rPr>
        <w:t>项目编号：ZBGL2026020032</w:t>
      </w:r>
    </w:p>
    <w:p w14:paraId="7DA0EB9D">
      <w:pPr>
        <w:pStyle w:val="76"/>
        <w:numPr>
          <w:ilvl w:val="0"/>
          <w:numId w:val="14"/>
        </w:numPr>
        <w:ind w:left="425" w:leftChars="0" w:hanging="425" w:firstLineChars="0"/>
        <w:rPr>
          <w:color w:val="auto"/>
          <w:highlight w:val="none"/>
        </w:rPr>
      </w:pPr>
      <w:r>
        <w:rPr>
          <w:rFonts w:hint="eastAsia"/>
          <w:color w:val="auto"/>
          <w:highlight w:val="none"/>
        </w:rPr>
        <w:t>招标形式：</w:t>
      </w:r>
      <w:bookmarkStart w:id="13" w:name="_Toc47112482"/>
      <w:r>
        <w:rPr>
          <w:rFonts w:hint="eastAsia"/>
          <w:color w:val="auto"/>
          <w:highlight w:val="none"/>
          <w:lang w:val="en-US" w:eastAsia="zh-CN"/>
        </w:rPr>
        <w:t>公开招标</w:t>
      </w:r>
    </w:p>
    <w:p w14:paraId="436E9FE5">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olor w:val="auto"/>
          <w:highlight w:val="none"/>
          <w:lang w:val="en-US" w:eastAsia="zh-CN"/>
        </w:rPr>
        <w:t>项目概况：</w:t>
      </w:r>
      <w:r>
        <w:rPr>
          <w:rFonts w:hint="eastAsia"/>
          <w:color w:val="auto"/>
          <w:highlight w:val="none"/>
        </w:rPr>
        <w:t>济南轻卡制造公司总装现场LED大屏</w:t>
      </w:r>
    </w:p>
    <w:p w14:paraId="6FD52BD5">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招标内容</w:t>
      </w:r>
      <w:r>
        <w:rPr>
          <w:rFonts w:hint="eastAsia" w:ascii="宋体" w:hAnsi="Courier New" w:eastAsia="宋体" w:cs="Times New Roman"/>
          <w:color w:val="auto"/>
          <w:highlight w:val="none"/>
          <w:lang w:val="en-US" w:eastAsia="zh-CN"/>
        </w:rPr>
        <w:t>具体要求详见《技术标书》。</w:t>
      </w:r>
    </w:p>
    <w:p w14:paraId="77D0AB00">
      <w:pPr>
        <w:pStyle w:val="76"/>
        <w:numPr>
          <w:ilvl w:val="0"/>
          <w:numId w:val="14"/>
        </w:numPr>
        <w:ind w:left="425" w:leftChars="0" w:hanging="425" w:firstLineChars="0"/>
        <w:rPr>
          <w:rFonts w:hint="default" w:cs="Times New Roman"/>
          <w:color w:val="auto"/>
          <w:highlight w:val="none"/>
          <w:u w:val="none"/>
          <w:lang w:val="en-US" w:eastAsia="zh-CN"/>
        </w:rPr>
      </w:pPr>
      <w:r>
        <w:rPr>
          <w:rFonts w:hint="eastAsia"/>
          <w:color w:val="auto"/>
          <w:highlight w:val="none"/>
          <w:lang w:val="en-US" w:eastAsia="zh-CN"/>
        </w:rPr>
        <w:t>报价：</w:t>
      </w:r>
      <w:r>
        <w:rPr>
          <w:rFonts w:hint="eastAsia" w:cs="Times New Roman"/>
          <w:b/>
          <w:bCs/>
          <w:color w:val="auto"/>
          <w:highlight w:val="none"/>
          <w:u w:val="none"/>
          <w:lang w:val="en-US" w:eastAsia="zh-CN"/>
        </w:rPr>
        <w:t>报价应包含币种、不含税金额、税率及价税合计金额</w:t>
      </w:r>
    </w:p>
    <w:p w14:paraId="4F96D534">
      <w:pPr>
        <w:pStyle w:val="76"/>
        <w:numPr>
          <w:ilvl w:val="0"/>
          <w:numId w:val="14"/>
        </w:numPr>
        <w:ind w:left="425" w:leftChars="0" w:hanging="425" w:firstLineChars="0"/>
        <w:rPr>
          <w:rFonts w:hint="eastAsia" w:cs="Times New Roman"/>
          <w:color w:val="auto"/>
          <w:highlight w:val="none"/>
          <w:lang w:val="en-US" w:eastAsia="zh-CN"/>
        </w:rPr>
      </w:pPr>
      <w:r>
        <w:rPr>
          <w:rFonts w:hint="eastAsia" w:ascii="宋体" w:hAnsi="Courier New" w:eastAsia="宋体" w:cs="Times New Roman"/>
          <w:color w:val="auto"/>
          <w:highlight w:val="none"/>
          <w:lang w:val="en-US" w:eastAsia="zh-CN"/>
        </w:rPr>
        <w:t>招标人信息：</w:t>
      </w:r>
    </w:p>
    <w:p w14:paraId="04875146">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w:t>
      </w:r>
      <w:r>
        <w:rPr>
          <w:rFonts w:hint="eastAsia" w:ascii="宋体" w:hAnsi="宋体" w:eastAsia="宋体" w:cs="宋体"/>
          <w:color w:val="auto"/>
          <w:sz w:val="24"/>
          <w:szCs w:val="24"/>
          <w:highlight w:val="none"/>
          <w:u w:val="single"/>
          <w:lang w:val="en-US" w:eastAsia="zh-CN"/>
        </w:rPr>
        <w:t>商用车</w:t>
      </w:r>
      <w:r>
        <w:rPr>
          <w:rFonts w:hint="eastAsia" w:ascii="宋体" w:hAnsi="宋体" w:eastAsia="宋体" w:cs="宋体"/>
          <w:color w:val="auto"/>
          <w:sz w:val="24"/>
          <w:szCs w:val="24"/>
          <w:highlight w:val="none"/>
          <w:u w:val="single"/>
        </w:rPr>
        <w:t>有限公司</w:t>
      </w:r>
      <w:r>
        <w:rPr>
          <w:rFonts w:hint="eastAsia" w:ascii="宋体" w:hAnsi="宋体" w:eastAsia="宋体" w:cs="宋体"/>
          <w:bCs/>
          <w:snapToGrid w:val="0"/>
          <w:color w:val="auto"/>
          <w:kern w:val="0"/>
          <w:sz w:val="24"/>
          <w:szCs w:val="24"/>
          <w:highlight w:val="none"/>
        </w:rPr>
        <w:t xml:space="preserve"> </w:t>
      </w:r>
    </w:p>
    <w:p w14:paraId="3298CAD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b w:val="0"/>
          <w:bCs/>
          <w:snapToGrid w:val="0"/>
          <w:color w:val="auto"/>
          <w:kern w:val="0"/>
          <w:sz w:val="24"/>
          <w:szCs w:val="24"/>
          <w:highlight w:val="none"/>
        </w:rPr>
        <w:t>山东省济南市章丘区潘王路东园区十一号路北，济南轻卡制造公司</w:t>
      </w:r>
    </w:p>
    <w:p w14:paraId="2D3B5AC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商务联系人：石康</w:t>
      </w:r>
    </w:p>
    <w:p w14:paraId="59EFE82B">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2831942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4BE834B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技术联系人：</w:t>
      </w:r>
      <w:bookmarkEnd w:id="13"/>
      <w:bookmarkStart w:id="14" w:name="_Toc47976598"/>
      <w:r>
        <w:rPr>
          <w:rFonts w:hint="eastAsia" w:ascii="宋体" w:hAnsi="宋体" w:eastAsia="宋体" w:cs="宋体"/>
          <w:b/>
          <w:snapToGrid w:val="0"/>
          <w:color w:val="auto"/>
          <w:kern w:val="0"/>
          <w:sz w:val="24"/>
          <w:szCs w:val="24"/>
          <w:highlight w:val="none"/>
          <w:lang w:val="en-US" w:eastAsia="zh-CN"/>
        </w:rPr>
        <w:t>石康</w:t>
      </w:r>
    </w:p>
    <w:p w14:paraId="387C534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3D497A7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38F0DD96">
      <w:pPr>
        <w:pStyle w:val="72"/>
        <w:rPr>
          <w:color w:val="auto"/>
          <w:highlight w:val="none"/>
        </w:rPr>
      </w:pPr>
      <w:r>
        <w:rPr>
          <w:rFonts w:hint="eastAsia"/>
          <w:color w:val="auto"/>
          <w:highlight w:val="none"/>
        </w:rPr>
        <w:t>合格的投标人。</w:t>
      </w:r>
      <w:bookmarkEnd w:id="14"/>
    </w:p>
    <w:p w14:paraId="18596022">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27FEEC1B">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300</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5F7B1EB0">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5E5461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6ECA441A">
      <w:pPr>
        <w:pStyle w:val="73"/>
        <w:numPr>
          <w:ilvl w:val="0"/>
          <w:numId w:val="15"/>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67271E37">
      <w:pPr>
        <w:pStyle w:val="73"/>
        <w:numPr>
          <w:ilvl w:val="0"/>
          <w:numId w:val="15"/>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794BEFD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47373DAE">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7C237E8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3F7E374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272B4CE6">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5EFA41F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38929D94">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329AF6A5">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39736E31">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p>
    <w:p w14:paraId="1357DB14">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w:t>
      </w:r>
      <w:r>
        <w:rPr>
          <w:rFonts w:hint="eastAsia"/>
          <w:b w:val="0"/>
          <w:bCs/>
          <w:strike w:val="0"/>
          <w:dstrike w:val="0"/>
          <w:color w:val="auto"/>
          <w:highlight w:val="none"/>
          <w:lang w:eastAsia="zh-CN"/>
        </w:rPr>
        <w:t>，</w:t>
      </w:r>
      <w:r>
        <w:rPr>
          <w:rFonts w:hint="eastAsia"/>
          <w:b w:val="0"/>
          <w:bCs/>
          <w:strike w:val="0"/>
          <w:dstrike w:val="0"/>
          <w:color w:val="auto"/>
          <w:highlight w:val="none"/>
          <w:lang w:val="en-US" w:eastAsia="zh-CN"/>
        </w:rPr>
        <w:t>代理商</w:t>
      </w:r>
      <w:r>
        <w:rPr>
          <w:rFonts w:hint="eastAsia"/>
          <w:b w:val="0"/>
          <w:bCs/>
          <w:strike w:val="0"/>
          <w:dstrike w:val="0"/>
          <w:color w:val="auto"/>
          <w:highlight w:val="none"/>
        </w:rPr>
        <w:t>投标</w:t>
      </w:r>
      <w:r>
        <w:rPr>
          <w:rFonts w:hint="eastAsia"/>
          <w:b w:val="0"/>
          <w:bCs/>
          <w:strike w:val="0"/>
          <w:dstrike w:val="0"/>
          <w:color w:val="auto"/>
          <w:highlight w:val="none"/>
          <w:lang w:eastAsia="zh-CN"/>
        </w:rPr>
        <w:t>；</w:t>
      </w:r>
    </w:p>
    <w:p w14:paraId="104C350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310E4AFE">
      <w:pPr>
        <w:pStyle w:val="72"/>
        <w:rPr>
          <w:rFonts w:hint="eastAsia" w:hAnsi="Courier New" w:cs="Times New Roman"/>
          <w:color w:val="auto"/>
          <w:highlight w:val="none"/>
        </w:rPr>
      </w:pPr>
      <w:r>
        <w:rPr>
          <w:rFonts w:hint="eastAsia" w:hAnsi="Courier New" w:cs="Times New Roman"/>
          <w:color w:val="auto"/>
          <w:highlight w:val="none"/>
        </w:rPr>
        <w:t>招标文件的</w:t>
      </w:r>
      <w:r>
        <w:rPr>
          <w:rFonts w:hint="eastAsia" w:hAnsi="Courier New" w:cs="Times New Roman"/>
          <w:color w:val="auto"/>
          <w:highlight w:val="none"/>
          <w:lang w:val="en-US" w:eastAsia="zh-CN"/>
        </w:rPr>
        <w:t>领取、</w:t>
      </w:r>
      <w:r>
        <w:rPr>
          <w:rFonts w:hint="eastAsia" w:hAnsi="Courier New" w:cs="Times New Roman"/>
          <w:color w:val="auto"/>
          <w:highlight w:val="none"/>
        </w:rPr>
        <w:t>答疑、</w:t>
      </w:r>
      <w:r>
        <w:rPr>
          <w:rFonts w:hint="eastAsia" w:hAnsi="Courier New" w:cs="Times New Roman"/>
          <w:color w:val="auto"/>
          <w:highlight w:val="none"/>
          <w:lang w:val="en-US" w:eastAsia="zh-CN"/>
        </w:rPr>
        <w:t>应标</w:t>
      </w:r>
      <w:r>
        <w:rPr>
          <w:rFonts w:hint="eastAsia" w:hAnsi="Courier New" w:cs="Times New Roman"/>
          <w:color w:val="auto"/>
          <w:highlight w:val="none"/>
        </w:rPr>
        <w:t>及投标报名</w:t>
      </w:r>
    </w:p>
    <w:p w14:paraId="5BCC0DCA">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发标时间：20</w:t>
      </w:r>
      <w:r>
        <w:rPr>
          <w:rFonts w:hint="eastAsia" w:cs="Times New Roman"/>
          <w:color w:val="auto"/>
          <w:highlight w:val="none"/>
          <w:lang w:val="en-US" w:eastAsia="zh-CN"/>
        </w:rPr>
        <w:t>26</w:t>
      </w:r>
      <w:r>
        <w:rPr>
          <w:rFonts w:hint="eastAsia" w:ascii="宋体" w:hAnsi="Courier New" w:eastAsia="宋体" w:cs="Times New Roman"/>
          <w:color w:val="auto"/>
          <w:highlight w:val="none"/>
          <w:lang w:val="en-US" w:eastAsia="zh-CN"/>
        </w:rPr>
        <w:t>年</w:t>
      </w:r>
      <w:r>
        <w:rPr>
          <w:rFonts w:hint="eastAsia" w:cs="Times New Roman"/>
          <w:color w:val="auto"/>
          <w:highlight w:val="none"/>
          <w:lang w:val="en-US" w:eastAsia="zh-CN"/>
        </w:rPr>
        <w:t>3</w:t>
      </w:r>
      <w:r>
        <w:rPr>
          <w:rFonts w:hint="eastAsia" w:ascii="宋体" w:hAnsi="Courier New" w:eastAsia="宋体" w:cs="Times New Roman"/>
          <w:color w:val="auto"/>
          <w:highlight w:val="none"/>
          <w:lang w:val="en-US" w:eastAsia="zh-CN"/>
        </w:rPr>
        <w:t>月</w:t>
      </w:r>
      <w:r>
        <w:rPr>
          <w:rFonts w:hint="eastAsia" w:cs="Times New Roman"/>
          <w:color w:val="auto"/>
          <w:highlight w:val="none"/>
          <w:lang w:val="en-US" w:eastAsia="zh-CN"/>
        </w:rPr>
        <w:t>3</w:t>
      </w:r>
      <w:r>
        <w:rPr>
          <w:rFonts w:hint="eastAsia" w:ascii="宋体" w:hAnsi="Courier New" w:eastAsia="宋体" w:cs="Times New Roman"/>
          <w:color w:val="auto"/>
          <w:highlight w:val="none"/>
          <w:lang w:val="en-US" w:eastAsia="zh-CN"/>
        </w:rPr>
        <w:t>日</w:t>
      </w:r>
    </w:p>
    <w:p w14:paraId="38A4DEAB">
      <w:pPr>
        <w:pStyle w:val="76"/>
        <w:numPr>
          <w:ilvl w:val="0"/>
          <w:numId w:val="16"/>
        </w:numPr>
        <w:jc w:val="both"/>
        <w:rPr>
          <w:color w:val="auto"/>
          <w:highlight w:val="none"/>
        </w:rPr>
      </w:pPr>
      <w:r>
        <w:rPr>
          <w:rFonts w:hint="eastAsia"/>
          <w:color w:val="auto"/>
          <w:highlight w:val="none"/>
        </w:rPr>
        <w:t>招标文件领取方式：线上</w:t>
      </w:r>
    </w:p>
    <w:p w14:paraId="1DD08122">
      <w:pPr>
        <w:pStyle w:val="76"/>
        <w:ind w:firstLine="210" w:firstLineChars="100"/>
        <w:jc w:val="both"/>
        <w:rPr>
          <w:color w:val="auto"/>
          <w:highlight w:val="none"/>
        </w:rPr>
      </w:pPr>
      <w:r>
        <w:rPr>
          <w:rFonts w:hint="eastAsia"/>
          <w:color w:val="auto"/>
          <w:highlight w:val="none"/>
        </w:rPr>
        <w:t>地点：中国重汽e采通平台、中国重汽官网</w:t>
      </w:r>
    </w:p>
    <w:p w14:paraId="673A1DE8">
      <w:pPr>
        <w:pStyle w:val="76"/>
        <w:ind w:firstLine="210" w:firstLineChars="100"/>
        <w:jc w:val="both"/>
        <w:rPr>
          <w:color w:val="auto"/>
          <w:highlight w:val="none"/>
        </w:rPr>
      </w:pPr>
      <w:r>
        <w:rPr>
          <w:rFonts w:hint="eastAsia"/>
          <w:color w:val="auto"/>
          <w:highlight w:val="none"/>
        </w:rPr>
        <w:t>领取截止时间：202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10</w:t>
      </w:r>
      <w:r>
        <w:rPr>
          <w:rFonts w:hint="eastAsia"/>
          <w:color w:val="auto"/>
          <w:highlight w:val="none"/>
        </w:rPr>
        <w:t>日</w:t>
      </w:r>
    </w:p>
    <w:p w14:paraId="27FF209E">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color w:val="auto"/>
          <w:highlight w:val="none"/>
        </w:rPr>
        <w:t>答疑时间：202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10</w:t>
      </w:r>
      <w:r>
        <w:rPr>
          <w:rFonts w:hint="eastAsia"/>
          <w:color w:val="auto"/>
          <w:highlight w:val="none"/>
        </w:rPr>
        <w:t>日</w:t>
      </w:r>
      <w:r>
        <w:rPr>
          <w:rFonts w:hint="eastAsia" w:hAnsi="宋体" w:cs="宋体"/>
          <w:bCs/>
          <w:color w:val="auto"/>
          <w:szCs w:val="21"/>
          <w:highlight w:val="none"/>
        </w:rPr>
        <w:t>12:00:00</w:t>
      </w:r>
      <w:r>
        <w:rPr>
          <w:rFonts w:hint="eastAsia"/>
          <w:color w:val="auto"/>
          <w:highlight w:val="none"/>
        </w:rPr>
        <w:t>前</w:t>
      </w:r>
    </w:p>
    <w:p w14:paraId="43FDC8C8">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提交疑问</w:t>
      </w:r>
      <w:r>
        <w:rPr>
          <w:rFonts w:hint="eastAsia" w:ascii="宋体" w:hAnsi="Courier New" w:eastAsia="宋体" w:cs="Times New Roman"/>
          <w:color w:val="auto"/>
          <w:highlight w:val="none"/>
          <w:lang w:val="en-US" w:eastAsia="zh-CN"/>
        </w:rPr>
        <w:t>方式</w:t>
      </w:r>
      <w:r>
        <w:rPr>
          <w:rFonts w:hint="eastAsia" w:cs="Times New Roman"/>
          <w:color w:val="auto"/>
          <w:highlight w:val="none"/>
          <w:lang w:val="en-US" w:eastAsia="zh-CN"/>
        </w:rPr>
        <w:t>：将答疑问题以word文件格式发送至联系人邮件内，并电话联系工作人员查收，</w:t>
      </w:r>
      <w:r>
        <w:rPr>
          <w:rFonts w:hint="eastAsia" w:cs="Times New Roman"/>
          <w:b/>
          <w:bCs/>
          <w:color w:val="auto"/>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45A21AF7">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领取答疑、澄清和修改文件时间：</w:t>
      </w:r>
      <w:r>
        <w:rPr>
          <w:rFonts w:hint="eastAsia"/>
          <w:color w:val="auto"/>
          <w:highlight w:val="none"/>
        </w:rPr>
        <w:t>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17</w:t>
      </w:r>
      <w:r>
        <w:rPr>
          <w:rFonts w:hint="eastAsia"/>
          <w:color w:val="auto"/>
          <w:highlight w:val="none"/>
        </w:rPr>
        <w:t>日</w:t>
      </w:r>
      <w:r>
        <w:rPr>
          <w:rFonts w:hint="eastAsia" w:hAnsi="宋体" w:cs="宋体"/>
          <w:bCs/>
          <w:color w:val="auto"/>
          <w:szCs w:val="21"/>
          <w:highlight w:val="none"/>
        </w:rPr>
        <w:t>17:00:00</w:t>
      </w:r>
      <w:r>
        <w:rPr>
          <w:rFonts w:hint="eastAsia"/>
          <w:color w:val="auto"/>
          <w:highlight w:val="none"/>
        </w:rPr>
        <w:t>前：</w:t>
      </w:r>
    </w:p>
    <w:p w14:paraId="2DA3EA14">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答疑、澄清和修改文件方式：招标人将以电子邮件的方式将招标文件的答疑澄清文件发送至答疑文件提交时登记的电子邮箱。</w:t>
      </w:r>
    </w:p>
    <w:p w14:paraId="574E4A65">
      <w:pPr>
        <w:pStyle w:val="76"/>
        <w:numPr>
          <w:ilvl w:val="0"/>
          <w:numId w:val="16"/>
        </w:numPr>
        <w:jc w:val="both"/>
        <w:rPr>
          <w:color w:val="auto"/>
          <w:highlight w:val="none"/>
        </w:rPr>
      </w:pPr>
      <w:r>
        <w:rPr>
          <w:rFonts w:hint="eastAsia"/>
          <w:color w:val="auto"/>
          <w:highlight w:val="none"/>
        </w:rPr>
        <w:t>报名方式：</w:t>
      </w:r>
    </w:p>
    <w:p w14:paraId="713AB077">
      <w:pPr>
        <w:pStyle w:val="1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拟投标人根据招标人在中国重汽官网等公开媒体上发布的招标信息，在“中国重汽e采通”平台报名。</w:t>
      </w:r>
      <w:r>
        <w:rPr>
          <w:rFonts w:hint="eastAsia" w:ascii="宋体" w:hAnsi="宋体" w:eastAsia="宋体" w:cs="宋体"/>
          <w:b/>
          <w:bCs/>
          <w:color w:val="auto"/>
          <w:sz w:val="21"/>
          <w:szCs w:val="21"/>
          <w:highlight w:val="none"/>
        </w:rPr>
        <w:t>按照中国重汽e采通“SRM非生产供应商注册手册”（附件15）进行注册</w:t>
      </w:r>
      <w:r>
        <w:rPr>
          <w:rFonts w:hint="eastAsia" w:ascii="宋体" w:hAnsi="宋体" w:eastAsia="宋体" w:cs="宋体"/>
          <w:color w:val="auto"/>
          <w:sz w:val="21"/>
          <w:szCs w:val="21"/>
          <w:highlight w:val="none"/>
        </w:rPr>
        <w:t>，注册完毕后按照</w:t>
      </w:r>
      <w:r>
        <w:rPr>
          <w:rFonts w:hint="eastAsia" w:ascii="宋体" w:hAnsi="宋体" w:eastAsia="宋体" w:cs="宋体"/>
          <w:b/>
          <w:color w:val="auto"/>
          <w:sz w:val="21"/>
          <w:szCs w:val="21"/>
          <w:highlight w:val="none"/>
        </w:rPr>
        <w:t>“SRM系统供应商用户手册（附件16）”，</w:t>
      </w:r>
      <w:r>
        <w:rPr>
          <w:rFonts w:hint="eastAsia" w:ascii="宋体" w:hAnsi="宋体" w:eastAsia="宋体" w:cs="宋体"/>
          <w:color w:val="auto"/>
          <w:sz w:val="21"/>
          <w:szCs w:val="21"/>
          <w:highlight w:val="none"/>
        </w:rPr>
        <w:t>登录</w:t>
      </w:r>
      <w:r>
        <w:rPr>
          <w:rFonts w:hint="eastAsia" w:ascii="宋体" w:hAnsi="宋体" w:eastAsia="宋体" w:cs="宋体"/>
          <w:b/>
          <w:color w:val="auto"/>
          <w:sz w:val="21"/>
          <w:szCs w:val="21"/>
          <w:highlight w:val="none"/>
        </w:rPr>
        <w:t>重汽e采通平台</w:t>
      </w:r>
      <w:r>
        <w:rPr>
          <w:rFonts w:hint="eastAsia" w:ascii="宋体" w:hAnsi="宋体" w:eastAsia="宋体" w:cs="宋体"/>
          <w:color w:val="auto"/>
          <w:sz w:val="21"/>
          <w:szCs w:val="21"/>
          <w:highlight w:val="none"/>
        </w:rPr>
        <w:t>后进入“供应商应标”，选择对应的项目，点击“</w:t>
      </w:r>
      <w:r>
        <w:rPr>
          <w:rFonts w:hint="eastAsia" w:ascii="宋体" w:hAnsi="宋体" w:eastAsia="宋体" w:cs="宋体"/>
          <w:b/>
          <w:bCs/>
          <w:color w:val="auto"/>
          <w:sz w:val="21"/>
          <w:szCs w:val="21"/>
          <w:highlight w:val="none"/>
        </w:rPr>
        <w:t>应标</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后按照招标文件第三部分投标文件组成资格证明文件中的1.1-1.13准备资料并</w:t>
      </w:r>
      <w:r>
        <w:rPr>
          <w:rFonts w:hint="eastAsia" w:ascii="宋体" w:hAnsi="宋体" w:eastAsia="宋体" w:cs="宋体"/>
          <w:color w:val="auto"/>
          <w:sz w:val="21"/>
          <w:szCs w:val="21"/>
          <w:highlight w:val="none"/>
        </w:rPr>
        <w:t>上传，资质审查通过即为报名成功；公示期间请尽快报名。</w:t>
      </w:r>
    </w:p>
    <w:p w14:paraId="1475E33E">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报名时提供的资料不合格的会在系统被驳回，请及时查阅审核状态并及时补齐资料，不能按时补充资料的视为自动放弃本次投标。</w:t>
      </w:r>
    </w:p>
    <w:p w14:paraId="0683625A">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请投标人自行确认中国重汽e采通系统中供应商信息完整、准确，因供应商信息不全或错误导致的报名不成功，由投标人自行承担。</w:t>
      </w:r>
    </w:p>
    <w:p w14:paraId="6BE0C20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112686AB">
      <w:pPr>
        <w:pStyle w:val="76"/>
        <w:numPr>
          <w:ilvl w:val="0"/>
          <w:numId w:val="16"/>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35412391">
      <w:pPr>
        <w:pStyle w:val="116"/>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color w:val="auto"/>
          <w:sz w:val="21"/>
          <w:szCs w:val="21"/>
          <w:highlight w:val="none"/>
        </w:rPr>
      </w:pPr>
      <w:r>
        <w:rPr>
          <w:rFonts w:hint="eastAsia" w:ascii="宋体" w:hAnsi="宋体" w:eastAsia="宋体" w:cs="宋体"/>
          <w:bCs/>
          <w:color w:val="auto"/>
          <w:sz w:val="21"/>
          <w:szCs w:val="21"/>
          <w:highlight w:val="none"/>
        </w:rPr>
        <w:t>202</w:t>
      </w:r>
      <w:r>
        <w:rPr>
          <w:rFonts w:hint="eastAsia"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年</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月</w:t>
      </w:r>
      <w:r>
        <w:rPr>
          <w:rFonts w:hint="eastAsia" w:cs="宋体"/>
          <w:bCs/>
          <w:color w:val="auto"/>
          <w:sz w:val="21"/>
          <w:szCs w:val="21"/>
          <w:highlight w:val="none"/>
          <w:lang w:val="en-US" w:eastAsia="zh-CN"/>
        </w:rPr>
        <w:t>10</w:t>
      </w:r>
      <w:r>
        <w:rPr>
          <w:rFonts w:hint="eastAsia" w:ascii="宋体" w:hAnsi="宋体" w:eastAsia="宋体" w:cs="宋体"/>
          <w:bCs/>
          <w:color w:val="auto"/>
          <w:sz w:val="21"/>
          <w:szCs w:val="21"/>
          <w:highlight w:val="none"/>
        </w:rPr>
        <w:t>日</w:t>
      </w:r>
      <w:r>
        <w:rPr>
          <w:rFonts w:hint="eastAsia" w:eastAsia="宋体" w:cs="宋体"/>
          <w:color w:val="auto"/>
          <w:sz w:val="21"/>
          <w:szCs w:val="21"/>
          <w:highlight w:val="none"/>
          <w:shd w:val="clear"/>
        </w:rPr>
        <w:t>17时00分00秒</w:t>
      </w:r>
    </w:p>
    <w:p w14:paraId="5C6A578A">
      <w:pPr>
        <w:pStyle w:val="76"/>
        <w:numPr>
          <w:ilvl w:val="0"/>
          <w:numId w:val="0"/>
        </w:numPr>
        <w:ind w:leftChars="0"/>
        <w:jc w:val="both"/>
        <w:rPr>
          <w:rFonts w:hint="eastAsia" w:ascii="宋体" w:hAnsi="宋体" w:eastAsia="宋体" w:cs="宋体"/>
          <w:color w:val="auto"/>
          <w:sz w:val="21"/>
          <w:szCs w:val="21"/>
          <w:highlight w:val="none"/>
          <w:lang w:val="en-US" w:eastAsia="zh-CN"/>
        </w:rPr>
      </w:pPr>
      <w:r>
        <w:rPr>
          <w:rFonts w:hint="eastAsia" w:eastAsia="宋体" w:cs="宋体"/>
          <w:b/>
          <w:bCs/>
          <w:color w:val="auto"/>
          <w:sz w:val="21"/>
          <w:szCs w:val="21"/>
          <w:highlight w:val="none"/>
        </w:rPr>
        <w:t>注：请务必在应标截止时间前完成注册及应标操作，注册审核需2-4日，应标截止时间精确到秒，逾期将无法应标。请自行掌握时间，避免无法应标。</w:t>
      </w:r>
    </w:p>
    <w:p w14:paraId="6905E08D">
      <w:pPr>
        <w:pStyle w:val="72"/>
        <w:rPr>
          <w:rFonts w:hint="eastAsia" w:ascii="宋体" w:hAnsi="Courier New" w:eastAsia="宋体" w:cs="Times New Roman"/>
          <w:color w:val="auto"/>
          <w:highlight w:val="none"/>
          <w:lang w:val="en-US" w:eastAsia="zh-CN"/>
        </w:rPr>
      </w:pPr>
      <w:r>
        <w:rPr>
          <w:rFonts w:hint="eastAsia" w:hAnsi="Courier New" w:cs="Times New Roman"/>
          <w:color w:val="auto"/>
          <w:highlight w:val="none"/>
        </w:rPr>
        <w:t>投标文件</w:t>
      </w:r>
      <w:r>
        <w:rPr>
          <w:rFonts w:hint="eastAsia" w:cs="Times New Roman"/>
          <w:color w:val="auto"/>
          <w:highlight w:val="none"/>
          <w:lang w:val="en-US" w:eastAsia="zh-CN"/>
        </w:rPr>
        <w:t>编制</w:t>
      </w:r>
    </w:p>
    <w:p w14:paraId="51AE267C">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color w:val="auto"/>
          <w:highlight w:val="none"/>
        </w:rPr>
      </w:pPr>
      <w:r>
        <w:rPr>
          <w:rFonts w:hint="eastAsia"/>
          <w:b w:val="0"/>
          <w:color w:val="auto"/>
          <w:highlight w:val="none"/>
          <w:lang w:val="en-US" w:eastAsia="zh-CN"/>
        </w:rPr>
        <w:t>投标文件的组成</w:t>
      </w:r>
    </w:p>
    <w:p w14:paraId="5DEEBB9D">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color w:val="auto"/>
          <w:highlight w:val="none"/>
          <w:u w:val="single"/>
          <w:lang w:val="en-US" w:eastAsia="zh-CN"/>
        </w:rPr>
        <w:t xml:space="preserve"> </w:t>
      </w:r>
      <w:r>
        <w:rPr>
          <w:rFonts w:hint="eastAsia" w:cs="Times New Roman"/>
          <w:b w:val="0"/>
          <w:bCs/>
          <w:color w:val="auto"/>
          <w:highlight w:val="none"/>
          <w:u w:val="single"/>
          <w:lang w:val="en-US" w:eastAsia="zh-CN"/>
        </w:rPr>
        <w:t>3</w:t>
      </w:r>
      <w:r>
        <w:rPr>
          <w:rFonts w:hint="eastAsia" w:ascii="宋体" w:hAnsi="Courier New" w:eastAsia="宋体" w:cs="Times New Roman"/>
          <w:b w:val="0"/>
          <w:bCs/>
          <w:color w:val="auto"/>
          <w:highlight w:val="none"/>
          <w:u w:val="single"/>
          <w:lang w:val="en-US" w:eastAsia="zh-CN"/>
        </w:rPr>
        <w:t xml:space="preserve"> </w:t>
      </w:r>
      <w:r>
        <w:rPr>
          <w:rFonts w:hint="eastAsia" w:ascii="宋体" w:hAnsi="Courier New" w:eastAsia="宋体" w:cs="Times New Roman"/>
          <w:b w:val="0"/>
          <w:bCs/>
          <w:color w:val="auto"/>
          <w:highlight w:val="none"/>
          <w:lang w:val="en-US" w:eastAsia="zh-CN"/>
        </w:rPr>
        <w:t>个文件。</w:t>
      </w:r>
    </w:p>
    <w:p w14:paraId="538BC500">
      <w:pPr>
        <w:pStyle w:val="74"/>
        <w:numPr>
          <w:ilvl w:val="0"/>
          <w:numId w:val="18"/>
        </w:numPr>
        <w:ind w:left="425" w:leftChars="0" w:hanging="425" w:firstLineChars="0"/>
        <w:rPr>
          <w:b w:val="0"/>
          <w:bCs/>
          <w:color w:val="auto"/>
          <w:highlight w:val="none"/>
        </w:rPr>
      </w:pPr>
      <w:r>
        <w:rPr>
          <w:rFonts w:hint="eastAsia"/>
          <w:b w:val="0"/>
          <w:bCs/>
          <w:color w:val="auto"/>
          <w:highlight w:val="none"/>
        </w:rPr>
        <w:t>资质文件：</w:t>
      </w:r>
    </w:p>
    <w:p w14:paraId="03E14A59">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法定代表人身份证明；</w:t>
      </w:r>
    </w:p>
    <w:p w14:paraId="5E1D1778">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法定代表人授权委托书（授权人需带身份证原件）；</w:t>
      </w:r>
    </w:p>
    <w:p w14:paraId="2C86B848">
      <w:pPr>
        <w:pStyle w:val="75"/>
        <w:numPr>
          <w:ilvl w:val="0"/>
          <w:numId w:val="19"/>
        </w:numPr>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w:t>
      </w:r>
      <w:r>
        <w:rPr>
          <w:rFonts w:hint="eastAsia"/>
          <w:b w:val="0"/>
          <w:bCs/>
          <w:color w:val="auto"/>
          <w:highlight w:val="none"/>
        </w:rPr>
        <w:t>；</w:t>
      </w:r>
    </w:p>
    <w:p w14:paraId="4757F524">
      <w:pPr>
        <w:pStyle w:val="75"/>
        <w:numPr>
          <w:ilvl w:val="0"/>
          <w:numId w:val="19"/>
        </w:numPr>
        <w:ind w:left="425" w:leftChars="0" w:hanging="425" w:firstLineChars="0"/>
        <w:rPr>
          <w:b w:val="0"/>
          <w:bCs/>
          <w:color w:val="auto"/>
          <w:highlight w:val="none"/>
        </w:rPr>
      </w:pPr>
      <w:r>
        <w:rPr>
          <w:rFonts w:hint="eastAsia"/>
          <w:b w:val="0"/>
          <w:bCs/>
          <w:color w:val="auto"/>
          <w:highlight w:val="none"/>
        </w:rPr>
        <w:t>投标函（附件1）；</w:t>
      </w:r>
    </w:p>
    <w:p w14:paraId="7B985E1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投标人应具有相应生产证明，若</w:t>
      </w:r>
      <w:r>
        <w:rPr>
          <w:rFonts w:hint="eastAsia"/>
          <w:b w:val="0"/>
          <w:bCs/>
          <w:color w:val="auto"/>
          <w:highlight w:val="none"/>
          <w:lang w:val="en-US" w:eastAsia="zh-CN"/>
        </w:rPr>
        <w:t>非原厂商</w:t>
      </w:r>
      <w:r>
        <w:rPr>
          <w:rFonts w:hint="eastAsia"/>
          <w:b w:val="0"/>
          <w:bCs/>
          <w:color w:val="auto"/>
          <w:highlight w:val="none"/>
        </w:rPr>
        <w:t>需提供</w:t>
      </w:r>
      <w:r>
        <w:rPr>
          <w:rFonts w:hint="eastAsia"/>
          <w:b w:val="0"/>
          <w:bCs/>
          <w:color w:val="auto"/>
          <w:highlight w:val="none"/>
          <w:lang w:val="en-US" w:eastAsia="zh-CN"/>
        </w:rPr>
        <w:t>原厂商</w:t>
      </w:r>
      <w:r>
        <w:rPr>
          <w:rFonts w:hint="eastAsia"/>
          <w:b w:val="0"/>
          <w:bCs/>
          <w:color w:val="auto"/>
          <w:highlight w:val="none"/>
        </w:rPr>
        <w:t>授权书（原件或加盖投标单位公章的彩色打印件）；</w:t>
      </w:r>
    </w:p>
    <w:p w14:paraId="4A1E98FE">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证明投标人满足投标资料表中列出的业绩要求的文件</w:t>
      </w:r>
      <w:r>
        <w:rPr>
          <w:rFonts w:hint="eastAsia"/>
          <w:b w:val="0"/>
          <w:bCs/>
          <w:color w:val="auto"/>
          <w:highlight w:val="none"/>
          <w:lang w:eastAsia="zh-CN"/>
        </w:rPr>
        <w:t>；</w:t>
      </w:r>
    </w:p>
    <w:p w14:paraId="484E526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hAnsi="Courier New"/>
          <w:b w:val="0"/>
          <w:bCs/>
          <w:color w:val="auto"/>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9EE3FB">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企业最近半年完税证明、信用证明材料（征信报告）；</w:t>
      </w:r>
    </w:p>
    <w:p w14:paraId="6A296DC9">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年度纳税信用评价信息（可从电子税务局查询截图，需加盖公章）；</w:t>
      </w:r>
    </w:p>
    <w:p w14:paraId="67656723">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企业对外担保说明（写明贵单位对外有无对外担保和质押业务，需加盖公章）。</w:t>
      </w:r>
    </w:p>
    <w:p w14:paraId="4EB46B47">
      <w:pPr>
        <w:pStyle w:val="75"/>
        <w:numPr>
          <w:ilvl w:val="0"/>
          <w:numId w:val="19"/>
        </w:numPr>
        <w:ind w:left="425" w:leftChars="0" w:hanging="425" w:firstLineChars="0"/>
        <w:rPr>
          <w:b w:val="0"/>
          <w:bCs/>
          <w:color w:val="auto"/>
          <w:highlight w:val="none"/>
        </w:rPr>
      </w:pPr>
      <w:r>
        <w:rPr>
          <w:rFonts w:hint="eastAsia"/>
          <w:b w:val="0"/>
          <w:bCs/>
          <w:color w:val="auto"/>
          <w:highlight w:val="none"/>
        </w:rPr>
        <w:t>信用中国截图或国家企业信用信息公示系统截图；</w:t>
      </w:r>
    </w:p>
    <w:p w14:paraId="589562DB">
      <w:pPr>
        <w:pStyle w:val="75"/>
        <w:numPr>
          <w:ilvl w:val="0"/>
          <w:numId w:val="19"/>
        </w:numPr>
        <w:ind w:left="425" w:leftChars="0" w:hanging="425" w:firstLineChars="0"/>
        <w:rPr>
          <w:b w:val="0"/>
          <w:bCs/>
          <w:color w:val="auto"/>
          <w:highlight w:val="none"/>
        </w:rPr>
      </w:pPr>
      <w:r>
        <w:rPr>
          <w:rFonts w:hint="eastAsia"/>
          <w:b w:val="0"/>
          <w:bCs/>
          <w:color w:val="auto"/>
          <w:highlight w:val="none"/>
        </w:rPr>
        <w:t>招标文件中要求的其它资格证明文件。</w:t>
      </w:r>
    </w:p>
    <w:p w14:paraId="523BF604">
      <w:pPr>
        <w:pStyle w:val="75"/>
        <w:numPr>
          <w:ilvl w:val="0"/>
          <w:numId w:val="19"/>
        </w:numPr>
        <w:ind w:left="425" w:leftChars="0" w:hanging="425" w:firstLineChars="0"/>
        <w:rPr>
          <w:b w:val="0"/>
          <w:bCs/>
          <w:color w:val="auto"/>
          <w:highlight w:val="none"/>
        </w:rPr>
      </w:pPr>
      <w:r>
        <w:rPr>
          <w:rFonts w:hint="eastAsia"/>
          <w:b w:val="0"/>
          <w:bCs/>
          <w:color w:val="auto"/>
          <w:highlight w:val="none"/>
        </w:rPr>
        <w:t>投标保证金缴纳凭证，同时正文描述付款账号、户名、开户行名称、开户行行号、保证金金额。</w:t>
      </w:r>
    </w:p>
    <w:p w14:paraId="00D8E80A">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b w:val="0"/>
          <w:bCs/>
          <w:color w:val="auto"/>
          <w:highlight w:val="none"/>
        </w:rPr>
      </w:pPr>
      <w:r>
        <w:rPr>
          <w:rFonts w:hint="eastAsia"/>
          <w:b w:val="0"/>
          <w:bCs/>
          <w:color w:val="auto"/>
          <w:highlight w:val="none"/>
        </w:rPr>
        <w:t>对于投标人资质审核不通过的，招标人有权拒绝其投标。</w:t>
      </w:r>
    </w:p>
    <w:p w14:paraId="0CD31C40">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技术标：</w:t>
      </w:r>
    </w:p>
    <w:p w14:paraId="22744D5A">
      <w:pPr>
        <w:pStyle w:val="75"/>
        <w:numPr>
          <w:ilvl w:val="0"/>
          <w:numId w:val="21"/>
        </w:numPr>
        <w:ind w:left="425" w:leftChars="0" w:hanging="425" w:firstLineChars="0"/>
        <w:rPr>
          <w:b w:val="0"/>
          <w:bCs/>
          <w:color w:val="auto"/>
          <w:highlight w:val="none"/>
        </w:rPr>
      </w:pPr>
      <w:r>
        <w:rPr>
          <w:rFonts w:hint="eastAsia"/>
          <w:b w:val="0"/>
          <w:bCs/>
          <w:color w:val="auto"/>
          <w:highlight w:val="none"/>
        </w:rPr>
        <w:t>技术配置对比表。</w:t>
      </w:r>
    </w:p>
    <w:p w14:paraId="07021B87">
      <w:pPr>
        <w:pStyle w:val="75"/>
        <w:numPr>
          <w:ilvl w:val="0"/>
          <w:numId w:val="21"/>
        </w:numPr>
        <w:ind w:left="425" w:leftChars="0" w:hanging="425" w:firstLineChars="0"/>
        <w:rPr>
          <w:rFonts w:hint="eastAsia" w:ascii="宋体" w:eastAsia="宋体" w:cs="Times New Roman"/>
          <w:b w:val="0"/>
          <w:bCs/>
          <w:color w:val="auto"/>
          <w:highlight w:val="none"/>
        </w:rPr>
      </w:pPr>
      <w:r>
        <w:rPr>
          <w:rFonts w:hint="eastAsia"/>
          <w:b w:val="0"/>
          <w:bCs/>
          <w:color w:val="auto"/>
          <w:highlight w:val="none"/>
        </w:rPr>
        <w:t>技术规格偏</w:t>
      </w:r>
      <w:r>
        <w:rPr>
          <w:rFonts w:hint="eastAsia" w:ascii="宋体" w:eastAsia="宋体" w:cs="Times New Roman"/>
          <w:b w:val="0"/>
          <w:bCs/>
          <w:color w:val="auto"/>
          <w:highlight w:val="none"/>
        </w:rPr>
        <w:t>离表（附件5-1），必须先进行两列要求一一对照，不允许直接写无偏离；</w:t>
      </w:r>
    </w:p>
    <w:p w14:paraId="3F881C3A">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设备配置明细表（附件5-2），列明项目设备分项配置规格型号、品牌等信息，非标机械部件提供单件图纸（要求分项明细与附表9-1完全对应），但注意：此表在技术标书中，禁止出现任何分项价格及项目总价；</w:t>
      </w:r>
    </w:p>
    <w:p w14:paraId="44BEF772">
      <w:pPr>
        <w:pStyle w:val="75"/>
        <w:numPr>
          <w:ilvl w:val="0"/>
          <w:numId w:val="21"/>
        </w:numPr>
        <w:ind w:left="425" w:leftChars="0" w:hanging="425" w:firstLineChars="0"/>
        <w:rPr>
          <w:b w:val="0"/>
          <w:bCs/>
          <w:color w:val="auto"/>
          <w:highlight w:val="none"/>
        </w:rPr>
      </w:pPr>
      <w:r>
        <w:rPr>
          <w:rFonts w:hint="eastAsia"/>
          <w:b w:val="0"/>
          <w:bCs/>
          <w:color w:val="auto"/>
          <w:highlight w:val="none"/>
        </w:rPr>
        <w:t>技术性能、参数的描述；</w:t>
      </w:r>
      <w:r>
        <w:rPr>
          <w:b w:val="0"/>
          <w:bCs/>
          <w:color w:val="auto"/>
          <w:highlight w:val="none"/>
        </w:rPr>
        <w:t xml:space="preserve"> </w:t>
      </w:r>
    </w:p>
    <w:p w14:paraId="40399F9E">
      <w:pPr>
        <w:pStyle w:val="75"/>
        <w:numPr>
          <w:ilvl w:val="0"/>
          <w:numId w:val="21"/>
        </w:numPr>
        <w:ind w:left="425" w:leftChars="0" w:hanging="425" w:firstLineChars="0"/>
        <w:rPr>
          <w:b w:val="0"/>
          <w:bCs/>
          <w:color w:val="auto"/>
          <w:highlight w:val="none"/>
        </w:rPr>
      </w:pPr>
      <w:r>
        <w:rPr>
          <w:rFonts w:hint="eastAsia"/>
          <w:b w:val="0"/>
          <w:bCs/>
          <w:color w:val="auto"/>
          <w:highlight w:val="none"/>
        </w:rPr>
        <w:t>备品备件工具材料明细表；</w:t>
      </w:r>
      <w:r>
        <w:rPr>
          <w:b w:val="0"/>
          <w:bCs/>
          <w:color w:val="auto"/>
          <w:highlight w:val="none"/>
        </w:rPr>
        <w:t xml:space="preserve"> </w:t>
      </w:r>
    </w:p>
    <w:p w14:paraId="468F9CD9">
      <w:pPr>
        <w:pStyle w:val="75"/>
        <w:numPr>
          <w:ilvl w:val="0"/>
          <w:numId w:val="21"/>
        </w:numPr>
        <w:ind w:left="425" w:leftChars="0" w:hanging="425" w:firstLineChars="0"/>
        <w:rPr>
          <w:b w:val="0"/>
          <w:bCs/>
          <w:color w:val="auto"/>
          <w:highlight w:val="none"/>
        </w:rPr>
      </w:pPr>
      <w:r>
        <w:rPr>
          <w:rFonts w:hint="eastAsia" w:ascii="宋体" w:hAnsi="宋体" w:eastAsia="宋体" w:cs="宋体"/>
          <w:color w:val="auto"/>
          <w:sz w:val="21"/>
          <w:szCs w:val="21"/>
          <w:highlight w:val="none"/>
        </w:rPr>
        <w:t>产品的技术服务和售后服务内容及措施</w:t>
      </w:r>
      <w:r>
        <w:rPr>
          <w:rFonts w:hint="eastAsia" w:ascii="宋体" w:hAnsi="宋体" w:eastAsia="宋体" w:cs="宋体"/>
          <w:color w:val="auto"/>
          <w:sz w:val="21"/>
          <w:szCs w:val="21"/>
          <w:highlight w:val="none"/>
          <w:lang w:val="en-US" w:eastAsia="zh-CN"/>
        </w:rPr>
        <w:t>;</w:t>
      </w:r>
    </w:p>
    <w:p w14:paraId="444FA5A4">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商务标：</w:t>
      </w:r>
    </w:p>
    <w:p w14:paraId="1113BBAE">
      <w:pPr>
        <w:pStyle w:val="75"/>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b w:val="0"/>
          <w:bCs/>
          <w:color w:val="auto"/>
          <w:highlight w:val="none"/>
        </w:rPr>
      </w:pPr>
      <w:r>
        <w:rPr>
          <w:rFonts w:hint="eastAsia"/>
          <w:b w:val="0"/>
          <w:bCs/>
          <w:color w:val="auto"/>
          <w:highlight w:val="none"/>
          <w:lang w:val="en-US" w:eastAsia="zh-CN"/>
        </w:rPr>
        <w:t>开标一览表（附件8）</w:t>
      </w:r>
    </w:p>
    <w:p w14:paraId="16B01CB2">
      <w:pPr>
        <w:pStyle w:val="75"/>
        <w:numPr>
          <w:ilvl w:val="0"/>
          <w:numId w:val="22"/>
        </w:numPr>
        <w:ind w:left="425" w:leftChars="0" w:hanging="425" w:firstLineChars="0"/>
        <w:rPr>
          <w:b w:val="0"/>
          <w:bCs/>
          <w:color w:val="auto"/>
          <w:highlight w:val="none"/>
        </w:rPr>
      </w:pPr>
      <w:r>
        <w:rPr>
          <w:rFonts w:hint="eastAsia"/>
          <w:b w:val="0"/>
          <w:bCs/>
          <w:color w:val="auto"/>
          <w:highlight w:val="none"/>
        </w:rPr>
        <w:t>投标函（附件</w:t>
      </w:r>
      <w:r>
        <w:rPr>
          <w:rFonts w:hint="eastAsia"/>
          <w:b w:val="0"/>
          <w:bCs/>
          <w:color w:val="auto"/>
          <w:sz w:val="21"/>
          <w:szCs w:val="21"/>
          <w:highlight w:val="none"/>
          <w:lang w:val="en-US" w:eastAsia="zh-CN"/>
        </w:rPr>
        <w:t>1</w:t>
      </w:r>
      <w:r>
        <w:rPr>
          <w:rFonts w:hint="eastAsia"/>
          <w:b w:val="0"/>
          <w:bCs/>
          <w:color w:val="auto"/>
          <w:highlight w:val="none"/>
        </w:rPr>
        <w:t>）;</w:t>
      </w:r>
    </w:p>
    <w:p w14:paraId="5BC896EE">
      <w:pPr>
        <w:pStyle w:val="75"/>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投标报价明细表（附件9-1至9-5）【分项报价中需明确：规格型号、材质、重量、数量、品牌、价格等信息，注明是否包含加工费等其他费用】；</w:t>
      </w:r>
    </w:p>
    <w:p w14:paraId="17A3B897">
      <w:pPr>
        <w:pStyle w:val="75"/>
        <w:numPr>
          <w:ilvl w:val="0"/>
          <w:numId w:val="22"/>
        </w:numPr>
        <w:ind w:left="425" w:leftChars="0" w:hanging="425" w:firstLineChars="0"/>
        <w:rPr>
          <w:b w:val="0"/>
          <w:bCs/>
          <w:color w:val="auto"/>
          <w:highlight w:val="none"/>
        </w:rPr>
      </w:pPr>
      <w:r>
        <w:rPr>
          <w:rFonts w:hint="eastAsia"/>
          <w:b w:val="0"/>
          <w:bCs/>
          <w:color w:val="auto"/>
          <w:highlight w:val="none"/>
        </w:rPr>
        <w:t>商务条款偏离表；</w:t>
      </w:r>
    </w:p>
    <w:p w14:paraId="47E906BD">
      <w:pPr>
        <w:pStyle w:val="75"/>
        <w:numPr>
          <w:ilvl w:val="0"/>
          <w:numId w:val="22"/>
        </w:numPr>
        <w:ind w:left="425" w:leftChars="0" w:hanging="425" w:firstLineChars="0"/>
        <w:rPr>
          <w:rFonts w:hint="eastAsia" w:ascii="宋体" w:hAnsi="Courier New" w:eastAsia="宋体" w:cs="Times New Roman"/>
          <w:b w:val="0"/>
          <w:bCs/>
          <w:color w:val="auto"/>
          <w:highlight w:val="none"/>
          <w:lang w:val="en-US" w:eastAsia="zh-CN"/>
        </w:rPr>
      </w:pPr>
      <w:r>
        <w:rPr>
          <w:rFonts w:hint="eastAsia"/>
          <w:b w:val="0"/>
          <w:bCs/>
          <w:color w:val="auto"/>
          <w:highlight w:val="none"/>
        </w:rPr>
        <w:t>备配件目录价格及折扣报价表</w:t>
      </w:r>
    </w:p>
    <w:p w14:paraId="6097A095">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商务报价注意内容：</w:t>
      </w:r>
      <w:r>
        <w:rPr>
          <w:rFonts w:hint="eastAsia" w:cs="Times New Roman"/>
          <w:b w:val="0"/>
          <w:bCs/>
          <w:color w:val="auto"/>
          <w:highlight w:val="none"/>
        </w:rPr>
        <w:t>最高投标限价（招标控制价）：人民币</w:t>
      </w:r>
      <w:r>
        <w:rPr>
          <w:rFonts w:hint="eastAsia" w:cs="Times New Roman"/>
          <w:b w:val="0"/>
          <w:bCs/>
          <w:color w:val="auto"/>
          <w:highlight w:val="none"/>
          <w:u w:val="single"/>
          <w:lang w:val="en-US" w:eastAsia="zh-CN"/>
        </w:rPr>
        <w:t xml:space="preserve">  16.548800  </w:t>
      </w:r>
      <w:r>
        <w:rPr>
          <w:rFonts w:hint="eastAsia" w:cs="Times New Roman"/>
          <w:b w:val="0"/>
          <w:bCs/>
          <w:color w:val="auto"/>
          <w:highlight w:val="none"/>
        </w:rPr>
        <w:t>万元（含</w:t>
      </w:r>
      <w:r>
        <w:rPr>
          <w:rFonts w:hint="eastAsia" w:cs="Times New Roman"/>
          <w:b w:val="0"/>
          <w:bCs/>
          <w:color w:val="auto"/>
          <w:highlight w:val="none"/>
          <w:u w:val="single"/>
          <w:lang w:val="en-US" w:eastAsia="zh-CN"/>
        </w:rPr>
        <w:t xml:space="preserve">  13 </w:t>
      </w:r>
      <w:r>
        <w:rPr>
          <w:rFonts w:hint="eastAsia" w:cs="Times New Roman"/>
          <w:b w:val="0"/>
          <w:bCs/>
          <w:color w:val="auto"/>
          <w:highlight w:val="none"/>
        </w:rPr>
        <w:t>%增值税），超过投标限价无法投标。</w:t>
      </w:r>
    </w:p>
    <w:p w14:paraId="21E8EB73">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cs="Times New Roman"/>
          <w:b w:val="0"/>
          <w:color w:val="auto"/>
          <w:highlight w:val="none"/>
          <w:lang w:val="en-US" w:eastAsia="zh-CN"/>
        </w:rPr>
      </w:pPr>
      <w:r>
        <w:rPr>
          <w:rFonts w:hint="eastAsia" w:cs="Times New Roman"/>
          <w:b w:val="0"/>
          <w:color w:val="auto"/>
          <w:highlight w:val="none"/>
          <w:lang w:val="en-US" w:eastAsia="zh-CN"/>
        </w:rPr>
        <w:t>投标文件的投递</w:t>
      </w:r>
    </w:p>
    <w:p w14:paraId="5691CB43">
      <w:pPr>
        <w:pStyle w:val="75"/>
        <w:numPr>
          <w:ilvl w:val="0"/>
          <w:numId w:val="23"/>
        </w:numPr>
        <w:rPr>
          <w:bCs/>
          <w:color w:val="auto"/>
          <w:highlight w:val="none"/>
        </w:rPr>
      </w:pPr>
      <w:r>
        <w:rPr>
          <w:rFonts w:hint="eastAsia"/>
          <w:bCs/>
          <w:color w:val="auto"/>
          <w:highlight w:val="none"/>
        </w:rPr>
        <w:t>投标方式：</w:t>
      </w:r>
    </w:p>
    <w:p w14:paraId="5A0AEF2E">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color w:val="auto"/>
          <w:sz w:val="21"/>
          <w:szCs w:val="21"/>
          <w:highlight w:val="none"/>
        </w:rPr>
      </w:pPr>
      <w:r>
        <w:rPr>
          <w:rFonts w:hint="eastAsia" w:eastAsia="宋体" w:cs="宋体"/>
          <w:b/>
          <w:color w:val="auto"/>
          <w:sz w:val="21"/>
          <w:szCs w:val="21"/>
          <w:highlight w:val="none"/>
        </w:rPr>
        <w:t>在中国重汽e采通平台应标成功后，进入“供应商投标”环节，投递盖章扫描版电子标书（包含资质标书、技术标书、商务标书），</w:t>
      </w:r>
      <w:r>
        <w:rPr>
          <w:rFonts w:ascii="宋体" w:hAnsi="宋体" w:eastAsia="宋体" w:cs="宋体"/>
          <w:color w:val="auto"/>
          <w:sz w:val="21"/>
          <w:szCs w:val="21"/>
          <w:highlight w:val="none"/>
        </w:rPr>
        <w:t>若逾期未</w:t>
      </w:r>
      <w:r>
        <w:rPr>
          <w:rFonts w:hint="eastAsia" w:ascii="宋体" w:hAnsi="宋体" w:eastAsia="宋体" w:cs="宋体"/>
          <w:color w:val="auto"/>
          <w:sz w:val="21"/>
          <w:szCs w:val="21"/>
          <w:highlight w:val="none"/>
        </w:rPr>
        <w:t>在中国</w:t>
      </w:r>
      <w:r>
        <w:rPr>
          <w:rFonts w:ascii="宋体" w:hAnsi="宋体" w:eastAsia="宋体" w:cs="宋体"/>
          <w:color w:val="auto"/>
          <w:sz w:val="21"/>
          <w:szCs w:val="21"/>
          <w:highlight w:val="none"/>
        </w:rPr>
        <w:t>重汽e采通</w:t>
      </w:r>
      <w:r>
        <w:rPr>
          <w:rFonts w:hint="eastAsia" w:ascii="宋体" w:hAnsi="宋体" w:eastAsia="宋体" w:cs="宋体"/>
          <w:color w:val="auto"/>
          <w:sz w:val="21"/>
          <w:szCs w:val="21"/>
          <w:highlight w:val="none"/>
        </w:rPr>
        <w:t>平台</w:t>
      </w:r>
      <w:r>
        <w:rPr>
          <w:rFonts w:ascii="宋体" w:hAnsi="宋体" w:eastAsia="宋体" w:cs="宋体"/>
          <w:color w:val="auto"/>
          <w:sz w:val="21"/>
          <w:szCs w:val="21"/>
          <w:highlight w:val="none"/>
        </w:rPr>
        <w:t>上传</w:t>
      </w:r>
      <w:r>
        <w:rPr>
          <w:rFonts w:hint="eastAsia" w:ascii="宋体" w:hAnsi="宋体" w:eastAsia="宋体" w:cs="宋体"/>
          <w:color w:val="auto"/>
          <w:sz w:val="21"/>
          <w:szCs w:val="21"/>
          <w:highlight w:val="none"/>
        </w:rPr>
        <w:t>电子</w:t>
      </w:r>
      <w:r>
        <w:rPr>
          <w:rFonts w:ascii="宋体" w:hAnsi="宋体" w:eastAsia="宋体" w:cs="宋体"/>
          <w:color w:val="auto"/>
          <w:sz w:val="21"/>
          <w:szCs w:val="21"/>
          <w:highlight w:val="none"/>
        </w:rPr>
        <w:t>标书，即便递交了纸版投标文件，一律视为无效投标</w:t>
      </w:r>
      <w:r>
        <w:rPr>
          <w:rFonts w:hint="eastAsia" w:eastAsia="宋体" w:cs="宋体"/>
          <w:b/>
          <w:color w:val="auto"/>
          <w:sz w:val="21"/>
          <w:szCs w:val="21"/>
          <w:highlight w:val="none"/>
        </w:rPr>
        <w:t>。</w:t>
      </w:r>
    </w:p>
    <w:p w14:paraId="0AB268EA">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color w:val="auto"/>
          <w:sz w:val="21"/>
          <w:szCs w:val="21"/>
          <w:highlight w:val="none"/>
        </w:rPr>
      </w:pPr>
      <w:r>
        <w:rPr>
          <w:rFonts w:hint="eastAsia" w:eastAsia="宋体" w:cs="宋体"/>
          <w:bCs/>
          <w:color w:val="auto"/>
          <w:sz w:val="21"/>
          <w:szCs w:val="21"/>
          <w:highlight w:val="none"/>
        </w:rPr>
        <w:t>纸质版投标文件的份数要求为</w:t>
      </w:r>
      <w:r>
        <w:rPr>
          <w:rFonts w:hint="eastAsia" w:ascii="宋体" w:hAnsi="宋体" w:eastAsia="宋体" w:cs="宋体"/>
          <w:b/>
          <w:color w:val="auto"/>
          <w:sz w:val="21"/>
          <w:szCs w:val="21"/>
          <w:highlight w:val="none"/>
        </w:rPr>
        <w:t>正本一份，副本</w:t>
      </w: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eastAsia="zh-CN"/>
        </w:rPr>
        <w:t>，</w:t>
      </w:r>
      <w:r>
        <w:rPr>
          <w:rFonts w:hint="eastAsia" w:ascii="宋体" w:hAnsi="宋体" w:eastAsia="宋体" w:cs="宋体"/>
          <w:bCs/>
          <w:color w:val="auto"/>
          <w:sz w:val="21"/>
          <w:szCs w:val="21"/>
          <w:highlight w:val="none"/>
        </w:rPr>
        <w:t>资质投标书、技术投标书及商务投标书的</w:t>
      </w:r>
      <w:r>
        <w:rPr>
          <w:rFonts w:hint="eastAsia" w:eastAsia="宋体" w:cs="宋体"/>
          <w:b/>
          <w:color w:val="auto"/>
          <w:sz w:val="21"/>
          <w:szCs w:val="21"/>
          <w:highlight w:val="none"/>
        </w:rPr>
        <w:t>同类文件封装在一个包封里，包封表面按照附件13标注文件信息；共计三个包封</w:t>
      </w:r>
      <w:r>
        <w:rPr>
          <w:rFonts w:hint="eastAsia" w:eastAsia="宋体" w:cs="宋体"/>
          <w:bCs/>
          <w:color w:val="auto"/>
          <w:sz w:val="21"/>
          <w:szCs w:val="21"/>
          <w:highlight w:val="none"/>
        </w:rPr>
        <w:t>。</w:t>
      </w:r>
    </w:p>
    <w:p w14:paraId="216363C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color w:val="auto"/>
          <w:sz w:val="21"/>
          <w:szCs w:val="21"/>
          <w:highlight w:val="none"/>
        </w:rPr>
      </w:pPr>
      <w:r>
        <w:rPr>
          <w:rFonts w:hint="eastAsia" w:eastAsia="宋体" w:cs="宋体" w:asciiTheme="minorHAnsi" w:hAnsiTheme="minorHAnsi"/>
          <w:bCs/>
          <w:color w:val="auto"/>
          <w:sz w:val="21"/>
          <w:szCs w:val="21"/>
          <w:highlight w:val="none"/>
        </w:rPr>
        <w:t>如选择到场参与开标，自行携带纸质投标文件于开标前至开标地点即可。</w:t>
      </w:r>
    </w:p>
    <w:p w14:paraId="5B940E87">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color w:val="auto"/>
          <w:sz w:val="21"/>
          <w:szCs w:val="21"/>
          <w:highlight w:val="none"/>
          <w:lang w:val="en-US" w:eastAsia="zh-CN"/>
        </w:rPr>
      </w:pPr>
      <w:r>
        <w:rPr>
          <w:rFonts w:hint="eastAsia" w:eastAsia="宋体" w:cs="宋体" w:asciiTheme="minorHAnsi" w:hAnsiTheme="minorHAnsi"/>
          <w:bCs/>
          <w:color w:val="auto"/>
          <w:sz w:val="21"/>
          <w:szCs w:val="21"/>
          <w:highlight w:val="none"/>
        </w:rPr>
        <w:t>如选择线上参与开标，纸质投标文件需在开标日前两天，邮寄到指定地址。</w:t>
      </w:r>
    </w:p>
    <w:p w14:paraId="6715B696">
      <w:pPr>
        <w:pStyle w:val="75"/>
        <w:numPr>
          <w:ilvl w:val="0"/>
          <w:numId w:val="23"/>
        </w:numPr>
        <w:ind w:left="425" w:leftChars="0" w:hanging="425" w:firstLineChars="0"/>
        <w:rPr>
          <w:bCs/>
          <w:color w:val="auto"/>
          <w:highlight w:val="none"/>
        </w:rPr>
      </w:pPr>
      <w:r>
        <w:rPr>
          <w:rFonts w:hint="eastAsia" w:ascii="宋体" w:hAnsi="Courier New" w:eastAsia="宋体" w:cs="Times New Roman"/>
          <w:b/>
          <w:bCs w:val="0"/>
          <w:color w:val="auto"/>
          <w:highlight w:val="none"/>
          <w:lang w:val="en-US" w:eastAsia="zh-CN"/>
        </w:rPr>
        <w:t>邮寄地址：</w:t>
      </w:r>
      <w:r>
        <w:rPr>
          <w:rFonts w:hint="eastAsia" w:ascii="宋体" w:hAnsi="Courier New" w:eastAsia="宋体" w:cs="Times New Roman"/>
          <w:b w:val="0"/>
          <w:bCs/>
          <w:color w:val="auto"/>
          <w:highlight w:val="none"/>
          <w:lang w:val="en-US" w:eastAsia="zh-CN"/>
        </w:rPr>
        <w:t>山东省济南市章丘区潘王路东园区十一号路北，重汽（济南）轻卡有限公司</w:t>
      </w:r>
    </w:p>
    <w:p w14:paraId="718B151B">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联系人及联系方式：</w:t>
      </w:r>
      <w:r>
        <w:rPr>
          <w:rFonts w:hint="eastAsia"/>
          <w:bCs/>
          <w:color w:val="auto"/>
          <w:highlight w:val="none"/>
          <w:lang w:val="en-US" w:eastAsia="zh-CN"/>
        </w:rPr>
        <w:t>石康/15853102633</w:t>
      </w:r>
    </w:p>
    <w:p w14:paraId="379E0C51">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投标文件递交截止时间：202</w:t>
      </w:r>
      <w:r>
        <w:rPr>
          <w:rFonts w:hint="eastAsia"/>
          <w:bCs/>
          <w:color w:val="auto"/>
          <w:highlight w:val="none"/>
          <w:lang w:val="en-US" w:eastAsia="zh-CN"/>
        </w:rPr>
        <w:t>6</w:t>
      </w:r>
      <w:r>
        <w:rPr>
          <w:rFonts w:hint="eastAsia"/>
          <w:bCs/>
          <w:color w:val="auto"/>
          <w:highlight w:val="none"/>
        </w:rPr>
        <w:t>年</w:t>
      </w:r>
      <w:r>
        <w:rPr>
          <w:rFonts w:hint="eastAsia"/>
          <w:bCs/>
          <w:color w:val="auto"/>
          <w:highlight w:val="none"/>
          <w:lang w:val="en-US" w:eastAsia="zh-CN"/>
        </w:rPr>
        <w:t>3</w:t>
      </w:r>
      <w:r>
        <w:rPr>
          <w:rFonts w:hint="eastAsia"/>
          <w:bCs/>
          <w:color w:val="auto"/>
          <w:highlight w:val="none"/>
        </w:rPr>
        <w:t>月</w:t>
      </w:r>
      <w:r>
        <w:rPr>
          <w:rFonts w:hint="eastAsia"/>
          <w:bCs/>
          <w:color w:val="auto"/>
          <w:highlight w:val="none"/>
          <w:lang w:val="en-US" w:eastAsia="zh-CN"/>
        </w:rPr>
        <w:t>17</w:t>
      </w:r>
      <w:r>
        <w:rPr>
          <w:rFonts w:hint="eastAsia"/>
          <w:bCs/>
          <w:color w:val="auto"/>
          <w:highlight w:val="none"/>
        </w:rPr>
        <w:t>日</w:t>
      </w:r>
      <w:r>
        <w:rPr>
          <w:rFonts w:hint="eastAsia"/>
          <w:bCs/>
          <w:color w:val="auto"/>
          <w:highlight w:val="none"/>
          <w:lang w:val="en-US" w:eastAsia="zh-CN"/>
        </w:rPr>
        <w:t>17</w:t>
      </w:r>
      <w:r>
        <w:rPr>
          <w:rFonts w:hint="eastAsia"/>
          <w:bCs/>
          <w:color w:val="auto"/>
          <w:highlight w:val="none"/>
        </w:rPr>
        <w:t>:00:00</w:t>
      </w:r>
    </w:p>
    <w:p w14:paraId="41E214FC">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bCs w:val="0"/>
          <w:color w:val="auto"/>
          <w:highlight w:val="none"/>
          <w:lang w:val="en-US" w:eastAsia="zh-CN"/>
        </w:rPr>
        <w:t>投标文件有效期：</w:t>
      </w:r>
      <w:r>
        <w:rPr>
          <w:rFonts w:hint="eastAsia" w:ascii="宋体" w:hAnsi="Courier New" w:eastAsia="宋体" w:cs="Times New Roman"/>
          <w:b w:val="0"/>
          <w:bCs/>
          <w:color w:val="auto"/>
          <w:highlight w:val="none"/>
          <w:lang w:val="en-US" w:eastAsia="zh-CN"/>
        </w:rPr>
        <w:t>自开标之日起90个日历日</w:t>
      </w:r>
    </w:p>
    <w:p w14:paraId="3867C59C">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纸质版投标文件和电子版投标文件必须保证内容一致；如确实存在不一致的，以电子标书为准，同时要求投标人对纸版标书做出修正。</w:t>
      </w:r>
      <w:r>
        <w:rPr>
          <w:rFonts w:hint="eastAsia" w:cs="Times New Roman"/>
          <w:b w:val="0"/>
          <w:bCs/>
          <w:color w:val="auto"/>
          <w:highlight w:val="none"/>
          <w:lang w:val="en-US" w:eastAsia="zh-CN"/>
        </w:rPr>
        <w:t>\</w:t>
      </w:r>
    </w:p>
    <w:p w14:paraId="2E764B29">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投标文件的装订：</w:t>
      </w:r>
      <w:r>
        <w:rPr>
          <w:rFonts w:hint="eastAsia" w:ascii="宋体" w:hAnsi="宋体" w:eastAsia="宋体" w:cs="宋体"/>
          <w:color w:val="auto"/>
          <w:sz w:val="21"/>
          <w:szCs w:val="21"/>
          <w:highlight w:val="none"/>
        </w:rPr>
        <w:t>投标人必须将投标文件按照资质标文件1册、技术标文件1册、商务标文件1册</w:t>
      </w:r>
      <w:r>
        <w:rPr>
          <w:rFonts w:hint="eastAsia" w:ascii="宋体" w:hAnsi="宋体" w:eastAsia="宋体" w:cs="宋体"/>
          <w:b/>
          <w:bCs/>
          <w:color w:val="auto"/>
          <w:sz w:val="21"/>
          <w:szCs w:val="21"/>
          <w:highlight w:val="none"/>
        </w:rPr>
        <w:t>分别进行</w:t>
      </w:r>
      <w:r>
        <w:rPr>
          <w:rFonts w:hint="eastAsia" w:ascii="宋体" w:hAnsi="宋体" w:eastAsia="宋体" w:cs="宋体"/>
          <w:bCs/>
          <w:color w:val="auto"/>
          <w:sz w:val="21"/>
          <w:szCs w:val="21"/>
          <w:highlight w:val="none"/>
        </w:rPr>
        <w:t>胶装</w:t>
      </w:r>
      <w:r>
        <w:rPr>
          <w:rFonts w:hint="eastAsia" w:ascii="宋体" w:hAnsi="宋体" w:eastAsia="宋体" w:cs="宋体"/>
          <w:color w:val="auto"/>
          <w:sz w:val="21"/>
          <w:szCs w:val="21"/>
          <w:highlight w:val="none"/>
        </w:rPr>
        <w:t>，各自不允许超过两册。</w:t>
      </w:r>
    </w:p>
    <w:p w14:paraId="19650312">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color w:val="auto"/>
          <w:highlight w:val="none"/>
          <w:lang w:val="en-US" w:eastAsia="zh-CN"/>
        </w:rPr>
      </w:pPr>
      <w:r>
        <w:rPr>
          <w:rFonts w:hint="eastAsia" w:hAnsi="宋体" w:eastAsia="宋体" w:cs="宋体"/>
          <w:b/>
          <w:bCs/>
          <w:color w:val="auto"/>
          <w:sz w:val="21"/>
          <w:szCs w:val="21"/>
          <w:highlight w:val="none"/>
        </w:rPr>
        <w:t>技术标书和商务标书不单独装订的，投标文件做无效标处理。</w:t>
      </w:r>
    </w:p>
    <w:p w14:paraId="7912CEAE">
      <w:pPr>
        <w:pStyle w:val="72"/>
        <w:rPr>
          <w:rFonts w:hint="eastAsia" w:hAnsi="Courier New" w:cs="Times New Roman"/>
          <w:color w:val="auto"/>
          <w:highlight w:val="none"/>
        </w:rPr>
      </w:pPr>
      <w:bookmarkStart w:id="15" w:name="_Toc47976601"/>
      <w:r>
        <w:rPr>
          <w:rFonts w:hint="eastAsia" w:hAnsi="Courier New" w:cs="Times New Roman"/>
          <w:color w:val="auto"/>
          <w:highlight w:val="none"/>
        </w:rPr>
        <w:t>投标保证金</w:t>
      </w:r>
      <w:r>
        <w:rPr>
          <w:rFonts w:hint="eastAsia" w:hAnsi="Courier New" w:cs="Times New Roman"/>
          <w:color w:val="auto"/>
          <w:highlight w:val="none"/>
          <w:lang w:val="en-US" w:eastAsia="zh-CN"/>
        </w:rPr>
        <w:t>收取</w:t>
      </w:r>
      <w:r>
        <w:rPr>
          <w:rFonts w:hint="eastAsia" w:hAnsi="Courier New" w:cs="Times New Roman"/>
          <w:color w:val="auto"/>
          <w:highlight w:val="none"/>
          <w:lang w:eastAsia="zh-CN"/>
        </w:rPr>
        <w:t>、</w:t>
      </w:r>
      <w:r>
        <w:rPr>
          <w:rFonts w:hint="eastAsia" w:hAnsi="Courier New" w:cs="Times New Roman"/>
          <w:color w:val="auto"/>
          <w:highlight w:val="none"/>
          <w:lang w:val="en-US" w:eastAsia="zh-CN"/>
        </w:rPr>
        <w:t>缴纳</w:t>
      </w:r>
      <w:r>
        <w:rPr>
          <w:rFonts w:hint="eastAsia" w:hAnsi="Courier New" w:cs="Times New Roman"/>
          <w:color w:val="auto"/>
          <w:highlight w:val="none"/>
        </w:rPr>
        <w:t>有效期</w:t>
      </w:r>
      <w:r>
        <w:rPr>
          <w:rFonts w:hint="eastAsia" w:hAnsi="Courier New" w:cs="Times New Roman"/>
          <w:color w:val="auto"/>
          <w:highlight w:val="none"/>
          <w:lang w:val="en-US" w:eastAsia="zh-CN"/>
        </w:rPr>
        <w:t>及罚没</w:t>
      </w:r>
    </w:p>
    <w:p w14:paraId="25D1BF10">
      <w:pPr>
        <w:pStyle w:val="72"/>
        <w:numPr>
          <w:ilvl w:val="0"/>
          <w:numId w:val="24"/>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投标保证金的缴纳</w:t>
      </w:r>
    </w:p>
    <w:p w14:paraId="4D91E586">
      <w:pPr>
        <w:pStyle w:val="72"/>
        <w:numPr>
          <w:ilvl w:val="0"/>
          <w:numId w:val="25"/>
        </w:numPr>
        <w:ind w:left="425" w:leftChars="0" w:hanging="425" w:firstLine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w:t>
      </w:r>
      <w:r>
        <w:rPr>
          <w:rFonts w:hint="eastAsia" w:ascii="宋体" w:hAnsi="宋体" w:eastAsia="宋体" w:cs="宋体"/>
          <w:b w:val="0"/>
          <w:bCs w:val="0"/>
          <w:color w:val="auto"/>
          <w:sz w:val="21"/>
          <w:szCs w:val="21"/>
          <w:highlight w:val="none"/>
          <w:lang w:val="en-US" w:eastAsia="zh-CN"/>
        </w:rPr>
        <w:t>的缴纳</w:t>
      </w:r>
      <w:r>
        <w:rPr>
          <w:rFonts w:hint="eastAsia" w:ascii="宋体" w:hAnsi="宋体" w:eastAsia="宋体" w:cs="宋体"/>
          <w:b w:val="0"/>
          <w:bCs w:val="0"/>
          <w:color w:val="auto"/>
          <w:sz w:val="21"/>
          <w:szCs w:val="21"/>
          <w:highlight w:val="none"/>
        </w:rPr>
        <w:t>形式：</w:t>
      </w:r>
      <w:r>
        <w:rPr>
          <w:rFonts w:hint="eastAsia" w:ascii="宋体" w:hAnsi="宋体" w:eastAsia="宋体" w:cs="宋体"/>
          <w:b/>
          <w:bCs/>
          <w:color w:val="auto"/>
          <w:sz w:val="21"/>
          <w:szCs w:val="21"/>
          <w:highlight w:val="none"/>
        </w:rPr>
        <w:t>电汇</w:t>
      </w:r>
    </w:p>
    <w:p w14:paraId="4AF1AB5E">
      <w:pPr>
        <w:pStyle w:val="72"/>
        <w:numPr>
          <w:ilvl w:val="0"/>
          <w:numId w:val="25"/>
        </w:numPr>
        <w:ind w:left="425" w:leftChars="0" w:hanging="425" w:firstLineChars="0"/>
        <w:rPr>
          <w:rFonts w:hint="default"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投标保证金的金额：人民币</w:t>
      </w:r>
      <w:r>
        <w:rPr>
          <w:rFonts w:hint="eastAsia" w:ascii="宋体" w:hAnsi="宋体" w:eastAsia="宋体" w:cs="宋体"/>
          <w:b w:val="0"/>
          <w:bCs w:val="0"/>
          <w:color w:val="auto"/>
          <w:sz w:val="21"/>
          <w:szCs w:val="21"/>
          <w:highlight w:val="none"/>
          <w:u w:val="single"/>
          <w:lang w:val="en-US" w:eastAsia="zh-CN"/>
        </w:rPr>
        <w:t xml:space="preserve"> 5000 </w:t>
      </w:r>
      <w:r>
        <w:rPr>
          <w:rFonts w:hint="eastAsia" w:ascii="宋体" w:hAnsi="宋体" w:eastAsia="宋体" w:cs="宋体"/>
          <w:b w:val="0"/>
          <w:bCs w:val="0"/>
          <w:color w:val="auto"/>
          <w:sz w:val="21"/>
          <w:szCs w:val="21"/>
          <w:highlight w:val="none"/>
        </w:rPr>
        <w:t>元</w:t>
      </w:r>
    </w:p>
    <w:p w14:paraId="54884F80">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收款名称：中国重汽集团济南商用车有限公司</w:t>
      </w:r>
    </w:p>
    <w:p w14:paraId="77E495F7">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账号：237744219844</w:t>
      </w:r>
    </w:p>
    <w:p w14:paraId="5C9F905A">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中国银行股份有限公司济南分行</w:t>
      </w:r>
    </w:p>
    <w:p w14:paraId="045EDDA2">
      <w:pPr>
        <w:pStyle w:val="72"/>
        <w:numPr>
          <w:ilvl w:val="0"/>
          <w:numId w:val="0"/>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联行号104451039687</w:t>
      </w:r>
    </w:p>
    <w:p w14:paraId="602898B4">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cs="Times New Roman"/>
          <w:b w:val="0"/>
          <w:bCs/>
          <w:color w:val="auto"/>
          <w:highlight w:val="none"/>
          <w:lang w:val="en-US" w:eastAsia="zh-CN"/>
        </w:rPr>
        <w:t>转账附言：公司名称+项目名称+投标保证金。</w:t>
      </w:r>
    </w:p>
    <w:p w14:paraId="4A7BD79C">
      <w:pPr>
        <w:pStyle w:val="72"/>
        <w:numPr>
          <w:ilvl w:val="0"/>
          <w:numId w:val="0"/>
        </w:numPr>
        <w:ind w:left="425" w:leftChars="0" w:hanging="425" w:firstLineChars="0"/>
        <w:rPr>
          <w:rFonts w:hint="eastAsia" w:ascii="宋体" w:hAnsi="宋体" w:eastAsia="宋体" w:cs="宋体"/>
          <w:b w:val="0"/>
          <w:bCs w:val="0"/>
          <w:color w:val="auto"/>
          <w:sz w:val="21"/>
          <w:szCs w:val="21"/>
          <w:highlight w:val="none"/>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4</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rPr>
        <w:t>保证金缴纳截止时间：202</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rPr>
        <w:t>日</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00</w:t>
      </w:r>
      <w:r>
        <w:rPr>
          <w:rFonts w:hint="eastAsia" w:ascii="宋体" w:hAnsi="宋体" w:eastAsia="宋体" w:cs="宋体"/>
          <w:b w:val="0"/>
          <w:bCs w:val="0"/>
          <w:color w:val="auto"/>
          <w:sz w:val="21"/>
          <w:szCs w:val="21"/>
          <w:highlight w:val="none"/>
        </w:rPr>
        <w:t>前</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同应标截止时间</w:t>
      </w:r>
      <w:r>
        <w:rPr>
          <w:rFonts w:hint="eastAsia" w:ascii="宋体" w:hAnsi="宋体" w:eastAsia="宋体" w:cs="宋体"/>
          <w:b w:val="0"/>
          <w:bCs w:val="0"/>
          <w:color w:val="auto"/>
          <w:sz w:val="21"/>
          <w:szCs w:val="21"/>
          <w:highlight w:val="none"/>
          <w:lang w:eastAsia="zh-CN"/>
        </w:rPr>
        <w:t>）</w:t>
      </w:r>
    </w:p>
    <w:p w14:paraId="22746E21">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lang w:val="en-US" w:eastAsia="zh-CN"/>
        </w:rPr>
        <w:t>选择从银行基本账户转账</w:t>
      </w:r>
      <w:r>
        <w:rPr>
          <w:rFonts w:hint="eastAsia" w:ascii="宋体" w:hAnsi="宋体" w:eastAsia="宋体" w:cs="宋体"/>
          <w:b w:val="0"/>
          <w:bCs w:val="0"/>
          <w:color w:val="auto"/>
          <w:sz w:val="21"/>
          <w:szCs w:val="21"/>
          <w:highlight w:val="none"/>
        </w:rPr>
        <w:t>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须在规定的时间之前</w:t>
      </w:r>
      <w:r>
        <w:rPr>
          <w:rFonts w:hint="eastAsia" w:ascii="宋体" w:hAnsi="宋体" w:eastAsia="宋体" w:cs="宋体"/>
          <w:b w:val="0"/>
          <w:bCs w:val="0"/>
          <w:color w:val="auto"/>
          <w:sz w:val="21"/>
          <w:szCs w:val="21"/>
          <w:highlight w:val="none"/>
        </w:rPr>
        <w:t>将投标保证金从</w:t>
      </w:r>
      <w:r>
        <w:rPr>
          <w:rFonts w:hint="eastAsia" w:ascii="宋体" w:hAnsi="宋体" w:eastAsia="宋体" w:cs="宋体"/>
          <w:b w:val="0"/>
          <w:bCs w:val="0"/>
          <w:color w:val="auto"/>
          <w:sz w:val="21"/>
          <w:szCs w:val="21"/>
          <w:highlight w:val="none"/>
          <w:lang w:val="en-US" w:eastAsia="zh-CN"/>
        </w:rPr>
        <w:t>其</w:t>
      </w:r>
      <w:r>
        <w:rPr>
          <w:rFonts w:hint="eastAsia" w:ascii="宋体" w:hAnsi="宋体" w:eastAsia="宋体" w:cs="宋体"/>
          <w:b w:val="0"/>
          <w:bCs w:val="0"/>
          <w:color w:val="auto"/>
          <w:sz w:val="21"/>
          <w:szCs w:val="21"/>
          <w:highlight w:val="none"/>
        </w:rPr>
        <w:t>单位基本帐户转出并到账，否则</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；未按规定提交保证金的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投标人，其投标文件</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应充分考虑银行信息交换时间，由此带来的保证金不能按时到帐的责任由</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自行承担。</w:t>
      </w:r>
    </w:p>
    <w:p w14:paraId="3E8A9C3E">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对于没有中标的</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，投标保证金将于招标人内部完成中标人评审并确认最终中标人后在</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内予以原路返还（无息）；对于中标方，投标保证金将在签订合同后</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内原路返还（无息）</w:t>
      </w:r>
    </w:p>
    <w:p w14:paraId="658565E3">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发生以下情况时，有权没收保证金：</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①供应商在提交响应文件截止时间后撤回响应文件的；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②供应商在响应文件中提供虚假材料的；</w:t>
      </w:r>
      <w:bookmarkStart w:id="1248" w:name="_GoBack"/>
      <w:bookmarkEnd w:id="1248"/>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③除因不可抗力或谈判文件、询价通知书认可的情形以外，成交供应商不与采购人签订合同的；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④供应商与采购人、其他供应商或者采购代理机构恶意串通、围标、陪标的；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⑦自中标通知书发出之日起30日内，中标人无正当理由投标人无正当签订合同的；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⑧采购文件规定的其他情形</w:t>
      </w:r>
      <w:r>
        <w:rPr>
          <w:rFonts w:hint="eastAsia" w:ascii="宋体" w:hAnsi="宋体" w:eastAsia="宋体" w:cs="宋体"/>
          <w:b w:val="0"/>
          <w:bCs w:val="0"/>
          <w:color w:val="auto"/>
          <w:sz w:val="21"/>
          <w:szCs w:val="21"/>
          <w:highlight w:val="none"/>
          <w:lang w:eastAsia="zh-CN"/>
        </w:rPr>
        <w:t>。</w:t>
      </w:r>
    </w:p>
    <w:bookmarkEnd w:id="15"/>
    <w:p w14:paraId="7BEB922F">
      <w:pPr>
        <w:pStyle w:val="72"/>
        <w:rPr>
          <w:color w:val="auto"/>
          <w:highlight w:val="none"/>
        </w:rPr>
      </w:pPr>
      <w:r>
        <w:rPr>
          <w:rFonts w:hint="eastAsia"/>
          <w:color w:val="auto"/>
          <w:highlight w:val="none"/>
          <w:lang w:val="en-US" w:eastAsia="zh-CN"/>
        </w:rPr>
        <w:t>开评标</w:t>
      </w:r>
    </w:p>
    <w:p w14:paraId="120A297E">
      <w:pPr>
        <w:pStyle w:val="72"/>
        <w:numPr>
          <w:ilvl w:val="0"/>
          <w:numId w:val="26"/>
        </w:numPr>
        <w:ind w:firstLine="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开标时间：202</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日9:00:00</w:t>
      </w:r>
    </w:p>
    <w:p w14:paraId="5DC9EFA8">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开标地点：</w:t>
      </w:r>
      <w:r>
        <w:rPr>
          <w:rFonts w:hint="eastAsia" w:ascii="宋体" w:hAnsi="宋体" w:eastAsia="宋体" w:cs="宋体"/>
          <w:b w:val="0"/>
          <w:bCs w:val="0"/>
          <w:color w:val="auto"/>
          <w:sz w:val="21"/>
          <w:szCs w:val="21"/>
          <w:highlight w:val="none"/>
          <w:lang w:val="en-US" w:eastAsia="zh-CN"/>
        </w:rPr>
        <w:t>山东省济南市章丘区潘王路东园区十一号路北，济南轻卡制造公司</w:t>
      </w:r>
    </w:p>
    <w:p w14:paraId="24E5012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开标方式：</w:t>
      </w:r>
    </w:p>
    <w:p w14:paraId="5BDB9FF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现场招</w:t>
      </w:r>
      <w:r>
        <w:rPr>
          <w:rFonts w:hint="eastAsia" w:ascii="宋体" w:hAnsi="宋体" w:eastAsia="宋体" w:cs="宋体"/>
          <w:b w:val="0"/>
          <w:bCs w:val="0"/>
          <w:color w:val="auto"/>
          <w:sz w:val="21"/>
          <w:szCs w:val="21"/>
          <w:highlight w:val="none"/>
          <w:lang w:val="en-US" w:eastAsia="zh-CN"/>
        </w:rPr>
        <w:t>标：</w:t>
      </w:r>
      <w:r>
        <w:rPr>
          <w:rFonts w:hint="eastAsia" w:ascii="宋体" w:hAnsi="宋体" w:eastAsia="宋体" w:cs="宋体"/>
          <w:color w:val="auto"/>
          <w:sz w:val="21"/>
          <w:szCs w:val="21"/>
          <w:highlight w:val="none"/>
        </w:rPr>
        <w:t>原则上来现场参与开标。如因特殊情况无法现场参与，需在开标前三日，通知招标人，由招标人创建视频链接，并在报名结束后统一通知。</w:t>
      </w:r>
    </w:p>
    <w:p w14:paraId="36412508">
      <w:pPr>
        <w:pStyle w:val="72"/>
        <w:keepNext w:val="0"/>
        <w:keepLines w:val="0"/>
        <w:pageBreakBefore w:val="0"/>
        <w:widowControl w:val="0"/>
        <w:numPr>
          <w:ilvl w:val="0"/>
          <w:numId w:val="2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线上招标：</w:t>
      </w:r>
      <w:r>
        <w:rPr>
          <w:rFonts w:hint="eastAsia" w:ascii="宋体" w:hAnsi="宋体" w:eastAsia="宋体" w:cs="宋体"/>
          <w:b w:val="0"/>
          <w:bCs w:val="0"/>
          <w:color w:val="auto"/>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auto"/>
          <w:sz w:val="21"/>
          <w:szCs w:val="21"/>
          <w:highlight w:val="none"/>
        </w:rPr>
        <w:t>招标人创建视频链接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并在报名结束后统一通知。</w:t>
      </w:r>
    </w:p>
    <w:p w14:paraId="5755B90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w:t>
      </w:r>
    </w:p>
    <w:p w14:paraId="4F010F02">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评标方法</w:t>
      </w:r>
    </w:p>
    <w:p w14:paraId="703B25F9">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ascii="宋体" w:hAnsi="宋体" w:eastAsia="宋体" w:cs="宋体"/>
          <w:b/>
          <w:bCs/>
          <w:color w:val="auto"/>
          <w:sz w:val="21"/>
          <w:szCs w:val="21"/>
          <w:highlight w:val="none"/>
        </w:rPr>
        <w:t>资质标审核</w:t>
      </w:r>
      <w:bookmarkStart w:id="16" w:name="OLE_LINK2"/>
      <w:r>
        <w:rPr>
          <w:rFonts w:hint="eastAsia" w:ascii="宋体" w:hAnsi="宋体" w:eastAsia="宋体" w:cs="宋体"/>
          <w:b/>
          <w:bCs/>
          <w:color w:val="auto"/>
          <w:sz w:val="21"/>
          <w:szCs w:val="21"/>
          <w:highlight w:val="none"/>
        </w:rPr>
        <w:t>→</w:t>
      </w:r>
      <w:bookmarkEnd w:id="16"/>
      <w:r>
        <w:rPr>
          <w:rFonts w:hint="eastAsia" w:ascii="宋体" w:hAnsi="宋体" w:eastAsia="宋体" w:cs="宋体"/>
          <w:b/>
          <w:bCs/>
          <w:color w:val="auto"/>
          <w:sz w:val="21"/>
          <w:szCs w:val="21"/>
          <w:highlight w:val="none"/>
        </w:rPr>
        <w:t>唱标→技术标评审→商务标评审。</w:t>
      </w:r>
    </w:p>
    <w:p w14:paraId="40A4499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本次招标采用采用技术入围后，商务实行低价中标。本着公平、公正、公开的原则，在通过技术标综合评审后入围的前提下，选择合理最低价确定中标人，对未中标单位不做任何解释。</w:t>
      </w:r>
    </w:p>
    <w:p w14:paraId="772CA309">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评标流程</w:t>
      </w:r>
    </w:p>
    <w:p w14:paraId="3292D264">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应标资格审查：在“中国重汽e采通”应标报名时，</w:t>
      </w:r>
      <w:r>
        <w:rPr>
          <w:rFonts w:hint="eastAsia" w:ascii="宋体" w:hAnsi="宋体" w:eastAsia="宋体" w:cs="宋体"/>
          <w:b/>
          <w:bCs/>
          <w:color w:val="auto"/>
          <w:sz w:val="21"/>
          <w:szCs w:val="21"/>
          <w:highlight w:val="none"/>
        </w:rPr>
        <w:t>按照第</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部分第</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条投标文件</w:t>
      </w:r>
      <w:r>
        <w:rPr>
          <w:rFonts w:hint="eastAsia" w:ascii="宋体" w:hAnsi="宋体" w:eastAsia="宋体" w:cs="宋体"/>
          <w:b/>
          <w:bCs/>
          <w:color w:val="auto"/>
          <w:sz w:val="21"/>
          <w:szCs w:val="21"/>
          <w:highlight w:val="none"/>
          <w:lang w:val="en-US" w:eastAsia="zh-CN"/>
        </w:rPr>
        <w:t>编制</w:t>
      </w:r>
      <w:r>
        <w:rPr>
          <w:rFonts w:hint="eastAsia" w:ascii="宋体" w:hAnsi="宋体" w:eastAsia="宋体" w:cs="宋体"/>
          <w:b/>
          <w:bCs/>
          <w:color w:val="auto"/>
          <w:sz w:val="21"/>
          <w:szCs w:val="21"/>
          <w:highlight w:val="none"/>
        </w:rPr>
        <w:t>资格证明文件中的1.1-1.1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准备资料，上传完毕后，等待审核</w:t>
      </w:r>
      <w:r>
        <w:rPr>
          <w:rFonts w:hint="eastAsia" w:ascii="宋体" w:hAnsi="宋体" w:eastAsia="宋体" w:cs="宋体"/>
          <w:b/>
          <w:color w:val="auto"/>
          <w:sz w:val="21"/>
          <w:szCs w:val="21"/>
          <w:highlight w:val="none"/>
        </w:rPr>
        <w:t>；</w:t>
      </w:r>
    </w:p>
    <w:p w14:paraId="67D9E71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43670F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资质标评审：资质标审核通过的单位，可以进入公开唱标环节；</w:t>
      </w:r>
    </w:p>
    <w:p w14:paraId="6CE646E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公开唱标：公示资质标入围单位的开标价格及商务条款响应情况；</w:t>
      </w:r>
    </w:p>
    <w:p w14:paraId="0F61B357">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auto"/>
          <w:sz w:val="21"/>
          <w:szCs w:val="21"/>
          <w:highlight w:val="none"/>
          <w:lang w:val="en-US" w:eastAsia="zh-CN"/>
        </w:rPr>
        <w:t>评分详见</w:t>
      </w:r>
      <w:r>
        <w:rPr>
          <w:rFonts w:hint="eastAsia" w:ascii="宋体" w:hAnsi="宋体" w:eastAsia="宋体" w:cs="宋体"/>
          <w:b/>
          <w:bCs/>
          <w:color w:val="auto"/>
          <w:sz w:val="21"/>
          <w:szCs w:val="21"/>
          <w:highlight w:val="none"/>
        </w:rPr>
        <w:t>评分标准；</w:t>
      </w:r>
    </w:p>
    <w:p w14:paraId="49C6B8E3">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商务标评审：商务条款相应确认→价格澄清→商务标评审；评审期间产生的商务价格澄清均由投标人在重汽e采通平台限时内完成提交；</w:t>
      </w:r>
    </w:p>
    <w:p w14:paraId="2016668B">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bCs w:val="0"/>
          <w:color w:val="auto"/>
          <w:highlight w:val="none"/>
        </w:rPr>
      </w:pPr>
      <w:r>
        <w:rPr>
          <w:rFonts w:hint="eastAsia" w:cs="Times New Roman"/>
          <w:b/>
          <w:bCs w:val="0"/>
          <w:color w:val="auto"/>
          <w:highlight w:val="none"/>
        </w:rPr>
        <w:t>注意：投标人均需要自带笔记本电脑在重汽e采通进行自主投标和提交澄清函；投标和提交澄清函均有时间限制，超时未提交的按无效处理。</w:t>
      </w:r>
    </w:p>
    <w:p w14:paraId="442BA7B7">
      <w:pPr>
        <w:pStyle w:val="72"/>
        <w:rPr>
          <w:color w:val="auto"/>
          <w:highlight w:val="none"/>
        </w:rPr>
      </w:pPr>
      <w:r>
        <w:rPr>
          <w:rFonts w:hint="eastAsia"/>
          <w:color w:val="auto"/>
          <w:highlight w:val="none"/>
          <w:lang w:val="en-US" w:eastAsia="zh-CN"/>
        </w:rPr>
        <w:t>定标</w:t>
      </w:r>
    </w:p>
    <w:p w14:paraId="0FACA9D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本项目只产生</w:t>
      </w:r>
      <w:r>
        <w:rPr>
          <w:rFonts w:hint="eastAsia" w:ascii="宋体" w:hAnsi="宋体" w:eastAsia="宋体" w:cs="宋体"/>
          <w:b w:val="0"/>
          <w:bCs w:val="0"/>
          <w:color w:val="auto"/>
          <w:sz w:val="21"/>
          <w:szCs w:val="21"/>
          <w:highlight w:val="none"/>
          <w:u w:val="single"/>
          <w:lang w:val="en-US" w:eastAsia="zh-CN"/>
        </w:rPr>
        <w:t xml:space="preserve">  1 </w:t>
      </w:r>
      <w:r>
        <w:rPr>
          <w:rFonts w:hint="eastAsia" w:ascii="宋体" w:hAnsi="宋体" w:eastAsia="宋体" w:cs="宋体"/>
          <w:b w:val="0"/>
          <w:bCs w:val="0"/>
          <w:color w:val="auto"/>
          <w:sz w:val="21"/>
          <w:szCs w:val="21"/>
          <w:highlight w:val="none"/>
        </w:rPr>
        <w:t>个中标人。中标人签订合同前须进行最终审查。最终审查的对象</w:t>
      </w:r>
      <w:r>
        <w:rPr>
          <w:rFonts w:hint="eastAsia" w:ascii="宋体" w:hAnsi="宋体" w:eastAsia="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rPr>
        <w:t>，则本次评标作废</w:t>
      </w:r>
      <w:r>
        <w:rPr>
          <w:rFonts w:hint="eastAsia" w:ascii="宋体" w:hAnsi="宋体" w:eastAsia="宋体" w:cs="宋体"/>
          <w:b w:val="0"/>
          <w:bCs w:val="0"/>
          <w:color w:val="auto"/>
          <w:sz w:val="21"/>
          <w:szCs w:val="21"/>
          <w:highlight w:val="none"/>
          <w:lang w:val="en-US" w:eastAsia="zh-CN"/>
        </w:rPr>
        <w:t>或变更意向中标人</w:t>
      </w:r>
      <w:r>
        <w:rPr>
          <w:rFonts w:hint="eastAsia" w:ascii="宋体" w:hAnsi="宋体" w:eastAsia="宋体" w:cs="宋体"/>
          <w:b w:val="0"/>
          <w:bCs w:val="0"/>
          <w:color w:val="auto"/>
          <w:sz w:val="21"/>
          <w:szCs w:val="21"/>
          <w:highlight w:val="none"/>
          <w:lang w:eastAsia="zh-CN"/>
        </w:rPr>
        <w:t>。</w:t>
      </w:r>
    </w:p>
    <w:p w14:paraId="65524239">
      <w:pPr>
        <w:pStyle w:val="72"/>
        <w:rPr>
          <w:color w:val="auto"/>
          <w:highlight w:val="none"/>
        </w:rPr>
      </w:pPr>
      <w:r>
        <w:rPr>
          <w:rFonts w:hint="eastAsia"/>
          <w:color w:val="auto"/>
          <w:highlight w:val="none"/>
          <w:lang w:val="en-US" w:eastAsia="zh-CN"/>
        </w:rPr>
        <w:t>废标及终止招标</w:t>
      </w:r>
    </w:p>
    <w:p w14:paraId="6BCB1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2E61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投标人提供的有关资格、资质证明文件不合格、不真实或提供虚假投标材料；</w:t>
      </w:r>
    </w:p>
    <w:p w14:paraId="095E81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投标人在报价有效期内撤回投标；</w:t>
      </w:r>
    </w:p>
    <w:p w14:paraId="361236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在整个评标过程中，投标人有企图影响评标结果公正性的任何活动；</w:t>
      </w:r>
    </w:p>
    <w:p w14:paraId="14533E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投标人以任何方式诋毁其他投标人；</w:t>
      </w:r>
    </w:p>
    <w:p w14:paraId="72D31F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投标人串通投标；</w:t>
      </w:r>
    </w:p>
    <w:p w14:paraId="30595BAB">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投标人被举报、检举，并经招标人查实无误的；</w:t>
      </w:r>
    </w:p>
    <w:p w14:paraId="67488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(7)</w:t>
      </w:r>
      <w:r>
        <w:rPr>
          <w:rFonts w:hint="eastAsia" w:ascii="宋体" w:hAnsi="宋体" w:eastAsia="宋体" w:cs="宋体"/>
          <w:color w:val="auto"/>
          <w:sz w:val="21"/>
          <w:szCs w:val="21"/>
          <w:highlight w:val="none"/>
        </w:rPr>
        <w:t>以他人名义投标或者以其他方式弄虚作假，骗取中标的；</w:t>
      </w:r>
    </w:p>
    <w:p w14:paraId="74A7B1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投标人负责人为同一人或者存在控股、管理关系的不同单位；</w:t>
      </w:r>
    </w:p>
    <w:p w14:paraId="223F73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(9)</w:t>
      </w:r>
      <w:r>
        <w:rPr>
          <w:rFonts w:hint="eastAsia" w:ascii="宋体" w:hAnsi="宋体" w:eastAsia="宋体" w:cs="宋体"/>
          <w:color w:val="auto"/>
          <w:sz w:val="21"/>
          <w:szCs w:val="21"/>
          <w:highlight w:val="none"/>
        </w:rPr>
        <w:t>有效投标不足三家；</w:t>
      </w:r>
    </w:p>
    <w:p w14:paraId="3622E8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sz w:val="21"/>
          <w:szCs w:val="21"/>
          <w:highlight w:val="none"/>
        </w:rPr>
        <w:t>不同投标人的投标文件异常一致或者投标报价呈规律性差异的；</w:t>
      </w:r>
    </w:p>
    <w:p w14:paraId="263EB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(11)</w:t>
      </w:r>
      <w:r>
        <w:rPr>
          <w:rFonts w:hint="eastAsia" w:ascii="宋体" w:hAnsi="宋体" w:eastAsia="宋体" w:cs="宋体"/>
          <w:color w:val="auto"/>
          <w:sz w:val="21"/>
          <w:szCs w:val="21"/>
          <w:highlight w:val="none"/>
        </w:rPr>
        <w:t>投标人报价均超过</w:t>
      </w:r>
      <w:r>
        <w:rPr>
          <w:rFonts w:hint="eastAsia" w:ascii="宋体" w:hAnsi="宋体" w:cs="宋体"/>
          <w:color w:val="auto"/>
          <w:sz w:val="21"/>
          <w:szCs w:val="21"/>
          <w:highlight w:val="none"/>
          <w:lang w:val="en-US" w:eastAsia="zh-CN"/>
        </w:rPr>
        <w:t>最高限价</w:t>
      </w:r>
      <w:r>
        <w:rPr>
          <w:rFonts w:hint="eastAsia" w:ascii="宋体" w:hAnsi="宋体" w:eastAsia="宋体" w:cs="宋体"/>
          <w:color w:val="auto"/>
          <w:sz w:val="21"/>
          <w:szCs w:val="21"/>
          <w:highlight w:val="none"/>
        </w:rPr>
        <w:t>的；</w:t>
      </w:r>
    </w:p>
    <w:p w14:paraId="277D42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(12)</w:t>
      </w:r>
      <w:r>
        <w:rPr>
          <w:rFonts w:hint="eastAsia" w:ascii="宋体" w:hAnsi="宋体" w:eastAsia="宋体" w:cs="宋体"/>
          <w:color w:val="auto"/>
          <w:sz w:val="21"/>
          <w:szCs w:val="21"/>
          <w:highlight w:val="none"/>
        </w:rPr>
        <w:t>未按要求填报商务报价资料，对招标开展造成较大影响；</w:t>
      </w:r>
    </w:p>
    <w:p w14:paraId="345F00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(13)</w:t>
      </w:r>
      <w:r>
        <w:rPr>
          <w:rFonts w:hint="eastAsia" w:ascii="宋体" w:hAnsi="宋体" w:eastAsia="宋体" w:cs="宋体"/>
          <w:b w:val="0"/>
          <w:bCs w:val="0"/>
          <w:color w:val="auto"/>
          <w:spacing w:val="0"/>
          <w:sz w:val="21"/>
          <w:szCs w:val="21"/>
          <w:highlight w:val="none"/>
          <w:lang w:val="en-US" w:eastAsia="zh-CN"/>
        </w:rPr>
        <w:t>未按照招标人规定的时间内在中国重汽e采通完成投标的；</w:t>
      </w:r>
    </w:p>
    <w:p w14:paraId="20071A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(14)</w:t>
      </w:r>
      <w:r>
        <w:rPr>
          <w:rFonts w:hint="eastAsia" w:ascii="宋体" w:hAnsi="宋体" w:eastAsia="宋体" w:cs="宋体"/>
          <w:color w:val="auto"/>
          <w:sz w:val="21"/>
          <w:szCs w:val="21"/>
          <w:highlight w:val="none"/>
        </w:rPr>
        <w:t>法律、法规规定的其他情况。</w:t>
      </w:r>
    </w:p>
    <w:p w14:paraId="753FC6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出现下列情形之一，招标人有权否决所有投标人的投标，并终止招标。</w:t>
      </w:r>
    </w:p>
    <w:p w14:paraId="6BD23B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auto"/>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sz w:val="21"/>
          <w:szCs w:val="21"/>
          <w:highlight w:val="none"/>
        </w:rPr>
        <w:t>符合条件的投标人或者对招标文件做实质响应的投标人不足三家的；</w:t>
      </w:r>
    </w:p>
    <w:p w14:paraId="5399C9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出现影响采购公正的违法、违规行为的；</w:t>
      </w:r>
    </w:p>
    <w:p w14:paraId="189112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3</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评标委员会经评审，认为所有投标都不符合招标文件要求的；</w:t>
      </w:r>
    </w:p>
    <w:p w14:paraId="33EFE7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4</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因重大变故，采购任务取消的</w:t>
      </w:r>
      <w:bookmarkStart w:id="17" w:name="OLE_LINK29"/>
      <w:bookmarkStart w:id="18" w:name="OLE_LINK26"/>
      <w:bookmarkStart w:id="19" w:name="OLE_LINK28"/>
      <w:bookmarkStart w:id="20" w:name="OLE_LINK27"/>
      <w:bookmarkStart w:id="21" w:name="OLE_LINK25"/>
      <w:r>
        <w:rPr>
          <w:rFonts w:hint="eastAsia" w:ascii="宋体" w:hAnsi="宋体" w:eastAsia="宋体" w:cs="宋体"/>
          <w:bCs/>
          <w:color w:val="auto"/>
          <w:sz w:val="21"/>
          <w:szCs w:val="21"/>
          <w:highlight w:val="none"/>
        </w:rPr>
        <w:t>；</w:t>
      </w:r>
      <w:bookmarkEnd w:id="17"/>
      <w:bookmarkEnd w:id="18"/>
      <w:bookmarkEnd w:id="19"/>
      <w:bookmarkEnd w:id="20"/>
      <w:bookmarkEnd w:id="21"/>
    </w:p>
    <w:p w14:paraId="109E4370">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hAnsi="宋体" w:cs="宋体"/>
          <w:bCs/>
          <w:color w:val="auto"/>
          <w:kern w:val="2"/>
          <w:sz w:val="21"/>
          <w:szCs w:val="21"/>
          <w:highlight w:val="none"/>
          <w:lang w:val="en-US" w:eastAsia="zh-CN" w:bidi="ar-SA"/>
        </w:rPr>
        <w:t>5</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招标人认为其他应终止招标的情形。</w:t>
      </w:r>
    </w:p>
    <w:p w14:paraId="7569E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宋体" w:hAnsi="宋体" w:eastAsia="宋体" w:cs="宋体"/>
          <w:color w:val="auto"/>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7358084">
      <w:pPr>
        <w:pStyle w:val="72"/>
        <w:rPr>
          <w:color w:val="auto"/>
          <w:highlight w:val="none"/>
        </w:rPr>
      </w:pPr>
      <w:r>
        <w:rPr>
          <w:rFonts w:hint="eastAsia"/>
          <w:color w:val="auto"/>
          <w:highlight w:val="none"/>
          <w:lang w:val="en-US" w:eastAsia="zh-CN"/>
        </w:rPr>
        <w:t>合同签订</w:t>
      </w:r>
    </w:p>
    <w:p w14:paraId="1DF4707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1.招标人根据评标工作小组的评标结果确定中标人，在重汽e采通平台公布中标结果，并发送中标通知。</w:t>
      </w:r>
    </w:p>
    <w:p w14:paraId="3969FB8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2.中标人应该在中标通知书规定的时间、地点与招标人签订采购合同，否则按照开标后撤回投标处理。</w:t>
      </w:r>
    </w:p>
    <w:p w14:paraId="0F519F4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3.中标人应当按照合同约定的履约责任，在保证质量的前提下完成中标项目，不得将中标项目转包或分包给他人，否则视为违约，招标人有权解除合同。</w:t>
      </w:r>
    </w:p>
    <w:p w14:paraId="2965B4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4.中标人由于履行义务的能力或信用有严重缺陷，招标人有权取消其中标资格，招标人将从中标候选单位中依序重新确定中标人，或重新组织招标；</w:t>
      </w:r>
    </w:p>
    <w:p w14:paraId="7249E27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rPr>
        <w:t>5.合同以双方最终签署的版本为准。</w:t>
      </w:r>
    </w:p>
    <w:p w14:paraId="6928841D">
      <w:pPr>
        <w:pStyle w:val="72"/>
        <w:rPr>
          <w:color w:val="auto"/>
          <w:highlight w:val="none"/>
        </w:rPr>
      </w:pPr>
      <w:r>
        <w:rPr>
          <w:rFonts w:hint="eastAsia"/>
          <w:color w:val="auto"/>
          <w:highlight w:val="none"/>
          <w:lang w:val="en-US" w:eastAsia="zh-CN"/>
        </w:rPr>
        <w:t>交货及付款</w:t>
      </w:r>
    </w:p>
    <w:p w14:paraId="71ADCCE8">
      <w:pPr>
        <w:pStyle w:val="72"/>
        <w:numPr>
          <w:ilvl w:val="0"/>
          <w:numId w:val="30"/>
        </w:numPr>
        <w:ind w:left="425" w:leftChars="0" w:hanging="425"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p>
    <w:p w14:paraId="0D0D3DF9">
      <w:pPr>
        <w:pStyle w:val="72"/>
        <w:numPr>
          <w:ilvl w:val="0"/>
          <w:numId w:val="0"/>
        </w:numPr>
        <w:ind w:left="59" w:lef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半年期商业汇票（包括银行承兑汇票和商业承兑汇票）；</w:t>
      </w:r>
    </w:p>
    <w:p w14:paraId="258A2E76">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付款节点：</w:t>
      </w:r>
    </w:p>
    <w:p w14:paraId="32BEE754">
      <w:pPr>
        <w:pStyle w:val="62"/>
        <w:keepNext w:val="0"/>
        <w:keepLines w:val="0"/>
        <w:pageBreakBefore w:val="0"/>
        <w:widowControl w:val="0"/>
        <w:numPr>
          <w:ilvl w:val="0"/>
          <w:numId w:val="31"/>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其他付款节点：</w:t>
      </w:r>
    </w:p>
    <w:p w14:paraId="6E275E1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14:paraId="1CF132F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7E0594FD">
      <w:pPr>
        <w:pStyle w:val="72"/>
        <w:rPr>
          <w:rFonts w:hint="eastAsia"/>
          <w:color w:val="auto"/>
          <w:highlight w:val="none"/>
          <w:lang w:val="en-US" w:eastAsia="zh-CN"/>
        </w:rPr>
      </w:pPr>
      <w:r>
        <w:rPr>
          <w:rFonts w:hint="eastAsia"/>
          <w:color w:val="auto"/>
          <w:highlight w:val="none"/>
          <w:lang w:val="en-US" w:eastAsia="zh-CN"/>
        </w:rPr>
        <w:t>质保金</w:t>
      </w:r>
    </w:p>
    <w:p w14:paraId="7A368832">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质保期：</w:t>
      </w:r>
      <w:r>
        <w:rPr>
          <w:rFonts w:hint="eastAsia" w:ascii="宋体" w:hAnsi="宋体" w:eastAsia="宋体" w:cs="宋体"/>
          <w:b w:val="0"/>
          <w:bCs w:val="0"/>
          <w:color w:val="auto"/>
          <w:sz w:val="21"/>
          <w:szCs w:val="21"/>
          <w:highlight w:val="none"/>
          <w:lang w:val="en-US" w:eastAsia="zh-CN"/>
        </w:rPr>
        <w:t>自设备验收文件最终签署之日起3年。（投标人可在满足上述最短质保期基础上竞报）</w:t>
      </w:r>
    </w:p>
    <w:p w14:paraId="39BF44EA">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质保金：</w:t>
      </w:r>
      <w:r>
        <w:rPr>
          <w:rFonts w:hint="eastAsia" w:ascii="宋体" w:hAnsi="宋体" w:eastAsia="宋体" w:cs="宋体"/>
          <w:b w:val="0"/>
          <w:bCs w:val="0"/>
          <w:color w:val="auto"/>
          <w:sz w:val="21"/>
          <w:szCs w:val="21"/>
          <w:highlight w:val="none"/>
          <w:lang w:val="en-US" w:eastAsia="zh-CN"/>
        </w:rPr>
        <w:t>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2FF51225">
      <w:pPr>
        <w:pStyle w:val="72"/>
        <w:rPr>
          <w:rFonts w:hint="eastAsia"/>
          <w:color w:val="auto"/>
          <w:highlight w:val="none"/>
          <w:lang w:val="en-US" w:eastAsia="zh-CN"/>
        </w:rPr>
      </w:pPr>
      <w:r>
        <w:rPr>
          <w:rFonts w:hint="eastAsia"/>
          <w:color w:val="auto"/>
          <w:highlight w:val="none"/>
          <w:lang w:val="en-US" w:eastAsia="zh-CN"/>
        </w:rPr>
        <w:t>本次招标最终解释权归中国重汽集团济南商用车有限公司</w:t>
      </w:r>
    </w:p>
    <w:p w14:paraId="5C2F6F13">
      <w:pPr>
        <w:pStyle w:val="76"/>
        <w:rPr>
          <w:color w:val="auto"/>
          <w:highlight w:val="none"/>
        </w:rPr>
      </w:pPr>
    </w:p>
    <w:p w14:paraId="1489314D">
      <w:pPr>
        <w:pStyle w:val="76"/>
        <w:rPr>
          <w:color w:val="auto"/>
          <w:highlight w:val="none"/>
        </w:rPr>
      </w:pPr>
    </w:p>
    <w:p w14:paraId="3D93BBE6">
      <w:pPr>
        <w:pStyle w:val="76"/>
        <w:rPr>
          <w:color w:val="auto"/>
          <w:highlight w:val="none"/>
        </w:rPr>
      </w:pPr>
    </w:p>
    <w:p w14:paraId="3EAF35C1">
      <w:pPr>
        <w:pStyle w:val="76"/>
        <w:rPr>
          <w:color w:val="auto"/>
          <w:highlight w:val="none"/>
        </w:rPr>
      </w:pPr>
    </w:p>
    <w:p w14:paraId="4B6E916F">
      <w:pPr>
        <w:pStyle w:val="76"/>
        <w:rPr>
          <w:color w:val="auto"/>
          <w:highlight w:val="none"/>
        </w:rPr>
      </w:pPr>
    </w:p>
    <w:p w14:paraId="0AE27BB3">
      <w:pPr>
        <w:pStyle w:val="76"/>
        <w:rPr>
          <w:color w:val="auto"/>
          <w:highlight w:val="none"/>
        </w:rPr>
      </w:pPr>
    </w:p>
    <w:p w14:paraId="3CA6AC94">
      <w:pPr>
        <w:pStyle w:val="76"/>
        <w:rPr>
          <w:color w:val="auto"/>
          <w:highlight w:val="none"/>
        </w:rPr>
      </w:pPr>
    </w:p>
    <w:p w14:paraId="3CA3FF74">
      <w:pPr>
        <w:pStyle w:val="76"/>
        <w:rPr>
          <w:color w:val="auto"/>
          <w:highlight w:val="none"/>
        </w:rPr>
      </w:pPr>
    </w:p>
    <w:p w14:paraId="3F88A131">
      <w:pPr>
        <w:pStyle w:val="76"/>
        <w:rPr>
          <w:color w:val="auto"/>
          <w:highlight w:val="none"/>
        </w:rPr>
      </w:pPr>
    </w:p>
    <w:p w14:paraId="05EFC44C">
      <w:pPr>
        <w:pStyle w:val="76"/>
        <w:rPr>
          <w:color w:val="auto"/>
          <w:highlight w:val="none"/>
        </w:rPr>
      </w:pPr>
    </w:p>
    <w:p w14:paraId="6D62C9DF">
      <w:pPr>
        <w:pStyle w:val="76"/>
        <w:rPr>
          <w:color w:val="auto"/>
          <w:highlight w:val="none"/>
        </w:rPr>
      </w:pPr>
    </w:p>
    <w:p w14:paraId="1C27AF9E">
      <w:pPr>
        <w:pStyle w:val="76"/>
        <w:rPr>
          <w:color w:val="auto"/>
          <w:highlight w:val="none"/>
        </w:rPr>
      </w:pPr>
    </w:p>
    <w:p w14:paraId="7962E61E">
      <w:pPr>
        <w:pStyle w:val="76"/>
        <w:rPr>
          <w:color w:val="auto"/>
          <w:highlight w:val="none"/>
        </w:rPr>
      </w:pPr>
    </w:p>
    <w:p w14:paraId="23046CDC">
      <w:pPr>
        <w:pStyle w:val="76"/>
        <w:rPr>
          <w:color w:val="auto"/>
          <w:highlight w:val="none"/>
        </w:rPr>
      </w:pPr>
    </w:p>
    <w:p w14:paraId="493C304C">
      <w:pPr>
        <w:pStyle w:val="76"/>
        <w:rPr>
          <w:color w:val="auto"/>
          <w:highlight w:val="none"/>
        </w:rPr>
      </w:pPr>
    </w:p>
    <w:p w14:paraId="74533932">
      <w:pPr>
        <w:pStyle w:val="76"/>
        <w:rPr>
          <w:color w:val="auto"/>
          <w:highlight w:val="none"/>
        </w:rPr>
      </w:pPr>
    </w:p>
    <w:p w14:paraId="7BC0A826">
      <w:pPr>
        <w:pStyle w:val="71"/>
        <w:jc w:val="both"/>
        <w:rPr>
          <w:rFonts w:hint="eastAsia"/>
          <w:color w:val="auto"/>
          <w:highlight w:val="none"/>
        </w:rPr>
      </w:pPr>
      <w:bookmarkStart w:id="22" w:name="_Toc47976607"/>
    </w:p>
    <w:p w14:paraId="332C47D5">
      <w:pPr>
        <w:pStyle w:val="71"/>
        <w:jc w:val="both"/>
        <w:rPr>
          <w:rFonts w:hint="eastAsia"/>
          <w:color w:val="auto"/>
          <w:highlight w:val="none"/>
        </w:rPr>
      </w:pPr>
    </w:p>
    <w:p w14:paraId="50BEFB7C">
      <w:pPr>
        <w:pStyle w:val="71"/>
        <w:jc w:val="both"/>
        <w:rPr>
          <w:rFonts w:hint="eastAsia"/>
          <w:color w:val="auto"/>
          <w:highlight w:val="none"/>
        </w:rPr>
      </w:pPr>
    </w:p>
    <w:bookmarkEnd w:id="22"/>
    <w:p w14:paraId="6846104F">
      <w:pPr>
        <w:pStyle w:val="71"/>
        <w:numPr>
          <w:ilvl w:val="0"/>
          <w:numId w:val="32"/>
        </w:numPr>
        <w:jc w:val="center"/>
        <w:rPr>
          <w:rFonts w:hint="eastAsia"/>
          <w:color w:val="auto"/>
          <w:highlight w:val="none"/>
          <w:lang w:val="en-US" w:eastAsia="zh-CN"/>
        </w:rPr>
      </w:pPr>
      <w:bookmarkStart w:id="23" w:name="_Toc1910"/>
      <w:r>
        <w:rPr>
          <w:rFonts w:hint="eastAsia"/>
          <w:color w:val="auto"/>
          <w:highlight w:val="none"/>
          <w:lang w:val="en-US" w:eastAsia="zh-CN"/>
        </w:rPr>
        <w:t>技术标书</w:t>
      </w:r>
      <w:bookmarkEnd w:id="23"/>
    </w:p>
    <w:p w14:paraId="69B97658">
      <w:pPr>
        <w:keepNext/>
        <w:keepLines/>
        <w:jc w:val="center"/>
        <w:outlineLvl w:val="0"/>
        <w:rPr>
          <w:rFonts w:ascii="Calibri" w:hAnsi="Calibri" w:eastAsia="宋体" w:cs="Times New Roman"/>
          <w:b/>
          <w:bCs/>
          <w:color w:val="auto"/>
          <w:kern w:val="44"/>
          <w:sz w:val="36"/>
          <w:szCs w:val="44"/>
          <w:highlight w:val="none"/>
        </w:rPr>
      </w:pPr>
    </w:p>
    <w:p w14:paraId="489DEEEA">
      <w:pPr>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济南轻卡制造公司总装车间</w:t>
      </w:r>
    </w:p>
    <w:p w14:paraId="4F7344EE">
      <w:pPr>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lang w:val="en-US" w:eastAsia="zh-CN"/>
        </w:rPr>
        <w:t>LED</w:t>
      </w:r>
      <w:r>
        <w:rPr>
          <w:rFonts w:hint="eastAsia" w:ascii="Calibri" w:hAnsi="宋体" w:eastAsia="宋体" w:cs="Times New Roman"/>
          <w:b/>
          <w:bCs/>
          <w:color w:val="auto"/>
          <w:spacing w:val="-8"/>
          <w:sz w:val="48"/>
          <w:szCs w:val="44"/>
          <w:highlight w:val="none"/>
        </w:rPr>
        <w:t>大屏项目</w:t>
      </w:r>
    </w:p>
    <w:p w14:paraId="1394F76F">
      <w:pPr>
        <w:pStyle w:val="14"/>
        <w:framePr w:wrap="around" w:vAnchor="margin" w:hAnchor="text" w:y="1"/>
        <w:rPr>
          <w:color w:val="auto"/>
          <w:highlight w:val="none"/>
        </w:rPr>
      </w:pPr>
    </w:p>
    <w:p w14:paraId="07686BC0">
      <w:pPr>
        <w:jc w:val="center"/>
        <w:rPr>
          <w:rFonts w:ascii="黑体" w:hAnsi="宋体" w:eastAsia="黑体" w:cs="Times New Roman"/>
          <w:color w:val="auto"/>
          <w:sz w:val="72"/>
          <w:szCs w:val="72"/>
          <w:highlight w:val="none"/>
        </w:rPr>
      </w:pPr>
    </w:p>
    <w:p w14:paraId="07E2756B">
      <w:pPr>
        <w:jc w:val="center"/>
        <w:rPr>
          <w:rFonts w:ascii="黑体" w:hAnsi="宋体" w:eastAsia="黑体" w:cs="Times New Roman"/>
          <w:color w:val="auto"/>
          <w:sz w:val="72"/>
          <w:szCs w:val="72"/>
          <w:highlight w:val="none"/>
        </w:rPr>
      </w:pPr>
    </w:p>
    <w:p w14:paraId="5D0CA2AF">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14:paraId="4B6BD445">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14:paraId="074BFF61">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60FE51C4">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14:paraId="081B332D">
      <w:pPr>
        <w:pStyle w:val="14"/>
        <w:framePr w:wrap="around" w:vAnchor="margin" w:hAnchor="text" w:y="1"/>
        <w:rPr>
          <w:color w:val="auto"/>
          <w:highlight w:val="none"/>
        </w:rPr>
      </w:pPr>
    </w:p>
    <w:p w14:paraId="6FC16FBA">
      <w:pPr>
        <w:pStyle w:val="14"/>
        <w:framePr w:wrap="around" w:vAnchor="margin" w:hAnchor="text" w:y="1"/>
        <w:rPr>
          <w:color w:val="auto"/>
          <w:highlight w:val="none"/>
        </w:rPr>
      </w:pPr>
    </w:p>
    <w:p w14:paraId="3A0AC998">
      <w:pPr>
        <w:pStyle w:val="14"/>
        <w:framePr w:wrap="around" w:vAnchor="margin" w:hAnchor="text" w:y="1"/>
        <w:rPr>
          <w:color w:val="auto"/>
          <w:highlight w:val="none"/>
        </w:rPr>
      </w:pPr>
    </w:p>
    <w:p w14:paraId="7282A3F2">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rPr>
        <w:t xml:space="preserve"> 编制：             </w:t>
      </w:r>
    </w:p>
    <w:p w14:paraId="4BBFF0DC">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审核：             </w:t>
      </w:r>
    </w:p>
    <w:p w14:paraId="66CA9C4D">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批准：     </w:t>
      </w:r>
    </w:p>
    <w:p w14:paraId="391CB247">
      <w:pPr>
        <w:jc w:val="center"/>
        <w:rPr>
          <w:rFonts w:hint="eastAsia" w:ascii="宋体" w:hAnsi="宋体" w:eastAsia="宋体" w:cs="Times New Roman"/>
          <w:color w:val="auto"/>
          <w:sz w:val="28"/>
          <w:szCs w:val="28"/>
          <w:highlight w:val="none"/>
        </w:rPr>
      </w:pPr>
    </w:p>
    <w:p w14:paraId="44EB4C97">
      <w:pPr>
        <w:jc w:val="center"/>
        <w:rPr>
          <w:rFonts w:hint="eastAsia" w:ascii="Calibri" w:hAnsi="Calibri" w:eastAsia="宋体" w:cs="Times New Roman"/>
          <w:color w:val="auto"/>
          <w:sz w:val="28"/>
          <w:szCs w:val="28"/>
          <w:highlight w:val="none"/>
        </w:rPr>
      </w:pPr>
    </w:p>
    <w:p w14:paraId="688B5448">
      <w:pPr>
        <w:jc w:val="center"/>
        <w:rPr>
          <w:rFonts w:hint="eastAsia" w:ascii="Calibri" w:hAnsi="Calibri" w:eastAsia="宋体" w:cs="Times New Roman"/>
          <w:color w:val="auto"/>
          <w:sz w:val="28"/>
          <w:szCs w:val="28"/>
          <w:highlight w:val="none"/>
        </w:rPr>
      </w:pPr>
    </w:p>
    <w:p w14:paraId="5FDB3CFE">
      <w:pPr>
        <w:jc w:val="center"/>
        <w:rPr>
          <w:rFonts w:hint="eastAsia" w:ascii="Calibri" w:hAnsi="Calibri" w:eastAsia="宋体" w:cs="Times New Roman"/>
          <w:color w:val="auto"/>
          <w:sz w:val="28"/>
          <w:szCs w:val="28"/>
          <w:highlight w:val="none"/>
        </w:rPr>
      </w:pPr>
    </w:p>
    <w:p w14:paraId="30322EBB">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 w:name="_Toc19716"/>
      <w:bookmarkStart w:id="25" w:name="_Toc19570"/>
      <w:bookmarkStart w:id="26" w:name="_Toc2174"/>
      <w:bookmarkStart w:id="27" w:name="_Toc2042"/>
      <w:bookmarkStart w:id="28" w:name="_Toc7975"/>
      <w:bookmarkStart w:id="29" w:name="_Toc32410"/>
      <w:r>
        <w:rPr>
          <w:rFonts w:hint="eastAsia" w:ascii="仿宋" w:hAnsi="仿宋" w:eastAsia="仿宋" w:cs="仿宋"/>
          <w:b/>
          <w:bCs/>
          <w:color w:val="auto"/>
          <w:highlight w:val="none"/>
        </w:rPr>
        <w:t>第一章采购货物概况</w:t>
      </w:r>
      <w:bookmarkEnd w:id="24"/>
      <w:bookmarkEnd w:id="25"/>
      <w:bookmarkEnd w:id="26"/>
      <w:bookmarkEnd w:id="27"/>
      <w:bookmarkEnd w:id="28"/>
      <w:bookmarkEnd w:id="29"/>
      <w:bookmarkStart w:id="30" w:name="_Toc133783967"/>
    </w:p>
    <w:p w14:paraId="2580D937">
      <w:pPr>
        <w:adjustRightInd w:val="0"/>
        <w:snapToGrid w:val="0"/>
        <w:spacing w:line="360" w:lineRule="auto"/>
        <w:jc w:val="center"/>
        <w:outlineLvl w:val="1"/>
        <w:rPr>
          <w:rFonts w:ascii="仿宋" w:hAnsi="仿宋" w:eastAsia="仿宋" w:cs="仿宋"/>
          <w:b/>
          <w:bCs/>
          <w:color w:val="auto"/>
          <w:highlight w:val="none"/>
        </w:rPr>
      </w:pPr>
      <w:bookmarkStart w:id="31" w:name="_Toc7159"/>
      <w:bookmarkStart w:id="32" w:name="_Toc6498"/>
      <w:bookmarkStart w:id="33" w:name="_Toc29927"/>
      <w:bookmarkStart w:id="34" w:name="_Toc2940"/>
      <w:bookmarkStart w:id="35" w:name="_Toc22942"/>
      <w:bookmarkStart w:id="36" w:name="_Toc6606"/>
      <w:bookmarkStart w:id="37" w:name="_Toc28361"/>
      <w:bookmarkStart w:id="38" w:name="_Toc892"/>
      <w:bookmarkStart w:id="39" w:name="_Toc16714"/>
      <w:bookmarkStart w:id="40" w:name="_Toc4004"/>
      <w:bookmarkStart w:id="41" w:name="_Toc29157"/>
      <w:bookmarkStart w:id="42" w:name="_Toc10612"/>
      <w:bookmarkStart w:id="43" w:name="_Toc30245"/>
      <w:bookmarkStart w:id="44" w:name="_Toc8362"/>
      <w:bookmarkStart w:id="45" w:name="_Toc29605"/>
      <w:bookmarkStart w:id="46" w:name="_Toc30808"/>
      <w:bookmarkStart w:id="47" w:name="_Toc5609"/>
      <w:bookmarkStart w:id="48" w:name="_Toc6436"/>
      <w:bookmarkStart w:id="49" w:name="_Toc7333"/>
      <w:bookmarkStart w:id="50" w:name="_Toc11763"/>
      <w:bookmarkStart w:id="51" w:name="_Toc5826"/>
      <w:bookmarkStart w:id="52" w:name="_Toc24689"/>
      <w:bookmarkStart w:id="53" w:name="_Toc17474"/>
      <w:bookmarkStart w:id="54" w:name="_Toc5400"/>
      <w:bookmarkStart w:id="55" w:name="_Toc9983"/>
      <w:bookmarkStart w:id="56" w:name="_Toc864"/>
      <w:bookmarkStart w:id="57" w:name="_Toc5172"/>
      <w:bookmarkStart w:id="58" w:name="_Toc19070"/>
      <w:bookmarkStart w:id="59" w:name="_Toc7515"/>
      <w:bookmarkStart w:id="60" w:name="_Toc5983"/>
      <w:bookmarkStart w:id="61" w:name="_Toc21892"/>
      <w:bookmarkStart w:id="62" w:name="_Toc2996"/>
      <w:bookmarkStart w:id="63" w:name="_Toc11411"/>
      <w:bookmarkStart w:id="64" w:name="_Toc24613"/>
      <w:bookmarkStart w:id="65" w:name="_Toc25011"/>
      <w:bookmarkStart w:id="66" w:name="_Toc31000"/>
      <w:bookmarkStart w:id="67" w:name="_Toc2152"/>
      <w:bookmarkStart w:id="68" w:name="_Toc5420"/>
      <w:bookmarkStart w:id="69" w:name="_Toc21756"/>
      <w:bookmarkStart w:id="70" w:name="_Toc27214"/>
      <w:bookmarkStart w:id="71" w:name="_Toc22424"/>
      <w:bookmarkStart w:id="72" w:name="_Toc30246"/>
      <w:r>
        <w:rPr>
          <w:rFonts w:hint="eastAsia" w:ascii="仿宋" w:hAnsi="仿宋" w:eastAsia="仿宋" w:cs="仿宋"/>
          <w:b/>
          <w:bCs/>
          <w:color w:val="auto"/>
          <w:highlight w:val="none"/>
        </w:rPr>
        <w:t>第一节使用环境</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976972B">
      <w:pPr>
        <w:pStyle w:val="16"/>
        <w:tabs>
          <w:tab w:val="left" w:pos="0"/>
        </w:tabs>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1项目名称：</w:t>
      </w:r>
      <w:r>
        <w:rPr>
          <w:rFonts w:hint="eastAsia" w:ascii="仿宋" w:hAnsi="仿宋" w:eastAsia="仿宋" w:cs="仿宋"/>
          <w:color w:val="auto"/>
          <w:highlight w:val="none"/>
          <w:lang w:val="en-US" w:eastAsia="zh-CN"/>
        </w:rPr>
        <w:t>济南轻卡制造公司总装车间LED</w:t>
      </w:r>
      <w:r>
        <w:rPr>
          <w:rFonts w:hint="eastAsia" w:ascii="仿宋" w:hAnsi="仿宋" w:eastAsia="仿宋" w:cs="仿宋"/>
          <w:color w:val="auto"/>
          <w:highlight w:val="none"/>
        </w:rPr>
        <w:t>大屏项目</w:t>
      </w:r>
    </w:p>
    <w:p w14:paraId="2FC8538A">
      <w:pPr>
        <w:pStyle w:val="16"/>
        <w:snapToGrid w:val="0"/>
        <w:spacing w:line="360" w:lineRule="auto"/>
        <w:ind w:firstLine="480" w:firstLineChars="200"/>
        <w:rPr>
          <w:rFonts w:ascii="仿宋" w:hAnsi="仿宋" w:eastAsia="仿宋" w:cs="仿宋"/>
          <w:color w:val="auto"/>
          <w:highlight w:val="none"/>
          <w:u w:val="single"/>
          <w:shd w:val="pct10" w:color="auto" w:fill="FFFFFF"/>
        </w:rPr>
      </w:pPr>
      <w:r>
        <w:rPr>
          <w:rFonts w:hint="eastAsia" w:ascii="仿宋" w:hAnsi="仿宋" w:eastAsia="仿宋" w:cs="仿宋"/>
          <w:color w:val="auto"/>
          <w:highlight w:val="none"/>
        </w:rPr>
        <w:t>2建设地点：</w:t>
      </w:r>
      <w:r>
        <w:rPr>
          <w:rFonts w:hint="eastAsia" w:ascii="仿宋" w:hAnsi="仿宋" w:eastAsia="仿宋" w:cs="仿宋"/>
          <w:color w:val="auto"/>
          <w:highlight w:val="none"/>
          <w:lang w:val="en-US" w:eastAsia="zh-CN"/>
        </w:rPr>
        <w:t>济南轻卡制造</w:t>
      </w:r>
      <w:r>
        <w:rPr>
          <w:rFonts w:hint="eastAsia" w:ascii="仿宋" w:hAnsi="仿宋" w:eastAsia="仿宋" w:cs="仿宋"/>
          <w:color w:val="auto"/>
          <w:highlight w:val="none"/>
        </w:rPr>
        <w:t>公司</w:t>
      </w:r>
    </w:p>
    <w:p w14:paraId="56E4FC83">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3使用地点：总装线</w:t>
      </w:r>
    </w:p>
    <w:p w14:paraId="40124CA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4工作制度：全年24小时不间断运行</w:t>
      </w:r>
    </w:p>
    <w:p w14:paraId="21AEDFC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5使用地点区域自然环境：</w:t>
      </w:r>
    </w:p>
    <w:p w14:paraId="233936C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5.1海拨高度：1000m以下。</w:t>
      </w:r>
    </w:p>
    <w:p w14:paraId="6B86343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5.2环境温度：环境温度10°C 至 35°C。</w:t>
      </w:r>
    </w:p>
    <w:p w14:paraId="6FA46E5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5.3相对湿度：年平均59%，最大95%、最小15%。</w:t>
      </w:r>
    </w:p>
    <w:p w14:paraId="72D08A5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 地震裂度：七度。</w:t>
      </w:r>
    </w:p>
    <w:p w14:paraId="26A749E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6能源环境：</w:t>
      </w:r>
    </w:p>
    <w:p w14:paraId="4CFAA94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6.1电力：中国制式，供电电压</w:t>
      </w:r>
      <w:r>
        <w:rPr>
          <w:rFonts w:hint="eastAsia" w:ascii="仿宋" w:hAnsi="仿宋" w:eastAsia="仿宋" w:cs="仿宋"/>
          <w:color w:val="auto"/>
          <w:highlight w:val="none"/>
          <w:u w:val="single"/>
          <w:shd w:val="pct10" w:color="auto" w:fill="FFFFFF"/>
        </w:rPr>
        <w:t>380V±15%/220V±15%</w:t>
      </w:r>
      <w:r>
        <w:rPr>
          <w:rFonts w:hint="eastAsia" w:ascii="仿宋" w:hAnsi="仿宋" w:eastAsia="仿宋" w:cs="仿宋"/>
          <w:color w:val="auto"/>
          <w:highlight w:val="none"/>
        </w:rPr>
        <w:t>，供电频率50Hz±2%。</w:t>
      </w:r>
    </w:p>
    <w:p w14:paraId="4E629A78">
      <w:pPr>
        <w:adjustRightInd w:val="0"/>
        <w:snapToGrid w:val="0"/>
        <w:spacing w:line="360" w:lineRule="auto"/>
        <w:jc w:val="center"/>
        <w:outlineLvl w:val="1"/>
        <w:rPr>
          <w:rFonts w:ascii="仿宋" w:hAnsi="仿宋" w:eastAsia="仿宋" w:cs="仿宋"/>
          <w:color w:val="auto"/>
          <w:highlight w:val="none"/>
        </w:rPr>
      </w:pPr>
      <w:bookmarkStart w:id="73" w:name="_Toc9561"/>
      <w:bookmarkStart w:id="74" w:name="_Toc1523"/>
      <w:bookmarkStart w:id="75" w:name="_Toc21302"/>
      <w:bookmarkStart w:id="76" w:name="_Toc4175"/>
      <w:bookmarkStart w:id="77" w:name="_Toc1424"/>
      <w:bookmarkStart w:id="78" w:name="_Toc27857"/>
      <w:bookmarkStart w:id="79" w:name="_Toc18032"/>
      <w:bookmarkStart w:id="80" w:name="_Toc13324"/>
      <w:bookmarkStart w:id="81" w:name="_Toc29019"/>
      <w:bookmarkStart w:id="82" w:name="_Toc13544"/>
      <w:bookmarkStart w:id="83" w:name="_Toc133783968"/>
      <w:bookmarkStart w:id="84" w:name="_Toc6433"/>
      <w:bookmarkStart w:id="85" w:name="_Toc5374"/>
      <w:bookmarkStart w:id="86" w:name="_Toc29333"/>
      <w:bookmarkStart w:id="87" w:name="_Toc12401"/>
      <w:bookmarkStart w:id="88" w:name="_Toc8560"/>
      <w:bookmarkStart w:id="89" w:name="_Toc5282"/>
      <w:bookmarkStart w:id="90" w:name="_Toc15369"/>
      <w:bookmarkStart w:id="91" w:name="_Toc32599"/>
      <w:bookmarkStart w:id="92" w:name="_Toc21957"/>
      <w:bookmarkStart w:id="93" w:name="_Toc9671"/>
      <w:bookmarkStart w:id="94" w:name="_Toc17605"/>
      <w:bookmarkStart w:id="95" w:name="_Toc24481"/>
      <w:bookmarkStart w:id="96" w:name="_Toc8740"/>
      <w:bookmarkStart w:id="97" w:name="_Toc21616"/>
      <w:bookmarkStart w:id="98" w:name="_Toc24563"/>
      <w:bookmarkStart w:id="99" w:name="_Toc18569"/>
      <w:bookmarkStart w:id="100" w:name="_Toc17543"/>
      <w:bookmarkStart w:id="101" w:name="_Toc5421"/>
      <w:bookmarkStart w:id="102" w:name="_Toc27449"/>
      <w:bookmarkStart w:id="103" w:name="_Toc8728"/>
      <w:bookmarkStart w:id="104" w:name="_Toc11744"/>
      <w:bookmarkStart w:id="105" w:name="_Toc24559"/>
      <w:bookmarkStart w:id="106" w:name="_Toc9143"/>
      <w:bookmarkStart w:id="107" w:name="_Toc23473"/>
      <w:bookmarkStart w:id="108" w:name="_Toc17682"/>
      <w:bookmarkStart w:id="109" w:name="_Toc30431"/>
      <w:bookmarkStart w:id="110" w:name="_Toc429"/>
      <w:bookmarkStart w:id="111" w:name="_Toc18778"/>
      <w:bookmarkStart w:id="112" w:name="_Toc7568"/>
      <w:bookmarkStart w:id="113" w:name="_Toc6636"/>
      <w:bookmarkStart w:id="114" w:name="_Toc29190"/>
      <w:bookmarkStart w:id="115" w:name="_Toc9784"/>
      <w:bookmarkStart w:id="116" w:name="_Toc31241"/>
      <w:bookmarkStart w:id="117" w:name="_Toc17750"/>
      <w:bookmarkStart w:id="118" w:name="_Toc10013"/>
      <w:bookmarkStart w:id="119" w:name="_Toc22983"/>
      <w:r>
        <w:rPr>
          <w:rFonts w:hint="eastAsia" w:ascii="仿宋" w:hAnsi="仿宋" w:eastAsia="仿宋" w:cs="仿宋"/>
          <w:b/>
          <w:bCs/>
          <w:color w:val="auto"/>
          <w:highlight w:val="none"/>
        </w:rPr>
        <w:t>第二节采购货物概况</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DBD1A9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1货物：</w:t>
      </w:r>
      <w:r>
        <w:rPr>
          <w:rFonts w:hint="eastAsia" w:ascii="仿宋" w:hAnsi="仿宋" w:eastAsia="仿宋" w:cs="仿宋"/>
          <w:color w:val="auto"/>
          <w:highlight w:val="none"/>
          <w:lang w:val="en-US" w:eastAsia="zh-CN"/>
        </w:rPr>
        <w:t>LED屏、拼控设备、LED配电柜</w:t>
      </w:r>
      <w:r>
        <w:rPr>
          <w:rFonts w:hint="eastAsia" w:ascii="仿宋" w:hAnsi="仿宋" w:eastAsia="仿宋" w:cs="仿宋"/>
          <w:color w:val="auto"/>
          <w:highlight w:val="none"/>
        </w:rPr>
        <w:t>（详见下表）</w:t>
      </w:r>
    </w:p>
    <w:p w14:paraId="18D311B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shd w:val="pct10" w:color="auto" w:fill="FFFFFF"/>
          <w:lang w:val="en-US" w:eastAsia="zh-CN"/>
        </w:rPr>
        <w:t>5件</w:t>
      </w:r>
      <w:r>
        <w:rPr>
          <w:rFonts w:hint="eastAsia" w:ascii="仿宋" w:hAnsi="仿宋" w:eastAsia="仿宋" w:cs="仿宋"/>
          <w:color w:val="auto"/>
          <w:highlight w:val="none"/>
        </w:rPr>
        <w:t>（详见下表）</w:t>
      </w:r>
    </w:p>
    <w:p w14:paraId="6D635417">
      <w:pPr>
        <w:pStyle w:val="16"/>
        <w:snapToGrid w:val="0"/>
        <w:spacing w:line="360" w:lineRule="auto"/>
        <w:ind w:firstLine="480" w:firstLineChars="200"/>
        <w:jc w:val="center"/>
        <w:rPr>
          <w:rFonts w:hint="eastAsia"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0"/>
        <w:tblW w:w="9280"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627"/>
        <w:gridCol w:w="3376"/>
        <w:gridCol w:w="2457"/>
        <w:gridCol w:w="1820"/>
      </w:tblGrid>
      <w:tr w14:paraId="35C67263">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restart"/>
            <w:tcBorders>
              <w:bottom w:val="single" w:color="000000" w:sz="8" w:space="0"/>
            </w:tcBorders>
            <w:shd w:val="clear" w:color="auto" w:fill="auto"/>
            <w:vAlign w:val="center"/>
          </w:tcPr>
          <w:p w14:paraId="5088F0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376" w:type="dxa"/>
            <w:vMerge w:val="restart"/>
            <w:tcBorders>
              <w:bottom w:val="single" w:color="000000" w:sz="8" w:space="0"/>
            </w:tcBorders>
            <w:shd w:val="clear" w:color="auto" w:fill="auto"/>
            <w:vAlign w:val="center"/>
          </w:tcPr>
          <w:p w14:paraId="409439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2457" w:type="dxa"/>
            <w:vMerge w:val="restart"/>
            <w:tcBorders>
              <w:bottom w:val="single" w:color="000000" w:sz="8" w:space="0"/>
            </w:tcBorders>
            <w:shd w:val="clear" w:color="auto" w:fill="auto"/>
            <w:vAlign w:val="center"/>
          </w:tcPr>
          <w:p w14:paraId="57394D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820" w:type="dxa"/>
            <w:vMerge w:val="restart"/>
            <w:tcBorders>
              <w:bottom w:val="single" w:color="000000" w:sz="8" w:space="0"/>
            </w:tcBorders>
            <w:shd w:val="clear" w:color="auto" w:fill="auto"/>
            <w:vAlign w:val="center"/>
          </w:tcPr>
          <w:p w14:paraId="051F6D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0000E728">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7E2AC82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3B9F64A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445615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279A0D3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6A529624">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52BC489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78986DA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43CE816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1B7F3BA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3B95636E">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1A007BE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376" w:type="dxa"/>
            <w:tcBorders>
              <w:top w:val="single" w:color="000000" w:sz="8" w:space="0"/>
              <w:bottom w:val="single" w:color="000000" w:sz="8" w:space="0"/>
            </w:tcBorders>
            <w:shd w:val="clear" w:color="auto" w:fill="auto"/>
            <w:vAlign w:val="center"/>
          </w:tcPr>
          <w:p w14:paraId="0DE1B4B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56CE1FC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151DAD7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1E2ABA1A">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51D2C7D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376" w:type="dxa"/>
            <w:tcBorders>
              <w:top w:val="single" w:color="000000" w:sz="8" w:space="0"/>
              <w:bottom w:val="single" w:color="000000" w:sz="8" w:space="0"/>
            </w:tcBorders>
            <w:shd w:val="clear" w:color="auto" w:fill="auto"/>
            <w:vAlign w:val="center"/>
          </w:tcPr>
          <w:p w14:paraId="7B6A33A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6AB5A7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2AD9CEC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5080A291">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670D08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376" w:type="dxa"/>
            <w:tcBorders>
              <w:top w:val="single" w:color="000000" w:sz="8" w:space="0"/>
              <w:bottom w:val="single" w:color="000000" w:sz="8" w:space="0"/>
            </w:tcBorders>
            <w:shd w:val="clear" w:color="auto" w:fill="auto"/>
            <w:vAlign w:val="center"/>
          </w:tcPr>
          <w:p w14:paraId="755539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2457" w:type="dxa"/>
            <w:tcBorders>
              <w:top w:val="single" w:color="000000" w:sz="8" w:space="0"/>
              <w:bottom w:val="single" w:color="000000" w:sz="8" w:space="0"/>
            </w:tcBorders>
            <w:shd w:val="clear" w:color="auto" w:fill="auto"/>
            <w:vAlign w:val="center"/>
          </w:tcPr>
          <w:p w14:paraId="08B60A4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820" w:type="dxa"/>
            <w:tcBorders>
              <w:top w:val="single" w:color="000000" w:sz="8" w:space="0"/>
              <w:bottom w:val="single" w:color="000000" w:sz="8" w:space="0"/>
            </w:tcBorders>
            <w:shd w:val="clear" w:color="auto" w:fill="auto"/>
            <w:vAlign w:val="center"/>
          </w:tcPr>
          <w:p w14:paraId="775DFB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63C73CEF">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tcBorders>
            <w:shd w:val="clear" w:color="auto" w:fill="auto"/>
            <w:vAlign w:val="center"/>
          </w:tcPr>
          <w:p w14:paraId="3832E51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376" w:type="dxa"/>
            <w:tcBorders>
              <w:top w:val="single" w:color="000000" w:sz="8" w:space="0"/>
            </w:tcBorders>
            <w:shd w:val="clear" w:color="auto" w:fill="auto"/>
            <w:vAlign w:val="center"/>
          </w:tcPr>
          <w:p w14:paraId="726E402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2457" w:type="dxa"/>
            <w:tcBorders>
              <w:top w:val="single" w:color="000000" w:sz="8" w:space="0"/>
            </w:tcBorders>
            <w:shd w:val="clear" w:color="auto" w:fill="auto"/>
            <w:vAlign w:val="center"/>
          </w:tcPr>
          <w:p w14:paraId="22FB22C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820" w:type="dxa"/>
            <w:tcBorders>
              <w:top w:val="single" w:color="000000" w:sz="8" w:space="0"/>
            </w:tcBorders>
            <w:shd w:val="clear" w:color="auto" w:fill="auto"/>
            <w:vAlign w:val="center"/>
          </w:tcPr>
          <w:p w14:paraId="2D8EFEF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0832B6E0">
      <w:pPr>
        <w:pStyle w:val="16"/>
        <w:snapToGrid w:val="0"/>
        <w:spacing w:line="360" w:lineRule="auto"/>
        <w:ind w:left="0" w:leftChars="0" w:firstLine="0" w:firstLineChars="0"/>
        <w:rPr>
          <w:rFonts w:hint="eastAsia" w:ascii="仿宋" w:hAnsi="仿宋" w:eastAsia="仿宋" w:cs="仿宋"/>
          <w:color w:val="auto"/>
          <w:highlight w:val="none"/>
        </w:rPr>
      </w:pPr>
    </w:p>
    <w:p w14:paraId="547BFB6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备注：</w:t>
      </w:r>
    </w:p>
    <w:p w14:paraId="4A43D7B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1C49756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②本表“供货方式”指：交钥匙方式——包括制造、运输、定点卸货、安装、调试和验收以及培训等。</w:t>
      </w:r>
    </w:p>
    <w:p w14:paraId="565D1E37">
      <w:pPr>
        <w:jc w:val="center"/>
        <w:outlineLvl w:val="0"/>
        <w:rPr>
          <w:rFonts w:ascii="仿宋" w:hAnsi="仿宋" w:eastAsia="仿宋" w:cs="仿宋"/>
          <w:b/>
          <w:bCs/>
          <w:color w:val="auto"/>
          <w:highlight w:val="none"/>
        </w:rPr>
      </w:pPr>
      <w:bookmarkStart w:id="120" w:name="_Toc22689"/>
      <w:bookmarkStart w:id="121" w:name="_Toc23603"/>
      <w:bookmarkStart w:id="122" w:name="_Toc31734"/>
      <w:bookmarkStart w:id="123" w:name="_Toc498"/>
      <w:bookmarkStart w:id="124" w:name="_Toc7338"/>
      <w:bookmarkStart w:id="125" w:name="_Toc24992"/>
      <w:bookmarkStart w:id="126" w:name="_Toc10441"/>
      <w:bookmarkStart w:id="127" w:name="_Toc26470"/>
      <w:bookmarkStart w:id="128" w:name="_Toc7739"/>
      <w:bookmarkStart w:id="129" w:name="_Toc19015"/>
      <w:bookmarkStart w:id="130" w:name="_Toc1621"/>
      <w:bookmarkStart w:id="131" w:name="_Toc26149"/>
      <w:bookmarkStart w:id="132" w:name="_Toc11605"/>
      <w:bookmarkStart w:id="133" w:name="_Toc19793"/>
      <w:bookmarkStart w:id="134" w:name="_Toc133783969"/>
      <w:bookmarkStart w:id="135" w:name="_Toc10580"/>
      <w:bookmarkStart w:id="136" w:name="_Toc8780"/>
      <w:bookmarkStart w:id="137" w:name="_Toc20034"/>
      <w:bookmarkStart w:id="138" w:name="_Toc32524"/>
      <w:bookmarkStart w:id="139" w:name="_Toc15180"/>
      <w:bookmarkStart w:id="140" w:name="_Toc18120"/>
      <w:bookmarkStart w:id="141" w:name="_Toc32616"/>
      <w:bookmarkStart w:id="142" w:name="_Toc7813"/>
      <w:bookmarkStart w:id="143" w:name="_Toc24597"/>
      <w:bookmarkStart w:id="144" w:name="_Toc4881"/>
      <w:bookmarkStart w:id="145" w:name="_Toc29174"/>
      <w:bookmarkStart w:id="146" w:name="_Toc4743"/>
      <w:bookmarkStart w:id="147" w:name="_Toc4488"/>
      <w:bookmarkStart w:id="148" w:name="_Toc7710"/>
      <w:bookmarkStart w:id="149" w:name="_Toc2018"/>
      <w:bookmarkStart w:id="150" w:name="_Toc2875"/>
      <w:bookmarkStart w:id="151" w:name="_Toc16387"/>
      <w:bookmarkStart w:id="152" w:name="_Toc30429"/>
      <w:bookmarkStart w:id="153" w:name="_Toc27638"/>
      <w:bookmarkStart w:id="154" w:name="_Toc30487"/>
      <w:bookmarkStart w:id="155" w:name="_Toc28168"/>
      <w:bookmarkStart w:id="156" w:name="_Toc8565"/>
      <w:bookmarkStart w:id="157" w:name="_Toc6687"/>
      <w:bookmarkStart w:id="158" w:name="_Toc22658"/>
      <w:bookmarkStart w:id="159" w:name="_Toc13878"/>
      <w:bookmarkStart w:id="160" w:name="_Toc12377"/>
      <w:bookmarkStart w:id="161" w:name="_Toc17465"/>
      <w:bookmarkStart w:id="162" w:name="_Toc761"/>
      <w:r>
        <w:rPr>
          <w:rFonts w:hint="eastAsia" w:ascii="仿宋" w:hAnsi="仿宋" w:eastAsia="仿宋" w:cs="仿宋"/>
          <w:b/>
          <w:bCs/>
          <w:color w:val="auto"/>
          <w:highlight w:val="none"/>
        </w:rPr>
        <w:t>第二章技术要求</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86EC5E4">
      <w:pPr>
        <w:snapToGrid w:val="0"/>
        <w:spacing w:line="360" w:lineRule="auto"/>
        <w:ind w:firstLine="422" w:firstLineChars="200"/>
        <w:outlineLvl w:val="1"/>
        <w:rPr>
          <w:rFonts w:ascii="仿宋" w:hAnsi="仿宋" w:eastAsia="仿宋" w:cs="仿宋"/>
          <w:b/>
          <w:bCs/>
          <w:color w:val="auto"/>
          <w:highlight w:val="none"/>
        </w:rPr>
      </w:pPr>
      <w:bookmarkStart w:id="163" w:name="_Toc5876"/>
      <w:bookmarkStart w:id="164" w:name="_Toc18792"/>
      <w:bookmarkStart w:id="165" w:name="_Toc29489"/>
      <w:bookmarkStart w:id="166" w:name="_Toc25950"/>
      <w:bookmarkStart w:id="167" w:name="_Toc20402"/>
      <w:bookmarkStart w:id="168" w:name="_Toc27282"/>
      <w:bookmarkStart w:id="169" w:name="_Toc5804"/>
      <w:bookmarkStart w:id="170" w:name="_Toc6003"/>
      <w:bookmarkStart w:id="171" w:name="_Toc5714"/>
      <w:bookmarkStart w:id="172" w:name="_Toc9894"/>
      <w:bookmarkStart w:id="173" w:name="_Toc28751"/>
      <w:bookmarkStart w:id="174" w:name="_Toc4126"/>
      <w:bookmarkStart w:id="175" w:name="_Toc39"/>
      <w:bookmarkStart w:id="176" w:name="_Toc31246"/>
      <w:bookmarkStart w:id="177" w:name="_Toc22422"/>
      <w:bookmarkStart w:id="178" w:name="_Toc20792"/>
      <w:bookmarkStart w:id="179" w:name="_Toc5450"/>
      <w:bookmarkStart w:id="180" w:name="_Toc16063"/>
      <w:bookmarkStart w:id="181" w:name="_Toc21559"/>
      <w:bookmarkStart w:id="182" w:name="_Toc380"/>
      <w:bookmarkStart w:id="183" w:name="_Toc1968"/>
      <w:bookmarkStart w:id="184" w:name="_Toc5110"/>
      <w:bookmarkStart w:id="185" w:name="_Toc23050"/>
      <w:bookmarkStart w:id="186" w:name="_Toc15995"/>
      <w:bookmarkStart w:id="187" w:name="_Toc5430"/>
      <w:bookmarkStart w:id="188" w:name="_Toc11621"/>
      <w:bookmarkStart w:id="189" w:name="_Toc477"/>
      <w:bookmarkStart w:id="190" w:name="_Toc31434"/>
      <w:bookmarkStart w:id="191" w:name="_Toc23337"/>
      <w:bookmarkStart w:id="192" w:name="_Toc7141"/>
      <w:bookmarkStart w:id="193" w:name="_Toc2473"/>
      <w:bookmarkStart w:id="194" w:name="_Toc15747"/>
      <w:bookmarkStart w:id="195" w:name="_Toc27930"/>
      <w:bookmarkStart w:id="196" w:name="_Toc9134"/>
      <w:bookmarkStart w:id="197" w:name="_Toc16822"/>
      <w:bookmarkStart w:id="198" w:name="_Toc15744"/>
      <w:bookmarkStart w:id="199" w:name="_Toc29354"/>
      <w:bookmarkStart w:id="200" w:name="_Toc13195"/>
      <w:bookmarkStart w:id="201" w:name="_Toc11056"/>
      <w:bookmarkStart w:id="202" w:name="_Toc26827"/>
      <w:bookmarkStart w:id="203" w:name="_Toc1111"/>
      <w:r>
        <w:rPr>
          <w:rFonts w:hint="eastAsia" w:ascii="仿宋" w:hAnsi="仿宋" w:eastAsia="仿宋" w:cs="仿宋"/>
          <w:b/>
          <w:bCs/>
          <w:color w:val="auto"/>
          <w:highlight w:val="none"/>
        </w:rPr>
        <w:t>1基本要求</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BFBC7C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 投标方所供的货物，必须符合中国最新版的法律、法规和相关标准、规范的要求，符合项目所在地政府有关特殊要求。</w:t>
      </w:r>
    </w:p>
    <w:p w14:paraId="1FA4A5B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 投标方所供货物涉及的、招标方有权使用的专利权技术以及知识产权保护的其它技术等，应保证招标方不因此受到任何侵权指控以及实际损失。</w:t>
      </w:r>
    </w:p>
    <w:p w14:paraId="2B7984F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 投标方应保证所供货物的先进性、可靠性、经济性和实用性，并为全新货物（或设备）,并具有该货物所有功能的永久使用权。</w:t>
      </w:r>
    </w:p>
    <w:p w14:paraId="5D77C82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 投标方应满足招标方提出的各项技术要求，必要时应当免费提供技术承诺或担保。</w:t>
      </w:r>
    </w:p>
    <w:p w14:paraId="40319FB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 投标方应保证所供货物必须符合当前国家或地方最新安全、环保、职业健康最新法律、法规及《机械制造企业安全生产标准化》各项要求</w:t>
      </w:r>
      <w:r>
        <w:rPr>
          <w:rFonts w:ascii="Calibri" w:hAnsi="Calibri" w:eastAsia="仿宋" w:cs="Calibri"/>
          <w:color w:val="auto"/>
          <w:highlight w:val="none"/>
        </w:rPr>
        <w:t> </w:t>
      </w:r>
      <w:r>
        <w:rPr>
          <w:rFonts w:hint="eastAsia" w:ascii="仿宋" w:hAnsi="仿宋" w:eastAsia="仿宋" w:cs="仿宋"/>
          <w:color w:val="auto"/>
          <w:highlight w:val="none"/>
        </w:rPr>
        <w:t>。确保货物在使用管理过程中满足《职业健康安全管理体系》、《环境管理体系》等方面的国家标准、规范及地方规章要求。</w:t>
      </w:r>
    </w:p>
    <w:p w14:paraId="0D53ABE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1.6 投标方应保证所供货物为中国公布的非淘汰货物，并为中国指定或规定的主管部门认可的环保型和节能型货物。招标的中标货物不接受试验品（提供证据），还应是原产地的货物。</w:t>
      </w:r>
    </w:p>
    <w:p w14:paraId="62BC616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1.7 投标方应保证所供货物的完整性和成套性，能保证货物的正常运行、使用。</w:t>
      </w:r>
    </w:p>
    <w:p w14:paraId="0E2C198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1.8投标方应对招标方采购的货物所涉及的技术、产能等信息负有保密义务，特殊项目应当无条件签署保密协议。</w:t>
      </w:r>
    </w:p>
    <w:p w14:paraId="30FE738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★1.9投标方所供设备应按“交钥匙工程”要求。</w:t>
      </w:r>
    </w:p>
    <w:p w14:paraId="23A95676">
      <w:pPr>
        <w:snapToGrid w:val="0"/>
        <w:spacing w:line="360" w:lineRule="auto"/>
        <w:ind w:firstLine="42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2特别提示</w:t>
      </w:r>
    </w:p>
    <w:p w14:paraId="5FB4C06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2.1本章技术要求，仅对功能、设计、结构、性能、安装和试验检验等方面，提出了最低和一般性的技术要求，并未对一切技术细节作出规定。</w:t>
      </w:r>
    </w:p>
    <w:p w14:paraId="472BD82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2.2本技术要求所使用的标准、规范等，如与投标人所执行的标准、规范不一致时，应按高于本技术要求所列的标准、规范执行。</w:t>
      </w:r>
    </w:p>
    <w:p w14:paraId="12C2C6C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2.3投标人认为所供货物必需由招标人配备、解决或提供的其它要求，如设备基础隔振和减振设施、软化水、洁净气源等，均应在投标文件“技术偏离”中予以充分说明。</w:t>
      </w:r>
    </w:p>
    <w:p w14:paraId="3A723FE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3A539E6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2.5无论是否有技术偏离，投标人均应在投标文件“技术偏离”中明确作出有无说明。若有异议，不管是多么微小，投标人必须予以明确和详细的说明或澄清。</w:t>
      </w:r>
    </w:p>
    <w:p w14:paraId="3D10778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2.6为避免投标人优势在招标评审时漏项，质保期超出本技术标书要求的，应当在投标文件“技术偏离”中特别注明。</w:t>
      </w:r>
    </w:p>
    <w:p w14:paraId="2527718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2.7本技术标书内所有带★的项目为淘汰项，其中一项不能满足将导致淘汰；其他项为普通参数，3项（含3项）以上的普通参数负偏离将导致淘汰。</w:t>
      </w:r>
    </w:p>
    <w:p w14:paraId="05A9B6EC">
      <w:pPr>
        <w:snapToGrid w:val="0"/>
        <w:spacing w:line="360" w:lineRule="auto"/>
        <w:outlineLvl w:val="1"/>
        <w:rPr>
          <w:rFonts w:ascii="仿宋" w:hAnsi="仿宋" w:eastAsia="仿宋" w:cs="仿宋"/>
          <w:b/>
          <w:bCs/>
          <w:color w:val="auto"/>
          <w:highlight w:val="none"/>
        </w:rPr>
      </w:pPr>
      <w:bookmarkStart w:id="204" w:name="_Toc7189"/>
      <w:r>
        <w:rPr>
          <w:rFonts w:hint="eastAsia" w:ascii="仿宋" w:hAnsi="仿宋" w:eastAsia="仿宋" w:cs="仿宋"/>
          <w:b/>
          <w:bCs/>
          <w:color w:val="auto"/>
          <w:highlight w:val="none"/>
        </w:rPr>
        <w:t>3具体技术要求</w:t>
      </w:r>
      <w:bookmarkEnd w:id="204"/>
    </w:p>
    <w:p w14:paraId="3C0C82B7">
      <w:pPr>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5866D813">
      <w:pPr>
        <w:spacing w:line="480" w:lineRule="exact"/>
        <w:ind w:firstLine="422" w:firstLineChars="200"/>
        <w:rPr>
          <w:rFonts w:ascii="仿宋" w:hAnsi="仿宋" w:eastAsia="仿宋"/>
          <w:b/>
          <w:bCs/>
          <w:color w:val="auto"/>
          <w:highlight w:val="none"/>
        </w:rPr>
      </w:pPr>
      <w:r>
        <w:rPr>
          <w:rFonts w:hint="eastAsia" w:ascii="仿宋" w:hAnsi="仿宋" w:eastAsia="仿宋"/>
          <w:b/>
          <w:bCs/>
          <w:color w:val="auto"/>
          <w:highlight w:val="none"/>
        </w:rPr>
        <w:t>项目包括以下内容：</w:t>
      </w:r>
    </w:p>
    <w:p w14:paraId="18DBD3FA">
      <w:pPr>
        <w:spacing w:line="480" w:lineRule="exact"/>
        <w:ind w:firstLine="420" w:firstLineChars="200"/>
        <w:rPr>
          <w:rFonts w:ascii="仿宋" w:hAnsi="仿宋" w:eastAsia="仿宋"/>
          <w:bCs/>
          <w:color w:val="auto"/>
          <w:highlight w:val="none"/>
        </w:rPr>
      </w:pPr>
      <w:r>
        <w:rPr>
          <w:rFonts w:hint="eastAsia" w:ascii="仿宋" w:hAnsi="仿宋" w:eastAsia="仿宋" w:cs="仿宋"/>
          <w:color w:val="auto"/>
          <w:highlight w:val="none"/>
        </w:rPr>
        <w:t>★</w:t>
      </w:r>
      <w:r>
        <w:rPr>
          <w:rFonts w:hint="eastAsia" w:ascii="仿宋" w:hAnsi="仿宋" w:eastAsia="仿宋"/>
          <w:bCs/>
          <w:color w:val="auto"/>
          <w:highlight w:val="none"/>
        </w:rPr>
        <w:t>3.1功能用途：</w:t>
      </w:r>
    </w:p>
    <w:p w14:paraId="6765ED4A">
      <w:pPr>
        <w:ind w:firstLine="420" w:firstLineChars="200"/>
        <w:rPr>
          <w:rFonts w:hint="eastAsia" w:ascii="仿宋" w:hAnsi="仿宋" w:eastAsia="仿宋"/>
          <w:bCs/>
          <w:color w:val="auto"/>
          <w:highlight w:val="none"/>
          <w:lang w:val="en-US" w:eastAsia="zh-CN"/>
        </w:rPr>
      </w:pPr>
    </w:p>
    <w:p w14:paraId="6E8A5ED8">
      <w:pPr>
        <w:spacing w:line="480" w:lineRule="exact"/>
        <w:ind w:firstLine="420" w:firstLineChars="200"/>
        <w:rPr>
          <w:rFonts w:ascii="仿宋" w:hAnsi="仿宋" w:eastAsia="仿宋"/>
          <w:bCs/>
          <w:color w:val="auto"/>
          <w:highlight w:val="none"/>
        </w:rPr>
      </w:pPr>
      <w:r>
        <w:rPr>
          <w:rFonts w:hint="eastAsia" w:ascii="仿宋" w:hAnsi="仿宋" w:eastAsia="仿宋"/>
          <w:bCs/>
          <w:color w:val="auto"/>
          <w:highlight w:val="none"/>
          <w:lang w:val="en-US" w:eastAsia="zh-CN"/>
        </w:rPr>
        <w:t>用于总装线现场生产数据展示，具体实施地点投标前投标方现场调研。</w:t>
      </w:r>
    </w:p>
    <w:p w14:paraId="3DA65B10">
      <w:pPr>
        <w:spacing w:line="480" w:lineRule="exact"/>
        <w:ind w:firstLine="422" w:firstLineChars="200"/>
        <w:rPr>
          <w:rFonts w:ascii="仿宋" w:hAnsi="仿宋" w:eastAsia="仿宋" w:cs="仿宋"/>
          <w:b/>
          <w:bCs/>
          <w:color w:val="auto"/>
          <w:highlight w:val="none"/>
        </w:rPr>
      </w:pPr>
      <w:bookmarkStart w:id="205" w:name="_Toc20841"/>
      <w:bookmarkStart w:id="206" w:name="_Toc20260"/>
      <w:bookmarkStart w:id="207" w:name="_Toc16316"/>
      <w:bookmarkStart w:id="208" w:name="_Toc17909"/>
      <w:bookmarkStart w:id="209" w:name="_Toc16352"/>
      <w:bookmarkStart w:id="210" w:name="_Toc22347"/>
      <w:bookmarkStart w:id="211" w:name="_Toc28745"/>
      <w:bookmarkStart w:id="212" w:name="_Toc1909"/>
      <w:bookmarkStart w:id="213" w:name="_Toc10828"/>
      <w:bookmarkStart w:id="214" w:name="_Toc22710"/>
      <w:bookmarkStart w:id="215" w:name="_Toc13526"/>
      <w:bookmarkStart w:id="216" w:name="_Toc20329"/>
      <w:bookmarkStart w:id="217" w:name="_Toc31816"/>
      <w:bookmarkStart w:id="218" w:name="_Toc7258"/>
      <w:bookmarkStart w:id="219" w:name="_Toc21086"/>
      <w:bookmarkStart w:id="220" w:name="_Toc1171"/>
      <w:bookmarkStart w:id="221" w:name="_Toc19805"/>
      <w:bookmarkStart w:id="222" w:name="_Toc3808"/>
      <w:bookmarkStart w:id="223" w:name="_Toc22516"/>
      <w:bookmarkStart w:id="224" w:name="_Toc25915"/>
      <w:bookmarkStart w:id="225" w:name="_Toc1962"/>
      <w:bookmarkStart w:id="226" w:name="_Toc22156"/>
      <w:bookmarkStart w:id="227" w:name="_Toc26551"/>
      <w:bookmarkStart w:id="228" w:name="_Toc14583"/>
      <w:bookmarkStart w:id="229" w:name="_Toc16317"/>
      <w:bookmarkStart w:id="230" w:name="_Toc26601"/>
      <w:bookmarkStart w:id="231" w:name="_Toc11725"/>
      <w:bookmarkStart w:id="232" w:name="_Toc28398"/>
      <w:bookmarkStart w:id="233" w:name="_Toc27327"/>
      <w:bookmarkStart w:id="234" w:name="_Toc32382"/>
      <w:bookmarkStart w:id="235" w:name="_Toc19812"/>
      <w:bookmarkStart w:id="236" w:name="_Toc29006"/>
      <w:bookmarkStart w:id="237" w:name="_Toc4641"/>
      <w:bookmarkStart w:id="238" w:name="_Toc8892"/>
      <w:bookmarkStart w:id="239" w:name="_Toc22662"/>
      <w:bookmarkStart w:id="240" w:name="_Toc19081"/>
      <w:bookmarkStart w:id="241" w:name="_Toc6352"/>
      <w:bookmarkStart w:id="242" w:name="_Toc133783970"/>
      <w:bookmarkStart w:id="243" w:name="_Toc24173"/>
      <w:bookmarkStart w:id="244" w:name="_Toc30892"/>
      <w:bookmarkStart w:id="245" w:name="_Toc11390"/>
      <w:bookmarkStart w:id="246" w:name="_Toc20994"/>
      <w:bookmarkStart w:id="247" w:name="_Toc19022"/>
    </w:p>
    <w:p w14:paraId="26078987">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8" w:name="_Toc30238"/>
      <w:r>
        <w:rPr>
          <w:rFonts w:hint="eastAsia" w:ascii="仿宋" w:hAnsi="仿宋" w:eastAsia="仿宋" w:cs="仿宋"/>
          <w:b/>
          <w:bCs/>
          <w:color w:val="auto"/>
          <w:highlight w:val="none"/>
        </w:rPr>
        <w:t>第三章供货范围及供货方式</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A95F588">
      <w:pPr>
        <w:pStyle w:val="3"/>
        <w:snapToGrid w:val="0"/>
        <w:spacing w:before="0" w:after="0" w:line="360" w:lineRule="auto"/>
        <w:ind w:left="6" w:firstLine="474"/>
        <w:jc w:val="center"/>
        <w:rPr>
          <w:rFonts w:ascii="仿宋" w:hAnsi="仿宋" w:eastAsia="仿宋" w:cs="仿宋"/>
          <w:color w:val="auto"/>
          <w:kern w:val="2"/>
          <w:sz w:val="24"/>
          <w:szCs w:val="24"/>
          <w:highlight w:val="none"/>
        </w:rPr>
      </w:pPr>
      <w:bookmarkStart w:id="249" w:name="_Toc27831"/>
      <w:bookmarkStart w:id="250" w:name="_Toc28344"/>
      <w:bookmarkStart w:id="251" w:name="_Toc6219"/>
      <w:bookmarkStart w:id="252" w:name="_Toc19860"/>
      <w:bookmarkStart w:id="253" w:name="_Toc31722"/>
      <w:bookmarkStart w:id="254" w:name="_Toc32542"/>
      <w:bookmarkStart w:id="255" w:name="_Toc20066"/>
      <w:bookmarkStart w:id="256" w:name="_Toc9571"/>
      <w:bookmarkStart w:id="257" w:name="_Toc16027"/>
      <w:bookmarkStart w:id="258" w:name="_Toc32716"/>
      <w:bookmarkStart w:id="259" w:name="_Toc19155"/>
      <w:bookmarkStart w:id="260" w:name="_Toc8238"/>
      <w:bookmarkStart w:id="261" w:name="_Toc32750"/>
      <w:bookmarkStart w:id="262" w:name="_Toc10323"/>
      <w:bookmarkStart w:id="263" w:name="_Toc32741"/>
      <w:bookmarkStart w:id="264" w:name="_Toc6864"/>
      <w:bookmarkStart w:id="265" w:name="_Toc3358"/>
      <w:bookmarkStart w:id="266" w:name="_Toc12581"/>
      <w:bookmarkStart w:id="267" w:name="_Toc20721"/>
      <w:bookmarkStart w:id="268" w:name="_Toc11227"/>
      <w:bookmarkStart w:id="269" w:name="_Toc19111"/>
      <w:bookmarkStart w:id="270" w:name="_Toc8963"/>
      <w:bookmarkStart w:id="271" w:name="_Toc13578"/>
      <w:bookmarkStart w:id="272" w:name="_Toc2127"/>
      <w:bookmarkStart w:id="273" w:name="_Toc4032"/>
      <w:bookmarkStart w:id="274" w:name="_Toc20802"/>
      <w:bookmarkStart w:id="275" w:name="_Toc9580"/>
      <w:bookmarkStart w:id="276" w:name="_Toc2288"/>
      <w:bookmarkStart w:id="277" w:name="_Toc5131"/>
      <w:bookmarkStart w:id="278" w:name="_Toc5052"/>
      <w:bookmarkStart w:id="279" w:name="_Toc25354"/>
      <w:bookmarkStart w:id="280" w:name="_Toc20301"/>
      <w:bookmarkStart w:id="281" w:name="_Toc5032"/>
      <w:bookmarkStart w:id="282" w:name="_Toc27567"/>
      <w:bookmarkStart w:id="283" w:name="_Toc17404"/>
      <w:bookmarkStart w:id="284" w:name="_Toc14383"/>
      <w:bookmarkStart w:id="285" w:name="_Toc9994"/>
      <w:bookmarkStart w:id="286" w:name="_Toc680"/>
      <w:bookmarkStart w:id="287" w:name="_Toc18238"/>
      <w:bookmarkStart w:id="288" w:name="_Toc32286"/>
      <w:bookmarkStart w:id="289" w:name="_Toc11979"/>
      <w:bookmarkStart w:id="290" w:name="_Toc19908"/>
      <w:bookmarkStart w:id="291" w:name="_Toc4896"/>
      <w:bookmarkStart w:id="292" w:name="_Toc969"/>
      <w:bookmarkStart w:id="293" w:name="_Toc3639"/>
      <w:bookmarkStart w:id="294" w:name="_Toc29751"/>
      <w:bookmarkStart w:id="295" w:name="_Toc133783971"/>
      <w:r>
        <w:rPr>
          <w:rFonts w:hint="eastAsia" w:ascii="仿宋" w:hAnsi="仿宋" w:eastAsia="仿宋" w:cs="仿宋"/>
          <w:color w:val="auto"/>
          <w:kern w:val="2"/>
          <w:sz w:val="24"/>
          <w:szCs w:val="24"/>
          <w:highlight w:val="none"/>
        </w:rPr>
        <w:t>第一节供货范围</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13EEB075">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1供货范围</w:t>
      </w:r>
    </w:p>
    <w:tbl>
      <w:tblPr>
        <w:tblStyle w:val="30"/>
        <w:tblW w:w="7959"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494"/>
        <w:gridCol w:w="3100"/>
        <w:gridCol w:w="1694"/>
        <w:gridCol w:w="1671"/>
      </w:tblGrid>
      <w:tr w14:paraId="063C1847">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restart"/>
            <w:tcBorders>
              <w:bottom w:val="single" w:color="000000" w:sz="8" w:space="0"/>
            </w:tcBorders>
            <w:shd w:val="clear" w:color="auto" w:fill="auto"/>
            <w:vAlign w:val="center"/>
          </w:tcPr>
          <w:p w14:paraId="737CF2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100" w:type="dxa"/>
            <w:vMerge w:val="restart"/>
            <w:tcBorders>
              <w:bottom w:val="single" w:color="000000" w:sz="8" w:space="0"/>
            </w:tcBorders>
            <w:shd w:val="clear" w:color="auto" w:fill="auto"/>
            <w:vAlign w:val="center"/>
          </w:tcPr>
          <w:p w14:paraId="7791F3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1694" w:type="dxa"/>
            <w:vMerge w:val="restart"/>
            <w:tcBorders>
              <w:bottom w:val="single" w:color="000000" w:sz="8" w:space="0"/>
            </w:tcBorders>
            <w:shd w:val="clear" w:color="auto" w:fill="auto"/>
            <w:vAlign w:val="center"/>
          </w:tcPr>
          <w:p w14:paraId="333D28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671" w:type="dxa"/>
            <w:vMerge w:val="restart"/>
            <w:tcBorders>
              <w:bottom w:val="single" w:color="000000" w:sz="8" w:space="0"/>
            </w:tcBorders>
            <w:shd w:val="clear" w:color="auto" w:fill="auto"/>
            <w:vAlign w:val="center"/>
          </w:tcPr>
          <w:p w14:paraId="0027A1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3AFF0F79">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3B756A4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2BCD99F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7F94FFB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030D95D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72994AA2">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49493BF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65CB491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259C0DE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2474E33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23BDA0F0">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7CAD935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100" w:type="dxa"/>
            <w:tcBorders>
              <w:top w:val="single" w:color="000000" w:sz="8" w:space="0"/>
              <w:bottom w:val="single" w:color="000000" w:sz="8" w:space="0"/>
            </w:tcBorders>
            <w:shd w:val="clear" w:color="auto" w:fill="auto"/>
            <w:vAlign w:val="center"/>
          </w:tcPr>
          <w:p w14:paraId="202B8A3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5427FBC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6B6AD62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001625A6">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0299881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100" w:type="dxa"/>
            <w:tcBorders>
              <w:top w:val="single" w:color="000000" w:sz="8" w:space="0"/>
              <w:bottom w:val="single" w:color="000000" w:sz="8" w:space="0"/>
            </w:tcBorders>
            <w:shd w:val="clear" w:color="auto" w:fill="auto"/>
            <w:vAlign w:val="center"/>
          </w:tcPr>
          <w:p w14:paraId="79D534B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3D9E3DA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26D72D9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222E78D5">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2E23ED4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100" w:type="dxa"/>
            <w:tcBorders>
              <w:top w:val="single" w:color="000000" w:sz="8" w:space="0"/>
              <w:bottom w:val="single" w:color="000000" w:sz="8" w:space="0"/>
            </w:tcBorders>
            <w:shd w:val="clear" w:color="auto" w:fill="auto"/>
            <w:vAlign w:val="center"/>
          </w:tcPr>
          <w:p w14:paraId="69EC26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1694" w:type="dxa"/>
            <w:tcBorders>
              <w:top w:val="single" w:color="000000" w:sz="8" w:space="0"/>
              <w:bottom w:val="single" w:color="000000" w:sz="8" w:space="0"/>
            </w:tcBorders>
            <w:shd w:val="clear" w:color="auto" w:fill="auto"/>
            <w:vAlign w:val="center"/>
          </w:tcPr>
          <w:p w14:paraId="656A0D7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671" w:type="dxa"/>
            <w:tcBorders>
              <w:top w:val="single" w:color="000000" w:sz="8" w:space="0"/>
              <w:bottom w:val="single" w:color="000000" w:sz="8" w:space="0"/>
            </w:tcBorders>
            <w:shd w:val="clear" w:color="auto" w:fill="auto"/>
            <w:vAlign w:val="center"/>
          </w:tcPr>
          <w:p w14:paraId="6D4FEC5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010AA74F">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tblCellMar>
            <w:top w:w="0" w:type="dxa"/>
            <w:left w:w="108" w:type="dxa"/>
            <w:bottom w:w="0" w:type="dxa"/>
            <w:right w:w="108" w:type="dxa"/>
          </w:tblCellMar>
        </w:tblPrEx>
        <w:trPr>
          <w:trHeight w:val="259" w:hRule="atLeast"/>
          <w:jc w:val="center"/>
        </w:trPr>
        <w:tc>
          <w:tcPr>
            <w:tcW w:w="1494" w:type="dxa"/>
            <w:tcBorders>
              <w:top w:val="single" w:color="000000" w:sz="8" w:space="0"/>
            </w:tcBorders>
            <w:shd w:val="clear" w:color="auto" w:fill="auto"/>
            <w:vAlign w:val="center"/>
          </w:tcPr>
          <w:p w14:paraId="5EBA38F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100" w:type="dxa"/>
            <w:tcBorders>
              <w:top w:val="single" w:color="000000" w:sz="8" w:space="0"/>
            </w:tcBorders>
            <w:shd w:val="clear" w:color="auto" w:fill="auto"/>
            <w:vAlign w:val="center"/>
          </w:tcPr>
          <w:p w14:paraId="1384C2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1694" w:type="dxa"/>
            <w:tcBorders>
              <w:top w:val="single" w:color="000000" w:sz="8" w:space="0"/>
            </w:tcBorders>
            <w:shd w:val="clear" w:color="auto" w:fill="auto"/>
            <w:vAlign w:val="center"/>
          </w:tcPr>
          <w:p w14:paraId="2F32D41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671" w:type="dxa"/>
            <w:tcBorders>
              <w:top w:val="single" w:color="000000" w:sz="8" w:space="0"/>
            </w:tcBorders>
            <w:shd w:val="clear" w:color="auto" w:fill="auto"/>
            <w:vAlign w:val="center"/>
          </w:tcPr>
          <w:p w14:paraId="1B788F2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4D0FACD3">
      <w:pPr>
        <w:rPr>
          <w:color w:val="auto"/>
          <w:highlight w:val="none"/>
        </w:rPr>
      </w:pPr>
    </w:p>
    <w:p w14:paraId="581EE632">
      <w:pPr>
        <w:snapToGrid w:val="0"/>
        <w:spacing w:line="360" w:lineRule="auto"/>
        <w:ind w:left="480"/>
        <w:outlineLvl w:val="2"/>
        <w:rPr>
          <w:rFonts w:ascii="仿宋" w:hAnsi="仿宋" w:eastAsia="仿宋" w:cs="仿宋"/>
          <w:b/>
          <w:bCs/>
          <w:color w:val="auto"/>
          <w:highlight w:val="none"/>
        </w:rPr>
      </w:pPr>
      <w:bookmarkStart w:id="296" w:name="_Toc30004"/>
      <w:bookmarkStart w:id="297" w:name="_Toc24079"/>
      <w:bookmarkStart w:id="298" w:name="_Toc2744"/>
      <w:bookmarkStart w:id="299" w:name="_Toc31685"/>
      <w:bookmarkStart w:id="300" w:name="_Toc18018"/>
      <w:bookmarkStart w:id="301" w:name="_Toc6916"/>
      <w:bookmarkStart w:id="302" w:name="_Toc11531"/>
      <w:bookmarkStart w:id="303" w:name="_Toc5521"/>
      <w:bookmarkStart w:id="304" w:name="_Toc434"/>
      <w:bookmarkStart w:id="305" w:name="_Toc10027"/>
      <w:bookmarkStart w:id="306" w:name="_Toc30087"/>
      <w:bookmarkStart w:id="307" w:name="_Toc31723"/>
      <w:bookmarkStart w:id="308" w:name="_Toc29389"/>
      <w:bookmarkStart w:id="309" w:name="_Toc10211"/>
      <w:bookmarkStart w:id="310" w:name="_Toc3726"/>
      <w:bookmarkStart w:id="311" w:name="_Toc8330"/>
      <w:bookmarkStart w:id="312" w:name="_Toc19187"/>
      <w:bookmarkStart w:id="313" w:name="_Toc20059"/>
      <w:bookmarkStart w:id="314" w:name="_Toc25570"/>
      <w:bookmarkStart w:id="315" w:name="_Toc31074"/>
      <w:bookmarkStart w:id="316" w:name="_Toc73112406"/>
      <w:r>
        <w:rPr>
          <w:rFonts w:hint="eastAsia" w:ascii="仿宋" w:hAnsi="仿宋" w:eastAsia="仿宋" w:cs="仿宋"/>
          <w:b/>
          <w:bCs/>
          <w:color w:val="auto"/>
          <w:highlight w:val="none"/>
        </w:rPr>
        <w:t>2备品备件、易损件和专用耗材供货范围</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BEEBA65">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2.1招标方招标文件所指备品备件、易损件是招标方为保证货物质保期之后正常运行一年所自备自用的备品备件、易损件。</w:t>
      </w:r>
    </w:p>
    <w:p w14:paraId="17728493">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2.2投标方按照招标文件要求提供、或投标方认为招标方应当储备的备品备件、易损件，投标方应当在投标报价部分分别说明所列备品备件、易损件的使用时间。</w:t>
      </w:r>
    </w:p>
    <w:p w14:paraId="50A92ACE">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2.3投标文件中，应当有备品备件、易损件的详细清单（内容包括名称、型号、规格、单位、数量、生产厂家、单价、总价等）。</w:t>
      </w:r>
    </w:p>
    <w:p w14:paraId="71F4B8E0">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2.4备品备件、易损件的费用应分类单列，并计入投标总报价之内。</w:t>
      </w:r>
    </w:p>
    <w:p w14:paraId="41AF25BE">
      <w:pPr>
        <w:adjustRightInd w:val="0"/>
        <w:snapToGrid w:val="0"/>
        <w:spacing w:before="163" w:beforeLines="50" w:after="163" w:afterLines="50" w:line="360" w:lineRule="auto"/>
        <w:jc w:val="center"/>
        <w:outlineLvl w:val="1"/>
        <w:rPr>
          <w:rFonts w:ascii="仿宋" w:hAnsi="仿宋" w:eastAsia="仿宋" w:cs="仿宋"/>
          <w:b/>
          <w:bCs/>
          <w:color w:val="auto"/>
          <w:highlight w:val="none"/>
        </w:rPr>
      </w:pPr>
      <w:bookmarkStart w:id="317" w:name="_Toc1897"/>
      <w:bookmarkStart w:id="318" w:name="_Toc17572"/>
      <w:bookmarkStart w:id="319" w:name="_Toc18492"/>
      <w:bookmarkStart w:id="320" w:name="_Toc10692"/>
      <w:bookmarkStart w:id="321" w:name="_Toc13201"/>
      <w:bookmarkStart w:id="322" w:name="_Toc23856"/>
      <w:bookmarkStart w:id="323" w:name="_Toc29107"/>
      <w:bookmarkStart w:id="324" w:name="_Toc22358"/>
      <w:bookmarkStart w:id="325" w:name="_Toc4268"/>
      <w:bookmarkStart w:id="326" w:name="_Toc17613"/>
      <w:bookmarkStart w:id="327" w:name="_Toc16689"/>
      <w:bookmarkStart w:id="328" w:name="_Toc20754"/>
      <w:bookmarkStart w:id="329" w:name="_Toc27636"/>
      <w:bookmarkStart w:id="330" w:name="_Toc30635"/>
      <w:bookmarkStart w:id="331" w:name="_Toc8309"/>
      <w:bookmarkStart w:id="332" w:name="_Toc18118"/>
      <w:bookmarkStart w:id="333" w:name="_Toc3548"/>
      <w:bookmarkStart w:id="334" w:name="_Toc4676"/>
      <w:bookmarkStart w:id="335" w:name="_Toc81"/>
      <w:bookmarkStart w:id="336" w:name="_Toc24898"/>
      <w:bookmarkStart w:id="337" w:name="_Toc23025"/>
      <w:bookmarkStart w:id="338" w:name="_Toc603"/>
      <w:bookmarkStart w:id="339" w:name="_Toc17660"/>
      <w:bookmarkStart w:id="340" w:name="_Toc21360"/>
      <w:bookmarkStart w:id="341" w:name="_Toc19194"/>
      <w:bookmarkStart w:id="342" w:name="_Toc16163"/>
      <w:bookmarkStart w:id="343" w:name="_Toc18839"/>
      <w:bookmarkStart w:id="344" w:name="_Toc29792"/>
      <w:bookmarkStart w:id="345" w:name="_Toc6313"/>
      <w:bookmarkStart w:id="346" w:name="_Toc133783972"/>
      <w:bookmarkStart w:id="347" w:name="_Toc1998"/>
      <w:bookmarkStart w:id="348" w:name="_Toc4601"/>
      <w:bookmarkStart w:id="349" w:name="_Toc15620"/>
      <w:bookmarkStart w:id="350" w:name="_Toc25983"/>
      <w:bookmarkStart w:id="351" w:name="_Toc5634"/>
      <w:bookmarkStart w:id="352" w:name="_Toc12288"/>
      <w:bookmarkStart w:id="353" w:name="_Toc15671"/>
      <w:bookmarkStart w:id="354" w:name="_Toc3580"/>
      <w:bookmarkStart w:id="355" w:name="_Toc4183"/>
      <w:bookmarkStart w:id="356" w:name="_Toc4381"/>
      <w:bookmarkStart w:id="357" w:name="_Toc11851"/>
      <w:bookmarkStart w:id="358" w:name="_Toc27960"/>
      <w:bookmarkStart w:id="359" w:name="_Toc11837"/>
      <w:r>
        <w:rPr>
          <w:rFonts w:hint="eastAsia" w:ascii="仿宋" w:hAnsi="仿宋" w:eastAsia="仿宋" w:cs="仿宋"/>
          <w:b/>
          <w:bCs/>
          <w:color w:val="auto"/>
          <w:highlight w:val="none"/>
        </w:rPr>
        <w:t>第二节供货方式</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86104EE">
      <w:pPr>
        <w:snapToGrid w:val="0"/>
        <w:spacing w:line="360" w:lineRule="auto"/>
        <w:ind w:left="480"/>
        <w:outlineLvl w:val="2"/>
        <w:rPr>
          <w:rFonts w:ascii="仿宋" w:hAnsi="仿宋" w:eastAsia="仿宋" w:cs="仿宋"/>
          <w:b/>
          <w:bCs/>
          <w:color w:val="auto"/>
          <w:highlight w:val="none"/>
        </w:rPr>
      </w:pPr>
      <w:bookmarkStart w:id="360" w:name="_Toc4344"/>
      <w:bookmarkStart w:id="361" w:name="_Toc18282"/>
      <w:bookmarkStart w:id="362" w:name="_Toc10286"/>
      <w:bookmarkStart w:id="363" w:name="_Toc24179"/>
      <w:bookmarkStart w:id="364" w:name="_Toc73112409"/>
      <w:bookmarkStart w:id="365" w:name="_Toc27005"/>
      <w:bookmarkStart w:id="366" w:name="_Toc3032"/>
      <w:bookmarkStart w:id="367" w:name="_Toc22679"/>
      <w:bookmarkStart w:id="368" w:name="_Toc32491"/>
      <w:bookmarkStart w:id="369" w:name="_Toc28962"/>
      <w:bookmarkStart w:id="370" w:name="_Toc1474"/>
      <w:bookmarkStart w:id="371" w:name="_Toc1116"/>
      <w:bookmarkStart w:id="372" w:name="_Toc28759"/>
      <w:bookmarkStart w:id="373" w:name="_Toc19237"/>
      <w:bookmarkStart w:id="374" w:name="_Toc28360"/>
      <w:bookmarkStart w:id="375" w:name="_Toc4791"/>
      <w:bookmarkStart w:id="376" w:name="_Toc28534"/>
      <w:bookmarkStart w:id="377" w:name="_Toc14135"/>
      <w:bookmarkStart w:id="378" w:name="_Toc11533"/>
      <w:bookmarkStart w:id="379" w:name="_Toc20263"/>
      <w:bookmarkStart w:id="380" w:name="_Toc28222"/>
      <w:r>
        <w:rPr>
          <w:rFonts w:hint="eastAsia" w:ascii="仿宋" w:hAnsi="仿宋" w:eastAsia="仿宋" w:cs="仿宋"/>
          <w:b/>
          <w:bCs/>
          <w:color w:val="auto"/>
          <w:highlight w:val="none"/>
        </w:rPr>
        <w:t>1供货地点</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21356CCC">
      <w:pPr>
        <w:snapToGrid w:val="0"/>
        <w:spacing w:line="360" w:lineRule="auto"/>
        <w:ind w:left="480"/>
        <w:outlineLvl w:val="2"/>
        <w:rPr>
          <w:rFonts w:ascii="仿宋" w:hAnsi="仿宋" w:eastAsia="仿宋" w:cs="仿宋"/>
          <w:color w:val="auto"/>
          <w:highlight w:val="none"/>
        </w:rPr>
      </w:pPr>
      <w:bookmarkStart w:id="381" w:name="_Toc5862"/>
      <w:bookmarkStart w:id="382" w:name="_Toc73112410"/>
      <w:bookmarkStart w:id="383" w:name="_Toc27558"/>
      <w:bookmarkStart w:id="384" w:name="_Toc30858"/>
      <w:bookmarkStart w:id="385" w:name="_Toc20257"/>
      <w:bookmarkStart w:id="386" w:name="_Toc26178"/>
      <w:bookmarkStart w:id="387" w:name="_Toc27724"/>
      <w:bookmarkStart w:id="388" w:name="_Toc21521"/>
      <w:bookmarkStart w:id="389" w:name="_Toc531"/>
      <w:bookmarkStart w:id="390" w:name="_Toc9856"/>
      <w:bookmarkStart w:id="391" w:name="_Toc2280"/>
      <w:bookmarkStart w:id="392" w:name="_Toc11152"/>
      <w:bookmarkStart w:id="393" w:name="_Toc4215"/>
      <w:bookmarkStart w:id="394" w:name="_Toc22977"/>
      <w:bookmarkStart w:id="395" w:name="_Toc8043"/>
      <w:bookmarkStart w:id="396" w:name="_Toc26611"/>
      <w:bookmarkStart w:id="397" w:name="_Toc31657"/>
      <w:bookmarkStart w:id="398" w:name="_Toc6963"/>
      <w:bookmarkStart w:id="399" w:name="_Toc11086"/>
      <w:bookmarkStart w:id="400" w:name="_Toc6707"/>
      <w:bookmarkStart w:id="401" w:name="_Toc22044"/>
      <w:r>
        <w:rPr>
          <w:rFonts w:hint="eastAsia" w:ascii="仿宋" w:hAnsi="仿宋" w:eastAsia="仿宋" w:cs="仿宋"/>
          <w:i w:val="0"/>
          <w:iCs w:val="0"/>
          <w:color w:val="auto"/>
          <w:kern w:val="0"/>
          <w:sz w:val="20"/>
          <w:szCs w:val="20"/>
          <w:highlight w:val="none"/>
          <w:u w:val="none"/>
          <w:lang w:val="en-US" w:eastAsia="zh-CN" w:bidi="ar"/>
        </w:rPr>
        <w:t>济南轻卡制造公司总装车间</w:t>
      </w:r>
    </w:p>
    <w:p w14:paraId="3FE3C604">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2供货时间</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1577DAD">
      <w:pPr>
        <w:snapToGrid w:val="0"/>
        <w:spacing w:line="360" w:lineRule="auto"/>
        <w:ind w:firstLine="420" w:firstLineChars="200"/>
        <w:jc w:val="left"/>
        <w:rPr>
          <w:rFonts w:ascii="仿宋" w:hAnsi="仿宋" w:eastAsia="仿宋" w:cs="仿宋"/>
          <w:strike/>
          <w:color w:val="auto"/>
          <w:highlight w:val="none"/>
        </w:rPr>
      </w:pPr>
      <w:r>
        <w:rPr>
          <w:rFonts w:hint="eastAsia" w:ascii="仿宋" w:hAnsi="仿宋" w:eastAsia="仿宋" w:cs="仿宋"/>
          <w:color w:val="auto"/>
          <w:highlight w:val="none"/>
        </w:rPr>
        <w:t>2.1自合同签字生效之日起，</w:t>
      </w:r>
      <w:r>
        <w:rPr>
          <w:rFonts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日历日之内交货至供货地点。</w:t>
      </w:r>
    </w:p>
    <w:p w14:paraId="34C129F1">
      <w:pPr>
        <w:snapToGrid w:val="0"/>
        <w:spacing w:line="360" w:lineRule="auto"/>
        <w:ind w:firstLine="42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2.2连续</w:t>
      </w:r>
      <w:r>
        <w:rPr>
          <w:rFonts w:ascii="仿宋" w:hAnsi="仿宋" w:eastAsia="仿宋" w:cs="仿宋"/>
          <w:color w:val="auto"/>
          <w:highlight w:val="none"/>
          <w:u w:val="single"/>
        </w:rPr>
        <w:t>15</w:t>
      </w:r>
      <w:r>
        <w:rPr>
          <w:rFonts w:hint="eastAsia" w:ascii="仿宋" w:hAnsi="仿宋" w:eastAsia="仿宋" w:cs="仿宋"/>
          <w:color w:val="auto"/>
          <w:highlight w:val="none"/>
        </w:rPr>
        <w:t>个日历日之内调试完毕；</w:t>
      </w:r>
    </w:p>
    <w:p w14:paraId="4D561884">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w:t>
      </w:r>
      <w:r>
        <w:rPr>
          <w:rFonts w:ascii="仿宋" w:hAnsi="仿宋" w:eastAsia="仿宋" w:cs="仿宋"/>
          <w:color w:val="auto"/>
          <w:highlight w:val="none"/>
        </w:rPr>
        <w:t>3</w:t>
      </w:r>
      <w:r>
        <w:rPr>
          <w:rFonts w:hint="eastAsia" w:ascii="仿宋" w:hAnsi="仿宋" w:eastAsia="仿宋" w:cs="仿宋"/>
          <w:color w:val="auto"/>
          <w:highlight w:val="none"/>
        </w:rPr>
        <w:t>必要时，投标方应当提供详细的工期计划。</w:t>
      </w:r>
    </w:p>
    <w:p w14:paraId="08C7D334">
      <w:pPr>
        <w:snapToGrid w:val="0"/>
        <w:spacing w:line="360" w:lineRule="auto"/>
        <w:ind w:left="480"/>
        <w:outlineLvl w:val="2"/>
        <w:rPr>
          <w:rFonts w:ascii="仿宋" w:hAnsi="仿宋" w:eastAsia="仿宋" w:cs="仿宋"/>
          <w:b/>
          <w:bCs/>
          <w:color w:val="auto"/>
          <w:highlight w:val="none"/>
        </w:rPr>
      </w:pPr>
      <w:bookmarkStart w:id="402" w:name="_Toc22968"/>
      <w:bookmarkStart w:id="403" w:name="_Toc18845"/>
      <w:bookmarkStart w:id="404" w:name="_Toc31485"/>
      <w:bookmarkStart w:id="405" w:name="_Toc29786"/>
      <w:bookmarkStart w:id="406" w:name="_Toc4612"/>
      <w:bookmarkStart w:id="407" w:name="_Toc30983"/>
      <w:bookmarkStart w:id="408" w:name="_Toc17489"/>
      <w:bookmarkStart w:id="409" w:name="_Toc23122"/>
      <w:bookmarkStart w:id="410" w:name="_Toc18153"/>
      <w:bookmarkStart w:id="411" w:name="_Toc24587"/>
      <w:bookmarkStart w:id="412" w:name="_Toc22394"/>
      <w:bookmarkStart w:id="413" w:name="_Toc8193"/>
      <w:bookmarkStart w:id="414" w:name="_Toc5288"/>
      <w:bookmarkStart w:id="415" w:name="_Toc4431"/>
      <w:bookmarkStart w:id="416" w:name="_Toc22617"/>
      <w:bookmarkStart w:id="417" w:name="_Toc16960"/>
      <w:bookmarkStart w:id="418" w:name="_Toc8419"/>
      <w:bookmarkStart w:id="419" w:name="_Toc17351"/>
      <w:bookmarkStart w:id="420" w:name="_Toc9507"/>
      <w:bookmarkStart w:id="421" w:name="_Toc73112411"/>
      <w:bookmarkStart w:id="422" w:name="_Toc11749"/>
      <w:r>
        <w:rPr>
          <w:rFonts w:hint="eastAsia" w:ascii="仿宋" w:hAnsi="仿宋" w:eastAsia="仿宋" w:cs="仿宋"/>
          <w:b/>
          <w:bCs/>
          <w:color w:val="auto"/>
          <w:highlight w:val="none"/>
        </w:rPr>
        <w:t>3质保期</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799728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3.1投标方所提供货物涉及的全部供货范围内的设备、材料、零配件和工器具等，除合同特别约定外，其质保期均自终验收签字生效之日起</w:t>
      </w:r>
      <w:r>
        <w:rPr>
          <w:rFonts w:hint="eastAsia" w:ascii="仿宋" w:hAnsi="仿宋" w:eastAsia="仿宋" w:cs="仿宋"/>
          <w:color w:val="auto"/>
          <w:highlight w:val="none"/>
          <w:u w:val="single"/>
          <w:lang w:val="en-US" w:eastAsia="zh-CN"/>
        </w:rPr>
        <w:t>36</w:t>
      </w:r>
      <w:r>
        <w:rPr>
          <w:rFonts w:hint="eastAsia" w:ascii="仿宋" w:hAnsi="仿宋" w:eastAsia="仿宋" w:cs="仿宋"/>
          <w:color w:val="auto"/>
          <w:highlight w:val="none"/>
        </w:rPr>
        <w:t>个月。</w:t>
      </w:r>
    </w:p>
    <w:p w14:paraId="56E25330">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3.2质保期之内，如果货物出现关键设备、总成、零部件或者多处一般设备、总成、零部件的更换或维修行为，则质保期自更换或维修行为结束、货物能够正常运行使用之日起重新计算。</w:t>
      </w:r>
    </w:p>
    <w:p w14:paraId="6905A4EF">
      <w:pPr>
        <w:snapToGrid w:val="0"/>
        <w:spacing w:line="360" w:lineRule="auto"/>
        <w:ind w:left="480"/>
        <w:outlineLvl w:val="2"/>
        <w:rPr>
          <w:rFonts w:ascii="仿宋" w:hAnsi="仿宋" w:eastAsia="仿宋" w:cs="仿宋"/>
          <w:b/>
          <w:bCs/>
          <w:color w:val="auto"/>
          <w:highlight w:val="none"/>
        </w:rPr>
      </w:pPr>
      <w:bookmarkStart w:id="423" w:name="_Toc29090"/>
      <w:bookmarkStart w:id="424" w:name="_Toc27377"/>
      <w:bookmarkStart w:id="425" w:name="_Toc17320"/>
      <w:bookmarkStart w:id="426" w:name="_Toc21924"/>
      <w:bookmarkStart w:id="427" w:name="_Toc20248"/>
      <w:bookmarkStart w:id="428" w:name="_Toc22951"/>
      <w:bookmarkStart w:id="429" w:name="_Toc26040"/>
      <w:bookmarkStart w:id="430" w:name="_Toc12791"/>
      <w:bookmarkStart w:id="431" w:name="_Toc27729"/>
      <w:bookmarkStart w:id="432" w:name="_Toc14622"/>
      <w:bookmarkStart w:id="433" w:name="_Toc16381"/>
      <w:bookmarkStart w:id="434" w:name="_Toc73112412"/>
      <w:bookmarkStart w:id="435" w:name="_Toc28907"/>
      <w:bookmarkStart w:id="436" w:name="_Toc19011"/>
      <w:bookmarkStart w:id="437" w:name="_Toc5126"/>
      <w:bookmarkStart w:id="438" w:name="_Toc21555"/>
      <w:bookmarkStart w:id="439" w:name="_Toc16664"/>
      <w:bookmarkStart w:id="440" w:name="_Toc10272"/>
      <w:bookmarkStart w:id="441" w:name="_Toc20400"/>
      <w:bookmarkStart w:id="442" w:name="_Toc426"/>
      <w:bookmarkStart w:id="443" w:name="_Toc27080"/>
      <w:r>
        <w:rPr>
          <w:rFonts w:hint="eastAsia" w:ascii="仿宋" w:hAnsi="仿宋" w:eastAsia="仿宋" w:cs="仿宋"/>
          <w:b/>
          <w:bCs/>
          <w:color w:val="auto"/>
          <w:highlight w:val="none"/>
        </w:rPr>
        <w:t>4包装</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F4438A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4.1投标方所提供货物（或设备）的包装，应遵照国家标准和有关包装、包皮的技术条件，或按照最好的商业惯例进行包装。</w:t>
      </w:r>
    </w:p>
    <w:p w14:paraId="0B732136">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4.2包装应能满足所需要采取的运输方式应能防止雨淋、受潮、生锈、腐蚀、受振、受磁以及机械和化学因素等引起的损坏。</w:t>
      </w:r>
    </w:p>
    <w:p w14:paraId="4CA5809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4.3投标方所提供货物（或设备）的包装，应能防止其一般性被窃或受外力破坏。</w:t>
      </w:r>
      <w:r>
        <w:rPr>
          <w:rFonts w:ascii="仿宋" w:hAnsi="仿宋" w:eastAsia="仿宋" w:cs="仿宋"/>
          <w:color w:val="auto"/>
          <w:highlight w:val="none"/>
        </w:rPr>
        <w:t xml:space="preserve"> </w:t>
      </w:r>
    </w:p>
    <w:p w14:paraId="5E0083D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4.4投标方应对包装件做必要的加固和固定等防护措施，以防止运输可能造成的损坏。</w:t>
      </w:r>
    </w:p>
    <w:p w14:paraId="64208FD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4.5每个包装件应有装箱单，并至少标明名称、型号规格、数量、净重和毛重、投标方（或供货商）名称和制造日期等相关内容。</w:t>
      </w:r>
    </w:p>
    <w:p w14:paraId="0C94B2C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4.6每个包装箱应有明显标志，并具有中文书写的合同号、装运标志、发货和到货地点名称、发货人和收货人名称、货物名称和项目号、箱号和外型尺寸等内容。</w:t>
      </w:r>
    </w:p>
    <w:p w14:paraId="5949A18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4.7投标方还应按照不同的装运要求在包装箱上标明“小心轻放”、“箭头向上”、“防潮”、“防磁”、“不准平放”等标志，以及其它适用的国标通用标志。</w:t>
      </w:r>
    </w:p>
    <w:p w14:paraId="1ADEC2A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4.8包装箱应连续编号，不应出现重复编号。</w:t>
      </w:r>
    </w:p>
    <w:p w14:paraId="5CAFCAB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4.9在不受到外界破坏情况下，包装应保证自交货日起一年内货物（或设备）完好无损。</w:t>
      </w:r>
    </w:p>
    <w:p w14:paraId="55E631A8">
      <w:pPr>
        <w:snapToGrid w:val="0"/>
        <w:spacing w:line="360" w:lineRule="auto"/>
        <w:ind w:left="480"/>
        <w:outlineLvl w:val="2"/>
        <w:rPr>
          <w:rFonts w:ascii="仿宋" w:hAnsi="仿宋" w:eastAsia="仿宋" w:cs="仿宋"/>
          <w:b/>
          <w:bCs/>
          <w:color w:val="auto"/>
          <w:highlight w:val="none"/>
        </w:rPr>
      </w:pPr>
      <w:bookmarkStart w:id="444" w:name="_Toc23221"/>
      <w:bookmarkStart w:id="445" w:name="_Toc73112413"/>
      <w:bookmarkStart w:id="446" w:name="_Toc21308"/>
      <w:bookmarkStart w:id="447" w:name="_Toc25305"/>
      <w:bookmarkStart w:id="448" w:name="_Toc21886"/>
      <w:bookmarkStart w:id="449" w:name="_Toc5373"/>
      <w:bookmarkStart w:id="450" w:name="_Toc1857"/>
      <w:bookmarkStart w:id="451" w:name="_Toc22792"/>
      <w:bookmarkStart w:id="452" w:name="_Toc22992"/>
      <w:bookmarkStart w:id="453" w:name="_Toc32266"/>
      <w:bookmarkStart w:id="454" w:name="_Toc8"/>
      <w:bookmarkStart w:id="455" w:name="_Toc22949"/>
      <w:bookmarkStart w:id="456" w:name="_Toc7046"/>
      <w:bookmarkStart w:id="457" w:name="_Toc7889"/>
      <w:bookmarkStart w:id="458" w:name="_Toc20536"/>
      <w:bookmarkStart w:id="459" w:name="_Toc24996"/>
      <w:bookmarkStart w:id="460" w:name="_Toc31538"/>
      <w:bookmarkStart w:id="461" w:name="_Toc26302"/>
      <w:bookmarkStart w:id="462" w:name="_Toc17990"/>
      <w:bookmarkStart w:id="463" w:name="_Toc4346"/>
      <w:bookmarkStart w:id="464" w:name="_Toc17881"/>
      <w:r>
        <w:rPr>
          <w:rFonts w:hint="eastAsia" w:ascii="仿宋" w:hAnsi="仿宋" w:eastAsia="仿宋" w:cs="仿宋"/>
          <w:b/>
          <w:bCs/>
          <w:color w:val="auto"/>
          <w:highlight w:val="none"/>
        </w:rPr>
        <w:t>5运输</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170E4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5.1投标方应负责将货物（或设备）运到目的地，并必须做到货物（或设备）在任何运输过程中不受损坏和遗失</w:t>
      </w:r>
    </w:p>
    <w:p w14:paraId="43678E26">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5.2同批货物（或设备）应统一包装、编号运输。</w:t>
      </w:r>
    </w:p>
    <w:p w14:paraId="659DB02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5.3一般情况下，经由铁路、公路运输的包装件尺寸和重量不应超过国家所规定的尺寸限制。特殊情况应予以说明。</w:t>
      </w:r>
    </w:p>
    <w:p w14:paraId="6897E4B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5.4在每批货物（或设备）发出后，投标方应立即通知招标方；通知中应指明：合同号、货运单号、件数、重量和货物（或设备）发出日期等相关内容。</w:t>
      </w:r>
    </w:p>
    <w:p w14:paraId="078D03D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5.5货物（或设备）运抵招标方现场后，投标方应负责货物（或设备）的卸货、搬运、保管等事宜；或按照合同约定。</w:t>
      </w:r>
      <w:bookmarkStart w:id="465" w:name="_Toc133783973"/>
    </w:p>
    <w:p w14:paraId="0527B44F">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466" w:name="_Toc1740"/>
      <w:bookmarkStart w:id="467" w:name="_Toc11027"/>
      <w:bookmarkStart w:id="468" w:name="_Toc19133"/>
      <w:bookmarkStart w:id="469" w:name="_Toc9059"/>
      <w:bookmarkStart w:id="470" w:name="_Toc29063"/>
      <w:bookmarkStart w:id="471" w:name="_Toc27169"/>
      <w:bookmarkStart w:id="472" w:name="_Toc7501"/>
      <w:bookmarkStart w:id="473" w:name="_Toc22680"/>
      <w:bookmarkStart w:id="474" w:name="_Toc25044"/>
      <w:bookmarkStart w:id="475" w:name="_Toc15153"/>
      <w:bookmarkStart w:id="476" w:name="_Toc24397"/>
      <w:bookmarkStart w:id="477" w:name="_Toc8515"/>
      <w:bookmarkStart w:id="478" w:name="_Toc27085"/>
      <w:bookmarkStart w:id="479" w:name="_Toc24415"/>
      <w:bookmarkStart w:id="480" w:name="_Toc14916"/>
      <w:bookmarkStart w:id="481" w:name="_Toc14414"/>
      <w:bookmarkStart w:id="482" w:name="_Toc3739"/>
      <w:bookmarkStart w:id="483" w:name="_Toc14862"/>
      <w:bookmarkStart w:id="484" w:name="_Toc26671"/>
      <w:bookmarkStart w:id="485" w:name="_Toc10894"/>
      <w:bookmarkStart w:id="486" w:name="_Toc7672"/>
      <w:bookmarkStart w:id="487" w:name="_Toc2668"/>
      <w:bookmarkStart w:id="488" w:name="_Toc14171"/>
      <w:bookmarkStart w:id="489" w:name="_Toc23255"/>
      <w:bookmarkStart w:id="490" w:name="_Toc32280"/>
      <w:bookmarkStart w:id="491" w:name="_Toc12478"/>
      <w:bookmarkStart w:id="492" w:name="_Toc14023"/>
      <w:bookmarkStart w:id="493" w:name="_Toc28164"/>
      <w:bookmarkStart w:id="494" w:name="_Toc25292"/>
      <w:bookmarkStart w:id="495" w:name="_Toc10275"/>
      <w:bookmarkStart w:id="496" w:name="_Toc13927"/>
      <w:bookmarkStart w:id="497" w:name="_Toc18423"/>
      <w:bookmarkStart w:id="498" w:name="_Toc31301"/>
      <w:bookmarkStart w:id="499" w:name="_Toc24978"/>
      <w:bookmarkStart w:id="500" w:name="_Toc28211"/>
      <w:bookmarkStart w:id="501" w:name="_Toc26651"/>
      <w:bookmarkStart w:id="502" w:name="_Toc10676"/>
      <w:bookmarkStart w:id="503" w:name="_Toc19986"/>
      <w:bookmarkStart w:id="504" w:name="_Toc12021"/>
      <w:bookmarkStart w:id="505" w:name="_Toc16036"/>
      <w:bookmarkStart w:id="506" w:name="_Toc25780"/>
      <w:bookmarkStart w:id="507" w:name="_Toc14229"/>
      <w:bookmarkStart w:id="508" w:name="_Toc23663"/>
      <w:r>
        <w:rPr>
          <w:rFonts w:hint="eastAsia" w:ascii="仿宋" w:hAnsi="仿宋" w:eastAsia="仿宋" w:cs="仿宋"/>
          <w:b/>
          <w:bCs/>
          <w:color w:val="auto"/>
          <w:highlight w:val="none"/>
        </w:rPr>
        <w:t>第四章售中售后服务</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E408B69">
      <w:pPr>
        <w:snapToGrid w:val="0"/>
        <w:spacing w:line="360" w:lineRule="auto"/>
        <w:ind w:left="480"/>
        <w:outlineLvl w:val="1"/>
        <w:rPr>
          <w:rFonts w:ascii="仿宋" w:hAnsi="仿宋" w:eastAsia="仿宋" w:cs="仿宋"/>
          <w:b/>
          <w:bCs/>
          <w:color w:val="auto"/>
          <w:highlight w:val="none"/>
        </w:rPr>
      </w:pPr>
      <w:bookmarkStart w:id="509" w:name="_Toc27811"/>
      <w:bookmarkStart w:id="510" w:name="_Toc25505"/>
      <w:bookmarkStart w:id="511" w:name="_Toc217"/>
      <w:bookmarkStart w:id="512" w:name="_Toc414"/>
      <w:bookmarkStart w:id="513" w:name="_Toc19735"/>
      <w:bookmarkStart w:id="514" w:name="_Toc9919"/>
      <w:bookmarkStart w:id="515" w:name="_Toc18522"/>
      <w:bookmarkStart w:id="516" w:name="_Toc24654"/>
      <w:bookmarkStart w:id="517" w:name="_Toc4952"/>
      <w:bookmarkStart w:id="518" w:name="_Toc29321"/>
      <w:bookmarkStart w:id="519" w:name="_Toc23493"/>
      <w:bookmarkStart w:id="520" w:name="_Toc17832"/>
      <w:bookmarkStart w:id="521" w:name="_Toc4682"/>
      <w:bookmarkStart w:id="522" w:name="_Toc29262"/>
      <w:bookmarkStart w:id="523" w:name="_Toc28487"/>
      <w:bookmarkStart w:id="524" w:name="_Toc7723"/>
      <w:bookmarkStart w:id="525" w:name="_Toc12793"/>
      <w:bookmarkStart w:id="526" w:name="_Toc10791"/>
      <w:bookmarkStart w:id="527" w:name="_Toc2661"/>
      <w:bookmarkStart w:id="528" w:name="_Toc20772"/>
      <w:bookmarkStart w:id="529" w:name="_Toc9079"/>
      <w:bookmarkStart w:id="530" w:name="_Toc3697"/>
      <w:bookmarkStart w:id="531" w:name="_Toc14199"/>
      <w:bookmarkStart w:id="532" w:name="_Toc25979"/>
      <w:bookmarkStart w:id="533" w:name="_Toc4180"/>
      <w:bookmarkStart w:id="534" w:name="_Toc788"/>
      <w:bookmarkStart w:id="535" w:name="_Toc24344"/>
      <w:bookmarkStart w:id="536" w:name="_Toc20514"/>
      <w:bookmarkStart w:id="537" w:name="_Toc7036"/>
      <w:bookmarkStart w:id="538" w:name="_Toc10787"/>
      <w:bookmarkStart w:id="539" w:name="_Toc8910"/>
      <w:bookmarkStart w:id="540" w:name="_Toc8465"/>
      <w:bookmarkStart w:id="541" w:name="_Toc16066"/>
      <w:bookmarkStart w:id="542" w:name="_Toc23541"/>
      <w:bookmarkStart w:id="543" w:name="_Toc13551"/>
      <w:bookmarkStart w:id="544" w:name="_Toc2564"/>
      <w:bookmarkStart w:id="545" w:name="_Toc13786"/>
      <w:bookmarkStart w:id="546" w:name="_Toc17645"/>
      <w:bookmarkStart w:id="547" w:name="_Toc3722"/>
      <w:bookmarkStart w:id="548" w:name="_Toc344"/>
      <w:bookmarkStart w:id="549" w:name="_Toc19576"/>
      <w:bookmarkStart w:id="550" w:name="_Toc23892"/>
      <w:r>
        <w:rPr>
          <w:rFonts w:hint="eastAsia" w:ascii="仿宋" w:hAnsi="仿宋" w:eastAsia="仿宋" w:cs="仿宋"/>
          <w:b/>
          <w:bCs/>
          <w:color w:val="auto"/>
          <w:highlight w:val="none"/>
        </w:rPr>
        <w:t>1技术及培训服务</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6789970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1.1投标方应负责对招标方</w:t>
      </w:r>
      <w:r>
        <w:rPr>
          <w:rFonts w:hint="eastAsia" w:ascii="仿宋" w:hAnsi="仿宋" w:eastAsia="仿宋" w:cs="仿宋"/>
          <w:color w:val="auto"/>
          <w:highlight w:val="none"/>
          <w:u w:val="single"/>
        </w:rPr>
        <w:t>1</w:t>
      </w:r>
      <w:r>
        <w:rPr>
          <w:rFonts w:hint="eastAsia" w:ascii="仿宋" w:hAnsi="仿宋" w:eastAsia="仿宋" w:cs="仿宋"/>
          <w:color w:val="auto"/>
          <w:highlight w:val="none"/>
        </w:rPr>
        <w:t>名工程技术人员、维修人员和操作人员提供不少于3个日历日的免费的、生产制造现场的理论、技术和操作、维修、安全等方面的指导和培训。</w:t>
      </w:r>
      <w:r>
        <w:rPr>
          <w:rFonts w:ascii="仿宋" w:hAnsi="仿宋" w:eastAsia="仿宋" w:cs="仿宋"/>
          <w:color w:val="auto"/>
          <w:highlight w:val="none"/>
        </w:rPr>
        <w:t xml:space="preserve"> </w:t>
      </w:r>
    </w:p>
    <w:p w14:paraId="37FA601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1.2投标方应负责在招标方货物使用现场，进行</w:t>
      </w:r>
      <w:r>
        <w:rPr>
          <w:rFonts w:hint="eastAsia" w:ascii="仿宋" w:hAnsi="仿宋" w:eastAsia="仿宋" w:cs="仿宋"/>
          <w:color w:val="auto"/>
          <w:highlight w:val="none"/>
          <w:shd w:val="pct10" w:color="auto" w:fill="FFFFFF"/>
        </w:rPr>
        <w:t>2～3</w:t>
      </w:r>
      <w:r>
        <w:rPr>
          <w:rFonts w:hint="eastAsia" w:ascii="仿宋" w:hAnsi="仿宋" w:eastAsia="仿宋" w:cs="仿宋"/>
          <w:color w:val="auto"/>
          <w:highlight w:val="none"/>
        </w:rPr>
        <w:t>次免费的技术指导和培训，并接受招标方有关人员的技术咨询。</w:t>
      </w:r>
    </w:p>
    <w:p w14:paraId="62BB665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1.3投标方应免费提供全套培训资料。所有设备均需要配备产品说明书，包括设备的内部结构、组成及保养、维护、调试等相关内容，便于生产人员及维修人员查阅。</w:t>
      </w:r>
    </w:p>
    <w:p w14:paraId="1C1FF24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1.4投标方应按要求，免费积极协助和提供招标方以及招标方所委托的工程设计单位有关人员所需要的、与货物有关的设计资料、技术咨询等。</w:t>
      </w:r>
    </w:p>
    <w:p w14:paraId="0FAA022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55AC2E21">
      <w:pPr>
        <w:snapToGrid w:val="0"/>
        <w:spacing w:line="360" w:lineRule="auto"/>
        <w:ind w:left="480"/>
        <w:outlineLvl w:val="1"/>
        <w:rPr>
          <w:rFonts w:ascii="仿宋" w:hAnsi="仿宋" w:eastAsia="仿宋" w:cs="仿宋"/>
          <w:b/>
          <w:bCs/>
          <w:color w:val="auto"/>
          <w:highlight w:val="none"/>
        </w:rPr>
      </w:pPr>
      <w:bookmarkStart w:id="551" w:name="_Toc26430"/>
      <w:bookmarkStart w:id="552" w:name="_Toc32690"/>
      <w:bookmarkStart w:id="553" w:name="_Toc15028"/>
      <w:bookmarkStart w:id="554" w:name="_Toc21693"/>
      <w:bookmarkStart w:id="555" w:name="_Toc29981"/>
      <w:bookmarkStart w:id="556" w:name="_Toc1420"/>
      <w:bookmarkStart w:id="557" w:name="_Toc29413"/>
      <w:bookmarkStart w:id="558" w:name="_Toc31039"/>
      <w:bookmarkStart w:id="559" w:name="_Toc25347"/>
      <w:bookmarkStart w:id="560" w:name="_Toc11516"/>
      <w:bookmarkStart w:id="561" w:name="_Toc14504"/>
      <w:bookmarkStart w:id="562" w:name="_Toc3042"/>
      <w:bookmarkStart w:id="563" w:name="_Toc16259"/>
      <w:bookmarkStart w:id="564" w:name="_Toc3976"/>
      <w:bookmarkStart w:id="565" w:name="_Toc17849"/>
      <w:bookmarkStart w:id="566" w:name="_Toc6394"/>
      <w:bookmarkStart w:id="567" w:name="_Toc17516"/>
      <w:bookmarkStart w:id="568" w:name="_Toc17865"/>
      <w:bookmarkStart w:id="569" w:name="_Toc19800"/>
      <w:bookmarkStart w:id="570" w:name="_Toc19866"/>
      <w:bookmarkStart w:id="571" w:name="_Toc16867"/>
      <w:bookmarkStart w:id="572" w:name="_Toc13970"/>
      <w:bookmarkStart w:id="573" w:name="_Toc22880"/>
      <w:bookmarkStart w:id="574" w:name="_Toc30271"/>
      <w:bookmarkStart w:id="575" w:name="_Toc10782"/>
      <w:bookmarkStart w:id="576" w:name="_Toc22719"/>
      <w:bookmarkStart w:id="577" w:name="_Toc26880"/>
      <w:bookmarkStart w:id="578" w:name="_Toc13864"/>
      <w:bookmarkStart w:id="579" w:name="_Toc15460"/>
      <w:bookmarkStart w:id="580" w:name="_Toc5703"/>
      <w:bookmarkStart w:id="581" w:name="_Toc3892"/>
      <w:bookmarkStart w:id="582" w:name="_Toc16207"/>
      <w:bookmarkStart w:id="583" w:name="_Toc9824"/>
      <w:bookmarkStart w:id="584" w:name="_Toc1176"/>
      <w:bookmarkStart w:id="585" w:name="_Toc25721"/>
      <w:bookmarkStart w:id="586" w:name="_Toc22693"/>
      <w:bookmarkStart w:id="587" w:name="_Toc3907"/>
      <w:bookmarkStart w:id="588" w:name="_Toc2300"/>
      <w:bookmarkStart w:id="589" w:name="_Toc11060"/>
      <w:bookmarkStart w:id="590" w:name="_Toc16493"/>
      <w:bookmarkStart w:id="591" w:name="_Toc13235"/>
      <w:r>
        <w:rPr>
          <w:rFonts w:hint="eastAsia" w:ascii="仿宋" w:hAnsi="仿宋" w:eastAsia="仿宋" w:cs="仿宋"/>
          <w:b/>
          <w:bCs/>
          <w:color w:val="auto"/>
          <w:highlight w:val="none"/>
        </w:rPr>
        <w:t>2安装调试服务</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6C949E5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2.1根据货物的要求，调试阶段招标方将予以积极配合，协助投标方达到货物的各项技术指标和性能要求。</w:t>
      </w:r>
    </w:p>
    <w:p w14:paraId="333298F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550292A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2.3投标方提供收费的或免费的、指导安装调试或负责安装调试，至少应在投标文件的报价章节中，予以明确说明。</w:t>
      </w:r>
    </w:p>
    <w:p w14:paraId="27ABF009">
      <w:pPr>
        <w:snapToGrid w:val="0"/>
        <w:spacing w:line="360" w:lineRule="auto"/>
        <w:ind w:left="480"/>
        <w:outlineLvl w:val="1"/>
        <w:rPr>
          <w:rFonts w:ascii="仿宋" w:hAnsi="仿宋" w:eastAsia="仿宋" w:cs="仿宋"/>
          <w:b/>
          <w:bCs/>
          <w:color w:val="auto"/>
          <w:highlight w:val="none"/>
        </w:rPr>
      </w:pPr>
      <w:bookmarkStart w:id="592" w:name="_Toc30193"/>
      <w:bookmarkStart w:id="593" w:name="_Toc9329"/>
      <w:bookmarkStart w:id="594" w:name="_Toc2510"/>
      <w:bookmarkStart w:id="595" w:name="_Toc10635"/>
      <w:bookmarkStart w:id="596" w:name="_Toc24615"/>
      <w:bookmarkStart w:id="597" w:name="_Toc32488"/>
      <w:bookmarkStart w:id="598" w:name="_Toc3170"/>
      <w:bookmarkStart w:id="599" w:name="_Toc12739"/>
      <w:bookmarkStart w:id="600" w:name="_Toc4076"/>
      <w:bookmarkStart w:id="601" w:name="_Toc1585"/>
      <w:bookmarkStart w:id="602" w:name="_Toc16435"/>
      <w:bookmarkStart w:id="603" w:name="_Toc16916"/>
      <w:bookmarkStart w:id="604" w:name="_Toc16337"/>
      <w:bookmarkStart w:id="605" w:name="_Toc19810"/>
      <w:bookmarkStart w:id="606" w:name="_Toc32442"/>
      <w:bookmarkStart w:id="607" w:name="_Toc22871"/>
      <w:bookmarkStart w:id="608" w:name="_Toc7783"/>
      <w:bookmarkStart w:id="609" w:name="_Toc2657"/>
      <w:bookmarkStart w:id="610" w:name="_Toc17427"/>
      <w:bookmarkStart w:id="611" w:name="_Toc9269"/>
      <w:bookmarkStart w:id="612" w:name="_Toc30398"/>
      <w:bookmarkStart w:id="613" w:name="_Toc29125"/>
      <w:bookmarkStart w:id="614" w:name="_Toc19674"/>
      <w:bookmarkStart w:id="615" w:name="_Toc8975"/>
      <w:bookmarkStart w:id="616" w:name="_Toc9878"/>
      <w:bookmarkStart w:id="617" w:name="_Toc4751"/>
      <w:bookmarkStart w:id="618" w:name="_Toc29245"/>
      <w:bookmarkStart w:id="619" w:name="_Toc18269"/>
      <w:bookmarkStart w:id="620" w:name="_Toc1565"/>
      <w:bookmarkStart w:id="621" w:name="_Toc29126"/>
      <w:bookmarkStart w:id="622" w:name="_Toc8632"/>
      <w:bookmarkStart w:id="623" w:name="_Toc628"/>
      <w:bookmarkStart w:id="624" w:name="_Toc2097"/>
      <w:bookmarkStart w:id="625" w:name="_Toc17284"/>
      <w:bookmarkStart w:id="626" w:name="_Toc218"/>
      <w:bookmarkStart w:id="627" w:name="_Toc11229"/>
      <w:bookmarkStart w:id="628" w:name="_Toc25079"/>
      <w:bookmarkStart w:id="629" w:name="_Toc16706"/>
      <w:bookmarkStart w:id="630" w:name="_Toc7956"/>
      <w:bookmarkStart w:id="631" w:name="_Toc13443"/>
      <w:bookmarkStart w:id="632" w:name="_Toc13921"/>
      <w:bookmarkStart w:id="633" w:name="_Toc16373"/>
      <w:r>
        <w:rPr>
          <w:rFonts w:hint="eastAsia" w:ascii="仿宋" w:hAnsi="仿宋" w:eastAsia="仿宋" w:cs="仿宋"/>
          <w:b/>
          <w:bCs/>
          <w:color w:val="auto"/>
          <w:highlight w:val="none"/>
        </w:rPr>
        <w:t>3验收服务</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25B1DF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3.1投标方在招标方现场进行的货物的预验收和终验收配合或指导，应当是免费的。</w:t>
      </w:r>
    </w:p>
    <w:p w14:paraId="43E92D8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19C570B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3.3合格验收时，投标方提供资质合格证书，招标方根据实际情况进行相关复检，复检合格视为合格。</w:t>
      </w:r>
    </w:p>
    <w:p w14:paraId="3C8E3D40">
      <w:pPr>
        <w:snapToGrid w:val="0"/>
        <w:spacing w:line="360" w:lineRule="auto"/>
        <w:ind w:left="480"/>
        <w:outlineLvl w:val="1"/>
        <w:rPr>
          <w:rFonts w:ascii="仿宋" w:hAnsi="仿宋" w:eastAsia="仿宋" w:cs="仿宋"/>
          <w:b/>
          <w:bCs/>
          <w:color w:val="auto"/>
          <w:highlight w:val="none"/>
        </w:rPr>
      </w:pPr>
      <w:bookmarkStart w:id="634" w:name="_Toc7478"/>
      <w:bookmarkStart w:id="635" w:name="_Toc3798"/>
      <w:bookmarkStart w:id="636" w:name="_Toc6099"/>
      <w:bookmarkStart w:id="637" w:name="_Toc29633"/>
      <w:bookmarkStart w:id="638" w:name="_Toc14739"/>
      <w:bookmarkStart w:id="639" w:name="_Toc18968"/>
      <w:bookmarkStart w:id="640" w:name="_Toc32682"/>
      <w:bookmarkStart w:id="641" w:name="_Toc20538"/>
      <w:bookmarkStart w:id="642" w:name="_Toc6232"/>
      <w:bookmarkStart w:id="643" w:name="_Toc26773"/>
      <w:bookmarkStart w:id="644" w:name="_Toc20717"/>
      <w:bookmarkStart w:id="645" w:name="_Toc20916"/>
      <w:bookmarkStart w:id="646" w:name="_Toc20426"/>
      <w:bookmarkStart w:id="647" w:name="_Toc19441"/>
      <w:bookmarkStart w:id="648" w:name="_Toc19397"/>
      <w:bookmarkStart w:id="649" w:name="_Toc11699"/>
      <w:bookmarkStart w:id="650" w:name="_Toc1454"/>
      <w:bookmarkStart w:id="651" w:name="_Toc9592"/>
      <w:bookmarkStart w:id="652" w:name="_Toc29300"/>
      <w:bookmarkStart w:id="653" w:name="_Toc10014"/>
      <w:bookmarkStart w:id="654" w:name="_Toc1311"/>
      <w:bookmarkStart w:id="655" w:name="_Toc8078"/>
      <w:bookmarkStart w:id="656" w:name="_Toc22965"/>
      <w:bookmarkStart w:id="657" w:name="_Toc28635"/>
      <w:bookmarkStart w:id="658" w:name="_Toc30412"/>
      <w:bookmarkStart w:id="659" w:name="_Toc542"/>
      <w:bookmarkStart w:id="660" w:name="_Toc4417"/>
      <w:bookmarkStart w:id="661" w:name="_Toc18836"/>
      <w:bookmarkStart w:id="662" w:name="_Toc17895"/>
      <w:bookmarkStart w:id="663" w:name="_Toc7782"/>
      <w:bookmarkStart w:id="664" w:name="_Toc27224"/>
      <w:bookmarkStart w:id="665" w:name="_Toc32079"/>
      <w:bookmarkStart w:id="666" w:name="_Toc2093"/>
      <w:bookmarkStart w:id="667" w:name="_Toc17056"/>
      <w:bookmarkStart w:id="668" w:name="_Toc29778"/>
      <w:bookmarkStart w:id="669" w:name="_Toc26554"/>
      <w:bookmarkStart w:id="670" w:name="_Toc20081"/>
      <w:bookmarkStart w:id="671" w:name="_Toc11213"/>
      <w:bookmarkStart w:id="672" w:name="_Toc21987"/>
      <w:bookmarkStart w:id="673" w:name="_Toc1199"/>
      <w:bookmarkStart w:id="674" w:name="_Toc10808"/>
      <w:bookmarkStart w:id="675" w:name="_Toc22392"/>
      <w:r>
        <w:rPr>
          <w:rFonts w:hint="eastAsia" w:ascii="仿宋" w:hAnsi="仿宋" w:eastAsia="仿宋" w:cs="仿宋"/>
          <w:b/>
          <w:bCs/>
          <w:color w:val="auto"/>
          <w:highlight w:val="none"/>
        </w:rPr>
        <w:t>4售后服务</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F464A2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4.1所有的售后服务均由投标方受理。如果发生问题并且收到报告，投标方应当在2小时内予以答复。</w:t>
      </w:r>
    </w:p>
    <w:p w14:paraId="6644005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 xml:space="preserve">4.2如发现所提供的货物存在问题，需要投标方解决或配合解决时：在质保期之内，应在接到通知后 </w:t>
      </w:r>
      <w:r>
        <w:rPr>
          <w:rFonts w:hint="eastAsia" w:ascii="仿宋" w:hAnsi="仿宋" w:eastAsia="仿宋" w:cs="仿宋"/>
          <w:color w:val="auto"/>
          <w:highlight w:val="none"/>
          <w:u w:val="single"/>
        </w:rPr>
        <w:t xml:space="preserve"> 1</w:t>
      </w:r>
      <w:r>
        <w:rPr>
          <w:rFonts w:hint="eastAsia" w:ascii="仿宋" w:hAnsi="仿宋" w:eastAsia="仿宋" w:cs="仿宋"/>
          <w:color w:val="auto"/>
          <w:highlight w:val="none"/>
        </w:rPr>
        <w:t>小时内派有关人员到达现场；在质保期之外，应在接到通知后</w:t>
      </w:r>
      <w:r>
        <w:rPr>
          <w:rFonts w:hint="eastAsia" w:ascii="仿宋" w:hAnsi="仿宋" w:eastAsia="仿宋" w:cs="仿宋"/>
          <w:color w:val="auto"/>
          <w:highlight w:val="none"/>
          <w:u w:val="single"/>
          <w:shd w:val="pct10" w:color="auto" w:fill="FFFFFF"/>
        </w:rPr>
        <w:t xml:space="preserve"> 3</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小时内派有关人员到达现场。</w:t>
      </w:r>
    </w:p>
    <w:p w14:paraId="325D420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4.3投标方派往招标方使用现场的人员，应具有较高的业务素质；现场解决问题时，不得无故拖延或推迟，应为招标方提供最佳的服务。</w:t>
      </w:r>
    </w:p>
    <w:p w14:paraId="7306060F">
      <w:pPr>
        <w:snapToGrid w:val="0"/>
        <w:spacing w:line="360" w:lineRule="auto"/>
        <w:ind w:left="480"/>
        <w:outlineLvl w:val="1"/>
        <w:rPr>
          <w:rFonts w:ascii="仿宋" w:hAnsi="仿宋" w:eastAsia="仿宋" w:cs="仿宋"/>
          <w:b/>
          <w:bCs/>
          <w:color w:val="auto"/>
          <w:highlight w:val="none"/>
        </w:rPr>
      </w:pPr>
      <w:bookmarkStart w:id="676" w:name="_Toc28927"/>
      <w:bookmarkStart w:id="677" w:name="_Toc4928"/>
      <w:bookmarkStart w:id="678" w:name="_Toc14349"/>
      <w:bookmarkStart w:id="679" w:name="_Toc25242"/>
      <w:bookmarkStart w:id="680" w:name="_Toc6107"/>
      <w:bookmarkStart w:id="681" w:name="_Toc22593"/>
      <w:bookmarkStart w:id="682" w:name="_Toc26287"/>
      <w:bookmarkStart w:id="683" w:name="_Toc27733"/>
      <w:bookmarkStart w:id="684" w:name="_Toc21895"/>
      <w:bookmarkStart w:id="685" w:name="_Toc6984"/>
      <w:bookmarkStart w:id="686" w:name="_Toc30887"/>
      <w:bookmarkStart w:id="687" w:name="_Toc17891"/>
      <w:bookmarkStart w:id="688" w:name="_Toc7130"/>
      <w:bookmarkStart w:id="689" w:name="_Toc22732"/>
      <w:bookmarkStart w:id="690" w:name="_Toc9982"/>
      <w:bookmarkStart w:id="691" w:name="_Toc25693"/>
      <w:bookmarkStart w:id="692" w:name="_Toc115"/>
      <w:bookmarkStart w:id="693" w:name="_Toc27285"/>
      <w:bookmarkStart w:id="694" w:name="_Toc10752"/>
      <w:bookmarkStart w:id="695" w:name="_Toc30999"/>
      <w:bookmarkStart w:id="696" w:name="_Toc31498"/>
      <w:bookmarkStart w:id="697" w:name="_Toc20936"/>
      <w:bookmarkStart w:id="698" w:name="_Toc4793"/>
      <w:bookmarkStart w:id="699" w:name="_Toc6730"/>
      <w:bookmarkStart w:id="700" w:name="_Toc13974"/>
      <w:bookmarkStart w:id="701" w:name="_Toc6354"/>
      <w:bookmarkStart w:id="702" w:name="_Toc32366"/>
      <w:bookmarkStart w:id="703" w:name="_Toc32502"/>
      <w:bookmarkStart w:id="704" w:name="_Toc19301"/>
      <w:bookmarkStart w:id="705" w:name="_Toc12294"/>
      <w:bookmarkStart w:id="706" w:name="_Toc18148"/>
      <w:bookmarkStart w:id="707" w:name="_Toc3819"/>
      <w:bookmarkStart w:id="708" w:name="_Toc25994"/>
      <w:bookmarkStart w:id="709" w:name="_Toc1573"/>
      <w:bookmarkStart w:id="710" w:name="_Toc26623"/>
      <w:bookmarkStart w:id="711" w:name="_Toc913"/>
      <w:bookmarkStart w:id="712" w:name="_Toc16849"/>
      <w:bookmarkStart w:id="713" w:name="_Toc20327"/>
      <w:bookmarkStart w:id="714" w:name="_Toc26976"/>
      <w:bookmarkStart w:id="715" w:name="_Toc9688"/>
      <w:bookmarkStart w:id="716" w:name="_Toc27505"/>
      <w:bookmarkStart w:id="717" w:name="_Toc1118"/>
      <w:r>
        <w:rPr>
          <w:rFonts w:hint="eastAsia" w:ascii="仿宋" w:hAnsi="仿宋" w:eastAsia="仿宋" w:cs="仿宋"/>
          <w:b/>
          <w:bCs/>
          <w:color w:val="auto"/>
          <w:highlight w:val="none"/>
        </w:rPr>
        <w:t>5其它服务</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643ADE8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5.1若投标方所提供货物有需要进口的，投标方一般应自行、自费办理；必要时，招标方和投标方共同办理。</w:t>
      </w:r>
    </w:p>
    <w:p w14:paraId="7E2103D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5.2除招标文件、投标文件、答疑文件、技术协议、合同等约定之外，投标方应免费负责必要的或强制性的货物的检验、试验、化验等直接费用。</w:t>
      </w:r>
      <w:bookmarkStart w:id="718" w:name="_Toc133783974"/>
    </w:p>
    <w:p w14:paraId="53A1D54A">
      <w:pPr>
        <w:adjustRightInd w:val="0"/>
        <w:snapToGrid w:val="0"/>
        <w:spacing w:line="360" w:lineRule="auto"/>
        <w:ind w:firstLine="420" w:firstLineChars="200"/>
        <w:rPr>
          <w:rFonts w:ascii="仿宋" w:hAnsi="仿宋" w:eastAsia="仿宋" w:cs="仿宋"/>
          <w:color w:val="auto"/>
          <w:highlight w:val="none"/>
          <w:lang w:val="en-GB"/>
        </w:rPr>
      </w:pPr>
      <w:bookmarkStart w:id="719" w:name="_Toc499550430"/>
      <w:r>
        <w:rPr>
          <w:rFonts w:hint="eastAsia" w:ascii="仿宋" w:hAnsi="仿宋" w:eastAsia="仿宋" w:cs="仿宋"/>
          <w:color w:val="auto"/>
          <w:highlight w:val="none"/>
        </w:rPr>
        <w:t>5</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保障服务目标</w:t>
      </w:r>
      <w:bookmarkEnd w:id="719"/>
    </w:p>
    <w:p w14:paraId="33E48B5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lang w:val="en-GB"/>
        </w:rPr>
        <w:t>（1）</w:t>
      </w:r>
      <w:r>
        <w:rPr>
          <w:rFonts w:hint="eastAsia" w:ascii="仿宋" w:hAnsi="仿宋" w:eastAsia="仿宋" w:cs="仿宋"/>
          <w:color w:val="auto"/>
          <w:highlight w:val="none"/>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0B5E0F2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（2）乙方承诺其提供的设备不存在任何产品缺陷，否则因乙方提供的设备存在产品缺陷而给甲方造成的一切后果和损失由乙方承担。</w:t>
      </w:r>
    </w:p>
    <w:p w14:paraId="3660800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4489F4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5C92B1A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6CA2289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（6）乙方负责在甲方指定的地点免费为甲方培训操作及维修人员，培训内容包括：基本原理、操作使用和维修保养等。</w:t>
      </w:r>
    </w:p>
    <w:p w14:paraId="7F7332C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（7）质量保证期满后，乙方保证向甲方提供及时的、质优的、价格优惠的技术服务和备品备件供应。</w:t>
      </w:r>
    </w:p>
    <w:p w14:paraId="52DD398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（8）质量保证期满后，如出现质量问题，乙方也应及时修复和更换，且只收取成本费，费用由甲方承担，乙方对设备质量问题所负的责任直到设备使用寿命周期结束。</w:t>
      </w:r>
    </w:p>
    <w:p w14:paraId="515A6FB8">
      <w:pPr>
        <w:adjustRightInd w:val="0"/>
        <w:snapToGrid w:val="0"/>
        <w:spacing w:line="360" w:lineRule="auto"/>
        <w:ind w:firstLine="420" w:firstLineChars="200"/>
        <w:rPr>
          <w:rFonts w:ascii="仿宋" w:hAnsi="仿宋" w:eastAsia="仿宋" w:cs="仿宋"/>
          <w:color w:val="auto"/>
          <w:highlight w:val="none"/>
          <w:lang w:val="en-GB"/>
        </w:rPr>
      </w:pPr>
      <w:r>
        <w:rPr>
          <w:rFonts w:hint="eastAsia" w:ascii="仿宋" w:hAnsi="仿宋" w:eastAsia="仿宋" w:cs="仿宋"/>
          <w:color w:val="auto"/>
          <w:highlight w:val="none"/>
        </w:rPr>
        <w:t>5.4</w:t>
      </w:r>
      <w:r>
        <w:rPr>
          <w:rFonts w:hint="eastAsia" w:ascii="仿宋" w:hAnsi="仿宋" w:eastAsia="仿宋" w:cs="仿宋"/>
          <w:color w:val="auto"/>
          <w:highlight w:val="none"/>
          <w:lang w:val="en-GB"/>
        </w:rPr>
        <w:t>增值服务目标</w:t>
      </w:r>
    </w:p>
    <w:p w14:paraId="51E8C88B">
      <w:pPr>
        <w:adjustRightInd w:val="0"/>
        <w:snapToGrid w:val="0"/>
        <w:spacing w:line="360" w:lineRule="auto"/>
        <w:ind w:firstLine="420" w:firstLineChars="200"/>
        <w:rPr>
          <w:color w:val="auto"/>
          <w:highlight w:val="none"/>
        </w:rPr>
      </w:pPr>
      <w:r>
        <w:rPr>
          <w:rFonts w:hint="eastAsia" w:ascii="仿宋" w:hAnsi="仿宋" w:eastAsia="仿宋" w:cs="仿宋"/>
          <w:color w:val="auto"/>
          <w:highlight w:val="none"/>
          <w:lang w:val="en-GB"/>
        </w:rPr>
        <w:t>（1）提供一年的系统7×24维护</w:t>
      </w:r>
    </w:p>
    <w:p w14:paraId="2DB8C520">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720" w:name="_Toc19942"/>
      <w:bookmarkStart w:id="721" w:name="_Toc8076"/>
      <w:bookmarkStart w:id="722" w:name="_Toc10438"/>
      <w:bookmarkStart w:id="723" w:name="_Toc30293"/>
      <w:bookmarkStart w:id="724" w:name="_Toc2800"/>
      <w:bookmarkStart w:id="725" w:name="_Toc19017"/>
      <w:bookmarkStart w:id="726" w:name="_Toc9498"/>
      <w:bookmarkStart w:id="727" w:name="_Toc12454"/>
      <w:bookmarkStart w:id="728" w:name="_Toc9482"/>
      <w:bookmarkStart w:id="729" w:name="_Toc26489"/>
      <w:bookmarkStart w:id="730" w:name="_Toc27484"/>
      <w:bookmarkStart w:id="731" w:name="_Toc25825"/>
      <w:bookmarkStart w:id="732" w:name="_Toc18621"/>
      <w:bookmarkStart w:id="733" w:name="_Toc8547"/>
      <w:bookmarkStart w:id="734" w:name="_Toc6228"/>
      <w:bookmarkStart w:id="735" w:name="_Toc21122"/>
      <w:bookmarkStart w:id="736" w:name="_Toc5013"/>
      <w:bookmarkStart w:id="737" w:name="_Toc23730"/>
      <w:bookmarkStart w:id="738" w:name="_Toc13895"/>
      <w:bookmarkStart w:id="739" w:name="_Toc4011"/>
      <w:bookmarkStart w:id="740" w:name="_Toc32409"/>
      <w:bookmarkStart w:id="741" w:name="_Toc32483"/>
      <w:bookmarkStart w:id="742" w:name="_Toc15356"/>
      <w:bookmarkStart w:id="743" w:name="_Toc29817"/>
      <w:bookmarkStart w:id="744" w:name="_Toc22725"/>
      <w:bookmarkStart w:id="745" w:name="_Toc19208"/>
      <w:bookmarkStart w:id="746" w:name="_Toc16355"/>
      <w:bookmarkStart w:id="747" w:name="_Toc11150"/>
      <w:bookmarkStart w:id="748" w:name="_Toc5996"/>
      <w:bookmarkStart w:id="749" w:name="_Toc29777"/>
      <w:bookmarkStart w:id="750" w:name="_Toc9121"/>
      <w:bookmarkStart w:id="751" w:name="_Toc13250"/>
      <w:bookmarkStart w:id="752" w:name="_Toc2140"/>
      <w:bookmarkStart w:id="753" w:name="_Toc16312"/>
      <w:bookmarkStart w:id="754" w:name="_Toc14411"/>
      <w:bookmarkStart w:id="755" w:name="_Toc18030"/>
      <w:bookmarkStart w:id="756" w:name="_Toc29269"/>
      <w:bookmarkStart w:id="757" w:name="_Toc25057"/>
      <w:bookmarkStart w:id="758" w:name="_Toc10873"/>
      <w:bookmarkStart w:id="759" w:name="_Toc12013"/>
      <w:bookmarkStart w:id="760" w:name="_Toc7461"/>
      <w:bookmarkStart w:id="761" w:name="_Toc24752"/>
      <w:bookmarkStart w:id="762" w:name="_Toc10492"/>
      <w:r>
        <w:rPr>
          <w:rFonts w:hint="eastAsia" w:ascii="仿宋" w:hAnsi="仿宋" w:eastAsia="仿宋" w:cs="仿宋"/>
          <w:b/>
          <w:bCs/>
          <w:color w:val="auto"/>
          <w:highlight w:val="none"/>
        </w:rPr>
        <w:t>第五章预验收和终验收</w:t>
      </w:r>
      <w:bookmarkEnd w:id="71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35D20DF">
      <w:pPr>
        <w:snapToGrid w:val="0"/>
        <w:spacing w:line="360" w:lineRule="auto"/>
        <w:ind w:left="482"/>
        <w:outlineLvl w:val="1"/>
        <w:rPr>
          <w:rFonts w:ascii="仿宋" w:hAnsi="仿宋" w:eastAsia="仿宋" w:cs="仿宋"/>
          <w:b/>
          <w:bCs/>
          <w:color w:val="auto"/>
          <w:highlight w:val="none"/>
        </w:rPr>
      </w:pPr>
      <w:bookmarkStart w:id="763" w:name="_Toc22207"/>
      <w:bookmarkStart w:id="764" w:name="_Toc27951"/>
      <w:bookmarkStart w:id="765" w:name="_Toc7463"/>
      <w:bookmarkStart w:id="766" w:name="_Toc29964"/>
      <w:bookmarkStart w:id="767" w:name="_Toc31478"/>
      <w:bookmarkStart w:id="768" w:name="_Toc24517"/>
      <w:bookmarkStart w:id="769" w:name="_Toc23231"/>
      <w:bookmarkStart w:id="770" w:name="_Toc22981"/>
      <w:bookmarkStart w:id="771" w:name="_Toc6378"/>
      <w:bookmarkStart w:id="772" w:name="_Toc2326"/>
      <w:bookmarkStart w:id="773" w:name="_Toc24809"/>
      <w:bookmarkStart w:id="774" w:name="_Toc7184"/>
      <w:bookmarkStart w:id="775" w:name="_Toc25574"/>
      <w:bookmarkStart w:id="776" w:name="_Toc11331"/>
      <w:bookmarkStart w:id="777" w:name="_Toc242"/>
      <w:bookmarkStart w:id="778" w:name="_Toc4070"/>
      <w:bookmarkStart w:id="779" w:name="_Toc3676"/>
      <w:bookmarkStart w:id="780" w:name="_Toc9902"/>
      <w:bookmarkStart w:id="781" w:name="_Toc29608"/>
      <w:bookmarkStart w:id="782" w:name="_Toc7191"/>
      <w:bookmarkStart w:id="783" w:name="_Toc21206"/>
      <w:bookmarkStart w:id="784" w:name="_Toc20512"/>
      <w:bookmarkStart w:id="785" w:name="_Toc15025"/>
      <w:bookmarkStart w:id="786" w:name="_Toc29611"/>
      <w:bookmarkStart w:id="787" w:name="_Toc23191"/>
      <w:bookmarkStart w:id="788" w:name="_Toc29287"/>
      <w:bookmarkStart w:id="789" w:name="_Toc13718"/>
      <w:bookmarkStart w:id="790" w:name="_Toc28506"/>
      <w:bookmarkStart w:id="791" w:name="_Toc21557"/>
      <w:bookmarkStart w:id="792" w:name="_Toc14541"/>
      <w:bookmarkStart w:id="793" w:name="_Toc6924"/>
      <w:bookmarkStart w:id="794" w:name="_Toc28073"/>
      <w:bookmarkStart w:id="795" w:name="_Toc27448"/>
      <w:bookmarkStart w:id="796" w:name="_Toc17620"/>
      <w:bookmarkStart w:id="797" w:name="_Toc12676"/>
      <w:bookmarkStart w:id="798" w:name="_Toc14965"/>
      <w:bookmarkStart w:id="799" w:name="_Toc1286"/>
      <w:bookmarkStart w:id="800" w:name="_Toc12239"/>
      <w:bookmarkStart w:id="801" w:name="_Toc22140"/>
      <w:bookmarkStart w:id="802" w:name="_Toc10033"/>
      <w:bookmarkStart w:id="803" w:name="_Toc5401"/>
      <w:bookmarkStart w:id="804" w:name="_Toc27225"/>
      <w:r>
        <w:rPr>
          <w:rFonts w:hint="eastAsia" w:ascii="仿宋" w:hAnsi="仿宋" w:eastAsia="仿宋" w:cs="仿宋"/>
          <w:b/>
          <w:bCs/>
          <w:color w:val="auto"/>
          <w:highlight w:val="none"/>
        </w:rPr>
        <w:t>1验收的一般约定</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500281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1.1验收标准一般以技术协议书和合同规定验收。</w:t>
      </w:r>
    </w:p>
    <w:p w14:paraId="31CD542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1.2如果验收过程中，发现招标文件、投标文件、答疑文件、技术交流文件等与技术协议书、合同存在差异，原则上以涉及条款中对买方最有利条款为验收依据。</w:t>
      </w:r>
    </w:p>
    <w:p w14:paraId="2327BDE3">
      <w:pPr>
        <w:snapToGrid w:val="0"/>
        <w:spacing w:line="360" w:lineRule="auto"/>
        <w:ind w:left="482"/>
        <w:outlineLvl w:val="1"/>
        <w:rPr>
          <w:rFonts w:ascii="仿宋" w:hAnsi="仿宋" w:eastAsia="仿宋" w:cs="仿宋"/>
          <w:b/>
          <w:bCs/>
          <w:color w:val="auto"/>
          <w:highlight w:val="none"/>
        </w:rPr>
      </w:pPr>
      <w:bookmarkStart w:id="805" w:name="_Toc6206"/>
      <w:bookmarkStart w:id="806" w:name="_Toc32581"/>
      <w:bookmarkStart w:id="807" w:name="_Toc8338"/>
      <w:bookmarkStart w:id="808" w:name="_Toc1187"/>
      <w:bookmarkStart w:id="809" w:name="_Toc27120"/>
      <w:bookmarkStart w:id="810" w:name="_Toc27467"/>
      <w:bookmarkStart w:id="811" w:name="_Toc17720"/>
      <w:bookmarkStart w:id="812" w:name="_Toc20876"/>
      <w:bookmarkStart w:id="813" w:name="_Toc30274"/>
      <w:bookmarkStart w:id="814" w:name="_Toc7457"/>
      <w:bookmarkStart w:id="815" w:name="_Toc25951"/>
      <w:bookmarkStart w:id="816" w:name="_Toc9729"/>
      <w:bookmarkStart w:id="817" w:name="_Toc16943"/>
      <w:bookmarkStart w:id="818" w:name="_Toc22158"/>
      <w:bookmarkStart w:id="819" w:name="_Toc28925"/>
      <w:bookmarkStart w:id="820" w:name="_Toc10200"/>
      <w:bookmarkStart w:id="821" w:name="_Toc2310"/>
      <w:bookmarkStart w:id="822" w:name="_Toc31116"/>
      <w:bookmarkStart w:id="823" w:name="_Toc513"/>
      <w:bookmarkStart w:id="824" w:name="_Toc11248"/>
      <w:bookmarkStart w:id="825" w:name="_Toc6471"/>
      <w:bookmarkStart w:id="826" w:name="_Toc15379"/>
      <w:bookmarkStart w:id="827" w:name="_Toc1155"/>
      <w:bookmarkStart w:id="828" w:name="_Toc8916"/>
      <w:bookmarkStart w:id="829" w:name="_Toc8093"/>
      <w:bookmarkStart w:id="830" w:name="_Toc22558"/>
      <w:bookmarkStart w:id="831" w:name="_Toc19505"/>
      <w:bookmarkStart w:id="832" w:name="_Toc21722"/>
      <w:bookmarkStart w:id="833" w:name="_Toc18517"/>
      <w:bookmarkStart w:id="834" w:name="_Toc11335"/>
      <w:bookmarkStart w:id="835" w:name="_Toc10568"/>
      <w:bookmarkStart w:id="836" w:name="_Toc21414"/>
      <w:bookmarkStart w:id="837" w:name="_Toc28873"/>
      <w:bookmarkStart w:id="838" w:name="_Toc21568"/>
      <w:bookmarkStart w:id="839" w:name="_Toc17335"/>
      <w:bookmarkStart w:id="840" w:name="_Toc13173"/>
      <w:bookmarkStart w:id="841" w:name="_Toc13736"/>
      <w:bookmarkStart w:id="842" w:name="_Toc29669"/>
      <w:bookmarkStart w:id="843" w:name="_Toc23133"/>
      <w:bookmarkStart w:id="844" w:name="_Toc8742"/>
      <w:bookmarkStart w:id="845" w:name="_Toc7863"/>
      <w:bookmarkStart w:id="846" w:name="_Toc23919"/>
      <w:r>
        <w:rPr>
          <w:rFonts w:hint="eastAsia" w:ascii="仿宋" w:hAnsi="仿宋" w:eastAsia="仿宋" w:cs="仿宋"/>
          <w:b/>
          <w:bCs/>
          <w:color w:val="auto"/>
          <w:highlight w:val="none"/>
        </w:rPr>
        <w:t>2检验</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77404A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2.1国产货物的检验由卖买双方按照合同要求或在制造现场进行。</w:t>
      </w:r>
    </w:p>
    <w:p w14:paraId="219B9D2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2.2进口货物的检验按照下述要求进行：</w:t>
      </w:r>
    </w:p>
    <w:p w14:paraId="33B9177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2.1.1进口货物发货前，卖方应对货物的质量、型号、规格、性能和数量/重量作精密、全面的检验，并出具证明书，证明所供货物符合合同规定。</w:t>
      </w:r>
    </w:p>
    <w:p w14:paraId="71CC9BB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2.1.2卖方应依据合同规定的要求，提供买卖双方达成一致的货物的验收标准和装箱单，作为买方检验的依据。</w:t>
      </w:r>
    </w:p>
    <w:p w14:paraId="5D15273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color w:val="auto"/>
          <w:highlight w:val="none"/>
          <w:shd w:val="pct10" w:color="auto" w:fill="FFFFFF"/>
        </w:rPr>
        <w:t>180</w:t>
      </w:r>
      <w:r>
        <w:rPr>
          <w:rFonts w:hint="eastAsia" w:ascii="仿宋" w:hAnsi="仿宋" w:eastAsia="仿宋" w:cs="仿宋"/>
          <w:color w:val="auto"/>
          <w:highlight w:val="none"/>
        </w:rPr>
        <w:t>个日历日内，根据中国商品检验检疫局出具的证明书向卖方提出索赔，因索赔所发生的一切费用(包括检验检疫费等)均由卖方承担。</w:t>
      </w:r>
    </w:p>
    <w:p w14:paraId="488EDC09">
      <w:pPr>
        <w:snapToGrid w:val="0"/>
        <w:spacing w:line="360" w:lineRule="auto"/>
        <w:ind w:left="482"/>
        <w:outlineLvl w:val="1"/>
        <w:rPr>
          <w:rFonts w:ascii="仿宋" w:hAnsi="仿宋" w:eastAsia="仿宋" w:cs="仿宋"/>
          <w:b/>
          <w:bCs/>
          <w:color w:val="auto"/>
          <w:highlight w:val="none"/>
        </w:rPr>
      </w:pPr>
      <w:bookmarkStart w:id="847" w:name="_Toc15488"/>
      <w:bookmarkStart w:id="848" w:name="_Toc5653"/>
      <w:bookmarkStart w:id="849" w:name="_Toc1461"/>
      <w:bookmarkStart w:id="850" w:name="_Toc17499"/>
      <w:bookmarkStart w:id="851" w:name="_Toc16878"/>
      <w:bookmarkStart w:id="852" w:name="_Toc30797"/>
      <w:bookmarkStart w:id="853" w:name="_Toc14587"/>
      <w:bookmarkStart w:id="854" w:name="_Toc29497"/>
      <w:bookmarkStart w:id="855" w:name="_Toc14844"/>
      <w:bookmarkStart w:id="856" w:name="_Toc27538"/>
      <w:bookmarkStart w:id="857" w:name="_Toc228"/>
      <w:bookmarkStart w:id="858" w:name="_Toc32111"/>
      <w:bookmarkStart w:id="859" w:name="_Toc18595"/>
      <w:bookmarkStart w:id="860" w:name="_Toc1041"/>
      <w:bookmarkStart w:id="861" w:name="_Toc21487"/>
      <w:bookmarkStart w:id="862" w:name="_Toc8214"/>
      <w:bookmarkStart w:id="863" w:name="_Toc21757"/>
      <w:bookmarkStart w:id="864" w:name="_Toc31780"/>
      <w:bookmarkStart w:id="865" w:name="_Toc27594"/>
      <w:bookmarkStart w:id="866" w:name="_Toc6506"/>
      <w:bookmarkStart w:id="867" w:name="_Toc8664"/>
      <w:bookmarkStart w:id="868" w:name="_Toc25654"/>
      <w:bookmarkStart w:id="869" w:name="_Toc14993"/>
      <w:bookmarkStart w:id="870" w:name="_Toc1969"/>
      <w:bookmarkStart w:id="871" w:name="_Toc8477"/>
      <w:bookmarkStart w:id="872" w:name="_Toc23250"/>
      <w:bookmarkStart w:id="873" w:name="_Toc22379"/>
      <w:bookmarkStart w:id="874" w:name="_Toc8128"/>
      <w:bookmarkStart w:id="875" w:name="_Toc11846"/>
      <w:bookmarkStart w:id="876" w:name="_Toc23252"/>
      <w:bookmarkStart w:id="877" w:name="_Toc14904"/>
      <w:bookmarkStart w:id="878" w:name="_Toc16665"/>
      <w:bookmarkStart w:id="879" w:name="_Toc27310"/>
      <w:bookmarkStart w:id="880" w:name="_Toc27145"/>
      <w:bookmarkStart w:id="881" w:name="_Toc10879"/>
      <w:bookmarkStart w:id="882" w:name="_Toc28225"/>
      <w:bookmarkStart w:id="883" w:name="_Toc5604"/>
      <w:bookmarkStart w:id="884" w:name="_Toc11780"/>
      <w:bookmarkStart w:id="885" w:name="_Toc19311"/>
      <w:bookmarkStart w:id="886" w:name="_Toc99"/>
      <w:bookmarkStart w:id="887" w:name="_Toc27629"/>
      <w:bookmarkStart w:id="888" w:name="_Toc18036"/>
      <w:r>
        <w:rPr>
          <w:rFonts w:hint="eastAsia" w:ascii="仿宋" w:hAnsi="仿宋" w:eastAsia="仿宋" w:cs="仿宋"/>
          <w:b/>
          <w:bCs/>
          <w:color w:val="auto"/>
          <w:highlight w:val="none"/>
        </w:rPr>
        <w:t>3验收条件</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67158B3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3A8D7A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买卖双方按照合同约定执行了合同，同时货物完成了试运行并经检验合格，则具备验收条件。</w:t>
      </w:r>
    </w:p>
    <w:p w14:paraId="655C0B37">
      <w:pPr>
        <w:adjustRightInd w:val="0"/>
        <w:snapToGrid w:val="0"/>
        <w:spacing w:line="360" w:lineRule="auto"/>
        <w:ind w:firstLine="420" w:firstLineChars="200"/>
        <w:rPr>
          <w:rFonts w:ascii="仿宋" w:hAnsi="仿宋" w:eastAsia="仿宋" w:cs="仿宋"/>
          <w:color w:val="auto"/>
          <w:highlight w:val="none"/>
        </w:rPr>
      </w:pPr>
      <w:bookmarkStart w:id="889" w:name="_Toc4741"/>
      <w:bookmarkStart w:id="890" w:name="_Toc24377"/>
      <w:bookmarkStart w:id="891" w:name="_Toc4157"/>
      <w:bookmarkStart w:id="892" w:name="_Toc16622"/>
      <w:bookmarkStart w:id="893" w:name="_Toc11234"/>
      <w:bookmarkStart w:id="894" w:name="_Toc31328"/>
      <w:bookmarkStart w:id="895" w:name="_Toc6731"/>
      <w:bookmarkStart w:id="896" w:name="_Toc7303"/>
      <w:bookmarkStart w:id="897" w:name="_Toc1849"/>
      <w:bookmarkStart w:id="898" w:name="_Toc31639"/>
      <w:bookmarkStart w:id="899" w:name="_Toc27856"/>
      <w:bookmarkStart w:id="900" w:name="_Toc27848"/>
      <w:bookmarkStart w:id="901" w:name="_Toc24921"/>
      <w:bookmarkStart w:id="902" w:name="_Toc20087"/>
      <w:bookmarkStart w:id="903" w:name="_Toc6977"/>
      <w:bookmarkStart w:id="904" w:name="_Toc23170"/>
      <w:bookmarkStart w:id="905" w:name="_Toc32498"/>
      <w:bookmarkStart w:id="906" w:name="_Toc771"/>
      <w:bookmarkStart w:id="907" w:name="_Toc21811"/>
      <w:bookmarkStart w:id="908" w:name="_Toc22247"/>
      <w:bookmarkStart w:id="909" w:name="_Toc10052"/>
      <w:bookmarkStart w:id="910" w:name="_Toc23548"/>
      <w:bookmarkStart w:id="911" w:name="_Toc25547"/>
      <w:bookmarkStart w:id="912" w:name="_Toc18963"/>
      <w:bookmarkStart w:id="913" w:name="_Toc10586"/>
      <w:bookmarkStart w:id="914" w:name="_Toc10389"/>
      <w:bookmarkStart w:id="915" w:name="_Toc5473"/>
      <w:bookmarkStart w:id="916" w:name="_Toc17709"/>
      <w:bookmarkStart w:id="917" w:name="_Toc16974"/>
      <w:bookmarkStart w:id="918" w:name="_Toc9015"/>
      <w:bookmarkStart w:id="919" w:name="_Toc362"/>
      <w:bookmarkStart w:id="920" w:name="_Toc24814"/>
      <w:bookmarkStart w:id="921" w:name="_Toc20504"/>
      <w:bookmarkStart w:id="922" w:name="_Toc5952"/>
      <w:bookmarkStart w:id="923" w:name="_Toc11412"/>
      <w:bookmarkStart w:id="924" w:name="_Toc18903"/>
      <w:bookmarkStart w:id="925" w:name="_Toc11902"/>
      <w:bookmarkStart w:id="926" w:name="_Toc3034"/>
      <w:bookmarkStart w:id="927" w:name="_Toc19344"/>
      <w:bookmarkStart w:id="928" w:name="_Toc18487"/>
      <w:bookmarkStart w:id="929" w:name="_Toc30563"/>
      <w:r>
        <w:rPr>
          <w:rFonts w:hint="eastAsia" w:ascii="仿宋" w:hAnsi="仿宋" w:eastAsia="仿宋" w:cs="仿宋"/>
          <w:color w:val="auto"/>
          <w:highlight w:val="none"/>
        </w:rPr>
        <w:t>3.1预验收一般条件</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6D26E81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3.1.1卖方已经按照“供货范围”要求提供了预验收资料，并且资料齐全、完整和有效。</w:t>
      </w:r>
    </w:p>
    <w:p w14:paraId="6CB711E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3.1.2货物应运行稳定、可靠、安全，无非正常变形，非正常振动，无异常声音。</w:t>
      </w:r>
    </w:p>
    <w:p w14:paraId="62E9AAC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3.1.3货物应完整且所有的零部件应该安装安全、牢固，外观无损伤。</w:t>
      </w:r>
    </w:p>
    <w:p w14:paraId="3E38D16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4</w:t>
      </w:r>
      <w:r>
        <w:rPr>
          <w:rFonts w:hint="eastAsia" w:ascii="仿宋" w:hAnsi="仿宋" w:eastAsia="仿宋" w:cs="仿宋"/>
          <w:color w:val="auto"/>
          <w:highlight w:val="none"/>
        </w:rPr>
        <w:t>货物标牌完整、清晰、明确。</w:t>
      </w:r>
    </w:p>
    <w:p w14:paraId="1E3DE7F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5</w:t>
      </w:r>
      <w:r>
        <w:rPr>
          <w:rFonts w:hint="eastAsia" w:ascii="仿宋" w:hAnsi="仿宋" w:eastAsia="仿宋" w:cs="仿宋"/>
          <w:color w:val="auto"/>
          <w:highlight w:val="none"/>
        </w:rPr>
        <w:t>货物的安全要求符合中国最新的相关法律、法规、标准和规范以及合同要求。</w:t>
      </w:r>
    </w:p>
    <w:p w14:paraId="766662CE">
      <w:pPr>
        <w:adjustRightInd w:val="0"/>
        <w:snapToGrid w:val="0"/>
        <w:spacing w:line="360" w:lineRule="auto"/>
        <w:ind w:firstLine="420" w:firstLineChars="200"/>
        <w:rPr>
          <w:rFonts w:ascii="仿宋" w:hAnsi="仿宋" w:eastAsia="仿宋" w:cs="仿宋"/>
          <w:color w:val="auto"/>
          <w:highlight w:val="none"/>
        </w:rPr>
      </w:pPr>
      <w:bookmarkStart w:id="930" w:name="_Toc29661"/>
      <w:bookmarkStart w:id="931" w:name="_Toc23596"/>
      <w:bookmarkStart w:id="932" w:name="_Toc17491"/>
      <w:bookmarkStart w:id="933" w:name="_Toc24874"/>
      <w:bookmarkStart w:id="934" w:name="_Toc2134"/>
      <w:bookmarkStart w:id="935" w:name="_Toc20374"/>
      <w:bookmarkStart w:id="936" w:name="_Toc4643"/>
      <w:bookmarkStart w:id="937" w:name="_Toc7060"/>
      <w:bookmarkStart w:id="938" w:name="_Toc29327"/>
      <w:bookmarkStart w:id="939" w:name="_Toc19887"/>
      <w:bookmarkStart w:id="940" w:name="_Toc22891"/>
      <w:bookmarkStart w:id="941" w:name="_Toc14552"/>
      <w:bookmarkStart w:id="942" w:name="_Toc21953"/>
      <w:bookmarkStart w:id="943" w:name="_Toc12987"/>
      <w:bookmarkStart w:id="944" w:name="_Toc21629"/>
      <w:bookmarkStart w:id="945" w:name="_Toc21671"/>
      <w:bookmarkStart w:id="946" w:name="_Toc27491"/>
      <w:bookmarkStart w:id="947" w:name="_Toc19728"/>
      <w:bookmarkStart w:id="948" w:name="_Toc18823"/>
      <w:bookmarkStart w:id="949" w:name="_Toc15751"/>
      <w:bookmarkStart w:id="950" w:name="_Toc931"/>
      <w:bookmarkStart w:id="951" w:name="_Toc28390"/>
      <w:bookmarkStart w:id="952" w:name="_Toc1293"/>
      <w:bookmarkStart w:id="953" w:name="_Toc30498"/>
      <w:bookmarkStart w:id="954" w:name="_Toc17523"/>
      <w:bookmarkStart w:id="955" w:name="_Toc2362"/>
      <w:bookmarkStart w:id="956" w:name="_Toc5422"/>
      <w:bookmarkStart w:id="957" w:name="_Toc17924"/>
      <w:bookmarkStart w:id="958" w:name="_Toc8320"/>
      <w:bookmarkStart w:id="959" w:name="_Toc26496"/>
      <w:bookmarkStart w:id="960" w:name="_Toc12439"/>
      <w:bookmarkStart w:id="961" w:name="_Toc8938"/>
      <w:bookmarkStart w:id="962" w:name="_Toc8879"/>
      <w:bookmarkStart w:id="963" w:name="_Toc11537"/>
      <w:bookmarkStart w:id="964" w:name="_Toc4066"/>
      <w:bookmarkStart w:id="965" w:name="_Toc3329"/>
      <w:bookmarkStart w:id="966" w:name="_Toc16821"/>
      <w:bookmarkStart w:id="967" w:name="_Toc4108"/>
      <w:bookmarkStart w:id="968" w:name="_Toc24950"/>
      <w:bookmarkStart w:id="969" w:name="_Toc6062"/>
      <w:bookmarkStart w:id="970" w:name="_Toc9105"/>
      <w:r>
        <w:rPr>
          <w:rFonts w:hint="eastAsia" w:ascii="仿宋" w:hAnsi="仿宋" w:eastAsia="仿宋" w:cs="仿宋"/>
          <w:color w:val="auto"/>
          <w:highlight w:val="none"/>
        </w:rPr>
        <w:t>3.2终验收一般条件</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08DC5AC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3.2.1经过预验收而且没有出现新的质量问题，或者满足预验收条款。</w:t>
      </w:r>
    </w:p>
    <w:p w14:paraId="7BC9AC6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3.2.2货物安装调试完毕，并至少经过了验收要求的试运行。</w:t>
      </w:r>
    </w:p>
    <w:p w14:paraId="5F1559D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3.2.3试运行期间或之后无维修、调整等行为（特殊情况除外）。</w:t>
      </w:r>
    </w:p>
    <w:p w14:paraId="624F95D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3.2.4货物质量、技术性能等，达到签定的技术协议书和合同规定的终验收标准。</w:t>
      </w:r>
    </w:p>
    <w:p w14:paraId="43D3BA26">
      <w:pPr>
        <w:snapToGrid w:val="0"/>
        <w:spacing w:line="360" w:lineRule="auto"/>
        <w:ind w:left="482"/>
        <w:outlineLvl w:val="1"/>
        <w:rPr>
          <w:rFonts w:ascii="仿宋" w:hAnsi="仿宋" w:eastAsia="仿宋" w:cs="仿宋"/>
          <w:b/>
          <w:bCs/>
          <w:color w:val="auto"/>
          <w:highlight w:val="none"/>
        </w:rPr>
      </w:pPr>
      <w:bookmarkStart w:id="971" w:name="_Toc22500"/>
      <w:bookmarkStart w:id="972" w:name="_Toc6573"/>
      <w:bookmarkStart w:id="973" w:name="_Toc1469"/>
      <w:bookmarkStart w:id="974" w:name="_Toc1761"/>
      <w:bookmarkStart w:id="975" w:name="_Toc17223"/>
      <w:bookmarkStart w:id="976" w:name="_Toc21291"/>
      <w:bookmarkStart w:id="977" w:name="_Toc1885"/>
      <w:bookmarkStart w:id="978" w:name="_Toc25411"/>
      <w:bookmarkStart w:id="979" w:name="_Toc26083"/>
      <w:bookmarkStart w:id="980" w:name="_Toc10673"/>
      <w:bookmarkStart w:id="981" w:name="_Toc7243"/>
      <w:bookmarkStart w:id="982" w:name="_Toc17549"/>
      <w:bookmarkStart w:id="983" w:name="_Toc32661"/>
      <w:bookmarkStart w:id="984" w:name="_Toc12859"/>
      <w:bookmarkStart w:id="985" w:name="_Toc21504"/>
      <w:bookmarkStart w:id="986" w:name="_Toc1961"/>
      <w:bookmarkStart w:id="987" w:name="_Toc9027"/>
      <w:bookmarkStart w:id="988" w:name="_Toc193"/>
      <w:bookmarkStart w:id="989" w:name="_Toc11114"/>
      <w:bookmarkStart w:id="990" w:name="_Toc20983"/>
      <w:bookmarkStart w:id="991" w:name="_Toc1804"/>
      <w:r>
        <w:rPr>
          <w:rFonts w:hint="eastAsia" w:ascii="仿宋" w:hAnsi="仿宋" w:eastAsia="仿宋" w:cs="仿宋"/>
          <w:b/>
          <w:bCs/>
          <w:color w:val="auto"/>
          <w:highlight w:val="none"/>
        </w:rPr>
        <w:t>4终验收基本要求</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507173B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4.1负荷运行时，货物应连续运行</w:t>
      </w:r>
      <w:r>
        <w:rPr>
          <w:rFonts w:hint="eastAsia" w:ascii="仿宋" w:hAnsi="仿宋" w:eastAsia="仿宋" w:cs="仿宋"/>
          <w:color w:val="auto"/>
          <w:highlight w:val="none"/>
          <w:u w:val="single"/>
        </w:rPr>
        <w:t xml:space="preserve"> 60</w:t>
      </w:r>
      <w:r>
        <w:rPr>
          <w:rFonts w:hint="eastAsia" w:ascii="仿宋" w:hAnsi="仿宋" w:eastAsia="仿宋" w:cs="仿宋"/>
          <w:color w:val="auto"/>
          <w:highlight w:val="none"/>
          <w:u w:val="single"/>
          <w:shd w:val="pct10" w:color="auto" w:fill="FFFFFF"/>
        </w:rPr>
        <w:t xml:space="preserve"> </w:t>
      </w:r>
      <w:r>
        <w:rPr>
          <w:rFonts w:hint="eastAsia" w:ascii="仿宋" w:hAnsi="仿宋" w:eastAsia="仿宋" w:cs="仿宋"/>
          <w:color w:val="auto"/>
          <w:highlight w:val="none"/>
        </w:rPr>
        <w:t>天，每天连续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shd w:val="pct10" w:color="auto" w:fill="FFFFFF"/>
        </w:rPr>
        <w:t>24</w:t>
      </w:r>
      <w:r>
        <w:rPr>
          <w:rFonts w:hint="eastAsia" w:ascii="仿宋" w:hAnsi="仿宋" w:eastAsia="仿宋" w:cs="仿宋"/>
          <w:color w:val="auto"/>
          <w:highlight w:val="none"/>
        </w:rPr>
        <w:t>小时，除用户方面因素外，必须达到以下要求：</w:t>
      </w:r>
    </w:p>
    <w:p w14:paraId="27FD8AF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4.2.1在整个验收过程中没有维修、更换零部件或元件行为；</w:t>
      </w:r>
    </w:p>
    <w:p w14:paraId="18174CB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4.2.2所有出现的调整，每次调整时间均不超过</w:t>
      </w:r>
      <w:r>
        <w:rPr>
          <w:rFonts w:hint="eastAsia" w:ascii="仿宋" w:hAnsi="仿宋" w:eastAsia="仿宋" w:cs="仿宋"/>
          <w:color w:val="auto"/>
          <w:highlight w:val="none"/>
          <w:u w:val="single"/>
          <w:shd w:val="pct10" w:color="auto" w:fill="FFFFFF"/>
        </w:rPr>
        <w:t>60</w:t>
      </w:r>
      <w:r>
        <w:rPr>
          <w:rFonts w:hint="eastAsia" w:ascii="仿宋" w:hAnsi="仿宋" w:eastAsia="仿宋" w:cs="仿宋"/>
          <w:color w:val="auto"/>
          <w:highlight w:val="none"/>
        </w:rPr>
        <w:t>分钟；</w:t>
      </w:r>
    </w:p>
    <w:p w14:paraId="3ED5108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4.2.3所有调整时间的总和不超过总运行时间的</w:t>
      </w:r>
      <w:r>
        <w:rPr>
          <w:rFonts w:hint="eastAsia"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w:t>
      </w:r>
    </w:p>
    <w:p w14:paraId="438E2D3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4.2.4累计运行实际性能（或生产率）达到合同规定；</w:t>
      </w:r>
    </w:p>
    <w:p w14:paraId="62CA4B8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4.2.5终验收原则上要求一次完成。若一次验收不成功，最多允许两次；</w:t>
      </w:r>
    </w:p>
    <w:p w14:paraId="28C8261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4.2.6终验收通过后签署终验收报告（终验收报告以买方提供的签署完毕并盖章的《新增设备安装竣工验收转资单》为准），并移交、核对全部供货范围内物品。</w:t>
      </w:r>
      <w:bookmarkStart w:id="992" w:name="_Toc133783975"/>
    </w:p>
    <w:p w14:paraId="31C56D9B">
      <w:pPr>
        <w:snapToGrid w:val="0"/>
        <w:spacing w:line="360" w:lineRule="auto"/>
        <w:ind w:left="482"/>
        <w:outlineLvl w:val="1"/>
        <w:rPr>
          <w:rFonts w:ascii="仿宋" w:hAnsi="仿宋" w:eastAsia="仿宋" w:cs="仿宋"/>
          <w:b/>
          <w:bCs/>
          <w:color w:val="auto"/>
          <w:highlight w:val="none"/>
        </w:rPr>
      </w:pPr>
      <w:r>
        <w:rPr>
          <w:rFonts w:hint="eastAsia" w:ascii="仿宋" w:hAnsi="仿宋" w:eastAsia="仿宋" w:cs="仿宋"/>
          <w:b/>
          <w:bCs/>
          <w:color w:val="auto"/>
          <w:highlight w:val="none"/>
        </w:rPr>
        <w:t>5验收资料</w:t>
      </w:r>
    </w:p>
    <w:p w14:paraId="3A2CAC8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1A87606E">
      <w:pPr>
        <w:pStyle w:val="14"/>
        <w:rPr>
          <w:color w:val="auto"/>
          <w:highlight w:val="none"/>
        </w:rPr>
      </w:pPr>
    </w:p>
    <w:p w14:paraId="07976C1D">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993" w:name="_Toc22488"/>
      <w:bookmarkStart w:id="994" w:name="_Toc2612"/>
      <w:bookmarkStart w:id="995" w:name="_Toc25401"/>
      <w:bookmarkStart w:id="996" w:name="_Toc28136"/>
      <w:bookmarkStart w:id="997" w:name="_Toc7458"/>
      <w:bookmarkStart w:id="998" w:name="_Toc22179"/>
      <w:bookmarkStart w:id="999" w:name="_Toc20836"/>
      <w:bookmarkStart w:id="1000" w:name="_Toc17110"/>
      <w:bookmarkStart w:id="1001" w:name="_Toc1228"/>
      <w:bookmarkStart w:id="1002" w:name="_Toc2957"/>
      <w:bookmarkStart w:id="1003" w:name="_Toc29322"/>
      <w:bookmarkStart w:id="1004" w:name="_Toc27525"/>
      <w:bookmarkStart w:id="1005" w:name="_Toc1195"/>
      <w:bookmarkStart w:id="1006" w:name="_Toc10830"/>
      <w:bookmarkStart w:id="1007" w:name="_Toc28594"/>
      <w:bookmarkStart w:id="1008" w:name="_Toc1673"/>
      <w:bookmarkStart w:id="1009" w:name="_Toc663"/>
      <w:bookmarkStart w:id="1010" w:name="_Toc23397"/>
      <w:bookmarkStart w:id="1011" w:name="_Toc18146"/>
      <w:bookmarkStart w:id="1012" w:name="_Toc6807"/>
      <w:bookmarkStart w:id="1013" w:name="_Toc15914"/>
      <w:bookmarkStart w:id="1014" w:name="_Toc14133"/>
      <w:bookmarkStart w:id="1015" w:name="_Toc15351"/>
      <w:bookmarkStart w:id="1016" w:name="_Toc32074"/>
      <w:bookmarkStart w:id="1017" w:name="_Toc2249"/>
      <w:bookmarkStart w:id="1018" w:name="_Toc4953"/>
      <w:bookmarkStart w:id="1019" w:name="_Toc26248"/>
      <w:bookmarkStart w:id="1020" w:name="_Toc30219"/>
      <w:bookmarkStart w:id="1021" w:name="_Toc30125"/>
      <w:bookmarkStart w:id="1022" w:name="_Toc14217"/>
      <w:bookmarkStart w:id="1023" w:name="_Toc24925"/>
      <w:bookmarkStart w:id="1024" w:name="_Toc1705"/>
      <w:bookmarkStart w:id="1025" w:name="_Toc8015"/>
      <w:bookmarkStart w:id="1026" w:name="_Toc1683"/>
      <w:bookmarkStart w:id="1027" w:name="_Toc30187"/>
      <w:bookmarkStart w:id="1028" w:name="_Toc8435"/>
      <w:bookmarkStart w:id="1029" w:name="_Toc12636"/>
      <w:bookmarkStart w:id="1030" w:name="_Toc23616"/>
      <w:bookmarkStart w:id="1031" w:name="_Toc19911"/>
      <w:bookmarkStart w:id="1032" w:name="_Toc25348"/>
      <w:bookmarkStart w:id="1033" w:name="_Toc18510"/>
      <w:bookmarkStart w:id="1034" w:name="_Toc23268"/>
      <w:bookmarkStart w:id="1035" w:name="_Toc27346"/>
      <w:r>
        <w:rPr>
          <w:rFonts w:hint="eastAsia" w:ascii="仿宋" w:hAnsi="仿宋" w:eastAsia="仿宋" w:cs="仿宋"/>
          <w:b/>
          <w:bCs/>
          <w:color w:val="auto"/>
          <w:highlight w:val="none"/>
        </w:rPr>
        <w:t>第六章投标技术文件一般要求</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029304D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1投标方应认真阅读招标文件和本技术标书，并按要求编写投标技术文件。</w:t>
      </w:r>
    </w:p>
    <w:p w14:paraId="75B9562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2投标技术文件至少应对投标货物的“技术偏离”、“商务偏离”作出有无说明；若有，应予以详细填写和说明。</w:t>
      </w:r>
    </w:p>
    <w:p w14:paraId="1E93428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3投标技术文件至少应对投标货物的功能用途、技术性能、质量标准、技术参数等作出详细说明。</w:t>
      </w:r>
    </w:p>
    <w:p w14:paraId="798CB35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4投标技术文件至少应根据投标货物的关键设备、总成、零部件或系统作出优越性说明。</w:t>
      </w:r>
    </w:p>
    <w:p w14:paraId="4B91828E">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5投标技术文件至少应根据投标货物的配置，按照备品备件、易损件和专用耗材明细表要求以及投标货物主要配置一览表要求（见下表），认真全面填写。</w:t>
      </w:r>
    </w:p>
    <w:p w14:paraId="21A6C1BF">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投标货物主要配置一览表单位：元</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3036"/>
        <w:gridCol w:w="4085"/>
        <w:gridCol w:w="1159"/>
      </w:tblGrid>
      <w:tr w14:paraId="5367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064B">
            <w:pPr>
              <w:keepNext w:val="0"/>
              <w:keepLines w:val="0"/>
              <w:widowControl/>
              <w:suppressLineNumbers w:val="0"/>
              <w:jc w:val="center"/>
              <w:textAlignment w:val="center"/>
              <w:rPr>
                <w:rFonts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 xml:space="preserve">序号 </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9BE4">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名称</w:t>
            </w:r>
          </w:p>
        </w:tc>
        <w:tc>
          <w:tcPr>
            <w:tcW w:w="2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DDBB">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参数要求</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0668">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使用场景</w:t>
            </w:r>
          </w:p>
        </w:tc>
      </w:tr>
      <w:tr w14:paraId="03E7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6004">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cs="宋体"/>
                <w:i w:val="0"/>
                <w:iCs w:val="0"/>
                <w:color w:val="auto"/>
                <w:kern w:val="0"/>
                <w:sz w:val="24"/>
                <w:szCs w:val="24"/>
                <w:highlight w:val="none"/>
                <w:u w:val="none"/>
                <w:lang w:val="en-US" w:eastAsia="zh-CN" w:bidi="ar"/>
              </w:rPr>
              <w:t>1</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1196">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LED屏/m²</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P1.8 SMD</w:t>
            </w:r>
            <w:r>
              <w:rPr>
                <w:rFonts w:hint="eastAsia" w:ascii="宋体" w:hAnsi="宋体" w:cs="宋体"/>
                <w:i w:val="0"/>
                <w:iCs w:val="0"/>
                <w:color w:val="auto"/>
                <w:kern w:val="0"/>
                <w:sz w:val="24"/>
                <w:szCs w:val="24"/>
                <w:highlight w:val="none"/>
                <w:u w:val="none"/>
                <w:lang w:val="en-US" w:eastAsia="zh-CN" w:bidi="ar"/>
              </w:rPr>
              <w:t>）</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A62F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产品类别：室内小间距全彩LED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点间距：≤1.86mm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像素密度：≥288906 点/㎡</w:t>
            </w:r>
          </w:p>
          <w:p w14:paraId="7BB5791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像素组成：1R1G1B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白平衡亮度：≥500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显示亮度不低于600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色温：≥2700-10000 K可调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可视角：160°(H)/160°(V)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对比度：≥5000：1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亮度均匀性：≥ 97％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换帧频率：60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刷新率：≥3840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峰值功耗≤500W/m²，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平均功耗≤160W/㎡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供电要求：200~240 VAC ± 10％</w:t>
            </w:r>
          </w:p>
          <w:p w14:paraId="67D204F9">
            <w:pPr>
              <w:keepNext w:val="0"/>
              <w:keepLines w:val="0"/>
              <w:widowControl/>
              <w:suppressLineNumbers w:val="0"/>
              <w:jc w:val="left"/>
              <w:textAlignment w:val="center"/>
              <w:rPr>
                <w:rFonts w:hint="default" w:ascii="Segoe UI Emoji" w:hAnsi="Segoe UI Emoji" w:eastAsia="Segoe UI Emoji" w:cs="Segoe UI Emoji"/>
                <w:i w:val="0"/>
                <w:iCs w:val="0"/>
                <w:caps w:val="0"/>
                <w:color w:val="auto"/>
                <w:spacing w:val="0"/>
                <w:sz w:val="24"/>
                <w:szCs w:val="24"/>
                <w:highlight w:val="none"/>
                <w:shd w:val="clear" w:fill="FFFFFF"/>
                <w:lang w:val="en-US" w:eastAsia="zh-CN"/>
              </w:rPr>
            </w:pPr>
            <w:r>
              <w:rPr>
                <w:rFonts w:hint="eastAsia" w:ascii="宋体" w:hAnsi="宋体" w:cs="宋体"/>
                <w:i w:val="0"/>
                <w:iCs w:val="0"/>
                <w:color w:val="auto"/>
                <w:kern w:val="0"/>
                <w:sz w:val="24"/>
                <w:szCs w:val="24"/>
                <w:highlight w:val="none"/>
                <w:u w:val="none"/>
                <w:lang w:val="en-US" w:eastAsia="zh-CN" w:bidi="ar"/>
              </w:rPr>
              <w:t>封装工艺：SMD</w:t>
            </w:r>
          </w:p>
          <w:p w14:paraId="32828867">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箱体材质：压铸铝箱体</w:t>
            </w:r>
          </w:p>
          <w:p w14:paraId="4A5371B4">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维护方式：完全前维护</w:t>
            </w:r>
          </w:p>
          <w:p w14:paraId="082B647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箱体内无系统排线、无DC电源线，灯板</w:t>
            </w:r>
          </w:p>
          <w:p w14:paraId="45307278">
            <w:pPr>
              <w:keepNext w:val="0"/>
              <w:keepLines w:val="0"/>
              <w:widowControl/>
              <w:suppressLineNumbers w:val="0"/>
              <w:jc w:val="left"/>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与箱体主板间的电源和信号采用浮动接插件无线硬连接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工作温度：</w:t>
            </w:r>
            <w:r>
              <w:rPr>
                <w:rFonts w:hint="eastAsia" w:ascii="宋体" w:hAnsi="宋体" w:cs="宋体"/>
                <w:i w:val="0"/>
                <w:iCs w:val="0"/>
                <w:color w:val="auto"/>
                <w:kern w:val="0"/>
                <w:sz w:val="24"/>
                <w:szCs w:val="24"/>
                <w:highlight w:val="none"/>
                <w:u w:val="none"/>
                <w:lang w:val="en-US" w:eastAsia="zh-CN" w:bidi="ar"/>
              </w:rPr>
              <w:t>-</w:t>
            </w:r>
            <w:r>
              <w:rPr>
                <w:rFonts w:ascii="宋体" w:hAnsi="宋体" w:eastAsia="宋体" w:cs="宋体"/>
                <w:color w:val="auto"/>
                <w:sz w:val="24"/>
                <w:szCs w:val="24"/>
                <w:highlight w:val="none"/>
              </w:rPr>
              <w:t>0℃~40℃（室内环境）；湿度 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CBE7">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显示大屏</w:t>
            </w:r>
          </w:p>
        </w:tc>
      </w:tr>
      <w:tr w14:paraId="61F3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0AE1">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5E82">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15m²拼控设备</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705DE45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拼控设备需为行业主流品牌原厂正品，具备完整的产品合格证、检测报告，支持与 P1.8 LED 屏无缝兼容，无协议兼容问题；</w:t>
            </w:r>
          </w:p>
          <w:p w14:paraId="3A75EDC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 7×24 小时不间断运行，具备抗干扰、防死机特性，无故障工作时间（MTBF）≥50000 小时；支持无缝拼接、无黑屏切换，画面拼接精度≤0.1mm，无亮线、重影、色彩偏移，适配 P1.8 屏体的物理拼接标准；</w:t>
            </w:r>
          </w:p>
          <w:p w14:paraId="70CC192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所有功能支持本地面板 + 远程软件（电脑 / 平板）双控，软件为原厂正版，终身免费升级。</w:t>
            </w:r>
          </w:p>
          <w:p w14:paraId="6D210E5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最大支持分辨率：≥3840×2160（4K），向下兼容 1920×1080/1280×720 等分辨率，支持超高清画面全屏无裁切显示，可适配 P1.8 屏体 4K 及以下物理分辨率；</w:t>
            </w:r>
          </w:p>
          <w:p w14:paraId="23B0A386">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色彩处理：色彩深度≥16bit，支持 10.7 亿色显示，色域覆盖≥NTSC 90%，与 P1.8 屏色彩参数匹配，保证色彩过渡平滑无断层，色温可随屏体同步调节（2700K-10000K）；</w:t>
            </w:r>
          </w:p>
          <w:p w14:paraId="4D8F92F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支持扫描刷新率≥3840Hz，拍摄无水波纹、摩尔纹；换帧频率支持 60Hz/120Hz 自适应，与 P1.8 屏帧频完全同步，动态画面无拖影、卡顿、撕裂；</w:t>
            </w:r>
          </w:p>
          <w:p w14:paraId="5C041335">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灰度等级：支持≥16bit 高灰显示，实现低亮高灰效果，暗场细节清晰，无偏色、泛白，匹配 P1.8 屏低亮环境下的显示需求；</w:t>
            </w:r>
          </w:p>
          <w:p w14:paraId="11ABD9D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信号处理延迟：≤8ms，保证实时信号（如监控、直播、会议投屏）无延迟显示，满足动态画面同步需求。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信号输入 / 输出：支持 HDMI、DVI、SDI、DP、网口、VGA 等主流接口，实现电脑、监控主机等多路信号的接入，以及与 LED 屏接收卡的信号输出；</w:t>
            </w:r>
          </w:p>
          <w:p w14:paraId="0FB5003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画面拼接 / 缩放：将单路信号拉伸、缩放至整屏显示，或对多路信号进行分屏布局（如 1 屏分 4 窗、9 窗），实现无缝拼接（无拼接缝隙、无画面偏移）；</w:t>
            </w:r>
          </w:p>
          <w:p w14:paraId="76FDD889">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信号切换 / 漫游：支持多路输入信号的一键快速切换，高端款支持画面漫游叠加；</w:t>
            </w:r>
          </w:p>
          <w:p w14:paraId="4FE33F6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屏体参数适配：自动匹配 LED 屏的分辨率、点间距、刷新率、色温等参数，保证信号输出与屏体完全兼容，避免画面偏色、卡顿、花屏；</w:t>
            </w:r>
          </w:p>
          <w:p w14:paraId="19F3A5E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换帧频率支持：匹配 LED 屏换帧频率（P1.8 屏主流 120Hz，基础 60Hz，拼控设备需支持 60/120Hz 自适应）；</w:t>
            </w:r>
          </w:p>
          <w:p w14:paraId="6E353E3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接口类型 / 数量：输入接口匹配信号源（直播间需 SDI/HDMI，会议室需 HDMI/DP，监控中心需网口），数量≥实际使用的信号路数（预留 1-2 路）；</w:t>
            </w:r>
          </w:p>
          <w:p w14:paraId="422FD9AC">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拼接精度：支持无缝拼接（拼接误差≤0.1mm），与 P1.8 屏的拼接精度匹配，避免出现亮线、画面偏移；</w:t>
            </w:r>
          </w:p>
          <w:p w14:paraId="59A3269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色彩深度：≥16bit（匹配 P1.8 屏的 16/18bit 灰度等级），保证色彩过渡平滑，无断层；</w:t>
            </w:r>
          </w:p>
          <w:p w14:paraId="5E4DE12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控制方式：支持远程电脑 / 平板控制基础款支持本地面板控制。</w:t>
            </w:r>
          </w:p>
          <w:p w14:paraId="24EB0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p w14:paraId="31CE6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6D8B2">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大屏解码、拼控、</w:t>
            </w:r>
          </w:p>
        </w:tc>
      </w:tr>
      <w:tr w14:paraId="53D5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9638">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5B0E">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配电柜</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1124F2D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实际总功率（峰值功率）设计，预留≥20% 功率余量，满足屏体满负荷运行及后期轻微扩容需求；</w:t>
            </w:r>
          </w:p>
          <w:p w14:paraId="4E6ACAE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支持单独回路供电，与现场市电主回路隔离，避免屏体供电故障影响其他设备，适配 AC380V 三相五线制 / AC220V 单相供电（按屏体实际功率选配）；</w:t>
            </w:r>
          </w:p>
          <w:p w14:paraId="4B3FFB1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柜体具备防触电、防短路、防过载、防浪涌四重保护，符合国家低压配电设计规范，适配室内干燥无尘环境，无外露导电部件；</w:t>
            </w:r>
          </w:p>
          <w:p w14:paraId="16197A92">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温升控制：满负荷运行时，元器件最高温升≤40℃，柜体表面温升≤20℃，无过热烧损风险。</w:t>
            </w:r>
          </w:p>
          <w:p w14:paraId="27F3532F">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工作环境：适配 P1.8 屏同环境，工作温度0℃~45℃，工作湿度10%~90%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0DF0A">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w:t>
            </w:r>
          </w:p>
        </w:tc>
      </w:tr>
    </w:tbl>
    <w:p w14:paraId="77A55A52">
      <w:pPr>
        <w:adjustRightInd w:val="0"/>
        <w:snapToGrid w:val="0"/>
        <w:spacing w:line="360" w:lineRule="auto"/>
        <w:rPr>
          <w:rFonts w:hint="eastAsia" w:ascii="仿宋" w:hAnsi="仿宋" w:eastAsia="仿宋" w:cs="仿宋"/>
          <w:color w:val="auto"/>
          <w:highlight w:val="none"/>
        </w:rPr>
      </w:pPr>
    </w:p>
    <w:p w14:paraId="2967E55C">
      <w:pPr>
        <w:adjustRightInd w:val="0"/>
        <w:snapToGrid w:val="0"/>
        <w:spacing w:line="360" w:lineRule="auto"/>
        <w:ind w:firstLine="420" w:firstLineChars="200"/>
        <w:rPr>
          <w:rFonts w:hint="eastAsia" w:ascii="仿宋" w:hAnsi="仿宋" w:eastAsia="仿宋" w:cs="仿宋"/>
          <w:color w:val="auto"/>
          <w:highlight w:val="none"/>
        </w:rPr>
      </w:pPr>
    </w:p>
    <w:p w14:paraId="154E3A12">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备注：本表作为投标方编制投标技术文件的一般格式。表中应当尽可能将配置列全、列细，这将有助于投标方胜出。</w:t>
      </w:r>
    </w:p>
    <w:p w14:paraId="32821EE4">
      <w:pPr>
        <w:adjustRightInd w:val="0"/>
        <w:snapToGrid w:val="0"/>
        <w:spacing w:line="420" w:lineRule="exact"/>
        <w:ind w:firstLine="1890" w:firstLineChars="900"/>
        <w:rPr>
          <w:rFonts w:ascii="仿宋" w:hAnsi="仿宋" w:eastAsia="仿宋" w:cs="仿宋"/>
          <w:color w:val="auto"/>
          <w:highlight w:val="none"/>
        </w:rPr>
      </w:pPr>
      <w:r>
        <w:rPr>
          <w:rFonts w:hint="eastAsia" w:ascii="仿宋" w:hAnsi="仿宋" w:eastAsia="仿宋" w:cs="仿宋"/>
          <w:color w:val="auto"/>
          <w:highlight w:val="none"/>
        </w:rPr>
        <w:t>备品备件、易损件和专用耗材明细表            单位：元</w:t>
      </w:r>
    </w:p>
    <w:tbl>
      <w:tblPr>
        <w:tblStyle w:val="30"/>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8DB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2060547">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序号</w:t>
            </w:r>
          </w:p>
        </w:tc>
        <w:tc>
          <w:tcPr>
            <w:tcW w:w="1924" w:type="dxa"/>
          </w:tcPr>
          <w:p w14:paraId="7B2998AB">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名称</w:t>
            </w:r>
          </w:p>
        </w:tc>
        <w:tc>
          <w:tcPr>
            <w:tcW w:w="1236" w:type="dxa"/>
          </w:tcPr>
          <w:p w14:paraId="3708EBB3">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型号规格</w:t>
            </w:r>
          </w:p>
        </w:tc>
        <w:tc>
          <w:tcPr>
            <w:tcW w:w="720" w:type="dxa"/>
          </w:tcPr>
          <w:p w14:paraId="641D5B6D">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单位</w:t>
            </w:r>
          </w:p>
        </w:tc>
        <w:tc>
          <w:tcPr>
            <w:tcW w:w="720" w:type="dxa"/>
          </w:tcPr>
          <w:p w14:paraId="6C056CD2">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数量</w:t>
            </w:r>
          </w:p>
        </w:tc>
        <w:tc>
          <w:tcPr>
            <w:tcW w:w="720" w:type="dxa"/>
          </w:tcPr>
          <w:p w14:paraId="7F677DB4">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单价</w:t>
            </w:r>
          </w:p>
        </w:tc>
        <w:tc>
          <w:tcPr>
            <w:tcW w:w="720" w:type="dxa"/>
          </w:tcPr>
          <w:p w14:paraId="7B7C5345">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总价</w:t>
            </w:r>
          </w:p>
        </w:tc>
        <w:tc>
          <w:tcPr>
            <w:tcW w:w="2235" w:type="dxa"/>
          </w:tcPr>
          <w:p w14:paraId="22E11350">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制造商</w:t>
            </w:r>
          </w:p>
        </w:tc>
      </w:tr>
      <w:tr w14:paraId="0DCC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69439B6">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1924" w:type="dxa"/>
          </w:tcPr>
          <w:p w14:paraId="460353F2">
            <w:pPr>
              <w:adjustRightInd w:val="0"/>
              <w:snapToGrid w:val="0"/>
              <w:spacing w:line="360" w:lineRule="exact"/>
              <w:rPr>
                <w:rFonts w:ascii="仿宋" w:hAnsi="仿宋" w:eastAsia="仿宋" w:cs="仿宋"/>
                <w:color w:val="auto"/>
                <w:highlight w:val="none"/>
              </w:rPr>
            </w:pPr>
          </w:p>
        </w:tc>
        <w:tc>
          <w:tcPr>
            <w:tcW w:w="1236" w:type="dxa"/>
          </w:tcPr>
          <w:p w14:paraId="0311B97B">
            <w:pPr>
              <w:adjustRightInd w:val="0"/>
              <w:snapToGrid w:val="0"/>
              <w:spacing w:line="360" w:lineRule="exact"/>
              <w:rPr>
                <w:rFonts w:ascii="仿宋" w:hAnsi="仿宋" w:eastAsia="仿宋" w:cs="仿宋"/>
                <w:color w:val="auto"/>
                <w:highlight w:val="none"/>
              </w:rPr>
            </w:pPr>
          </w:p>
        </w:tc>
        <w:tc>
          <w:tcPr>
            <w:tcW w:w="720" w:type="dxa"/>
          </w:tcPr>
          <w:p w14:paraId="2061AEFA">
            <w:pPr>
              <w:adjustRightInd w:val="0"/>
              <w:snapToGrid w:val="0"/>
              <w:spacing w:line="360" w:lineRule="exact"/>
              <w:jc w:val="center"/>
              <w:rPr>
                <w:rFonts w:ascii="仿宋" w:hAnsi="仿宋" w:eastAsia="仿宋" w:cs="仿宋"/>
                <w:color w:val="auto"/>
                <w:highlight w:val="none"/>
              </w:rPr>
            </w:pPr>
          </w:p>
        </w:tc>
        <w:tc>
          <w:tcPr>
            <w:tcW w:w="720" w:type="dxa"/>
          </w:tcPr>
          <w:p w14:paraId="4FBFDE08">
            <w:pPr>
              <w:adjustRightInd w:val="0"/>
              <w:snapToGrid w:val="0"/>
              <w:spacing w:line="360" w:lineRule="exact"/>
              <w:jc w:val="center"/>
              <w:rPr>
                <w:rFonts w:ascii="仿宋" w:hAnsi="仿宋" w:eastAsia="仿宋" w:cs="仿宋"/>
                <w:color w:val="auto"/>
                <w:highlight w:val="none"/>
              </w:rPr>
            </w:pPr>
          </w:p>
        </w:tc>
        <w:tc>
          <w:tcPr>
            <w:tcW w:w="720" w:type="dxa"/>
          </w:tcPr>
          <w:p w14:paraId="512C3451">
            <w:pPr>
              <w:adjustRightInd w:val="0"/>
              <w:snapToGrid w:val="0"/>
              <w:spacing w:line="360" w:lineRule="exact"/>
              <w:jc w:val="center"/>
              <w:rPr>
                <w:rFonts w:ascii="仿宋" w:hAnsi="仿宋" w:eastAsia="仿宋" w:cs="仿宋"/>
                <w:color w:val="auto"/>
                <w:highlight w:val="none"/>
              </w:rPr>
            </w:pPr>
          </w:p>
        </w:tc>
        <w:tc>
          <w:tcPr>
            <w:tcW w:w="720" w:type="dxa"/>
          </w:tcPr>
          <w:p w14:paraId="4A92E121">
            <w:pPr>
              <w:adjustRightInd w:val="0"/>
              <w:snapToGrid w:val="0"/>
              <w:spacing w:line="360" w:lineRule="exact"/>
              <w:jc w:val="center"/>
              <w:rPr>
                <w:rFonts w:ascii="仿宋" w:hAnsi="仿宋" w:eastAsia="仿宋" w:cs="仿宋"/>
                <w:color w:val="auto"/>
                <w:highlight w:val="none"/>
              </w:rPr>
            </w:pPr>
          </w:p>
        </w:tc>
        <w:tc>
          <w:tcPr>
            <w:tcW w:w="2235" w:type="dxa"/>
          </w:tcPr>
          <w:p w14:paraId="7EA72FAB">
            <w:pPr>
              <w:adjustRightInd w:val="0"/>
              <w:snapToGrid w:val="0"/>
              <w:spacing w:line="360" w:lineRule="exact"/>
              <w:rPr>
                <w:rFonts w:ascii="仿宋" w:hAnsi="仿宋" w:eastAsia="仿宋" w:cs="仿宋"/>
                <w:color w:val="auto"/>
                <w:highlight w:val="none"/>
              </w:rPr>
            </w:pPr>
          </w:p>
        </w:tc>
      </w:tr>
      <w:tr w14:paraId="291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33A9691">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1924" w:type="dxa"/>
          </w:tcPr>
          <w:p w14:paraId="0C6994B3">
            <w:pPr>
              <w:adjustRightInd w:val="0"/>
              <w:snapToGrid w:val="0"/>
              <w:spacing w:line="360" w:lineRule="exact"/>
              <w:rPr>
                <w:rFonts w:ascii="仿宋" w:hAnsi="仿宋" w:eastAsia="仿宋" w:cs="仿宋"/>
                <w:color w:val="auto"/>
                <w:highlight w:val="none"/>
              </w:rPr>
            </w:pPr>
          </w:p>
        </w:tc>
        <w:tc>
          <w:tcPr>
            <w:tcW w:w="1236" w:type="dxa"/>
          </w:tcPr>
          <w:p w14:paraId="3B424782">
            <w:pPr>
              <w:adjustRightInd w:val="0"/>
              <w:snapToGrid w:val="0"/>
              <w:spacing w:line="360" w:lineRule="exact"/>
              <w:rPr>
                <w:rFonts w:ascii="仿宋" w:hAnsi="仿宋" w:eastAsia="仿宋" w:cs="仿宋"/>
                <w:color w:val="auto"/>
                <w:highlight w:val="none"/>
              </w:rPr>
            </w:pPr>
          </w:p>
        </w:tc>
        <w:tc>
          <w:tcPr>
            <w:tcW w:w="720" w:type="dxa"/>
          </w:tcPr>
          <w:p w14:paraId="22446E5C">
            <w:pPr>
              <w:adjustRightInd w:val="0"/>
              <w:snapToGrid w:val="0"/>
              <w:spacing w:line="360" w:lineRule="exact"/>
              <w:jc w:val="center"/>
              <w:rPr>
                <w:rFonts w:ascii="仿宋" w:hAnsi="仿宋" w:eastAsia="仿宋" w:cs="仿宋"/>
                <w:color w:val="auto"/>
                <w:highlight w:val="none"/>
              </w:rPr>
            </w:pPr>
          </w:p>
        </w:tc>
        <w:tc>
          <w:tcPr>
            <w:tcW w:w="720" w:type="dxa"/>
          </w:tcPr>
          <w:p w14:paraId="12CDC398">
            <w:pPr>
              <w:adjustRightInd w:val="0"/>
              <w:snapToGrid w:val="0"/>
              <w:spacing w:line="360" w:lineRule="exact"/>
              <w:jc w:val="center"/>
              <w:rPr>
                <w:rFonts w:ascii="仿宋" w:hAnsi="仿宋" w:eastAsia="仿宋" w:cs="仿宋"/>
                <w:color w:val="auto"/>
                <w:highlight w:val="none"/>
              </w:rPr>
            </w:pPr>
          </w:p>
        </w:tc>
        <w:tc>
          <w:tcPr>
            <w:tcW w:w="720" w:type="dxa"/>
          </w:tcPr>
          <w:p w14:paraId="4AFF4957">
            <w:pPr>
              <w:adjustRightInd w:val="0"/>
              <w:snapToGrid w:val="0"/>
              <w:spacing w:line="360" w:lineRule="exact"/>
              <w:jc w:val="center"/>
              <w:rPr>
                <w:rFonts w:ascii="仿宋" w:hAnsi="仿宋" w:eastAsia="仿宋" w:cs="仿宋"/>
                <w:color w:val="auto"/>
                <w:highlight w:val="none"/>
              </w:rPr>
            </w:pPr>
          </w:p>
        </w:tc>
        <w:tc>
          <w:tcPr>
            <w:tcW w:w="720" w:type="dxa"/>
          </w:tcPr>
          <w:p w14:paraId="57897A9F">
            <w:pPr>
              <w:adjustRightInd w:val="0"/>
              <w:snapToGrid w:val="0"/>
              <w:spacing w:line="360" w:lineRule="exact"/>
              <w:jc w:val="center"/>
              <w:rPr>
                <w:rFonts w:ascii="仿宋" w:hAnsi="仿宋" w:eastAsia="仿宋" w:cs="仿宋"/>
                <w:color w:val="auto"/>
                <w:highlight w:val="none"/>
              </w:rPr>
            </w:pPr>
          </w:p>
        </w:tc>
        <w:tc>
          <w:tcPr>
            <w:tcW w:w="2235" w:type="dxa"/>
          </w:tcPr>
          <w:p w14:paraId="0339DD41">
            <w:pPr>
              <w:adjustRightInd w:val="0"/>
              <w:snapToGrid w:val="0"/>
              <w:spacing w:line="360" w:lineRule="exact"/>
              <w:rPr>
                <w:rFonts w:ascii="仿宋" w:hAnsi="仿宋" w:eastAsia="仿宋" w:cs="仿宋"/>
                <w:color w:val="auto"/>
                <w:highlight w:val="none"/>
              </w:rPr>
            </w:pPr>
          </w:p>
        </w:tc>
      </w:tr>
      <w:tr w14:paraId="1565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A6332A9">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3</w:t>
            </w:r>
          </w:p>
        </w:tc>
        <w:tc>
          <w:tcPr>
            <w:tcW w:w="1924" w:type="dxa"/>
          </w:tcPr>
          <w:p w14:paraId="3B8CAEC1">
            <w:pPr>
              <w:adjustRightInd w:val="0"/>
              <w:snapToGrid w:val="0"/>
              <w:spacing w:line="360" w:lineRule="exact"/>
              <w:rPr>
                <w:rFonts w:ascii="仿宋" w:hAnsi="仿宋" w:eastAsia="仿宋" w:cs="仿宋"/>
                <w:color w:val="auto"/>
                <w:highlight w:val="none"/>
              </w:rPr>
            </w:pPr>
          </w:p>
        </w:tc>
        <w:tc>
          <w:tcPr>
            <w:tcW w:w="1236" w:type="dxa"/>
          </w:tcPr>
          <w:p w14:paraId="1634B9F6">
            <w:pPr>
              <w:adjustRightInd w:val="0"/>
              <w:snapToGrid w:val="0"/>
              <w:spacing w:line="360" w:lineRule="exact"/>
              <w:rPr>
                <w:rFonts w:ascii="仿宋" w:hAnsi="仿宋" w:eastAsia="仿宋" w:cs="仿宋"/>
                <w:color w:val="auto"/>
                <w:highlight w:val="none"/>
              </w:rPr>
            </w:pPr>
          </w:p>
        </w:tc>
        <w:tc>
          <w:tcPr>
            <w:tcW w:w="720" w:type="dxa"/>
          </w:tcPr>
          <w:p w14:paraId="7085789A">
            <w:pPr>
              <w:adjustRightInd w:val="0"/>
              <w:snapToGrid w:val="0"/>
              <w:spacing w:line="360" w:lineRule="exact"/>
              <w:jc w:val="center"/>
              <w:rPr>
                <w:rFonts w:ascii="仿宋" w:hAnsi="仿宋" w:eastAsia="仿宋" w:cs="仿宋"/>
                <w:color w:val="auto"/>
                <w:highlight w:val="none"/>
              </w:rPr>
            </w:pPr>
          </w:p>
        </w:tc>
        <w:tc>
          <w:tcPr>
            <w:tcW w:w="720" w:type="dxa"/>
          </w:tcPr>
          <w:p w14:paraId="3ED7BCDE">
            <w:pPr>
              <w:adjustRightInd w:val="0"/>
              <w:snapToGrid w:val="0"/>
              <w:spacing w:line="360" w:lineRule="exact"/>
              <w:jc w:val="center"/>
              <w:rPr>
                <w:rFonts w:ascii="仿宋" w:hAnsi="仿宋" w:eastAsia="仿宋" w:cs="仿宋"/>
                <w:color w:val="auto"/>
                <w:highlight w:val="none"/>
              </w:rPr>
            </w:pPr>
          </w:p>
        </w:tc>
        <w:tc>
          <w:tcPr>
            <w:tcW w:w="720" w:type="dxa"/>
          </w:tcPr>
          <w:p w14:paraId="05941BBB">
            <w:pPr>
              <w:adjustRightInd w:val="0"/>
              <w:snapToGrid w:val="0"/>
              <w:spacing w:line="360" w:lineRule="exact"/>
              <w:jc w:val="center"/>
              <w:rPr>
                <w:rFonts w:ascii="仿宋" w:hAnsi="仿宋" w:eastAsia="仿宋" w:cs="仿宋"/>
                <w:color w:val="auto"/>
                <w:highlight w:val="none"/>
              </w:rPr>
            </w:pPr>
          </w:p>
        </w:tc>
        <w:tc>
          <w:tcPr>
            <w:tcW w:w="720" w:type="dxa"/>
          </w:tcPr>
          <w:p w14:paraId="3ACE69D5">
            <w:pPr>
              <w:adjustRightInd w:val="0"/>
              <w:snapToGrid w:val="0"/>
              <w:spacing w:line="360" w:lineRule="exact"/>
              <w:jc w:val="center"/>
              <w:rPr>
                <w:rFonts w:ascii="仿宋" w:hAnsi="仿宋" w:eastAsia="仿宋" w:cs="仿宋"/>
                <w:color w:val="auto"/>
                <w:highlight w:val="none"/>
              </w:rPr>
            </w:pPr>
          </w:p>
        </w:tc>
        <w:tc>
          <w:tcPr>
            <w:tcW w:w="2235" w:type="dxa"/>
          </w:tcPr>
          <w:p w14:paraId="490952CE">
            <w:pPr>
              <w:adjustRightInd w:val="0"/>
              <w:snapToGrid w:val="0"/>
              <w:spacing w:line="360" w:lineRule="exact"/>
              <w:rPr>
                <w:rFonts w:ascii="仿宋" w:hAnsi="仿宋" w:eastAsia="仿宋" w:cs="仿宋"/>
                <w:color w:val="auto"/>
                <w:highlight w:val="none"/>
              </w:rPr>
            </w:pPr>
          </w:p>
        </w:tc>
      </w:tr>
      <w:tr w14:paraId="1480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59D7E4A">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4</w:t>
            </w:r>
          </w:p>
        </w:tc>
        <w:tc>
          <w:tcPr>
            <w:tcW w:w="1924" w:type="dxa"/>
          </w:tcPr>
          <w:p w14:paraId="79D70581">
            <w:pPr>
              <w:adjustRightInd w:val="0"/>
              <w:snapToGrid w:val="0"/>
              <w:spacing w:line="360" w:lineRule="exact"/>
              <w:rPr>
                <w:rFonts w:ascii="仿宋" w:hAnsi="仿宋" w:eastAsia="仿宋" w:cs="仿宋"/>
                <w:color w:val="auto"/>
                <w:highlight w:val="none"/>
              </w:rPr>
            </w:pPr>
          </w:p>
        </w:tc>
        <w:tc>
          <w:tcPr>
            <w:tcW w:w="1236" w:type="dxa"/>
          </w:tcPr>
          <w:p w14:paraId="1C6D9C78">
            <w:pPr>
              <w:adjustRightInd w:val="0"/>
              <w:snapToGrid w:val="0"/>
              <w:spacing w:line="360" w:lineRule="exact"/>
              <w:rPr>
                <w:rFonts w:ascii="仿宋" w:hAnsi="仿宋" w:eastAsia="仿宋" w:cs="仿宋"/>
                <w:color w:val="auto"/>
                <w:highlight w:val="none"/>
              </w:rPr>
            </w:pPr>
          </w:p>
        </w:tc>
        <w:tc>
          <w:tcPr>
            <w:tcW w:w="720" w:type="dxa"/>
          </w:tcPr>
          <w:p w14:paraId="309F5971">
            <w:pPr>
              <w:adjustRightInd w:val="0"/>
              <w:snapToGrid w:val="0"/>
              <w:spacing w:line="360" w:lineRule="exact"/>
              <w:jc w:val="center"/>
              <w:rPr>
                <w:rFonts w:ascii="仿宋" w:hAnsi="仿宋" w:eastAsia="仿宋" w:cs="仿宋"/>
                <w:color w:val="auto"/>
                <w:highlight w:val="none"/>
              </w:rPr>
            </w:pPr>
          </w:p>
        </w:tc>
        <w:tc>
          <w:tcPr>
            <w:tcW w:w="720" w:type="dxa"/>
          </w:tcPr>
          <w:p w14:paraId="61AA8C33">
            <w:pPr>
              <w:adjustRightInd w:val="0"/>
              <w:snapToGrid w:val="0"/>
              <w:spacing w:line="360" w:lineRule="exact"/>
              <w:jc w:val="center"/>
              <w:rPr>
                <w:rFonts w:ascii="仿宋" w:hAnsi="仿宋" w:eastAsia="仿宋" w:cs="仿宋"/>
                <w:color w:val="auto"/>
                <w:highlight w:val="none"/>
              </w:rPr>
            </w:pPr>
          </w:p>
        </w:tc>
        <w:tc>
          <w:tcPr>
            <w:tcW w:w="720" w:type="dxa"/>
          </w:tcPr>
          <w:p w14:paraId="78E2E164">
            <w:pPr>
              <w:adjustRightInd w:val="0"/>
              <w:snapToGrid w:val="0"/>
              <w:spacing w:line="360" w:lineRule="exact"/>
              <w:jc w:val="center"/>
              <w:rPr>
                <w:rFonts w:ascii="仿宋" w:hAnsi="仿宋" w:eastAsia="仿宋" w:cs="仿宋"/>
                <w:color w:val="auto"/>
                <w:highlight w:val="none"/>
              </w:rPr>
            </w:pPr>
          </w:p>
        </w:tc>
        <w:tc>
          <w:tcPr>
            <w:tcW w:w="720" w:type="dxa"/>
          </w:tcPr>
          <w:p w14:paraId="4AE0FAF7">
            <w:pPr>
              <w:adjustRightInd w:val="0"/>
              <w:snapToGrid w:val="0"/>
              <w:spacing w:line="360" w:lineRule="exact"/>
              <w:jc w:val="center"/>
              <w:rPr>
                <w:rFonts w:ascii="仿宋" w:hAnsi="仿宋" w:eastAsia="仿宋" w:cs="仿宋"/>
                <w:color w:val="auto"/>
                <w:highlight w:val="none"/>
              </w:rPr>
            </w:pPr>
          </w:p>
        </w:tc>
        <w:tc>
          <w:tcPr>
            <w:tcW w:w="2235" w:type="dxa"/>
          </w:tcPr>
          <w:p w14:paraId="06EF06EF">
            <w:pPr>
              <w:adjustRightInd w:val="0"/>
              <w:snapToGrid w:val="0"/>
              <w:spacing w:line="360" w:lineRule="exact"/>
              <w:rPr>
                <w:rFonts w:ascii="仿宋" w:hAnsi="仿宋" w:eastAsia="仿宋" w:cs="仿宋"/>
                <w:color w:val="auto"/>
                <w:highlight w:val="none"/>
              </w:rPr>
            </w:pPr>
          </w:p>
        </w:tc>
      </w:tr>
      <w:tr w14:paraId="78AF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76AEBCD">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5</w:t>
            </w:r>
          </w:p>
        </w:tc>
        <w:tc>
          <w:tcPr>
            <w:tcW w:w="1924" w:type="dxa"/>
          </w:tcPr>
          <w:p w14:paraId="3C25993D">
            <w:pPr>
              <w:adjustRightInd w:val="0"/>
              <w:snapToGrid w:val="0"/>
              <w:spacing w:line="360" w:lineRule="exact"/>
              <w:rPr>
                <w:rFonts w:ascii="仿宋" w:hAnsi="仿宋" w:eastAsia="仿宋" w:cs="仿宋"/>
                <w:color w:val="auto"/>
                <w:highlight w:val="none"/>
              </w:rPr>
            </w:pPr>
          </w:p>
        </w:tc>
        <w:tc>
          <w:tcPr>
            <w:tcW w:w="1236" w:type="dxa"/>
          </w:tcPr>
          <w:p w14:paraId="7CB6F38B">
            <w:pPr>
              <w:adjustRightInd w:val="0"/>
              <w:snapToGrid w:val="0"/>
              <w:spacing w:line="360" w:lineRule="exact"/>
              <w:rPr>
                <w:rFonts w:ascii="仿宋" w:hAnsi="仿宋" w:eastAsia="仿宋" w:cs="仿宋"/>
                <w:color w:val="auto"/>
                <w:highlight w:val="none"/>
              </w:rPr>
            </w:pPr>
          </w:p>
        </w:tc>
        <w:tc>
          <w:tcPr>
            <w:tcW w:w="720" w:type="dxa"/>
          </w:tcPr>
          <w:p w14:paraId="2A284B7E">
            <w:pPr>
              <w:adjustRightInd w:val="0"/>
              <w:snapToGrid w:val="0"/>
              <w:spacing w:line="360" w:lineRule="exact"/>
              <w:jc w:val="center"/>
              <w:rPr>
                <w:rFonts w:ascii="仿宋" w:hAnsi="仿宋" w:eastAsia="仿宋" w:cs="仿宋"/>
                <w:color w:val="auto"/>
                <w:highlight w:val="none"/>
              </w:rPr>
            </w:pPr>
          </w:p>
        </w:tc>
        <w:tc>
          <w:tcPr>
            <w:tcW w:w="720" w:type="dxa"/>
          </w:tcPr>
          <w:p w14:paraId="7C3E2498">
            <w:pPr>
              <w:adjustRightInd w:val="0"/>
              <w:snapToGrid w:val="0"/>
              <w:spacing w:line="360" w:lineRule="exact"/>
              <w:jc w:val="center"/>
              <w:rPr>
                <w:rFonts w:ascii="仿宋" w:hAnsi="仿宋" w:eastAsia="仿宋" w:cs="仿宋"/>
                <w:color w:val="auto"/>
                <w:highlight w:val="none"/>
              </w:rPr>
            </w:pPr>
          </w:p>
        </w:tc>
        <w:tc>
          <w:tcPr>
            <w:tcW w:w="720" w:type="dxa"/>
          </w:tcPr>
          <w:p w14:paraId="16E6335C">
            <w:pPr>
              <w:adjustRightInd w:val="0"/>
              <w:snapToGrid w:val="0"/>
              <w:spacing w:line="360" w:lineRule="exact"/>
              <w:jc w:val="center"/>
              <w:rPr>
                <w:rFonts w:ascii="仿宋" w:hAnsi="仿宋" w:eastAsia="仿宋" w:cs="仿宋"/>
                <w:color w:val="auto"/>
                <w:highlight w:val="none"/>
              </w:rPr>
            </w:pPr>
          </w:p>
        </w:tc>
        <w:tc>
          <w:tcPr>
            <w:tcW w:w="720" w:type="dxa"/>
          </w:tcPr>
          <w:p w14:paraId="5DEACBBD">
            <w:pPr>
              <w:adjustRightInd w:val="0"/>
              <w:snapToGrid w:val="0"/>
              <w:spacing w:line="360" w:lineRule="exact"/>
              <w:jc w:val="center"/>
              <w:rPr>
                <w:rFonts w:ascii="仿宋" w:hAnsi="仿宋" w:eastAsia="仿宋" w:cs="仿宋"/>
                <w:color w:val="auto"/>
                <w:highlight w:val="none"/>
              </w:rPr>
            </w:pPr>
          </w:p>
        </w:tc>
        <w:tc>
          <w:tcPr>
            <w:tcW w:w="2235" w:type="dxa"/>
          </w:tcPr>
          <w:p w14:paraId="01D4BDBE">
            <w:pPr>
              <w:adjustRightInd w:val="0"/>
              <w:snapToGrid w:val="0"/>
              <w:spacing w:line="360" w:lineRule="exact"/>
              <w:rPr>
                <w:rFonts w:ascii="仿宋" w:hAnsi="仿宋" w:eastAsia="仿宋" w:cs="仿宋"/>
                <w:color w:val="auto"/>
                <w:highlight w:val="none"/>
              </w:rPr>
            </w:pPr>
          </w:p>
        </w:tc>
      </w:tr>
      <w:tr w14:paraId="1AF0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0A8BDA9">
            <w:pPr>
              <w:adjustRightInd w:val="0"/>
              <w:snapToGrid w:val="0"/>
              <w:spacing w:line="360" w:lineRule="exact"/>
              <w:jc w:val="center"/>
              <w:rPr>
                <w:rFonts w:ascii="仿宋" w:hAnsi="仿宋" w:eastAsia="仿宋" w:cs="仿宋"/>
                <w:color w:val="auto"/>
                <w:highlight w:val="none"/>
              </w:rPr>
            </w:pPr>
          </w:p>
        </w:tc>
        <w:tc>
          <w:tcPr>
            <w:tcW w:w="1924" w:type="dxa"/>
          </w:tcPr>
          <w:p w14:paraId="0C61923A">
            <w:pPr>
              <w:adjustRightInd w:val="0"/>
              <w:snapToGrid w:val="0"/>
              <w:spacing w:line="360" w:lineRule="exact"/>
              <w:rPr>
                <w:rFonts w:ascii="仿宋" w:hAnsi="仿宋" w:eastAsia="仿宋" w:cs="仿宋"/>
                <w:color w:val="auto"/>
                <w:highlight w:val="none"/>
              </w:rPr>
            </w:pPr>
          </w:p>
        </w:tc>
        <w:tc>
          <w:tcPr>
            <w:tcW w:w="1236" w:type="dxa"/>
          </w:tcPr>
          <w:p w14:paraId="7881A901">
            <w:pPr>
              <w:adjustRightInd w:val="0"/>
              <w:snapToGrid w:val="0"/>
              <w:spacing w:line="360" w:lineRule="exact"/>
              <w:rPr>
                <w:rFonts w:ascii="仿宋" w:hAnsi="仿宋" w:eastAsia="仿宋" w:cs="仿宋"/>
                <w:color w:val="auto"/>
                <w:highlight w:val="none"/>
              </w:rPr>
            </w:pPr>
          </w:p>
        </w:tc>
        <w:tc>
          <w:tcPr>
            <w:tcW w:w="720" w:type="dxa"/>
          </w:tcPr>
          <w:p w14:paraId="6CE9F01C">
            <w:pPr>
              <w:adjustRightInd w:val="0"/>
              <w:snapToGrid w:val="0"/>
              <w:spacing w:line="360" w:lineRule="exact"/>
              <w:jc w:val="center"/>
              <w:rPr>
                <w:rFonts w:ascii="仿宋" w:hAnsi="仿宋" w:eastAsia="仿宋" w:cs="仿宋"/>
                <w:color w:val="auto"/>
                <w:highlight w:val="none"/>
              </w:rPr>
            </w:pPr>
          </w:p>
        </w:tc>
        <w:tc>
          <w:tcPr>
            <w:tcW w:w="720" w:type="dxa"/>
          </w:tcPr>
          <w:p w14:paraId="5947BF84">
            <w:pPr>
              <w:adjustRightInd w:val="0"/>
              <w:snapToGrid w:val="0"/>
              <w:spacing w:line="360" w:lineRule="exact"/>
              <w:jc w:val="center"/>
              <w:rPr>
                <w:rFonts w:ascii="仿宋" w:hAnsi="仿宋" w:eastAsia="仿宋" w:cs="仿宋"/>
                <w:color w:val="auto"/>
                <w:highlight w:val="none"/>
              </w:rPr>
            </w:pPr>
          </w:p>
        </w:tc>
        <w:tc>
          <w:tcPr>
            <w:tcW w:w="720" w:type="dxa"/>
          </w:tcPr>
          <w:p w14:paraId="6AD12442">
            <w:pPr>
              <w:adjustRightInd w:val="0"/>
              <w:snapToGrid w:val="0"/>
              <w:spacing w:line="360" w:lineRule="exact"/>
              <w:jc w:val="center"/>
              <w:rPr>
                <w:rFonts w:ascii="仿宋" w:hAnsi="仿宋" w:eastAsia="仿宋" w:cs="仿宋"/>
                <w:color w:val="auto"/>
                <w:highlight w:val="none"/>
              </w:rPr>
            </w:pPr>
          </w:p>
        </w:tc>
        <w:tc>
          <w:tcPr>
            <w:tcW w:w="720" w:type="dxa"/>
          </w:tcPr>
          <w:p w14:paraId="4BE01B48">
            <w:pPr>
              <w:adjustRightInd w:val="0"/>
              <w:snapToGrid w:val="0"/>
              <w:spacing w:line="360" w:lineRule="exact"/>
              <w:jc w:val="center"/>
              <w:rPr>
                <w:rFonts w:ascii="仿宋" w:hAnsi="仿宋" w:eastAsia="仿宋" w:cs="仿宋"/>
                <w:color w:val="auto"/>
                <w:highlight w:val="none"/>
              </w:rPr>
            </w:pPr>
          </w:p>
        </w:tc>
        <w:tc>
          <w:tcPr>
            <w:tcW w:w="2235" w:type="dxa"/>
          </w:tcPr>
          <w:p w14:paraId="603D4B1C">
            <w:pPr>
              <w:adjustRightInd w:val="0"/>
              <w:snapToGrid w:val="0"/>
              <w:spacing w:line="360" w:lineRule="exact"/>
              <w:rPr>
                <w:rFonts w:ascii="仿宋" w:hAnsi="仿宋" w:eastAsia="仿宋" w:cs="仿宋"/>
                <w:color w:val="auto"/>
                <w:highlight w:val="none"/>
              </w:rPr>
            </w:pPr>
          </w:p>
        </w:tc>
      </w:tr>
    </w:tbl>
    <w:p w14:paraId="29EC7BB4">
      <w:pPr>
        <w:pStyle w:val="14"/>
        <w:rPr>
          <w:color w:val="auto"/>
          <w:highlight w:val="none"/>
        </w:rPr>
      </w:pPr>
    </w:p>
    <w:p w14:paraId="1D5D3D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6投标技术文件至少应对招标文件和本技术标书所提出的要求，将投标方认为难以满足的条款和要求，予以明确和详细的说明或澄清。</w:t>
      </w:r>
    </w:p>
    <w:p w14:paraId="4AC637E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9A67AA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8供货范围内的物品或服务，应当尽可能详细且分类填入配置表，其费用应当计入投标总报价之内。如果出现不一致的报价，将有可能导致废标。</w:t>
      </w:r>
    </w:p>
    <w:p w14:paraId="48F9860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14:paraId="39EF4D1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10带 ★ 号条款为否定项条款。</w:t>
      </w:r>
      <w:bookmarkStart w:id="1036" w:name="_Toc133783976"/>
    </w:p>
    <w:bookmarkEnd w:id="1036"/>
    <w:p w14:paraId="5E95DD3B">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1037" w:name="_Toc31830"/>
      <w:bookmarkStart w:id="1038" w:name="_Toc2177"/>
      <w:bookmarkStart w:id="1039" w:name="_Toc24651"/>
      <w:bookmarkStart w:id="1040" w:name="_Toc623"/>
      <w:bookmarkStart w:id="1041" w:name="_Toc147"/>
      <w:bookmarkStart w:id="1042" w:name="_Toc29369"/>
      <w:bookmarkStart w:id="1043" w:name="_Toc3256"/>
      <w:bookmarkStart w:id="1044" w:name="_Toc22743"/>
      <w:bookmarkStart w:id="1045" w:name="_Toc19821"/>
      <w:bookmarkStart w:id="1046" w:name="_Toc919"/>
      <w:bookmarkStart w:id="1047" w:name="_Toc2151"/>
      <w:bookmarkStart w:id="1048" w:name="_Toc73112426"/>
      <w:bookmarkStart w:id="1049" w:name="_Toc16301"/>
      <w:bookmarkStart w:id="1050" w:name="_Toc13666"/>
      <w:bookmarkStart w:id="1051" w:name="_Toc7541"/>
      <w:bookmarkStart w:id="1052" w:name="_Toc19119"/>
      <w:bookmarkStart w:id="1053" w:name="_Toc10484"/>
      <w:bookmarkStart w:id="1054" w:name="_Toc24401"/>
      <w:bookmarkStart w:id="1055" w:name="_Toc1126"/>
      <w:bookmarkStart w:id="1056" w:name="_Toc23538"/>
      <w:bookmarkStart w:id="1057" w:name="_Toc26481"/>
      <w:bookmarkStart w:id="1058" w:name="_Toc15645"/>
      <w:bookmarkStart w:id="1059" w:name="_Toc3744"/>
      <w:bookmarkStart w:id="1060" w:name="_Toc32403"/>
      <w:bookmarkStart w:id="1061" w:name="_Toc19444"/>
      <w:bookmarkStart w:id="1062" w:name="_Toc2783"/>
      <w:bookmarkStart w:id="1063" w:name="_Toc5153"/>
      <w:bookmarkStart w:id="1064" w:name="_Toc17045"/>
      <w:bookmarkStart w:id="1065" w:name="_Toc17174"/>
      <w:bookmarkStart w:id="1066" w:name="_Toc2341"/>
      <w:bookmarkStart w:id="1067" w:name="_Toc26559"/>
      <w:bookmarkStart w:id="1068" w:name="_Toc29655"/>
      <w:bookmarkStart w:id="1069" w:name="_Toc11155"/>
      <w:bookmarkStart w:id="1070" w:name="_Toc671"/>
      <w:bookmarkStart w:id="1071" w:name="_Toc10081"/>
      <w:bookmarkStart w:id="1072" w:name="_Toc15684"/>
      <w:bookmarkStart w:id="1073" w:name="_Toc25823"/>
      <w:bookmarkStart w:id="1074" w:name="_Toc7423"/>
      <w:bookmarkStart w:id="1075" w:name="_Toc17463"/>
      <w:bookmarkStart w:id="1076" w:name="_Toc9954"/>
      <w:bookmarkStart w:id="1077" w:name="_Toc11416"/>
      <w:bookmarkStart w:id="1078" w:name="_Toc4563"/>
      <w:bookmarkStart w:id="1079" w:name="_Toc13350"/>
      <w:bookmarkStart w:id="1080" w:name="_Toc5380"/>
      <w:r>
        <w:rPr>
          <w:rFonts w:hint="eastAsia" w:ascii="仿宋" w:hAnsi="仿宋" w:eastAsia="仿宋" w:cs="仿宋"/>
          <w:b/>
          <w:bCs/>
          <w:color w:val="auto"/>
          <w:highlight w:val="none"/>
        </w:rPr>
        <w:t>第七章其它要求</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24A9831">
      <w:pPr>
        <w:snapToGrid w:val="0"/>
        <w:spacing w:line="360" w:lineRule="auto"/>
        <w:ind w:left="480"/>
        <w:outlineLvl w:val="1"/>
        <w:rPr>
          <w:rFonts w:ascii="仿宋" w:hAnsi="仿宋" w:eastAsia="仿宋" w:cs="仿宋"/>
          <w:b/>
          <w:bCs/>
          <w:color w:val="auto"/>
          <w:highlight w:val="none"/>
        </w:rPr>
      </w:pPr>
      <w:bookmarkStart w:id="1081" w:name="_Toc21465"/>
      <w:bookmarkStart w:id="1082" w:name="_Toc12542"/>
      <w:bookmarkStart w:id="1083" w:name="_Toc17435"/>
      <w:bookmarkStart w:id="1084" w:name="_Toc29015"/>
      <w:bookmarkStart w:id="1085" w:name="_Toc15205"/>
      <w:bookmarkStart w:id="1086" w:name="_Toc13820"/>
      <w:bookmarkStart w:id="1087" w:name="_Toc18469"/>
      <w:bookmarkStart w:id="1088" w:name="_Toc24669"/>
      <w:bookmarkStart w:id="1089" w:name="_Toc11901"/>
      <w:bookmarkStart w:id="1090" w:name="_Toc31105"/>
      <w:bookmarkStart w:id="1091" w:name="_Toc28364"/>
      <w:bookmarkStart w:id="1092" w:name="_Toc14684"/>
      <w:bookmarkStart w:id="1093" w:name="_Toc17727"/>
      <w:bookmarkStart w:id="1094" w:name="_Toc17357"/>
      <w:bookmarkStart w:id="1095" w:name="_Toc25903"/>
      <w:bookmarkStart w:id="1096" w:name="_Toc26831"/>
      <w:bookmarkStart w:id="1097" w:name="_Toc32544"/>
      <w:bookmarkStart w:id="1098" w:name="_Toc2497"/>
      <w:bookmarkStart w:id="1099" w:name="_Toc73112427"/>
      <w:bookmarkStart w:id="1100" w:name="_Toc30535"/>
      <w:bookmarkStart w:id="1101" w:name="_Toc20262"/>
      <w:bookmarkStart w:id="1102" w:name="_Toc32470"/>
      <w:bookmarkStart w:id="1103" w:name="_Toc17702"/>
      <w:bookmarkStart w:id="1104" w:name="_Toc24782"/>
      <w:bookmarkStart w:id="1105" w:name="_Toc16802"/>
      <w:bookmarkStart w:id="1106" w:name="_Toc22430"/>
      <w:bookmarkStart w:id="1107" w:name="_Toc15256"/>
      <w:bookmarkStart w:id="1108" w:name="_Toc15541"/>
      <w:bookmarkStart w:id="1109" w:name="_Toc27020"/>
      <w:bookmarkStart w:id="1110" w:name="_Toc32012"/>
      <w:bookmarkStart w:id="1111" w:name="_Toc14484"/>
      <w:bookmarkStart w:id="1112" w:name="_Toc32525"/>
      <w:bookmarkStart w:id="1113" w:name="_Toc12406"/>
      <w:bookmarkStart w:id="1114" w:name="_Toc16614"/>
      <w:bookmarkStart w:id="1115" w:name="_Toc22010"/>
      <w:bookmarkStart w:id="1116" w:name="_Toc4997"/>
      <w:bookmarkStart w:id="1117" w:name="_Toc16829"/>
      <w:bookmarkStart w:id="1118" w:name="_Toc27273"/>
      <w:bookmarkStart w:id="1119" w:name="_Toc29679"/>
      <w:bookmarkStart w:id="1120" w:name="_Toc24181"/>
      <w:bookmarkStart w:id="1121" w:name="_Toc11058"/>
      <w:bookmarkStart w:id="1122" w:name="_Toc5514"/>
      <w:bookmarkStart w:id="1123" w:name="_Toc24680"/>
      <w:r>
        <w:rPr>
          <w:rFonts w:hint="eastAsia" w:ascii="仿宋" w:hAnsi="仿宋" w:eastAsia="仿宋" w:cs="仿宋"/>
          <w:b/>
          <w:bCs/>
          <w:color w:val="auto"/>
          <w:highlight w:val="none"/>
        </w:rPr>
        <w:t>1特殊要求</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17B2008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为保证本技术标书所列采购货物的质量以及先进性、可靠性、经济性和实用性，要求投标方在投标文件中，至少应具备以下资格证明文件或资料：</w:t>
      </w:r>
    </w:p>
    <w:p w14:paraId="2963C0E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1.1投标方应是通过有关资格认证的单位，因此应附有有效期内的资格认证证书，如：ISO9001、VDA6.1、QS9000等。</w:t>
      </w:r>
    </w:p>
    <w:p w14:paraId="279F048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1.2国产设备应附有采购货物（或设备）涉及的由“中国质量认证中心”颁发的《中国国家强制性产品认证证书》（CCC证书）。</w:t>
      </w:r>
    </w:p>
    <w:p w14:paraId="4B632481">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05C0C6D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1.4应附有其它与投标单位、采购货物有关的荣誉证书或资料。</w:t>
      </w:r>
    </w:p>
    <w:p w14:paraId="640AE641">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1.5应附有中国相关国家部委颁发的有效期之内所必需的《生产许可证》。</w:t>
      </w:r>
    </w:p>
    <w:p w14:paraId="5BCCFB90">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1.6应附有必要的采购货物（或设备）的相关检验、试验报告，如：《型式试验的检验报告》、《产品鉴定证书》、《新技术成果证书》等。</w:t>
      </w:r>
    </w:p>
    <w:p w14:paraId="60E3F982">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1.7投标方必须附有采购货物（或设备）涉及国家规定必须进行的检验、试验报告等。</w:t>
      </w:r>
    </w:p>
    <w:p w14:paraId="5B0F9F0E">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265253D5">
      <w:pPr>
        <w:snapToGrid w:val="0"/>
        <w:spacing w:line="360" w:lineRule="auto"/>
        <w:ind w:left="480"/>
        <w:outlineLvl w:val="1"/>
        <w:rPr>
          <w:rFonts w:ascii="仿宋" w:hAnsi="仿宋" w:eastAsia="仿宋" w:cs="仿宋"/>
          <w:b/>
          <w:bCs/>
          <w:color w:val="auto"/>
          <w:highlight w:val="none"/>
        </w:rPr>
      </w:pPr>
      <w:bookmarkStart w:id="1124" w:name="_Toc16457"/>
      <w:bookmarkStart w:id="1125" w:name="_Toc31389"/>
      <w:bookmarkStart w:id="1126" w:name="_Toc26307"/>
      <w:bookmarkStart w:id="1127" w:name="_Toc28700"/>
      <w:bookmarkStart w:id="1128" w:name="_Toc4278"/>
      <w:bookmarkStart w:id="1129" w:name="_Toc26626"/>
      <w:bookmarkStart w:id="1130" w:name="_Toc28267"/>
      <w:bookmarkStart w:id="1131" w:name="_Toc13497"/>
      <w:bookmarkStart w:id="1132" w:name="_Toc25028"/>
      <w:bookmarkStart w:id="1133" w:name="_Toc24482"/>
      <w:bookmarkStart w:id="1134" w:name="_Toc1823"/>
      <w:bookmarkStart w:id="1135" w:name="_Toc27894"/>
      <w:bookmarkStart w:id="1136" w:name="_Toc20370"/>
      <w:bookmarkStart w:id="1137" w:name="_Toc25498"/>
      <w:bookmarkStart w:id="1138" w:name="_Toc73112429"/>
      <w:bookmarkStart w:id="1139" w:name="_Toc13528"/>
      <w:bookmarkStart w:id="1140" w:name="_Toc8864"/>
      <w:bookmarkStart w:id="1141" w:name="_Toc3658"/>
      <w:bookmarkStart w:id="1142" w:name="_Toc18370"/>
      <w:bookmarkStart w:id="1143" w:name="_Toc5504"/>
      <w:bookmarkStart w:id="1144" w:name="_Toc11255"/>
      <w:bookmarkStart w:id="1145" w:name="_Toc19315"/>
      <w:bookmarkStart w:id="1146" w:name="_Toc28559"/>
      <w:bookmarkStart w:id="1147" w:name="_Toc14052"/>
      <w:bookmarkStart w:id="1148" w:name="_Toc335"/>
      <w:bookmarkStart w:id="1149" w:name="_Toc14956"/>
      <w:bookmarkStart w:id="1150" w:name="_Toc3821"/>
      <w:bookmarkStart w:id="1151" w:name="_Toc18745"/>
      <w:bookmarkStart w:id="1152" w:name="_Toc21942"/>
      <w:bookmarkStart w:id="1153" w:name="_Toc18674"/>
      <w:bookmarkStart w:id="1154" w:name="_Toc27164"/>
      <w:bookmarkStart w:id="1155" w:name="_Toc11707"/>
      <w:bookmarkStart w:id="1156" w:name="_Toc29954"/>
      <w:bookmarkStart w:id="1157" w:name="_Toc4243"/>
      <w:bookmarkStart w:id="1158" w:name="_Toc26724"/>
      <w:bookmarkStart w:id="1159" w:name="_Toc3323"/>
      <w:bookmarkStart w:id="1160" w:name="_Toc29233"/>
      <w:bookmarkStart w:id="1161" w:name="_Toc24176"/>
      <w:bookmarkStart w:id="1162" w:name="_Toc22763"/>
      <w:bookmarkStart w:id="1163" w:name="_Toc22893"/>
      <w:bookmarkStart w:id="1164" w:name="_Toc20830"/>
      <w:bookmarkStart w:id="1165" w:name="_Toc28380"/>
      <w:bookmarkStart w:id="1166" w:name="_Toc28718"/>
      <w:r>
        <w:rPr>
          <w:rFonts w:hint="eastAsia" w:ascii="仿宋" w:hAnsi="仿宋" w:eastAsia="仿宋" w:cs="仿宋"/>
          <w:b/>
          <w:bCs/>
          <w:color w:val="auto"/>
          <w:highlight w:val="none"/>
        </w:rPr>
        <w:t>2说明</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022FDBC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2.1投标方可以根据自身的技术、经验等优势以及对招标文件和本技术标书的理解，写明对招标方所采购货物的优化方案或建议意见。投标方的这些努力，招标方表示感谢，并将有助于投标方优先胜出。</w:t>
      </w:r>
    </w:p>
    <w:p w14:paraId="561F0766">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2.2即使有建议意见或建议方案，仍应依据招标文件和本技术标书要求，编写符合要求的投标文件。建议方案或建议意见，应以单独篇章或文件，予以说明。</w:t>
      </w:r>
    </w:p>
    <w:p w14:paraId="580856A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2.3请投标方仔细阅读“采购货物概况”章节内说明，针对允许分投分中的货物，招标方有权利选择其中优秀设备或服务，作为投标方合同供货范围中的指定选用设备或服务（替代投标方分投而未中标部分）。</w:t>
      </w:r>
    </w:p>
    <w:p w14:paraId="2876CD85">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2.4招标文件、投标文件、答疑文件、技术交流文件、技术协议书等，在招标过程全部为有效文件，如有差异，以对招标方或买方最有利的条款为准。</w:t>
      </w:r>
    </w:p>
    <w:p w14:paraId="0077928A">
      <w:pPr>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r>
        <w:rPr>
          <w:rFonts w:hint="eastAsia" w:ascii="仿宋" w:hAnsi="仿宋" w:eastAsia="仿宋" w:cs="仿宋"/>
          <w:color w:val="auto"/>
          <w:highlight w:val="none"/>
        </w:rPr>
        <w:br w:type="textWrapping"/>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2.6登高作业</w:t>
      </w:r>
      <w:r>
        <w:rPr>
          <w:rFonts w:hint="eastAsia" w:ascii="仿宋" w:hAnsi="仿宋" w:eastAsia="仿宋" w:cs="仿宋"/>
          <w:color w:val="auto"/>
          <w:highlight w:val="none"/>
        </w:rPr>
        <w:t>登高作业人员需要有高处作业证，同时作业前应先办理高处作业审批手续，高处作业方案、作业人员培训等；作业过程中，需要有监护人员现场监护</w:t>
      </w:r>
    </w:p>
    <w:p w14:paraId="2CA866AA">
      <w:pPr>
        <w:snapToGrid w:val="0"/>
        <w:spacing w:line="360" w:lineRule="auto"/>
        <w:ind w:firstLine="420" w:firstLineChars="200"/>
        <w:rPr>
          <w:rFonts w:hint="default" w:ascii="仿宋" w:hAnsi="仿宋" w:eastAsia="仿宋" w:cs="仿宋"/>
          <w:color w:val="auto"/>
          <w:highlight w:val="none"/>
          <w:lang w:val="en-US" w:eastAsia="zh-CN"/>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仿宋" w:hAnsi="仿宋" w:eastAsia="仿宋" w:cs="仿宋"/>
          <w:color w:val="auto"/>
          <w:highlight w:val="none"/>
          <w:lang w:val="en-US" w:eastAsia="zh-CN"/>
        </w:rPr>
        <w:t>2.7施工调试人员可进行夜间作业，保障生产现场不停线，不影响车辆</w:t>
      </w:r>
    </w:p>
    <w:p w14:paraId="144368C9">
      <w:pPr>
        <w:pStyle w:val="71"/>
        <w:rPr>
          <w:color w:val="auto"/>
          <w:highlight w:val="none"/>
        </w:rPr>
      </w:pPr>
      <w:bookmarkStart w:id="1167" w:name="_Toc47976609"/>
      <w:bookmarkStart w:id="1168" w:name="_Toc20595"/>
      <w:r>
        <w:rPr>
          <w:rFonts w:hint="eastAsia"/>
          <w:color w:val="auto"/>
          <w:highlight w:val="none"/>
        </w:rPr>
        <w:t>第三部分　合同主要条款</w:t>
      </w:r>
      <w:bookmarkEnd w:id="1167"/>
      <w:bookmarkEnd w:id="1168"/>
    </w:p>
    <w:p w14:paraId="2CF57FC7">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bookmarkStart w:id="1169" w:name="_Toc47976615"/>
      <w:bookmarkStart w:id="1170" w:name="_Toc5925"/>
    </w:p>
    <w:p w14:paraId="035FDCBF">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3B359F1A">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15E74FEA">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方正小标宋简体" w:eastAsia="方正小标宋简体" w:cs="方正小标宋简体"/>
          <w:color w:val="auto"/>
          <w:w w:val="90"/>
          <w:sz w:val="56"/>
          <w:szCs w:val="56"/>
          <w:highlight w:val="none"/>
        </w:rPr>
        <w:t>设备采购合同</w:t>
      </w:r>
      <w:r>
        <w:rPr>
          <w:rFonts w:hint="eastAsia" w:ascii="方正小标宋简体" w:hAnsi="宋体" w:eastAsia="方正小标宋简体"/>
          <w:bCs/>
          <w:color w:val="auto"/>
          <w:sz w:val="52"/>
          <w:szCs w:val="36"/>
          <w:highlight w:val="none"/>
        </w:rPr>
        <w:t>（模板）</w:t>
      </w:r>
    </w:p>
    <w:p w14:paraId="67029A34">
      <w:pPr>
        <w:pStyle w:val="14"/>
        <w:jc w:val="center"/>
        <w:rPr>
          <w:color w:val="auto"/>
          <w:highlight w:val="none"/>
        </w:rPr>
      </w:pPr>
      <w:r>
        <w:rPr>
          <w:rFonts w:hint="eastAsia" w:hAnsi="宋体" w:eastAsia="宋体" w:cs="宋体"/>
          <w:b/>
          <w:color w:val="auto"/>
          <w:sz w:val="24"/>
          <w:szCs w:val="24"/>
          <w:highlight w:val="none"/>
        </w:rPr>
        <w:t>（合同以双方最终签署的版本为准）</w:t>
      </w:r>
    </w:p>
    <w:p w14:paraId="31C57FD2">
      <w:pPr>
        <w:spacing w:line="360" w:lineRule="auto"/>
        <w:jc w:val="both"/>
        <w:rPr>
          <w:rFonts w:hint="eastAsia" w:ascii="方正小标宋简体" w:hAnsi="方正小标宋简体" w:eastAsia="方正小标宋简体" w:cs="方正小标宋简体"/>
          <w:color w:val="auto"/>
          <w:w w:val="90"/>
          <w:sz w:val="56"/>
          <w:szCs w:val="56"/>
          <w:highlight w:val="none"/>
          <w:lang w:eastAsia="zh-CN"/>
        </w:rPr>
      </w:pPr>
    </w:p>
    <w:p w14:paraId="6AB39CC2">
      <w:pPr>
        <w:spacing w:line="360" w:lineRule="auto"/>
        <w:jc w:val="center"/>
        <w:rPr>
          <w:rFonts w:hint="eastAsia" w:ascii="仿宋_GB2312" w:hAnsi="仿宋_GB2312" w:eastAsia="仿宋_GB2312" w:cs="仿宋_GB2312"/>
          <w:bCs/>
          <w:color w:val="auto"/>
          <w:sz w:val="24"/>
          <w:szCs w:val="24"/>
          <w:highlight w:val="none"/>
        </w:rPr>
      </w:pPr>
    </w:p>
    <w:p w14:paraId="0058E275">
      <w:pPr>
        <w:spacing w:line="360" w:lineRule="auto"/>
        <w:jc w:val="center"/>
        <w:rPr>
          <w:rFonts w:hint="eastAsia" w:ascii="仿宋_GB2312" w:hAnsi="仿宋_GB2312" w:eastAsia="仿宋_GB2312" w:cs="仿宋_GB2312"/>
          <w:bCs/>
          <w:color w:val="auto"/>
          <w:sz w:val="24"/>
          <w:szCs w:val="24"/>
          <w:highlight w:val="none"/>
          <w:lang w:val="en-US" w:eastAsia="zh-CN"/>
        </w:rPr>
      </w:pPr>
    </w:p>
    <w:p w14:paraId="22DDB4B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合同项目名称：</w:t>
      </w:r>
      <w:r>
        <w:rPr>
          <w:rFonts w:hint="eastAsia" w:ascii="仿宋_GB2312" w:hAnsi="仿宋_GB2312" w:eastAsia="仿宋_GB2312" w:cs="仿宋_GB2312"/>
          <w:b/>
          <w:bCs w:val="0"/>
          <w:color w:val="auto"/>
          <w:sz w:val="24"/>
          <w:szCs w:val="24"/>
          <w:highlight w:val="none"/>
          <w:u w:val="single"/>
        </w:rPr>
        <w:t>合同项目名称</w:t>
      </w:r>
    </w:p>
    <w:p w14:paraId="7D8503C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color w:val="auto"/>
          <w:sz w:val="24"/>
          <w:szCs w:val="24"/>
          <w:highlight w:val="none"/>
          <w:lang w:val="en-US" w:eastAsia="zh-CN"/>
        </w:rPr>
      </w:pPr>
    </w:p>
    <w:p w14:paraId="02937F5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甲方（买方）：</w:t>
      </w:r>
      <w:r>
        <w:rPr>
          <w:rFonts w:hint="eastAsia" w:ascii="仿宋_GB2312" w:hAnsi="仿宋_GB2312" w:eastAsia="仿宋_GB2312" w:cs="仿宋_GB2312"/>
          <w:b/>
          <w:color w:val="auto"/>
          <w:sz w:val="24"/>
          <w:szCs w:val="24"/>
          <w:highlight w:val="none"/>
          <w:u w:val="single"/>
          <w:lang w:val="en-US" w:eastAsia="zh-CN"/>
        </w:rPr>
        <w:t>甲方</w:t>
      </w:r>
      <w:r>
        <w:rPr>
          <w:rFonts w:hint="eastAsia" w:ascii="仿宋_GB2312" w:hAnsi="仿宋_GB2312" w:eastAsia="仿宋_GB2312" w:cs="仿宋_GB2312"/>
          <w:b/>
          <w:color w:val="auto"/>
          <w:sz w:val="24"/>
          <w:szCs w:val="24"/>
          <w:highlight w:val="none"/>
          <w:u w:val="single"/>
        </w:rPr>
        <w:t>单位全称</w:t>
      </w:r>
    </w:p>
    <w:p w14:paraId="7DB93CA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color w:val="auto"/>
          <w:sz w:val="24"/>
          <w:szCs w:val="24"/>
          <w:highlight w:val="none"/>
          <w:u w:val="single"/>
        </w:rPr>
      </w:pPr>
    </w:p>
    <w:p w14:paraId="0D71DED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乙方（卖方）：</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2035964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1372C81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459266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color w:val="auto"/>
          <w:sz w:val="24"/>
          <w:szCs w:val="24"/>
          <w:highlight w:val="none"/>
          <w:u w:val="single"/>
        </w:rPr>
      </w:pPr>
      <w:r>
        <w:rPr>
          <w:rFonts w:hint="eastAsia" w:ascii="仿宋_GB2312" w:hAnsi="仿宋_GB2312" w:eastAsia="仿宋_GB2312" w:cs="仿宋_GB2312"/>
          <w:bCs/>
          <w:color w:val="auto"/>
          <w:sz w:val="24"/>
          <w:szCs w:val="24"/>
          <w:highlight w:val="none"/>
          <w:lang w:val="en-US" w:eastAsia="zh-CN"/>
        </w:rPr>
        <w:t>合同签订地点：</w:t>
      </w:r>
      <w:r>
        <w:rPr>
          <w:rFonts w:hint="eastAsia" w:ascii="仿宋_GB2312" w:hAnsi="仿宋_GB2312" w:eastAsia="仿宋_GB2312" w:cs="仿宋_GB2312"/>
          <w:b/>
          <w:bCs w:val="0"/>
          <w:color w:val="auto"/>
          <w:sz w:val="24"/>
          <w:szCs w:val="24"/>
          <w:highlight w:val="none"/>
          <w:u w:val="single"/>
        </w:rPr>
        <w:t>填写甲方所在</w:t>
      </w:r>
      <w:r>
        <w:rPr>
          <w:rFonts w:hint="eastAsia" w:ascii="仿宋_GB2312" w:hAnsi="仿宋_GB2312" w:eastAsia="仿宋_GB2312" w:cs="仿宋_GB2312"/>
          <w:b/>
          <w:bCs w:val="0"/>
          <w:color w:val="auto"/>
          <w:sz w:val="24"/>
          <w:szCs w:val="24"/>
          <w:highlight w:val="none"/>
          <w:u w:val="single"/>
          <w:lang w:val="en-US" w:eastAsia="zh-CN"/>
        </w:rPr>
        <w:t>县级行政区划</w:t>
      </w:r>
      <w:r>
        <w:rPr>
          <w:rFonts w:hint="eastAsia" w:ascii="仿宋_GB2312" w:hAnsi="仿宋_GB2312" w:eastAsia="仿宋_GB2312" w:cs="仿宋_GB2312"/>
          <w:b/>
          <w:bCs w:val="0"/>
          <w:color w:val="auto"/>
          <w:sz w:val="24"/>
          <w:szCs w:val="24"/>
          <w:highlight w:val="none"/>
          <w:u w:val="single"/>
        </w:rPr>
        <w:t>，如</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山东省济南市高新区/章丘区</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等</w:t>
      </w:r>
    </w:p>
    <w:p w14:paraId="27C936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p>
    <w:p w14:paraId="4B38002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Cs/>
          <w:color w:val="auto"/>
          <w:sz w:val="24"/>
          <w:szCs w:val="24"/>
          <w:highlight w:val="none"/>
          <w:lang w:val="en-US" w:eastAsia="zh-CN"/>
        </w:rPr>
        <w:t>合同签订时间：</w:t>
      </w:r>
      <w:r>
        <w:rPr>
          <w:rFonts w:hint="eastAsia" w:ascii="仿宋_GB2312" w:hAnsi="仿宋_GB2312" w:eastAsia="仿宋_GB2312" w:cs="仿宋_GB2312"/>
          <w:b/>
          <w:color w:val="auto"/>
          <w:sz w:val="24"/>
          <w:szCs w:val="24"/>
          <w:highlight w:val="none"/>
          <w:u w:val="single"/>
          <w:lang w:val="en-US" w:eastAsia="zh-CN"/>
        </w:rPr>
        <w:t>按****年**月形式据实填写</w:t>
      </w:r>
    </w:p>
    <w:p w14:paraId="3887C41E">
      <w:pPr>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u w:val="single"/>
          <w:lang w:val="en-US" w:eastAsia="zh-CN"/>
        </w:rPr>
        <w:br w:type="page"/>
      </w:r>
    </w:p>
    <w:p w14:paraId="01CD30CF">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693B05A5">
      <w:pPr>
        <w:spacing w:after="0" w:line="360" w:lineRule="auto"/>
        <w:jc w:val="center"/>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专用条款</w:t>
      </w:r>
    </w:p>
    <w:p w14:paraId="529BB2C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鉴于，买方向卖方购买</w:t>
      </w:r>
      <w:permStart w:id="0" w:edGrp="everyone"/>
      <w:r>
        <w:rPr>
          <w:rFonts w:hint="eastAsia" w:ascii="仿宋_GB2312" w:hAnsi="仿宋_GB2312" w:eastAsia="仿宋_GB2312" w:cs="仿宋_GB2312"/>
          <w:b/>
          <w:bCs/>
          <w:color w:val="auto"/>
          <w:sz w:val="24"/>
          <w:szCs w:val="24"/>
          <w:highlight w:val="none"/>
          <w:u w:val="single"/>
        </w:rPr>
        <w:t>设备名称概括</w:t>
      </w:r>
      <w:permEnd w:id="0"/>
      <w:r>
        <w:rPr>
          <w:rFonts w:hint="eastAsia" w:ascii="仿宋_GB2312" w:hAnsi="仿宋_GB2312" w:eastAsia="仿宋_GB2312" w:cs="仿宋_GB2312"/>
          <w:color w:val="auto"/>
          <w:sz w:val="24"/>
          <w:szCs w:val="24"/>
          <w:highlight w:val="none"/>
          <w:u w:val="single"/>
        </w:rPr>
        <w:t>等</w:t>
      </w:r>
      <w:r>
        <w:rPr>
          <w:rFonts w:hint="eastAsia" w:ascii="仿宋_GB2312" w:hAnsi="仿宋_GB2312" w:eastAsia="仿宋_GB2312" w:cs="仿宋_GB2312"/>
          <w:color w:val="auto"/>
          <w:sz w:val="24"/>
          <w:szCs w:val="24"/>
          <w:highlight w:val="none"/>
        </w:rPr>
        <w:t>，就该设备的设计、制造、运输、定点卸货、安装或指导安装、调试、验收、培训及售后服务等有关问题，在自愿协商的基础上达成本合同。</w:t>
      </w:r>
    </w:p>
    <w:p w14:paraId="4118370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1.合同设备标的</w:t>
      </w:r>
    </w:p>
    <w:p w14:paraId="3410F8E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1.1合同总价：</w:t>
      </w:r>
      <w:r>
        <w:rPr>
          <w:rFonts w:hint="eastAsia" w:ascii="仿宋_GB2312" w:hAnsi="仿宋_GB2312" w:eastAsia="仿宋_GB2312" w:cs="仿宋_GB2312"/>
          <w:color w:val="auto"/>
          <w:sz w:val="24"/>
          <w:szCs w:val="24"/>
          <w:highlight w:val="none"/>
        </w:rPr>
        <w:t>为共同完成</w:t>
      </w:r>
      <w:permStart w:id="1" w:edGrp="everyone"/>
      <w:r>
        <w:rPr>
          <w:rFonts w:hint="eastAsia" w:ascii="仿宋_GB2312" w:hAnsi="仿宋_GB2312" w:eastAsia="仿宋_GB2312" w:cs="仿宋_GB2312"/>
          <w:b/>
          <w:bCs/>
          <w:color w:val="auto"/>
          <w:sz w:val="24"/>
          <w:szCs w:val="24"/>
          <w:highlight w:val="none"/>
          <w:u w:val="single"/>
        </w:rPr>
        <w:t>合同项目名称</w:t>
      </w:r>
      <w:permEnd w:id="1"/>
      <w:r>
        <w:rPr>
          <w:rFonts w:hint="eastAsia" w:ascii="仿宋_GB2312" w:hAnsi="仿宋_GB2312" w:eastAsia="仿宋_GB2312" w:cs="仿宋_GB2312"/>
          <w:color w:val="auto"/>
          <w:sz w:val="24"/>
          <w:szCs w:val="24"/>
          <w:highlight w:val="none"/>
        </w:rPr>
        <w:t>，买方向卖方购买设备一宗，详见附件《设备清单明细表》，本合同不含税总价为</w:t>
      </w:r>
      <w:permStart w:id="2" w:edGrp="everyone"/>
      <w:r>
        <w:rPr>
          <w:rFonts w:hint="eastAsia" w:ascii="仿宋_GB2312" w:hAnsi="仿宋_GB2312" w:eastAsia="仿宋_GB2312" w:cs="仿宋_GB2312"/>
          <w:b/>
          <w:bCs/>
          <w:color w:val="auto"/>
          <w:sz w:val="24"/>
          <w:szCs w:val="24"/>
          <w:highlight w:val="none"/>
          <w:u w:val="single"/>
        </w:rPr>
        <w:t>不含税总价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2"/>
      <w:r>
        <w:rPr>
          <w:rFonts w:hint="eastAsia" w:ascii="仿宋_GB2312" w:hAnsi="仿宋_GB2312" w:eastAsia="仿宋_GB2312" w:cs="仿宋_GB2312"/>
          <w:color w:val="auto"/>
          <w:sz w:val="24"/>
          <w:szCs w:val="24"/>
          <w:highlight w:val="none"/>
        </w:rPr>
        <w:t>元，税额</w:t>
      </w:r>
      <w:permStart w:id="3" w:edGrp="everyone"/>
      <w:r>
        <w:rPr>
          <w:rFonts w:hint="eastAsia" w:ascii="仿宋_GB2312" w:hAnsi="仿宋_GB2312" w:eastAsia="仿宋_GB2312" w:cs="仿宋_GB2312"/>
          <w:b/>
          <w:bCs/>
          <w:color w:val="auto"/>
          <w:sz w:val="24"/>
          <w:szCs w:val="24"/>
          <w:highlight w:val="none"/>
          <w:u w:val="single"/>
        </w:rPr>
        <w:t>合计税额</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3"/>
      <w:r>
        <w:rPr>
          <w:rFonts w:hint="eastAsia" w:ascii="仿宋_GB2312" w:hAnsi="仿宋_GB2312" w:eastAsia="仿宋_GB2312" w:cs="仿宋_GB2312"/>
          <w:color w:val="auto"/>
          <w:sz w:val="24"/>
          <w:szCs w:val="24"/>
          <w:highlight w:val="none"/>
        </w:rPr>
        <w:t>元，含税总价</w:t>
      </w:r>
      <w:permStart w:id="4" w:edGrp="everyone"/>
      <w:r>
        <w:rPr>
          <w:rFonts w:hint="eastAsia" w:ascii="仿宋_GB2312" w:hAnsi="仿宋_GB2312" w:eastAsia="仿宋_GB2312" w:cs="仿宋_GB2312"/>
          <w:b/>
          <w:bCs/>
          <w:color w:val="auto"/>
          <w:sz w:val="24"/>
          <w:szCs w:val="24"/>
          <w:highlight w:val="none"/>
          <w:u w:val="single"/>
        </w:rPr>
        <w:t>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4"/>
      <w:r>
        <w:rPr>
          <w:rFonts w:hint="eastAsia" w:ascii="仿宋_GB2312" w:hAnsi="仿宋_GB2312" w:eastAsia="仿宋_GB2312" w:cs="仿宋_GB2312"/>
          <w:color w:val="auto"/>
          <w:sz w:val="24"/>
          <w:szCs w:val="24"/>
          <w:highlight w:val="none"/>
        </w:rPr>
        <w:t>元（大写：</w:t>
      </w:r>
      <w:permStart w:id="5" w:edGrp="everyone"/>
      <w:r>
        <w:rPr>
          <w:rFonts w:hint="eastAsia" w:ascii="仿宋_GB2312" w:hAnsi="仿宋_GB2312" w:eastAsia="仿宋_GB2312" w:cs="仿宋_GB2312"/>
          <w:b/>
          <w:bCs/>
          <w:color w:val="auto"/>
          <w:sz w:val="24"/>
          <w:szCs w:val="24"/>
          <w:highlight w:val="none"/>
          <w:u w:val="single"/>
        </w:rPr>
        <w:t>含税总价大写</w:t>
      </w:r>
      <w:permEnd w:id="5"/>
      <w:r>
        <w:rPr>
          <w:rFonts w:hint="eastAsia" w:ascii="仿宋_GB2312" w:hAnsi="仿宋_GB2312" w:eastAsia="仿宋_GB2312" w:cs="仿宋_GB2312"/>
          <w:color w:val="auto"/>
          <w:sz w:val="24"/>
          <w:szCs w:val="24"/>
          <w:highlight w:val="none"/>
        </w:rPr>
        <w:t>）。</w:t>
      </w:r>
    </w:p>
    <w:p w14:paraId="3A61139B">
      <w:pPr>
        <w:spacing w:after="0" w:line="360" w:lineRule="auto"/>
        <w:ind w:firstLine="480" w:firstLineChars="200"/>
        <w:rPr>
          <w:rFonts w:hint="eastAsia" w:ascii="方正小标宋简体" w:hAnsi="宋体" w:eastAsia="仿宋_GB2312" w:cs="Times New Roman"/>
          <w:color w:val="auto"/>
          <w:sz w:val="24"/>
          <w:szCs w:val="24"/>
          <w:highlight w:val="none"/>
          <w:u w:val="thick"/>
          <w:lang w:eastAsia="zh-CN"/>
        </w:rPr>
      </w:pPr>
      <w:r>
        <w:rPr>
          <w:rFonts w:hint="eastAsia" w:ascii="仿宋_GB2312" w:hAnsi="宋体" w:eastAsia="仿宋_GB2312" w:cs="宋体"/>
          <w:color w:val="auto"/>
          <w:sz w:val="24"/>
          <w:szCs w:val="24"/>
          <w:highlight w:val="none"/>
          <w:lang w:val="en-US" w:eastAsia="zh-CN"/>
        </w:rPr>
        <w:t>1.2</w:t>
      </w:r>
      <w:r>
        <w:rPr>
          <w:rFonts w:hint="eastAsia" w:ascii="仿宋_GB2312" w:hAnsi="宋体" w:eastAsia="仿宋_GB2312" w:cs="宋体"/>
          <w:color w:val="auto"/>
          <w:sz w:val="24"/>
          <w:szCs w:val="24"/>
          <w:highlight w:val="none"/>
        </w:rPr>
        <w:t>交货方式</w:t>
      </w:r>
      <w:r>
        <w:rPr>
          <w:rFonts w:hint="eastAsia" w:ascii="仿宋_GB2312" w:hAnsi="宋体" w:eastAsia="仿宋_GB2312" w:cs="宋体"/>
          <w:bCs/>
          <w:color w:val="auto"/>
          <w:sz w:val="24"/>
          <w:szCs w:val="24"/>
          <w:highlight w:val="none"/>
        </w:rPr>
        <w:t>：</w:t>
      </w:r>
      <w:permStart w:id="6" w:edGrp="everyone"/>
      <w:r>
        <w:rPr>
          <w:rFonts w:hint="eastAsia" w:ascii="仿宋_GB2312" w:hAnsi="宋体" w:eastAsia="仿宋_GB2312" w:cs="Times New Roman"/>
          <w:b/>
          <w:bCs/>
          <w:color w:val="auto"/>
          <w:sz w:val="24"/>
          <w:szCs w:val="24"/>
          <w:highlight w:val="none"/>
          <w:u w:val="single"/>
        </w:rPr>
        <w:t>据实选择，可填写</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交钥匙方式</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指定地点交货</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自提</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val="en-US" w:eastAsia="zh-CN"/>
        </w:rPr>
        <w:t>任一方式</w:t>
      </w:r>
      <w:r>
        <w:rPr>
          <w:rFonts w:hint="eastAsia" w:ascii="仿宋_GB2312" w:hAnsi="宋体" w:eastAsia="仿宋_GB2312" w:cs="Times New Roman"/>
          <w:b/>
          <w:bCs/>
          <w:color w:val="auto"/>
          <w:sz w:val="24"/>
          <w:szCs w:val="24"/>
          <w:highlight w:val="none"/>
          <w:u w:val="single"/>
        </w:rPr>
        <w:t>，其他情况请据实填写</w:t>
      </w:r>
      <w:permEnd w:id="6"/>
      <w:r>
        <w:rPr>
          <w:rFonts w:hint="eastAsia" w:ascii="仿宋_GB2312" w:hAnsi="宋体" w:eastAsia="仿宋_GB2312" w:cs="Times New Roman"/>
          <w:b/>
          <w:bCs/>
          <w:color w:val="auto"/>
          <w:sz w:val="24"/>
          <w:szCs w:val="24"/>
          <w:highlight w:val="none"/>
          <w:u w:val="single"/>
          <w:lang w:eastAsia="zh-CN"/>
        </w:rPr>
        <w:t>。</w:t>
      </w:r>
    </w:p>
    <w:p w14:paraId="32918E2D">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1.3</w:t>
      </w:r>
      <w:r>
        <w:rPr>
          <w:rFonts w:hint="eastAsia" w:ascii="仿宋_GB2312" w:hAnsi="宋体" w:eastAsia="仿宋_GB2312" w:cs="宋体"/>
          <w:color w:val="auto"/>
          <w:sz w:val="24"/>
          <w:szCs w:val="24"/>
          <w:highlight w:val="none"/>
        </w:rPr>
        <w:t>交货地点：</w:t>
      </w:r>
      <w:permStart w:id="7" w:edGrp="everyone"/>
      <w:r>
        <w:rPr>
          <w:rFonts w:hint="eastAsia" w:ascii="仿宋_GB2312" w:hAnsi="宋体" w:eastAsia="仿宋_GB2312" w:cs="宋体"/>
          <w:b/>
          <w:bCs/>
          <w:color w:val="auto"/>
          <w:sz w:val="24"/>
          <w:szCs w:val="24"/>
          <w:highlight w:val="none"/>
          <w:u w:val="single"/>
        </w:rPr>
        <w:t>交货详细地址信息，除列明省市县/区外，</w:t>
      </w:r>
      <w:r>
        <w:rPr>
          <w:rFonts w:hint="eastAsia" w:ascii="仿宋_GB2312" w:hAnsi="宋体" w:eastAsia="仿宋_GB2312" w:cs="宋体"/>
          <w:b/>
          <w:bCs/>
          <w:color w:val="auto"/>
          <w:sz w:val="24"/>
          <w:szCs w:val="24"/>
          <w:highlight w:val="none"/>
          <w:u w:val="single"/>
          <w:lang w:val="en-US" w:eastAsia="zh-CN"/>
        </w:rPr>
        <w:t>应</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val="en-US" w:eastAsia="zh-CN"/>
        </w:rPr>
        <w:t>至不致产生歧义的</w:t>
      </w:r>
      <w:r>
        <w:rPr>
          <w:rFonts w:hint="eastAsia" w:ascii="仿宋_GB2312" w:hAnsi="宋体" w:eastAsia="仿宋_GB2312" w:cs="宋体"/>
          <w:b/>
          <w:bCs/>
          <w:color w:val="auto"/>
          <w:sz w:val="24"/>
          <w:szCs w:val="24"/>
          <w:highlight w:val="none"/>
          <w:u w:val="single"/>
        </w:rPr>
        <w:t>具体</w:t>
      </w:r>
      <w:r>
        <w:rPr>
          <w:rFonts w:hint="eastAsia" w:ascii="仿宋_GB2312" w:hAnsi="宋体" w:eastAsia="仿宋_GB2312" w:cs="宋体"/>
          <w:b/>
          <w:bCs/>
          <w:color w:val="auto"/>
          <w:sz w:val="24"/>
          <w:szCs w:val="24"/>
          <w:highlight w:val="none"/>
          <w:u w:val="single"/>
          <w:lang w:val="en-US" w:eastAsia="zh-CN"/>
        </w:rPr>
        <w:t>位置指向</w:t>
      </w:r>
      <w:permEnd w:id="7"/>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color w:val="auto"/>
          <w:sz w:val="24"/>
          <w:szCs w:val="24"/>
          <w:highlight w:val="none"/>
        </w:rPr>
        <w:t xml:space="preserve">    </w:t>
      </w:r>
    </w:p>
    <w:p w14:paraId="5AF629BE">
      <w:pPr>
        <w:spacing w:after="0" w:line="360" w:lineRule="auto"/>
        <w:ind w:firstLine="480" w:firstLineChars="200"/>
        <w:rPr>
          <w:rFonts w:ascii="方正小标宋简体" w:hAnsi="宋体" w:eastAsia="仿宋_GB2312" w:cs="Times New Roman"/>
          <w:color w:val="auto"/>
          <w:sz w:val="24"/>
          <w:szCs w:val="24"/>
          <w:highlight w:val="none"/>
          <w:u w:val="thick"/>
        </w:rPr>
      </w:pPr>
      <w:r>
        <w:rPr>
          <w:rFonts w:hint="eastAsia" w:ascii="仿宋_GB2312" w:hAnsi="宋体" w:eastAsia="仿宋_GB2312" w:cs="宋体"/>
          <w:color w:val="auto"/>
          <w:sz w:val="24"/>
          <w:szCs w:val="24"/>
          <w:highlight w:val="none"/>
          <w:lang w:val="en-US" w:eastAsia="zh-CN"/>
        </w:rPr>
        <w:t>1.4</w:t>
      </w:r>
      <w:r>
        <w:rPr>
          <w:rFonts w:hint="eastAsia" w:ascii="仿宋_GB2312" w:hAnsi="宋体" w:eastAsia="仿宋_GB2312" w:cs="宋体"/>
          <w:color w:val="auto"/>
          <w:sz w:val="24"/>
          <w:szCs w:val="24"/>
          <w:highlight w:val="none"/>
        </w:rPr>
        <w:t>到货时间：</w:t>
      </w:r>
      <w:permStart w:id="8" w:edGrp="everyone"/>
      <w:r>
        <w:rPr>
          <w:rFonts w:hint="eastAsia" w:ascii="仿宋_GB2312" w:hAnsi="宋体" w:eastAsia="仿宋_GB2312" w:cs="宋体"/>
          <w:b/>
          <w:bCs/>
          <w:color w:val="auto"/>
          <w:sz w:val="24"/>
          <w:szCs w:val="24"/>
          <w:highlight w:val="none"/>
          <w:u w:val="single"/>
        </w:rPr>
        <w:t>填写具体年月日。存在分批次到货情形</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8"/>
      <w:r>
        <w:rPr>
          <w:rFonts w:hint="eastAsia" w:ascii="仿宋_GB2312" w:hAnsi="宋体" w:eastAsia="仿宋_GB2312" w:cs="宋体"/>
          <w:b/>
          <w:bCs/>
          <w:color w:val="auto"/>
          <w:sz w:val="24"/>
          <w:szCs w:val="24"/>
          <w:highlight w:val="none"/>
          <w:u w:val="single"/>
          <w:lang w:eastAsia="zh-CN"/>
        </w:rPr>
        <w:t>。</w:t>
      </w:r>
    </w:p>
    <w:p w14:paraId="194FC178">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1.5</w:t>
      </w:r>
      <w:r>
        <w:rPr>
          <w:rFonts w:ascii="仿宋_GB2312" w:hAnsi="宋体" w:eastAsia="仿宋_GB2312" w:cs="宋体"/>
          <w:color w:val="auto"/>
          <w:kern w:val="2"/>
          <w:sz w:val="24"/>
          <w:szCs w:val="24"/>
          <w:highlight w:val="none"/>
          <w:lang w:val="en-US" w:eastAsia="zh-CN" w:bidi="ar-SA"/>
        </w:rPr>
        <w:t xml:space="preserve"> </w:t>
      </w:r>
      <w:r>
        <w:rPr>
          <w:rFonts w:hint="eastAsia" w:ascii="仿宋_GB2312" w:hAnsi="宋体" w:eastAsia="仿宋_GB2312" w:cs="宋体"/>
          <w:color w:val="auto"/>
          <w:kern w:val="2"/>
          <w:sz w:val="24"/>
          <w:szCs w:val="24"/>
          <w:highlight w:val="none"/>
          <w:lang w:val="en-US" w:eastAsia="zh-CN" w:bidi="ar-SA"/>
        </w:rPr>
        <w:t>安装调试时长：</w:t>
      </w:r>
      <w:r>
        <w:rPr>
          <w:rFonts w:ascii="仿宋_GB2312" w:hAnsi="宋体" w:eastAsia="仿宋_GB2312" w:cs="宋体"/>
          <w:color w:val="auto"/>
          <w:kern w:val="2"/>
          <w:sz w:val="24"/>
          <w:szCs w:val="24"/>
          <w:highlight w:val="none"/>
          <w:lang w:val="en-US" w:eastAsia="zh-CN" w:bidi="ar-SA"/>
        </w:rPr>
        <w:t>卖方须在到货后</w:t>
      </w:r>
      <w:permStart w:id="9"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color w:val="auto"/>
          <w:kern w:val="0"/>
          <w:sz w:val="24"/>
          <w:szCs w:val="24"/>
          <w:highlight w:val="none"/>
          <w:lang w:val="en-US" w:eastAsia="zh-CN" w:bidi="ar-SA"/>
        </w:rPr>
        <w:t>个日历日</w:t>
      </w:r>
      <w:r>
        <w:rPr>
          <w:rFonts w:hint="eastAsia" w:ascii="仿宋_GB2312" w:hAnsi="宋体" w:eastAsia="仿宋_GB2312" w:cs="宋体"/>
          <w:color w:val="auto"/>
          <w:kern w:val="2"/>
          <w:sz w:val="24"/>
          <w:szCs w:val="24"/>
          <w:highlight w:val="none"/>
          <w:lang w:val="en-US" w:eastAsia="zh-CN" w:bidi="ar-SA"/>
        </w:rPr>
        <w:t>内完成设备安装，安装完成后</w:t>
      </w:r>
      <w:permStart w:id="10"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color w:val="auto"/>
          <w:kern w:val="2"/>
          <w:sz w:val="24"/>
          <w:szCs w:val="24"/>
          <w:highlight w:val="none"/>
          <w:lang w:val="en-US" w:eastAsia="zh-CN" w:bidi="ar-SA"/>
        </w:rPr>
        <w:t>日历日内完成设备调试。</w:t>
      </w:r>
    </w:p>
    <w:p w14:paraId="3F367DAD">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调试完成。</w:t>
      </w:r>
    </w:p>
    <w:p w14:paraId="3FE381AF">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1.6调试消耗产品数量：</w:t>
      </w:r>
      <w:r>
        <w:rPr>
          <w:rFonts w:ascii="仿宋_GB2312" w:hAnsi="宋体" w:eastAsia="仿宋_GB2312" w:cs="宋体"/>
          <w:color w:val="auto"/>
          <w:sz w:val="24"/>
          <w:szCs w:val="24"/>
          <w:highlight w:val="none"/>
        </w:rPr>
        <w:t>若设备安装、调试过程中需使用买方产品的，买方提供调试所用产品数量</w:t>
      </w:r>
      <w:permStart w:id="11" w:edGrp="everyone"/>
      <w:r>
        <w:rPr>
          <w:rFonts w:hint="eastAsia" w:ascii="仿宋_GB2312" w:hAnsi="宋体" w:eastAsia="仿宋_GB2312" w:cs="宋体"/>
          <w:b/>
          <w:bCs/>
          <w:color w:val="auto"/>
          <w:sz w:val="24"/>
          <w:szCs w:val="24"/>
          <w:highlight w:val="none"/>
          <w:u w:val="single"/>
        </w:rPr>
        <w:t>甲方提供调试产品</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件数，不</w:t>
      </w:r>
      <w:r>
        <w:rPr>
          <w:rFonts w:hint="eastAsia" w:ascii="仿宋_GB2312" w:hAnsi="宋体" w:eastAsia="仿宋_GB2312" w:cs="宋体"/>
          <w:b/>
          <w:bCs/>
          <w:color w:val="auto"/>
          <w:sz w:val="24"/>
          <w:szCs w:val="24"/>
          <w:highlight w:val="none"/>
          <w:u w:val="single"/>
          <w:lang w:val="en-US" w:eastAsia="zh-CN"/>
        </w:rPr>
        <w:t>需要的</w:t>
      </w:r>
      <w:r>
        <w:rPr>
          <w:rFonts w:hint="eastAsia" w:ascii="仿宋_GB2312" w:hAnsi="宋体" w:eastAsia="仿宋_GB2312" w:cs="宋体"/>
          <w:b/>
          <w:bCs/>
          <w:color w:val="auto"/>
          <w:sz w:val="24"/>
          <w:szCs w:val="24"/>
          <w:highlight w:val="none"/>
          <w:u w:val="single"/>
        </w:rPr>
        <w:t>，</w:t>
      </w:r>
      <w:r>
        <w:rPr>
          <w:rFonts w:hint="eastAsia" w:ascii="仿宋_GB2312" w:hAnsi="宋体" w:eastAsia="仿宋_GB2312" w:cs="宋体"/>
          <w:b/>
          <w:bCs/>
          <w:color w:val="auto"/>
          <w:sz w:val="24"/>
          <w:szCs w:val="24"/>
          <w:highlight w:val="none"/>
          <w:u w:val="single"/>
          <w:lang w:val="en-US" w:eastAsia="zh-CN"/>
        </w:rPr>
        <w:t>此处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0</w:t>
      </w:r>
      <w:r>
        <w:rPr>
          <w:rFonts w:hint="eastAsia" w:ascii="仿宋_GB2312" w:hAnsi="宋体" w:eastAsia="仿宋_GB2312" w:cs="宋体"/>
          <w:b/>
          <w:bCs/>
          <w:color w:val="auto"/>
          <w:sz w:val="24"/>
          <w:szCs w:val="24"/>
          <w:highlight w:val="none"/>
          <w:u w:val="single"/>
          <w:lang w:eastAsia="zh-CN"/>
        </w:rPr>
        <w:t>”</w:t>
      </w:r>
      <w:permEnd w:id="11"/>
      <w:r>
        <w:rPr>
          <w:rFonts w:ascii="仿宋_GB2312" w:hAnsi="宋体" w:eastAsia="仿宋_GB2312" w:cs="宋体"/>
          <w:color w:val="auto"/>
          <w:sz w:val="24"/>
          <w:szCs w:val="24"/>
          <w:highlight w:val="none"/>
        </w:rPr>
        <w:t>件，超出此数量部分由卖方提供，由此产生的相关费用由卖方承担。</w:t>
      </w:r>
    </w:p>
    <w:p w14:paraId="5D11DF22">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1.7</w:t>
      </w:r>
      <w:r>
        <w:rPr>
          <w:rFonts w:hint="eastAsia" w:ascii="仿宋_GB2312" w:hAnsi="黑体" w:eastAsia="仿宋_GB2312" w:cs="宋体"/>
          <w:color w:val="auto"/>
          <w:sz w:val="24"/>
          <w:szCs w:val="24"/>
          <w:highlight w:val="none"/>
        </w:rPr>
        <w:t>设备质量保证期：自最终验收报告签署之日（</w:t>
      </w:r>
      <w:r>
        <w:rPr>
          <w:rFonts w:hint="eastAsia" w:ascii="仿宋_GB2312" w:hAnsi="黑体" w:eastAsia="仿宋_GB2312" w:cs="宋体"/>
          <w:color w:val="auto"/>
          <w:sz w:val="24"/>
          <w:szCs w:val="24"/>
          <w:highlight w:val="none"/>
          <w:lang w:val="en-US" w:eastAsia="zh-CN"/>
        </w:rPr>
        <w:t>存在分批次到货安装调试情形的，</w:t>
      </w:r>
      <w:r>
        <w:rPr>
          <w:rFonts w:hint="eastAsia" w:ascii="仿宋_GB2312" w:hAnsi="黑体" w:eastAsia="仿宋_GB2312" w:cs="宋体"/>
          <w:color w:val="auto"/>
          <w:sz w:val="24"/>
          <w:szCs w:val="24"/>
          <w:highlight w:val="none"/>
        </w:rPr>
        <w:t>以</w:t>
      </w:r>
      <w:r>
        <w:rPr>
          <w:rFonts w:hint="eastAsia" w:ascii="仿宋_GB2312" w:hAnsi="黑体" w:eastAsia="仿宋_GB2312" w:cs="宋体"/>
          <w:color w:val="auto"/>
          <w:sz w:val="24"/>
          <w:szCs w:val="24"/>
          <w:highlight w:val="none"/>
          <w:lang w:val="en-US" w:eastAsia="zh-CN"/>
        </w:rPr>
        <w:t>验收报告</w:t>
      </w:r>
      <w:r>
        <w:rPr>
          <w:rFonts w:hint="eastAsia" w:ascii="仿宋_GB2312" w:hAnsi="黑体" w:eastAsia="仿宋_GB2312" w:cs="宋体"/>
          <w:color w:val="auto"/>
          <w:sz w:val="24"/>
          <w:szCs w:val="24"/>
          <w:highlight w:val="none"/>
        </w:rPr>
        <w:t>签署日期最晚者为准）起</w:t>
      </w:r>
      <w:permStart w:id="12" w:edGrp="everyone"/>
      <w:r>
        <w:rPr>
          <w:rFonts w:hint="eastAsia" w:ascii="仿宋_GB2312" w:hAnsi="宋体" w:eastAsia="仿宋_GB2312" w:cs="宋体"/>
          <w:b/>
          <w:bCs/>
          <w:color w:val="auto"/>
          <w:sz w:val="24"/>
          <w:szCs w:val="24"/>
          <w:highlight w:val="none"/>
          <w:u w:val="single"/>
        </w:rPr>
        <w:t>卖方承诺的质保期月数</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rPr>
        <w:t>存在</w:t>
      </w:r>
      <w:r>
        <w:rPr>
          <w:rFonts w:hint="eastAsia" w:ascii="仿宋_GB2312" w:hAnsi="宋体" w:eastAsia="仿宋_GB2312" w:cs="宋体"/>
          <w:b/>
          <w:bCs/>
          <w:color w:val="auto"/>
          <w:sz w:val="24"/>
          <w:szCs w:val="24"/>
          <w:highlight w:val="none"/>
          <w:u w:val="single"/>
          <w:lang w:val="en-US" w:eastAsia="zh-CN"/>
        </w:rPr>
        <w:t>分批次设备质保期约定分批次到期情形的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12"/>
      <w:r>
        <w:rPr>
          <w:rFonts w:hint="eastAsia" w:ascii="仿宋_GB2312" w:hAnsi="宋体" w:eastAsia="仿宋_GB2312" w:cs="宋体"/>
          <w:color w:val="auto"/>
          <w:sz w:val="24"/>
          <w:szCs w:val="24"/>
          <w:highlight w:val="none"/>
        </w:rPr>
        <w:t>个月</w:t>
      </w:r>
      <w:r>
        <w:rPr>
          <w:rFonts w:hint="eastAsia" w:ascii="仿宋_GB2312" w:hAnsi="黑体" w:eastAsia="仿宋_GB2312" w:cs="宋体"/>
          <w:color w:val="auto"/>
          <w:sz w:val="24"/>
          <w:szCs w:val="24"/>
          <w:highlight w:val="none"/>
        </w:rPr>
        <w:t>。</w:t>
      </w:r>
    </w:p>
    <w:p w14:paraId="1AFA603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2.结算付款约定</w:t>
      </w:r>
    </w:p>
    <w:p w14:paraId="0B39ECA4">
      <w:pPr>
        <w:spacing w:after="0" w:line="360" w:lineRule="auto"/>
        <w:ind w:firstLine="480" w:firstLineChars="200"/>
        <w:rPr>
          <w:rFonts w:hint="eastAsia" w:ascii="仿宋_GB2312" w:hAnsi="黑体" w:eastAsia="仿宋_GB2312" w:cs="宋体"/>
          <w:b/>
          <w:bCs/>
          <w:color w:val="auto"/>
          <w:sz w:val="24"/>
          <w:szCs w:val="24"/>
          <w:highlight w:val="none"/>
          <w:u w:val="single"/>
          <w:lang w:eastAsia="zh-CN"/>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.1结算方式：</w:t>
      </w:r>
      <w:permStart w:id="13" w:edGrp="everyone"/>
      <w:r>
        <w:rPr>
          <w:rFonts w:hint="eastAsia" w:ascii="仿宋_GB2312" w:hAnsi="黑体" w:eastAsia="仿宋_GB2312" w:cs="宋体"/>
          <w:b/>
          <w:bCs/>
          <w:color w:val="auto"/>
          <w:sz w:val="24"/>
          <w:szCs w:val="24"/>
          <w:highlight w:val="none"/>
          <w:u w:val="single"/>
        </w:rPr>
        <w:t>填写</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半年期商业汇票（包括银行承兑汇票和商业承兑汇票）</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转账</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财司内转</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三种方式</w:t>
      </w:r>
      <w:r>
        <w:rPr>
          <w:rFonts w:hint="eastAsia" w:ascii="仿宋_GB2312" w:hAnsi="黑体" w:eastAsia="仿宋_GB2312" w:cs="宋体"/>
          <w:b/>
          <w:bCs/>
          <w:color w:val="auto"/>
          <w:sz w:val="24"/>
          <w:szCs w:val="24"/>
          <w:highlight w:val="none"/>
          <w:u w:val="single"/>
        </w:rPr>
        <w:t>任一种</w:t>
      </w:r>
      <w:permEnd w:id="13"/>
      <w:r>
        <w:rPr>
          <w:rFonts w:hint="eastAsia" w:ascii="仿宋_GB2312" w:hAnsi="黑体" w:eastAsia="仿宋_GB2312" w:cs="宋体"/>
          <w:b/>
          <w:bCs/>
          <w:color w:val="auto"/>
          <w:sz w:val="24"/>
          <w:szCs w:val="24"/>
          <w:highlight w:val="none"/>
          <w:u w:val="single"/>
          <w:lang w:eastAsia="zh-CN"/>
        </w:rPr>
        <w:t>。</w:t>
      </w:r>
    </w:p>
    <w:p w14:paraId="07D8DD99">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2.2结算币种：</w:t>
      </w:r>
      <w:r>
        <w:rPr>
          <w:rFonts w:hint="eastAsia" w:ascii="仿宋_GB2312" w:hAnsi="仿宋_GB2312" w:eastAsia="仿宋_GB2312" w:cs="仿宋_GB2312"/>
          <w:color w:val="auto"/>
          <w:sz w:val="24"/>
          <w:szCs w:val="24"/>
          <w:highlight w:val="none"/>
        </w:rPr>
        <w:t>本合同使用</w:t>
      </w:r>
      <w:permStart w:id="14" w:edGrp="everyone"/>
      <w:r>
        <w:rPr>
          <w:rFonts w:hint="eastAsia" w:ascii="仿宋_GB2312" w:hAnsi="仿宋_GB2312" w:eastAsia="仿宋_GB2312" w:cs="仿宋_GB2312"/>
          <w:b/>
          <w:bCs/>
          <w:color w:val="auto"/>
          <w:sz w:val="24"/>
          <w:szCs w:val="24"/>
          <w:highlight w:val="none"/>
          <w:u w:val="single"/>
        </w:rPr>
        <w:t>币种</w:t>
      </w:r>
      <w:permEnd w:id="14"/>
      <w:r>
        <w:rPr>
          <w:rFonts w:hint="eastAsia" w:ascii="仿宋_GB2312" w:hAnsi="仿宋_GB2312" w:eastAsia="仿宋_GB2312" w:cs="仿宋_GB2312"/>
          <w:color w:val="auto"/>
          <w:sz w:val="24"/>
          <w:szCs w:val="24"/>
          <w:highlight w:val="none"/>
        </w:rPr>
        <w:t>进行结算。</w:t>
      </w:r>
    </w:p>
    <w:p w14:paraId="75991181">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合同价款支付：</w:t>
      </w:r>
    </w:p>
    <w:p w14:paraId="10887781">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w:t>
      </w:r>
      <w:permStart w:id="15" w:edGrp="everyone"/>
      <w:r>
        <w:rPr>
          <w:rFonts w:hint="eastAsia" w:ascii="仿宋_GB2312" w:hAnsi="黑体" w:eastAsia="仿宋_GB2312" w:cs="宋体"/>
          <w:b/>
          <w:bCs/>
          <w:color w:val="auto"/>
          <w:sz w:val="24"/>
          <w:szCs w:val="24"/>
          <w:highlight w:val="none"/>
          <w:u w:val="single"/>
        </w:rPr>
        <w:t>填写第</w:t>
      </w:r>
      <w:r>
        <w:rPr>
          <w:rFonts w:hint="eastAsia" w:ascii="仿宋_GB2312" w:hAnsi="黑体" w:eastAsia="仿宋_GB2312" w:cs="宋体"/>
          <w:b/>
          <w:bCs/>
          <w:color w:val="auto"/>
          <w:sz w:val="24"/>
          <w:szCs w:val="24"/>
          <w:highlight w:val="none"/>
          <w:u w:val="single"/>
          <w:lang w:val="en-US" w:eastAsia="zh-CN"/>
        </w:rPr>
        <w:t>一</w:t>
      </w:r>
      <w:r>
        <w:rPr>
          <w:rFonts w:hint="eastAsia" w:ascii="仿宋_GB2312" w:hAnsi="黑体" w:eastAsia="仿宋_GB2312" w:cs="宋体"/>
          <w:b/>
          <w:bCs/>
          <w:color w:val="auto"/>
          <w:sz w:val="24"/>
          <w:szCs w:val="24"/>
          <w:highlight w:val="none"/>
          <w:u w:val="single"/>
        </w:rPr>
        <w:t>笔付款的满足要件，如</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rPr>
        <w:t>设备全部到齐无质量问题，经安装、调试最终验收合格后</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lang w:val="en-US" w:eastAsia="zh-CN"/>
        </w:rPr>
        <w:t>若存在价款支付的发票及财务审核条件与本条格式条款存有变动调整的，须在</w:t>
      </w:r>
      <w:r>
        <w:rPr>
          <w:rFonts w:hint="eastAsia" w:ascii="仿宋_GB2312" w:hAnsi="宋体" w:eastAsia="仿宋_GB2312" w:cs="宋体"/>
          <w:b/>
          <w:bCs/>
          <w:color w:val="auto"/>
          <w:sz w:val="24"/>
          <w:szCs w:val="24"/>
          <w:highlight w:val="none"/>
          <w:u w:val="single"/>
          <w:lang w:val="en-US" w:eastAsia="zh-CN"/>
        </w:rPr>
        <w:t>专用条款第4条</w:t>
      </w:r>
      <w:r>
        <w:rPr>
          <w:rFonts w:hint="eastAsia" w:ascii="仿宋_GB2312" w:hAnsi="黑体" w:eastAsia="仿宋_GB2312" w:cs="宋体"/>
          <w:b/>
          <w:bCs/>
          <w:color w:val="auto"/>
          <w:sz w:val="24"/>
          <w:szCs w:val="24"/>
          <w:highlight w:val="none"/>
          <w:u w:val="single"/>
          <w:lang w:val="en-US" w:eastAsia="zh-CN"/>
        </w:rPr>
        <w:t>特殊约定条款中特别约定</w:t>
      </w:r>
      <w:permEnd w:id="15"/>
      <w:r>
        <w:rPr>
          <w:rFonts w:hint="eastAsia" w:ascii="仿宋_GB2312" w:hAnsi="黑体" w:eastAsia="仿宋_GB2312" w:cs="宋体"/>
          <w:color w:val="auto"/>
          <w:sz w:val="24"/>
          <w:szCs w:val="24"/>
          <w:highlight w:val="none"/>
        </w:rPr>
        <w:t>,卖方提交金额为合同含税</w:t>
      </w:r>
      <w:r>
        <w:rPr>
          <w:rFonts w:hint="eastAsia" w:ascii="仿宋_GB2312" w:hAnsi="黑体" w:eastAsia="仿宋_GB2312" w:cs="宋体"/>
          <w:color w:val="auto"/>
          <w:sz w:val="24"/>
          <w:szCs w:val="24"/>
          <w:highlight w:val="none"/>
          <w:lang w:val="en-US" w:eastAsia="zh-CN"/>
        </w:rPr>
        <w:t>总</w:t>
      </w:r>
      <w:r>
        <w:rPr>
          <w:rFonts w:hint="eastAsia" w:ascii="仿宋_GB2312" w:hAnsi="黑体" w:eastAsia="仿宋_GB2312" w:cs="宋体"/>
          <w:color w:val="auto"/>
          <w:sz w:val="24"/>
          <w:szCs w:val="24"/>
          <w:highlight w:val="none"/>
        </w:rPr>
        <w:t>价款</w:t>
      </w:r>
      <w:permStart w:id="16" w:edGrp="everyone"/>
      <w:r>
        <w:rPr>
          <w:rFonts w:hint="eastAsia" w:ascii="仿宋_GB2312" w:hAnsi="黑体" w:eastAsia="仿宋_GB2312" w:cs="宋体"/>
          <w:b/>
          <w:bCs/>
          <w:color w:val="auto"/>
          <w:sz w:val="24"/>
          <w:szCs w:val="24"/>
          <w:highlight w:val="none"/>
          <w:u w:val="single"/>
        </w:rPr>
        <w:t>第一笔付款的比例，数值</w:t>
      </w:r>
      <w:permEnd w:id="16"/>
      <w:r>
        <w:rPr>
          <w:rFonts w:hint="eastAsia" w:ascii="仿宋_GB2312" w:hAnsi="黑体" w:eastAsia="仿宋_GB2312" w:cs="宋体"/>
          <w:color w:val="auto"/>
          <w:sz w:val="24"/>
          <w:szCs w:val="24"/>
          <w:highlight w:val="none"/>
        </w:rPr>
        <w:t>%即</w:t>
      </w:r>
      <w:permStart w:id="17" w:edGrp="everyone"/>
      <w:r>
        <w:rPr>
          <w:rFonts w:hint="eastAsia" w:ascii="仿宋_GB2312" w:hAnsi="黑体" w:eastAsia="仿宋_GB2312" w:cs="宋体"/>
          <w:b/>
          <w:bCs/>
          <w:color w:val="auto"/>
          <w:sz w:val="24"/>
          <w:szCs w:val="24"/>
          <w:highlight w:val="none"/>
          <w:u w:val="single"/>
        </w:rPr>
        <w:t>第一笔付款金额</w:t>
      </w:r>
      <w:permEnd w:id="17"/>
      <w:r>
        <w:rPr>
          <w:rFonts w:hint="eastAsia" w:ascii="仿宋_GB2312" w:hAnsi="黑体" w:eastAsia="仿宋_GB2312" w:cs="宋体"/>
          <w:color w:val="auto"/>
          <w:sz w:val="24"/>
          <w:szCs w:val="24"/>
          <w:highlight w:val="none"/>
        </w:rPr>
        <w:t>元的</w:t>
      </w:r>
      <w:r>
        <w:rPr>
          <w:rFonts w:hint="eastAsia" w:ascii="仿宋_GB2312" w:hAnsi="黑体" w:eastAsia="仿宋_GB2312" w:cs="宋体"/>
          <w:color w:val="auto"/>
          <w:sz w:val="24"/>
          <w:szCs w:val="24"/>
          <w:highlight w:val="none"/>
          <w:lang w:val="en-US" w:eastAsia="zh-CN"/>
        </w:rPr>
        <w:t>合同全额增值税专用发票</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买</w:t>
      </w:r>
      <w:r>
        <w:rPr>
          <w:rFonts w:hint="eastAsia" w:ascii="仿宋_GB2312" w:hAnsi="黑体" w:eastAsia="仿宋_GB2312" w:cs="宋体"/>
          <w:color w:val="auto"/>
          <w:sz w:val="24"/>
          <w:szCs w:val="24"/>
          <w:highlight w:val="none"/>
        </w:rPr>
        <w:t>方收到</w:t>
      </w:r>
      <w:r>
        <w:rPr>
          <w:rFonts w:hint="eastAsia" w:ascii="仿宋_GB2312" w:hAnsi="黑体" w:eastAsia="仿宋_GB2312" w:cs="宋体"/>
          <w:color w:val="auto"/>
          <w:sz w:val="24"/>
          <w:szCs w:val="24"/>
          <w:highlight w:val="none"/>
          <w:lang w:val="en-US" w:eastAsia="zh-CN"/>
        </w:rPr>
        <w:t>卖</w:t>
      </w:r>
      <w:r>
        <w:rPr>
          <w:rFonts w:hint="eastAsia" w:ascii="仿宋_GB2312" w:hAnsi="黑体" w:eastAsia="仿宋_GB2312" w:cs="宋体"/>
          <w:color w:val="auto"/>
          <w:sz w:val="24"/>
          <w:szCs w:val="24"/>
          <w:highlight w:val="none"/>
        </w:rPr>
        <w:t>方提供的</w:t>
      </w:r>
      <w:r>
        <w:rPr>
          <w:rFonts w:hint="eastAsia" w:ascii="仿宋_GB2312" w:hAnsi="黑体" w:eastAsia="仿宋_GB2312" w:cs="宋体"/>
          <w:color w:val="auto"/>
          <w:sz w:val="24"/>
          <w:szCs w:val="24"/>
          <w:highlight w:val="none"/>
          <w:lang w:val="en-US" w:eastAsia="zh-CN"/>
        </w:rPr>
        <w:t>合同全额</w:t>
      </w:r>
      <w:r>
        <w:rPr>
          <w:rFonts w:hint="eastAsia" w:ascii="仿宋_GB2312" w:hAnsi="黑体" w:eastAsia="仿宋_GB2312" w:cs="宋体"/>
          <w:color w:val="auto"/>
          <w:sz w:val="24"/>
          <w:szCs w:val="24"/>
          <w:highlight w:val="none"/>
        </w:rPr>
        <w:t>增值税专用发票及完整报账材料后提交报账流程</w:t>
      </w:r>
      <w:r>
        <w:rPr>
          <w:rFonts w:hint="eastAsia" w:ascii="仿宋_GB2312" w:hAnsi="黑体" w:eastAsia="仿宋_GB2312" w:cs="宋体"/>
          <w:color w:val="auto"/>
          <w:sz w:val="24"/>
          <w:szCs w:val="24"/>
          <w:highlight w:val="none"/>
          <w:lang w:eastAsia="zh-CN"/>
        </w:rPr>
        <w:t>，</w:t>
      </w:r>
      <w:r>
        <w:rPr>
          <w:rFonts w:hint="eastAsia" w:ascii="仿宋_GB2312" w:hAnsi="黑体" w:eastAsia="仿宋_GB2312" w:cs="宋体"/>
          <w:color w:val="auto"/>
          <w:sz w:val="24"/>
          <w:szCs w:val="24"/>
          <w:highlight w:val="none"/>
        </w:rPr>
        <w:t>经买方财务审核无误后按照</w:t>
      </w:r>
      <w:permStart w:id="18" w:edGrp="everyone"/>
      <w:r>
        <w:rPr>
          <w:rFonts w:hint="eastAsia" w:ascii="仿宋_GB2312" w:hAnsi="黑体" w:eastAsia="仿宋_GB2312" w:cs="宋体"/>
          <w:b/>
          <w:bCs/>
          <w:color w:val="auto"/>
          <w:sz w:val="24"/>
          <w:szCs w:val="24"/>
          <w:highlight w:val="none"/>
          <w:u w:val="single"/>
        </w:rPr>
        <w:t>约定的财务付款条件</w:t>
      </w:r>
      <w:permEnd w:id="18"/>
      <w:r>
        <w:rPr>
          <w:rFonts w:hint="eastAsia" w:ascii="仿宋_GB2312" w:hAnsi="黑体" w:eastAsia="仿宋_GB2312" w:cs="宋体"/>
          <w:color w:val="auto"/>
          <w:sz w:val="24"/>
          <w:szCs w:val="24"/>
          <w:highlight w:val="none"/>
        </w:rPr>
        <w:t>执行。</w:t>
      </w:r>
    </w:p>
    <w:p w14:paraId="75A34F95">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合同含税总价款的</w:t>
      </w:r>
      <w:permStart w:id="19"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笔付款的比例，数值</w:t>
      </w:r>
      <w:permEnd w:id="19"/>
      <w:r>
        <w:rPr>
          <w:rFonts w:hint="eastAsia" w:ascii="仿宋_GB2312" w:hAnsi="黑体" w:eastAsia="仿宋_GB2312" w:cs="宋体"/>
          <w:color w:val="auto"/>
          <w:sz w:val="24"/>
          <w:szCs w:val="24"/>
          <w:highlight w:val="none"/>
        </w:rPr>
        <w:t>%即</w:t>
      </w:r>
      <w:permStart w:id="20"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笔付款金额</w:t>
      </w:r>
      <w:permEnd w:id="20"/>
      <w:r>
        <w:rPr>
          <w:rFonts w:hint="eastAsia" w:ascii="仿宋_GB2312" w:hAnsi="黑体" w:eastAsia="仿宋_GB2312" w:cs="宋体"/>
          <w:color w:val="auto"/>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宋体"/>
          <w:color w:val="auto"/>
          <w:sz w:val="24"/>
          <w:szCs w:val="24"/>
          <w:highlight w:val="none"/>
          <w:lang w:val="en-US" w:eastAsia="zh-CN"/>
        </w:rPr>
        <w:t>质量保证金的收款凭证</w:t>
      </w:r>
      <w:r>
        <w:rPr>
          <w:rFonts w:hint="eastAsia" w:ascii="仿宋_GB2312" w:hAnsi="黑体" w:eastAsia="仿宋_GB2312" w:cs="宋体"/>
          <w:color w:val="auto"/>
          <w:sz w:val="24"/>
          <w:szCs w:val="24"/>
          <w:highlight w:val="none"/>
        </w:rPr>
        <w:t>及设备使用单位的使用情况说明，经买方财务审核无误后按照</w:t>
      </w:r>
      <w:permStart w:id="21" w:edGrp="everyone"/>
      <w:r>
        <w:rPr>
          <w:rFonts w:hint="eastAsia" w:ascii="仿宋_GB2312" w:hAnsi="黑体" w:eastAsia="仿宋_GB2312" w:cs="宋体"/>
          <w:b/>
          <w:bCs/>
          <w:color w:val="auto"/>
          <w:sz w:val="24"/>
          <w:szCs w:val="24"/>
          <w:highlight w:val="none"/>
          <w:u w:val="single"/>
        </w:rPr>
        <w:t>约定的财务付款条件</w:t>
      </w:r>
      <w:permEnd w:id="21"/>
      <w:r>
        <w:rPr>
          <w:rFonts w:hint="eastAsia" w:ascii="仿宋_GB2312" w:hAnsi="黑体" w:eastAsia="仿宋_GB2312" w:cs="宋体"/>
          <w:color w:val="auto"/>
          <w:sz w:val="24"/>
          <w:szCs w:val="24"/>
          <w:highlight w:val="none"/>
        </w:rPr>
        <w:t>执行。如有质量问题，质量保证金予以相应扣除。</w:t>
      </w:r>
    </w:p>
    <w:p w14:paraId="1795C995">
      <w:pPr>
        <w:spacing w:after="0" w:line="360" w:lineRule="auto"/>
        <w:ind w:firstLine="432" w:firstLineChars="200"/>
        <w:rPr>
          <w:rFonts w:hint="eastAsia"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lang w:val="en-US" w:eastAsia="zh-CN"/>
        </w:rPr>
        <w:t>2</w:t>
      </w:r>
      <w:r>
        <w:rPr>
          <w:rFonts w:hint="eastAsia" w:ascii="仿宋_GB2312" w:hAnsi="仿宋_GB2312" w:eastAsia="仿宋_GB2312" w:cs="仿宋_GB2312"/>
          <w:color w:val="auto"/>
          <w:w w:val="90"/>
          <w:sz w:val="24"/>
          <w:szCs w:val="24"/>
          <w:highlight w:val="none"/>
        </w:rPr>
        <w:t>.</w:t>
      </w:r>
      <w:r>
        <w:rPr>
          <w:rFonts w:hint="eastAsia" w:ascii="仿宋_GB2312" w:hAnsi="仿宋_GB2312" w:eastAsia="仿宋_GB2312" w:cs="仿宋_GB2312"/>
          <w:color w:val="auto"/>
          <w:w w:val="90"/>
          <w:sz w:val="24"/>
          <w:szCs w:val="24"/>
          <w:highlight w:val="none"/>
          <w:lang w:val="en-US" w:eastAsia="zh-CN"/>
        </w:rPr>
        <w:t>4甲乙双方基本</w:t>
      </w:r>
      <w:r>
        <w:rPr>
          <w:rFonts w:hint="eastAsia" w:ascii="仿宋_GB2312" w:hAnsi="仿宋_GB2312" w:eastAsia="仿宋_GB2312" w:cs="仿宋_GB2312"/>
          <w:color w:val="auto"/>
          <w:w w:val="90"/>
          <w:sz w:val="24"/>
          <w:szCs w:val="24"/>
          <w:highlight w:val="none"/>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3DBC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4032D8">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信息名目</w:t>
            </w:r>
          </w:p>
        </w:tc>
        <w:tc>
          <w:tcPr>
            <w:tcW w:w="3690" w:type="dxa"/>
            <w:vAlign w:val="bottom"/>
          </w:tcPr>
          <w:p w14:paraId="73DE628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甲方基本信息</w:t>
            </w:r>
          </w:p>
        </w:tc>
        <w:tc>
          <w:tcPr>
            <w:tcW w:w="3690" w:type="dxa"/>
            <w:vAlign w:val="bottom"/>
          </w:tcPr>
          <w:p w14:paraId="090FEBA6">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乙方基本信息</w:t>
            </w:r>
          </w:p>
        </w:tc>
      </w:tr>
      <w:tr w14:paraId="1BD4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319A13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企业名称</w:t>
            </w:r>
          </w:p>
        </w:tc>
        <w:tc>
          <w:tcPr>
            <w:tcW w:w="3690" w:type="dxa"/>
            <w:vAlign w:val="bottom"/>
          </w:tcPr>
          <w:p w14:paraId="017B870F">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甲方单位全称</w:t>
            </w:r>
            <w:permEnd w:id="22"/>
          </w:p>
        </w:tc>
        <w:tc>
          <w:tcPr>
            <w:tcW w:w="3690" w:type="dxa"/>
            <w:vAlign w:val="bottom"/>
          </w:tcPr>
          <w:p w14:paraId="56FB0ACA">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乙方单位全称</w:t>
            </w:r>
            <w:permEnd w:id="23"/>
          </w:p>
        </w:tc>
      </w:tr>
      <w:tr w14:paraId="6967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FAACCC0">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注册地址</w:t>
            </w:r>
          </w:p>
        </w:tc>
        <w:tc>
          <w:tcPr>
            <w:tcW w:w="3690" w:type="dxa"/>
            <w:vAlign w:val="bottom"/>
          </w:tcPr>
          <w:p w14:paraId="22196F90">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甲方注册地址，营业执照住所地</w:t>
            </w:r>
            <w:permEnd w:id="24"/>
          </w:p>
        </w:tc>
        <w:tc>
          <w:tcPr>
            <w:tcW w:w="3690" w:type="dxa"/>
            <w:vAlign w:val="bottom"/>
          </w:tcPr>
          <w:p w14:paraId="1D3372BE">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乙方注册地址，营业执照住所地</w:t>
            </w:r>
            <w:permEnd w:id="25"/>
          </w:p>
        </w:tc>
      </w:tr>
      <w:tr w14:paraId="3300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E716AC">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通讯地址</w:t>
            </w:r>
          </w:p>
        </w:tc>
        <w:tc>
          <w:tcPr>
            <w:tcW w:w="3690" w:type="dxa"/>
            <w:vAlign w:val="bottom"/>
          </w:tcPr>
          <w:p w14:paraId="714D9F0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甲方通讯地址，实际联系地址</w:t>
            </w:r>
            <w:permEnd w:id="26"/>
          </w:p>
        </w:tc>
        <w:tc>
          <w:tcPr>
            <w:tcW w:w="3690" w:type="dxa"/>
            <w:vAlign w:val="bottom"/>
          </w:tcPr>
          <w:p w14:paraId="7F2DC357">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乙方通讯地址，实际联系地址</w:t>
            </w:r>
            <w:permEnd w:id="27"/>
          </w:p>
        </w:tc>
      </w:tr>
      <w:tr w14:paraId="503A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1D11CD6">
            <w:pPr>
              <w:spacing w:after="200" w:line="360" w:lineRule="auto"/>
              <w:jc w:val="center"/>
              <w:rPr>
                <w:rFonts w:hint="eastAsia"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法定代表人</w:t>
            </w:r>
          </w:p>
        </w:tc>
        <w:tc>
          <w:tcPr>
            <w:tcW w:w="3690" w:type="dxa"/>
            <w:vAlign w:val="bottom"/>
          </w:tcPr>
          <w:p w14:paraId="690F798B">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甲方法定代表人姓名</w:t>
            </w:r>
            <w:permEnd w:id="28"/>
          </w:p>
        </w:tc>
        <w:tc>
          <w:tcPr>
            <w:tcW w:w="3690" w:type="dxa"/>
            <w:vAlign w:val="bottom"/>
          </w:tcPr>
          <w:p w14:paraId="45B5D908">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乙方法定代表人姓名</w:t>
            </w:r>
            <w:permEnd w:id="29"/>
          </w:p>
        </w:tc>
      </w:tr>
      <w:tr w14:paraId="666F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7F776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授权代表</w:t>
            </w:r>
          </w:p>
        </w:tc>
        <w:tc>
          <w:tcPr>
            <w:tcW w:w="3690" w:type="dxa"/>
            <w:vAlign w:val="bottom"/>
          </w:tcPr>
          <w:p w14:paraId="75C25E53">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甲方授权代表姓名</w:t>
            </w:r>
            <w:permEnd w:id="30"/>
          </w:p>
        </w:tc>
        <w:tc>
          <w:tcPr>
            <w:tcW w:w="3690" w:type="dxa"/>
            <w:vAlign w:val="bottom"/>
          </w:tcPr>
          <w:p w14:paraId="61956FBE">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乙方授权代表姓名</w:t>
            </w:r>
            <w:permEnd w:id="31"/>
          </w:p>
        </w:tc>
      </w:tr>
      <w:tr w14:paraId="2224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83D21C5">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联系电话</w:t>
            </w:r>
          </w:p>
        </w:tc>
        <w:tc>
          <w:tcPr>
            <w:tcW w:w="3690" w:type="dxa"/>
            <w:vAlign w:val="bottom"/>
          </w:tcPr>
          <w:p w14:paraId="54E4CCF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3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甲方授权代表手机号码</w:t>
            </w:r>
            <w:permEnd w:id="32"/>
          </w:p>
        </w:tc>
        <w:tc>
          <w:tcPr>
            <w:tcW w:w="3690" w:type="dxa"/>
            <w:vAlign w:val="bottom"/>
          </w:tcPr>
          <w:p w14:paraId="0D71B132">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乙方授权代表手机号码</w:t>
            </w:r>
            <w:permEnd w:id="33"/>
          </w:p>
        </w:tc>
      </w:tr>
      <w:tr w14:paraId="5510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DF8585">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联系邮箱</w:t>
            </w:r>
          </w:p>
        </w:tc>
        <w:tc>
          <w:tcPr>
            <w:tcW w:w="3690" w:type="dxa"/>
            <w:vAlign w:val="bottom"/>
          </w:tcPr>
          <w:p w14:paraId="3872A97B">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3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甲方授权代表联系邮箱（非必填）</w:t>
            </w:r>
            <w:permEnd w:id="34"/>
          </w:p>
        </w:tc>
        <w:tc>
          <w:tcPr>
            <w:tcW w:w="3690" w:type="dxa"/>
            <w:vAlign w:val="bottom"/>
          </w:tcPr>
          <w:p w14:paraId="0D30BA1D">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乙方授权代表联系邮箱（非必填）</w:t>
            </w:r>
            <w:permEnd w:id="35"/>
          </w:p>
        </w:tc>
      </w:tr>
      <w:tr w14:paraId="7C54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0DCF41">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开户银行</w:t>
            </w:r>
          </w:p>
        </w:tc>
        <w:tc>
          <w:tcPr>
            <w:tcW w:w="3690" w:type="dxa"/>
            <w:vAlign w:val="bottom"/>
          </w:tcPr>
          <w:p w14:paraId="34043439">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甲方开户银行规范全称（非必填）</w:t>
            </w:r>
            <w:permEnd w:id="36"/>
          </w:p>
        </w:tc>
        <w:tc>
          <w:tcPr>
            <w:tcW w:w="3690" w:type="dxa"/>
            <w:vAlign w:val="bottom"/>
          </w:tcPr>
          <w:p w14:paraId="513EBBA4">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乙方开户银行规范全称</w:t>
            </w:r>
            <w:permEnd w:id="37"/>
          </w:p>
        </w:tc>
      </w:tr>
      <w:tr w14:paraId="1A00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CFC57A">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开户行联行号</w:t>
            </w:r>
          </w:p>
        </w:tc>
        <w:tc>
          <w:tcPr>
            <w:tcW w:w="3690" w:type="dxa"/>
            <w:vAlign w:val="bottom"/>
          </w:tcPr>
          <w:p w14:paraId="426EAE8D">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甲方开户银行联行号（非必填）</w:t>
            </w:r>
            <w:permEnd w:id="38"/>
          </w:p>
        </w:tc>
        <w:tc>
          <w:tcPr>
            <w:tcW w:w="3690" w:type="dxa"/>
            <w:vAlign w:val="bottom"/>
          </w:tcPr>
          <w:p w14:paraId="4CB77602">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乙方开户银行联行号</w:t>
            </w:r>
            <w:permEnd w:id="39"/>
          </w:p>
        </w:tc>
      </w:tr>
      <w:tr w14:paraId="2FE0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E6C9A9E">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开户账号</w:t>
            </w:r>
          </w:p>
        </w:tc>
        <w:tc>
          <w:tcPr>
            <w:tcW w:w="3690" w:type="dxa"/>
            <w:vAlign w:val="bottom"/>
          </w:tcPr>
          <w:p w14:paraId="68B9EB9B">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甲方银行账号（非必填）</w:t>
            </w:r>
            <w:permEnd w:id="40"/>
          </w:p>
        </w:tc>
        <w:tc>
          <w:tcPr>
            <w:tcW w:w="3690" w:type="dxa"/>
            <w:vAlign w:val="bottom"/>
          </w:tcPr>
          <w:p w14:paraId="01BE888A">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4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乙方银行账号</w:t>
            </w:r>
            <w:permEnd w:id="41"/>
          </w:p>
        </w:tc>
      </w:tr>
      <w:tr w14:paraId="54EE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2298DD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其他信息</w:t>
            </w:r>
          </w:p>
        </w:tc>
        <w:tc>
          <w:tcPr>
            <w:tcW w:w="3690" w:type="dxa"/>
            <w:vAlign w:val="bottom"/>
          </w:tcPr>
          <w:p w14:paraId="15305F66">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甲方其他需列明企业信息（非必填）</w:t>
            </w:r>
            <w:permEnd w:id="42"/>
          </w:p>
        </w:tc>
        <w:tc>
          <w:tcPr>
            <w:tcW w:w="3690" w:type="dxa"/>
            <w:vAlign w:val="bottom"/>
          </w:tcPr>
          <w:p w14:paraId="5B373BCA">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乙方其他需列明企业信息（非必填）</w:t>
            </w:r>
            <w:permEnd w:id="43"/>
          </w:p>
        </w:tc>
      </w:tr>
    </w:tbl>
    <w:p w14:paraId="7E168F88">
      <w:pPr>
        <w:spacing w:after="0" w:line="360" w:lineRule="auto"/>
        <w:ind w:firstLine="432" w:firstLineChars="200"/>
        <w:rPr>
          <w:rFonts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rPr>
        <w:t>合同履行过程中，如</w:t>
      </w:r>
      <w:r>
        <w:rPr>
          <w:rFonts w:hint="eastAsia" w:ascii="仿宋_GB2312" w:hAnsi="仿宋_GB2312" w:eastAsia="仿宋_GB2312" w:cs="仿宋_GB2312"/>
          <w:color w:val="auto"/>
          <w:w w:val="90"/>
          <w:sz w:val="24"/>
          <w:szCs w:val="24"/>
          <w:highlight w:val="none"/>
          <w:lang w:val="en-US" w:eastAsia="zh-CN"/>
        </w:rPr>
        <w:t>甲乙双方基本</w:t>
      </w:r>
      <w:r>
        <w:rPr>
          <w:rFonts w:hint="eastAsia" w:ascii="仿宋_GB2312" w:hAnsi="仿宋_GB2312" w:eastAsia="仿宋_GB2312" w:cs="仿宋_GB2312"/>
          <w:color w:val="auto"/>
          <w:w w:val="90"/>
          <w:sz w:val="24"/>
          <w:szCs w:val="24"/>
          <w:highlight w:val="none"/>
        </w:rPr>
        <w:t>信息发生变更，应及时以书面形式告知</w:t>
      </w:r>
      <w:r>
        <w:rPr>
          <w:rFonts w:hint="eastAsia" w:ascii="仿宋_GB2312" w:hAnsi="仿宋_GB2312" w:eastAsia="仿宋_GB2312" w:cs="仿宋_GB2312"/>
          <w:color w:val="auto"/>
          <w:w w:val="90"/>
          <w:sz w:val="24"/>
          <w:szCs w:val="24"/>
          <w:highlight w:val="none"/>
          <w:lang w:val="en-US" w:eastAsia="zh-CN"/>
        </w:rPr>
        <w:t>对方</w:t>
      </w:r>
      <w:r>
        <w:rPr>
          <w:rFonts w:hint="eastAsia" w:ascii="仿宋_GB2312" w:hAnsi="仿宋_GB2312" w:eastAsia="仿宋_GB2312" w:cs="仿宋_GB2312"/>
          <w:color w:val="auto"/>
          <w:w w:val="90"/>
          <w:sz w:val="24"/>
          <w:szCs w:val="24"/>
          <w:highlight w:val="none"/>
        </w:rPr>
        <w:t>并就</w:t>
      </w:r>
      <w:r>
        <w:rPr>
          <w:rFonts w:hint="eastAsia" w:ascii="仿宋_GB2312" w:hAnsi="仿宋_GB2312" w:eastAsia="仿宋_GB2312" w:cs="仿宋_GB2312"/>
          <w:color w:val="auto"/>
          <w:w w:val="90"/>
          <w:sz w:val="24"/>
          <w:szCs w:val="24"/>
          <w:highlight w:val="none"/>
          <w:lang w:val="en-US" w:eastAsia="zh-CN"/>
        </w:rPr>
        <w:t>付款</w:t>
      </w:r>
      <w:r>
        <w:rPr>
          <w:rFonts w:hint="eastAsia" w:ascii="仿宋_GB2312" w:hAnsi="仿宋_GB2312" w:eastAsia="仿宋_GB2312" w:cs="仿宋_GB2312"/>
          <w:color w:val="auto"/>
          <w:w w:val="90"/>
          <w:sz w:val="24"/>
          <w:szCs w:val="24"/>
          <w:highlight w:val="none"/>
        </w:rPr>
        <w:t>账户信息变更签署相关补充协议。</w:t>
      </w:r>
    </w:p>
    <w:p w14:paraId="4425916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3.生效条款</w:t>
      </w:r>
    </w:p>
    <w:p w14:paraId="089202BC">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.1本合同经双方签署后生效。</w:t>
      </w:r>
    </w:p>
    <w:p w14:paraId="0B828901">
      <w:pPr>
        <w:spacing w:after="0" w:line="360" w:lineRule="auto"/>
        <w:ind w:firstLine="480" w:firstLineChars="200"/>
        <w:rPr>
          <w:rFonts w:hint="default" w:ascii="仿宋_GB2312" w:hAnsi="黑体" w:eastAsia="仿宋_GB2312" w:cs="宋体"/>
          <w:color w:val="auto"/>
          <w:sz w:val="24"/>
          <w:szCs w:val="24"/>
          <w:highlight w:val="none"/>
          <w:lang w:val="en-US" w:eastAsia="zh-CN"/>
        </w:rPr>
      </w:pPr>
      <w:r>
        <w:rPr>
          <w:rFonts w:hint="eastAsia" w:ascii="仿宋_GB2312" w:hAnsi="黑体" w:eastAsia="仿宋_GB2312" w:cs="宋体"/>
          <w:color w:val="auto"/>
          <w:sz w:val="24"/>
          <w:szCs w:val="24"/>
          <w:highlight w:val="none"/>
          <w:lang w:val="en-US" w:eastAsia="zh-CN"/>
        </w:rPr>
        <w:t>3.2本合同一式四份，甲乙双方各执两份，具有同等法律效力。</w:t>
      </w:r>
    </w:p>
    <w:p w14:paraId="393F9C68">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color w:val="auto"/>
          <w:kern w:val="2"/>
          <w:sz w:val="24"/>
          <w:szCs w:val="20"/>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4.特殊约定</w:t>
      </w:r>
    </w:p>
    <w:p w14:paraId="2E6FEE84">
      <w:pPr>
        <w:spacing w:after="0" w:line="360" w:lineRule="auto"/>
        <w:ind w:firstLine="434" w:firstLineChars="200"/>
        <w:rPr>
          <w:rFonts w:ascii="宋体" w:hAnsi="宋体" w:eastAsia="宋体" w:cs="Times New Roman"/>
          <w:snapToGrid w:val="0"/>
          <w:color w:val="auto"/>
          <w:kern w:val="0"/>
          <w:sz w:val="20"/>
          <w:szCs w:val="20"/>
          <w:highlight w:val="none"/>
          <w:lang w:eastAsia="zh-Hans"/>
        </w:rPr>
      </w:pPr>
      <w:permStart w:id="44" w:edGrp="everyone"/>
      <w:r>
        <w:rPr>
          <w:rFonts w:hint="eastAsia" w:ascii="仿宋_GB2312" w:hAnsi="仿宋_GB2312" w:eastAsia="仿宋_GB2312" w:cs="仿宋_GB2312"/>
          <w:b/>
          <w:bCs/>
          <w:color w:val="auto"/>
          <w:w w:val="90"/>
          <w:sz w:val="24"/>
          <w:szCs w:val="24"/>
          <w:highlight w:val="none"/>
          <w:u w:val="single"/>
        </w:rPr>
        <w:t>特殊约定事项，据实填写</w:t>
      </w:r>
      <w:r>
        <w:rPr>
          <w:rFonts w:hint="eastAsia" w:ascii="仿宋_GB2312" w:hAnsi="仿宋_GB2312" w:eastAsia="仿宋_GB2312" w:cs="仿宋_GB2312"/>
          <w:b/>
          <w:bCs/>
          <w:color w:val="auto"/>
          <w:w w:val="90"/>
          <w:sz w:val="24"/>
          <w:szCs w:val="24"/>
          <w:highlight w:val="none"/>
          <w:u w:val="single"/>
          <w:lang w:eastAsia="zh-CN"/>
        </w:rPr>
        <w:t>：4.1</w:t>
      </w:r>
      <w:r>
        <w:rPr>
          <w:rFonts w:hint="eastAsia" w:ascii="仿宋_GB2312" w:hAnsi="仿宋_GB2312" w:eastAsia="仿宋_GB2312" w:cs="仿宋_GB2312"/>
          <w:b/>
          <w:bCs/>
          <w:color w:val="auto"/>
          <w:w w:val="90"/>
          <w:sz w:val="24"/>
          <w:szCs w:val="24"/>
          <w:highlight w:val="none"/>
          <w:u w:val="single"/>
          <w:lang w:val="en-US" w:eastAsia="zh-CN"/>
        </w:rPr>
        <w:t xml:space="preserve">                ;4.2               ;……</w:t>
      </w:r>
      <w:r>
        <w:rPr>
          <w:rFonts w:hint="eastAsia" w:ascii="仿宋_GB2312" w:hAnsi="仿宋_GB2312" w:eastAsia="仿宋_GB2312" w:cs="仿宋_GB2312"/>
          <w:b/>
          <w:bCs/>
          <w:color w:val="auto"/>
          <w:w w:val="90"/>
          <w:sz w:val="24"/>
          <w:szCs w:val="24"/>
          <w:highlight w:val="none"/>
          <w:u w:val="single"/>
        </w:rPr>
        <w:t>。</w:t>
      </w:r>
      <w:r>
        <w:rPr>
          <w:rFonts w:hint="eastAsia" w:ascii="仿宋_GB2312" w:hAnsi="仿宋_GB2312" w:eastAsia="仿宋_GB2312" w:cs="仿宋_GB2312"/>
          <w:b/>
          <w:bCs/>
          <w:color w:val="auto"/>
          <w:w w:val="90"/>
          <w:sz w:val="24"/>
          <w:szCs w:val="24"/>
          <w:highlight w:val="none"/>
          <w:u w:val="single"/>
          <w:lang w:val="en-US" w:eastAsia="zh-CN"/>
        </w:rPr>
        <w:t>若无，</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无</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专用条款、通用条款中需进行修改的部分应在此处予以体现</w:t>
      </w:r>
      <w:permEnd w:id="44"/>
      <w:r>
        <w:rPr>
          <w:rFonts w:hint="eastAsia" w:ascii="仿宋_GB2312" w:hAnsi="宋体" w:eastAsia="仿宋_GB2312" w:cs="宋体"/>
          <w:b/>
          <w:bCs/>
          <w:color w:val="auto"/>
          <w:sz w:val="24"/>
          <w:szCs w:val="24"/>
          <w:highlight w:val="none"/>
          <w:u w:val="single"/>
          <w:lang w:eastAsia="zh-CN"/>
        </w:rPr>
        <w:t>。</w:t>
      </w:r>
    </w:p>
    <w:p w14:paraId="65485F1C">
      <w:pPr>
        <w:spacing w:after="0" w:line="360" w:lineRule="auto"/>
        <w:rPr>
          <w:rFonts w:ascii="宋体" w:hAnsi="宋体" w:eastAsia="宋体" w:cs="Times New Roman"/>
          <w:snapToGrid w:val="0"/>
          <w:color w:val="auto"/>
          <w:kern w:val="0"/>
          <w:sz w:val="20"/>
          <w:szCs w:val="20"/>
          <w:highlight w:val="none"/>
          <w:lang w:eastAsia="zh-Hans"/>
        </w:rPr>
      </w:pPr>
    </w:p>
    <w:p w14:paraId="1827D3ED">
      <w:pPr>
        <w:spacing w:after="0" w:line="360" w:lineRule="auto"/>
        <w:rPr>
          <w:rFonts w:ascii="宋体" w:hAnsi="宋体" w:eastAsia="宋体" w:cs="Times New Roman"/>
          <w:snapToGrid w:val="0"/>
          <w:color w:val="auto"/>
          <w:kern w:val="0"/>
          <w:sz w:val="20"/>
          <w:szCs w:val="20"/>
          <w:highlight w:val="none"/>
          <w:lang w:eastAsia="zh-Hans"/>
        </w:rPr>
      </w:pPr>
    </w:p>
    <w:p w14:paraId="1089B850">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5"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5"/>
    </w:p>
    <w:p w14:paraId="4691222B">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3B7E3A90">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1B10D86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t xml:space="preserve">                </w:t>
      </w:r>
    </w:p>
    <w:p w14:paraId="27929962">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p>
    <w:p w14:paraId="1815C50C">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2A2EC85C">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6"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6"/>
    </w:p>
    <w:p w14:paraId="235E83EF">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1D61C5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3948C471">
      <w:pPr>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br w:type="page"/>
      </w:r>
    </w:p>
    <w:p w14:paraId="76F90CF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4012F979">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通用条款</w:t>
      </w:r>
    </w:p>
    <w:p w14:paraId="4E7EFB73">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1" w:name="_Toc11823"/>
      <w:bookmarkStart w:id="1172" w:name="_Toc11930"/>
      <w:bookmarkStart w:id="1173" w:name="_Toc16330018"/>
      <w:bookmarkStart w:id="1174" w:name="_Toc17619"/>
      <w:r>
        <w:rPr>
          <w:rFonts w:hint="eastAsia" w:ascii="黑体" w:hAnsi="黑体" w:eastAsia="黑体" w:cs="黑体"/>
          <w:b w:val="0"/>
          <w:iCs/>
          <w:color w:val="auto"/>
          <w:kern w:val="2"/>
          <w:sz w:val="24"/>
          <w:szCs w:val="24"/>
          <w:highlight w:val="none"/>
          <w:lang w:val="en-US" w:eastAsia="zh-CN" w:bidi="ar-SA"/>
        </w:rPr>
        <w:t>1 合同设备</w:t>
      </w:r>
      <w:bookmarkEnd w:id="1171"/>
      <w:bookmarkEnd w:id="1172"/>
      <w:bookmarkEnd w:id="1173"/>
      <w:bookmarkEnd w:id="1174"/>
    </w:p>
    <w:p w14:paraId="15F74B2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bookmarkStart w:id="1175" w:name="_Toc32510"/>
      <w:bookmarkStart w:id="1176" w:name="_Toc22800"/>
      <w:bookmarkStart w:id="1177" w:name="_Toc29026"/>
      <w:r>
        <w:rPr>
          <w:rFonts w:hint="eastAsia" w:ascii="仿宋_GB2312" w:hAnsi="仿宋_GB2312" w:eastAsia="仿宋_GB2312" w:cs="仿宋_GB2312"/>
          <w:color w:val="auto"/>
          <w:sz w:val="24"/>
          <w:szCs w:val="24"/>
          <w:highlight w:val="none"/>
        </w:rPr>
        <w:t>本合同约定设备的技术规格详见附件二《技术协议书》。</w:t>
      </w:r>
    </w:p>
    <w:p w14:paraId="78B784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3769C1B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1.3在设备所有权转移到买方之前，有关设备的保险由卖方负责办理并承担保险费用。</w:t>
      </w:r>
    </w:p>
    <w:p w14:paraId="73B7F191">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8" w:name="_Toc16330019"/>
      <w:r>
        <w:rPr>
          <w:rFonts w:hint="eastAsia" w:ascii="黑体" w:hAnsi="黑体" w:eastAsia="黑体" w:cs="黑体"/>
          <w:b w:val="0"/>
          <w:iCs/>
          <w:color w:val="auto"/>
          <w:kern w:val="2"/>
          <w:sz w:val="24"/>
          <w:szCs w:val="24"/>
          <w:highlight w:val="none"/>
          <w:lang w:val="en-US" w:eastAsia="zh-CN" w:bidi="ar-SA"/>
        </w:rPr>
        <w:t>2 包装</w:t>
      </w:r>
      <w:bookmarkEnd w:id="1175"/>
      <w:bookmarkEnd w:id="1176"/>
      <w:bookmarkEnd w:id="1177"/>
      <w:bookmarkEnd w:id="1178"/>
    </w:p>
    <w:p w14:paraId="7D81873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B43508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2.2每件包装应附有详细的装箱单和质量证书各两套，一套在包装箱里，一套在包装箱外。</w:t>
      </w:r>
    </w:p>
    <w:p w14:paraId="1B67AC7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9" w:name="_Toc16330020"/>
      <w:bookmarkStart w:id="1180" w:name="_Toc27453"/>
      <w:bookmarkStart w:id="1181" w:name="_Toc27144"/>
      <w:bookmarkStart w:id="1182" w:name="_Toc2833"/>
      <w:r>
        <w:rPr>
          <w:rFonts w:hint="eastAsia" w:ascii="黑体" w:hAnsi="黑体" w:eastAsia="黑体" w:cs="黑体"/>
          <w:b w:val="0"/>
          <w:iCs/>
          <w:color w:val="auto"/>
          <w:kern w:val="2"/>
          <w:sz w:val="24"/>
          <w:szCs w:val="24"/>
          <w:highlight w:val="none"/>
          <w:lang w:val="en-US" w:eastAsia="zh-CN" w:bidi="ar-SA"/>
        </w:rPr>
        <w:t>3 运输标记</w:t>
      </w:r>
      <w:bookmarkEnd w:id="1179"/>
      <w:bookmarkEnd w:id="1180"/>
      <w:bookmarkEnd w:id="1181"/>
      <w:bookmarkEnd w:id="1182"/>
    </w:p>
    <w:p w14:paraId="697192C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3.1卖方应在每一包装箱邻近的四个侧面用不易褪色的油漆以醒目的中文印刷字体标明以下各项：</w:t>
      </w:r>
    </w:p>
    <w:p w14:paraId="503A85A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3.1.1收货人</w:t>
      </w:r>
    </w:p>
    <w:p w14:paraId="79F6310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3.1.2合同号</w:t>
      </w:r>
    </w:p>
    <w:p w14:paraId="0A5860B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3.1.3发货标记（唛头）</w:t>
      </w:r>
    </w:p>
    <w:p w14:paraId="7EDF4B5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3.1.4设备的名称、品目号、箱号</w:t>
      </w:r>
    </w:p>
    <w:p w14:paraId="5A9E2D3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3.1.5毛重/净重（公斤）</w:t>
      </w:r>
    </w:p>
    <w:p w14:paraId="2AB661A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3.1.6尺寸（长×宽×高，以厘米计）</w:t>
      </w:r>
    </w:p>
    <w:p w14:paraId="7DA2DFB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8829435">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3" w:name="_Toc7431"/>
      <w:bookmarkStart w:id="1184" w:name="_Toc16330021"/>
      <w:bookmarkStart w:id="1185" w:name="_Toc10630"/>
      <w:bookmarkStart w:id="1186" w:name="_Toc16133"/>
      <w:r>
        <w:rPr>
          <w:rFonts w:hint="eastAsia" w:ascii="黑体" w:hAnsi="黑体" w:eastAsia="黑体" w:cs="黑体"/>
          <w:b w:val="0"/>
          <w:iCs/>
          <w:color w:val="auto"/>
          <w:kern w:val="2"/>
          <w:sz w:val="24"/>
          <w:szCs w:val="24"/>
          <w:highlight w:val="none"/>
          <w:lang w:val="en-US" w:eastAsia="zh-CN" w:bidi="ar-SA"/>
        </w:rPr>
        <w:t>4 检验</w:t>
      </w:r>
      <w:bookmarkEnd w:id="1183"/>
      <w:bookmarkEnd w:id="1184"/>
      <w:bookmarkEnd w:id="1185"/>
      <w:bookmarkEnd w:id="1186"/>
    </w:p>
    <w:p w14:paraId="1CEBA76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105C08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4.2国家强制检验检测的设备，需要经过国家有关部门进行检验检测，卖方保证提供的设备通过其检验并承担费用。</w:t>
      </w:r>
    </w:p>
    <w:p w14:paraId="268DF92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7" w:name="_Toc24467"/>
      <w:bookmarkStart w:id="1188" w:name="_Toc19850"/>
      <w:bookmarkStart w:id="1189" w:name="_Toc16330022"/>
      <w:bookmarkStart w:id="1190" w:name="_Toc11217"/>
      <w:r>
        <w:rPr>
          <w:rFonts w:hint="eastAsia" w:ascii="黑体" w:hAnsi="黑体" w:eastAsia="黑体" w:cs="黑体"/>
          <w:b w:val="0"/>
          <w:iCs/>
          <w:color w:val="auto"/>
          <w:kern w:val="2"/>
          <w:sz w:val="24"/>
          <w:szCs w:val="24"/>
          <w:highlight w:val="none"/>
          <w:lang w:val="en-US" w:eastAsia="zh-CN" w:bidi="ar-SA"/>
        </w:rPr>
        <w:t>5 权利担保</w:t>
      </w:r>
      <w:bookmarkEnd w:id="1187"/>
      <w:bookmarkEnd w:id="1188"/>
      <w:bookmarkEnd w:id="1189"/>
      <w:bookmarkEnd w:id="1190"/>
    </w:p>
    <w:p w14:paraId="4D51BB7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270101C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5.2卖方应保证第三方对其提交的设备不得以侵权或其他类似理由提出合法要求，如侵犯知识产权等。</w:t>
      </w:r>
    </w:p>
    <w:p w14:paraId="7E425CE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5.3任何第三方如果提出侵权指控，卖方应与第三方交涉，并承担由此引起的一切法律责任和费用以及给买方所造成的损失。</w:t>
      </w:r>
    </w:p>
    <w:p w14:paraId="598FA61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5.4买方应在已知道第三方的权利或要求后的一段合理时间内，将此权利或要求的性质通知卖方。</w:t>
      </w:r>
    </w:p>
    <w:p w14:paraId="59C3D65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426712">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1" w:name="_Toc16330023"/>
      <w:bookmarkStart w:id="1192" w:name="_Toc14809"/>
      <w:bookmarkStart w:id="1193" w:name="_Toc27500"/>
      <w:bookmarkStart w:id="1194" w:name="_Toc11759"/>
      <w:r>
        <w:rPr>
          <w:rFonts w:hint="eastAsia" w:ascii="黑体" w:hAnsi="黑体" w:eastAsia="黑体" w:cs="黑体"/>
          <w:b w:val="0"/>
          <w:iCs/>
          <w:color w:val="auto"/>
          <w:kern w:val="2"/>
          <w:sz w:val="24"/>
          <w:szCs w:val="24"/>
          <w:highlight w:val="none"/>
          <w:lang w:val="en-US" w:eastAsia="zh-CN" w:bidi="ar-SA"/>
        </w:rPr>
        <w:t>6 交货</w:t>
      </w:r>
      <w:bookmarkEnd w:id="1191"/>
      <w:bookmarkEnd w:id="1192"/>
      <w:bookmarkEnd w:id="1193"/>
      <w:bookmarkEnd w:id="1194"/>
    </w:p>
    <w:p w14:paraId="5B4E1AC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5CF12D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6.2卖方应在设备装运完成后当天以传真、邮件等的形式通知买方合同号、设备名称、数量、毛重、体积（立方米）、发票金额、启运日期、预计到达日期。</w:t>
      </w:r>
    </w:p>
    <w:p w14:paraId="2C5DC41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3A3B10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6.4交货方式的释义</w:t>
      </w:r>
    </w:p>
    <w:p w14:paraId="5694097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6.4.1交钥匙方式：卖方负责合同设备的设计、制造、运输、定点卸货、安装、调试、培训及售后服务等所有内容，直至买方验收合格并交付使用。</w:t>
      </w:r>
    </w:p>
    <w:p w14:paraId="76F7EDA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E789EC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6.4.3自提：买方依照合同约定到卖方所在地提取合同设备，经买方根据合同所约定的数量、型号及配置等内容逐一确认无误后，双方完成交付手续。</w:t>
      </w:r>
    </w:p>
    <w:p w14:paraId="768850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14:paraId="20F49F7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6.6卖方在交付设备前需通知买方。</w:t>
      </w:r>
    </w:p>
    <w:p w14:paraId="067B5DD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6.7风险的转移：</w:t>
      </w:r>
    </w:p>
    <w:p w14:paraId="3F92529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7CF55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5" w:name="_Toc25510"/>
      <w:bookmarkStart w:id="1196" w:name="_Toc8024"/>
      <w:bookmarkStart w:id="1197" w:name="_Toc16330024"/>
      <w:bookmarkStart w:id="1198" w:name="_Toc2984"/>
      <w:r>
        <w:rPr>
          <w:rFonts w:hint="eastAsia" w:ascii="黑体" w:hAnsi="黑体" w:eastAsia="黑体" w:cs="黑体"/>
          <w:b w:val="0"/>
          <w:iCs/>
          <w:color w:val="auto"/>
          <w:kern w:val="2"/>
          <w:sz w:val="24"/>
          <w:szCs w:val="24"/>
          <w:highlight w:val="none"/>
          <w:lang w:val="en-US" w:eastAsia="zh-CN" w:bidi="ar-SA"/>
        </w:rPr>
        <w:t>7 安装、调试</w:t>
      </w:r>
      <w:bookmarkEnd w:id="1195"/>
      <w:bookmarkEnd w:id="1196"/>
      <w:bookmarkEnd w:id="1197"/>
      <w:bookmarkEnd w:id="1198"/>
    </w:p>
    <w:p w14:paraId="0B29CF5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卖方应自带用以安装、调试过程中所需的各种工具、仪器、仪表及易损件。在安装、调试过程中，卖方应自负其工作人员的食宿、交通等费用。</w:t>
      </w:r>
    </w:p>
    <w:p w14:paraId="2C2462F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7.2在安装、调试过程中，安装场地及施工人员安全，由卖方负责。由于安装、调试等原因造成买方或他人人身损害或财产损失的，由卖方承担赔偿责任。</w:t>
      </w:r>
    </w:p>
    <w:p w14:paraId="2716BE8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r>
        <w:rPr>
          <w:rFonts w:hint="eastAsia" w:ascii="仿宋_GB2312" w:hAnsi="仿宋_GB2312" w:eastAsia="仿宋_GB2312" w:cs="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卖方须对安装、调试过程中造成的买方或他人人身损害或财产损失承担赔偿责任。</w:t>
      </w:r>
    </w:p>
    <w:p w14:paraId="362D1EA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9" w:name="_Toc14260"/>
      <w:bookmarkStart w:id="1200" w:name="_Toc14098"/>
      <w:bookmarkStart w:id="1201" w:name="_Toc16330025"/>
      <w:bookmarkStart w:id="1202" w:name="_Toc6350"/>
      <w:r>
        <w:rPr>
          <w:rFonts w:hint="eastAsia" w:ascii="黑体" w:hAnsi="黑体" w:eastAsia="黑体" w:cs="黑体"/>
          <w:b w:val="0"/>
          <w:iCs/>
          <w:color w:val="auto"/>
          <w:kern w:val="2"/>
          <w:sz w:val="24"/>
          <w:szCs w:val="24"/>
          <w:highlight w:val="none"/>
          <w:lang w:val="en-US" w:eastAsia="zh-CN" w:bidi="ar-SA"/>
        </w:rPr>
        <w:t>8 价款与支付</w:t>
      </w:r>
      <w:bookmarkEnd w:id="1199"/>
      <w:bookmarkEnd w:id="1200"/>
      <w:bookmarkEnd w:id="1201"/>
      <w:bookmarkEnd w:id="1202"/>
    </w:p>
    <w:p w14:paraId="209D027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8.1合同价格以不含税价格为准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14:paraId="6E66DA4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14:paraId="4EB373A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14:paraId="3B00F6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14:paraId="3922712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03" w:name="_Toc25708"/>
      <w:bookmarkStart w:id="1204" w:name="_Toc24085"/>
      <w:bookmarkStart w:id="1205" w:name="_Toc16330026"/>
      <w:bookmarkStart w:id="1206" w:name="_Toc6726"/>
      <w:r>
        <w:rPr>
          <w:rFonts w:hint="eastAsia" w:ascii="黑体" w:hAnsi="黑体" w:eastAsia="黑体" w:cs="黑体"/>
          <w:b w:val="0"/>
          <w:iCs/>
          <w:color w:val="auto"/>
          <w:kern w:val="2"/>
          <w:sz w:val="24"/>
          <w:szCs w:val="24"/>
          <w:highlight w:val="none"/>
          <w:lang w:val="en-US" w:eastAsia="zh-CN" w:bidi="ar-SA"/>
        </w:rPr>
        <w:t>9 质量保证及售后服务</w:t>
      </w:r>
      <w:bookmarkEnd w:id="1203"/>
      <w:bookmarkEnd w:id="1204"/>
      <w:bookmarkEnd w:id="1205"/>
      <w:bookmarkEnd w:id="1206"/>
    </w:p>
    <w:p w14:paraId="016FB0C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5D5F73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9.2卖方承诺其提供的设备不存在任何产品缺陷，否则因卖方提供的设备存在产品缺陷而给买方造成的一切后果和损失由卖方承担。</w:t>
      </w:r>
    </w:p>
    <w:p w14:paraId="4A21614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9C5FC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1B0FEE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9.5卖方负责在买方指定的地点免费为买方培训操作及维修人员，培训内容包括：基本原理、操作使用、安全操作注意事项以及维修保养等内容。</w:t>
      </w:r>
    </w:p>
    <w:p w14:paraId="500534C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9.6质量保证期满后，卖方保证向买方提供及时的、质优的、价格优惠的技术服务和备品备件供应。</w:t>
      </w:r>
    </w:p>
    <w:p w14:paraId="1F79655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9.7质量保证期满后，如出现质量问题，卖方也应及时修复和更换，且只收取成本费，费用由买方承担，卖方对设备质量问题所负的责任直到设备使用寿命周期结束。</w:t>
      </w:r>
    </w:p>
    <w:p w14:paraId="0E0AA5C8">
      <w:pPr>
        <w:widowControl w:val="0"/>
        <w:tabs>
          <w:tab w:val="right" w:leader="dot" w:pos="9061"/>
        </w:tabs>
        <w:spacing w:line="360" w:lineRule="auto"/>
        <w:ind w:left="0" w:firstLine="480" w:firstLineChars="200"/>
        <w:jc w:val="both"/>
        <w:outlineLvl w:val="0"/>
        <w:rPr>
          <w:rFonts w:hint="default" w:ascii="黑体" w:hAnsi="黑体" w:eastAsia="黑体" w:cs="黑体"/>
          <w:b w:val="0"/>
          <w:iCs/>
          <w:color w:val="auto"/>
          <w:kern w:val="2"/>
          <w:sz w:val="24"/>
          <w:szCs w:val="24"/>
          <w:highlight w:val="none"/>
          <w:lang w:val="en-US" w:eastAsia="zh-CN" w:bidi="ar-SA"/>
        </w:rPr>
      </w:pPr>
      <w:bookmarkStart w:id="1207" w:name="_Toc12927"/>
      <w:bookmarkStart w:id="1208" w:name="_Toc15570"/>
      <w:bookmarkStart w:id="1209" w:name="_Toc16330027"/>
      <w:bookmarkStart w:id="1210" w:name="_Toc10359"/>
      <w:r>
        <w:rPr>
          <w:rFonts w:hint="eastAsia" w:ascii="黑体" w:hAnsi="黑体" w:eastAsia="黑体" w:cs="黑体"/>
          <w:b w:val="0"/>
          <w:iCs/>
          <w:color w:val="auto"/>
          <w:kern w:val="2"/>
          <w:sz w:val="24"/>
          <w:szCs w:val="24"/>
          <w:highlight w:val="none"/>
          <w:lang w:val="en-US" w:eastAsia="zh-CN" w:bidi="ar-SA"/>
        </w:rPr>
        <w:t>10法定责任</w:t>
      </w:r>
      <w:bookmarkEnd w:id="1207"/>
      <w:bookmarkEnd w:id="1208"/>
      <w:bookmarkEnd w:id="1209"/>
      <w:bookmarkEnd w:id="1210"/>
      <w:r>
        <w:rPr>
          <w:rFonts w:hint="eastAsia" w:ascii="黑体" w:hAnsi="黑体" w:eastAsia="黑体" w:cs="黑体"/>
          <w:b w:val="0"/>
          <w:iCs/>
          <w:color w:val="auto"/>
          <w:kern w:val="2"/>
          <w:sz w:val="24"/>
          <w:szCs w:val="24"/>
          <w:highlight w:val="none"/>
          <w:lang w:val="en-US" w:eastAsia="zh-CN" w:bidi="ar-SA"/>
        </w:rPr>
        <w:t>及合规责任</w:t>
      </w:r>
    </w:p>
    <w:p w14:paraId="574A8F6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10.1卖方需遵从国家有关的法律、法规，缴纳有关的法定费用和税项。若卖方未按期交纳法定费用、税项，则卖方须补偿买方由此造成的所有费用及损失。</w:t>
      </w:r>
    </w:p>
    <w:p w14:paraId="0857250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10.2除非本合同中另有规定或买方同意，卖方不得全部或部分转让本合同项下的权利义务。</w:t>
      </w:r>
    </w:p>
    <w:p w14:paraId="0FF0C62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7E8938A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3AB3D16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10.5</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保证截至本合同签署之日，</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应当在获知被列入清单后24小时之内以书面形式通知买方。</w:t>
      </w:r>
    </w:p>
    <w:p w14:paraId="7C990C9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10.6</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确认不存在任何因违反所需适用国家或者地区出口管制与制裁法律或其他因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原因导致本合同无法履行或者延迟履行的情形。如果</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未履行前述义务或其他可归责于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的原因导致延迟履行供货或无法按照本合同约定履行供货义务，</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应承担违约责任，并承担买方因此受到的全部损失。</w:t>
      </w:r>
    </w:p>
    <w:p w14:paraId="65A17DC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10.7</w:t>
      </w:r>
      <w:r>
        <w:rPr>
          <w:rFonts w:hint="eastAsia" w:ascii="仿宋_GB2312" w:hAnsi="仿宋_GB2312" w:eastAsia="仿宋_GB2312" w:cs="仿宋_GB2312"/>
          <w:color w:val="auto"/>
          <w:sz w:val="24"/>
          <w:szCs w:val="24"/>
          <w:highlight w:val="none"/>
        </w:rPr>
        <w:t>如本合同项下</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应当书面告知买方受控物项的全部管制信息，包括但不限于原产国、发运国、ECCN、USML编码等方面的特殊限制、物项管控要求等。</w:t>
      </w:r>
    </w:p>
    <w:p w14:paraId="78D0FD3E">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10.8</w:t>
      </w:r>
      <w:r>
        <w:rPr>
          <w:rFonts w:hint="eastAsia" w:ascii="仿宋_GB2312" w:hAnsi="仿宋_GB2312" w:eastAsia="仿宋_GB2312" w:cs="仿宋_GB2312"/>
          <w:color w:val="auto"/>
          <w:sz w:val="24"/>
          <w:szCs w:val="24"/>
          <w:highlight w:val="none"/>
        </w:rPr>
        <w:t>如因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履行合同的义务。</w:t>
      </w:r>
    </w:p>
    <w:p w14:paraId="0F0644B1">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CBAC467">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1）卖方</w:t>
      </w:r>
      <w:r>
        <w:rPr>
          <w:rFonts w:hint="default" w:ascii="仿宋_GB2312" w:hAnsi="仿宋_GB2312" w:eastAsia="仿宋_GB2312" w:cs="仿宋_GB2312"/>
          <w:color w:val="auto"/>
          <w:sz w:val="24"/>
          <w:szCs w:val="24"/>
          <w:highlight w:val="none"/>
          <w:lang w:val="en-US" w:eastAsia="zh-CN"/>
        </w:rPr>
        <w:t>仅能将</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提供的保密信息用于本协议所约定的项目并承担保密义务。</w:t>
      </w:r>
    </w:p>
    <w:p w14:paraId="37A0EBF4">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2）卖方</w:t>
      </w:r>
      <w:r>
        <w:rPr>
          <w:rFonts w:hint="default" w:ascii="仿宋_GB2312" w:hAnsi="仿宋_GB2312" w:eastAsia="仿宋_GB2312" w:cs="仿宋_GB2312"/>
          <w:color w:val="auto"/>
          <w:sz w:val="24"/>
          <w:szCs w:val="24"/>
          <w:highlight w:val="none"/>
          <w:lang w:val="en-US" w:eastAsia="zh-CN"/>
        </w:rPr>
        <w:t>将采取有效措施使用</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关联机构），也不得允许任何保密信息被泄漏、被披露、被交流。</w:t>
      </w:r>
    </w:p>
    <w:p w14:paraId="11E06384">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为项目需要，而不得不向该第三方披露保密信息，则</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应事先从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得到书面同意。</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应与该第三方承担连带责任。</w:t>
      </w:r>
    </w:p>
    <w:p w14:paraId="016C760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default" w:ascii="仿宋_GB2312" w:hAnsi="仿宋_GB2312" w:eastAsia="仿宋_GB2312" w:cs="仿宋_GB2312"/>
          <w:color w:val="auto"/>
          <w:sz w:val="24"/>
          <w:szCs w:val="24"/>
          <w:highlight w:val="none"/>
          <w:lang w:val="en-US" w:eastAsia="zh-CN"/>
        </w:rPr>
        <w:t>如</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得悉</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的任何保密信息遭侵犯或疑似侵权，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应立即通知</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 xml:space="preserve">尽最大限度予以协助。 </w:t>
      </w:r>
    </w:p>
    <w:p w14:paraId="283B853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5）卖方</w:t>
      </w:r>
      <w:r>
        <w:rPr>
          <w:rFonts w:hint="default" w:ascii="仿宋_GB2312" w:hAnsi="仿宋_GB2312" w:eastAsia="仿宋_GB2312" w:cs="仿宋_GB2312"/>
          <w:color w:val="auto"/>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080D9E88">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6）卖方</w:t>
      </w:r>
      <w:r>
        <w:rPr>
          <w:rFonts w:hint="default" w:ascii="仿宋_GB2312" w:hAnsi="仿宋_GB2312" w:eastAsia="仿宋_GB2312" w:cs="仿宋_GB2312"/>
          <w:color w:val="auto"/>
          <w:sz w:val="24"/>
          <w:szCs w:val="24"/>
          <w:highlight w:val="none"/>
          <w:lang w:val="en-US" w:eastAsia="zh-CN"/>
        </w:rPr>
        <w:t>应遵从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的要求将本协议项下保密信息的使用情况向</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 xml:space="preserve">汇报。 </w:t>
      </w:r>
    </w:p>
    <w:p w14:paraId="17A04606">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7）卖方</w:t>
      </w:r>
      <w:r>
        <w:rPr>
          <w:rFonts w:hint="default" w:ascii="仿宋_GB2312" w:hAnsi="仿宋_GB2312" w:eastAsia="仿宋_GB2312" w:cs="仿宋_GB2312"/>
          <w:color w:val="auto"/>
          <w:sz w:val="24"/>
          <w:szCs w:val="24"/>
          <w:highlight w:val="none"/>
          <w:lang w:val="en-US" w:eastAsia="zh-CN"/>
        </w:rPr>
        <w:t>不得为第三方利益使用保密信息，不得非为实现双方合作目的使用保密信息，不得对保密信息采取任何反向工程、反向编译或反向分解等行为。</w:t>
      </w:r>
    </w:p>
    <w:p w14:paraId="196B3B91">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r>
        <w:rPr>
          <w:rFonts w:hint="default" w:ascii="仿宋_GB2312" w:hAnsi="仿宋_GB2312" w:eastAsia="仿宋_GB2312" w:cs="仿宋_GB2312"/>
          <w:color w:val="auto"/>
          <w:sz w:val="24"/>
          <w:szCs w:val="24"/>
          <w:highlight w:val="none"/>
          <w:lang w:val="en-US" w:eastAsia="zh-CN"/>
        </w:rPr>
        <w:t>双方合作期间形成的与本协议有关的任何信息和数据受本协议约束。</w:t>
      </w:r>
    </w:p>
    <w:p w14:paraId="2AAA13DC">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128BEF8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default" w:ascii="仿宋_GB2312" w:hAnsi="仿宋_GB2312" w:eastAsia="仿宋_GB2312" w:cs="仿宋_GB2312"/>
          <w:color w:val="auto"/>
          <w:sz w:val="24"/>
          <w:szCs w:val="24"/>
          <w:highlight w:val="none"/>
          <w:lang w:val="en-US" w:eastAsia="zh-CN"/>
        </w:rPr>
        <w:t>数据收集必须基于合法授权，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需向数据主体明确告知数据用途，并获得明确同意</w:t>
      </w:r>
      <w:r>
        <w:rPr>
          <w:rFonts w:hint="eastAsia" w:ascii="仿宋_GB2312" w:hAnsi="仿宋_GB2312" w:eastAsia="仿宋_GB2312" w:cs="仿宋_GB2312"/>
          <w:color w:val="auto"/>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5AEE5EC">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在存储数据时需采取严格的安全措施，</w:t>
      </w:r>
      <w:r>
        <w:rPr>
          <w:rFonts w:hint="eastAsia" w:ascii="仿宋_GB2312" w:hAnsi="仿宋_GB2312" w:eastAsia="仿宋_GB2312" w:cs="仿宋_GB2312"/>
          <w:color w:val="auto"/>
          <w:sz w:val="24"/>
          <w:szCs w:val="24"/>
          <w:highlight w:val="none"/>
          <w:lang w:val="en-US" w:eastAsia="zh-CN"/>
        </w:rPr>
        <w:t>通过</w:t>
      </w:r>
      <w:r>
        <w:rPr>
          <w:rFonts w:hint="default" w:ascii="仿宋_GB2312" w:hAnsi="仿宋_GB2312" w:eastAsia="仿宋_GB2312" w:cs="仿宋_GB2312"/>
          <w:color w:val="auto"/>
          <w:sz w:val="24"/>
          <w:szCs w:val="24"/>
          <w:highlight w:val="none"/>
          <w:lang w:val="en-US" w:eastAsia="zh-CN"/>
        </w:rPr>
        <w:t>加密、访问控制等措施确保数据的完整性和机密性</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在使用和传输数据时，</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需确保数据使用符合收集时的声明，不得超出必要范围</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跨境数据传输时，需符合法律规定的合规要求。</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w:t>
      </w:r>
    </w:p>
    <w:p w14:paraId="55287CE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如需要</w:t>
      </w:r>
      <w:r>
        <w:rPr>
          <w:rFonts w:hint="default" w:ascii="仿宋_GB2312" w:hAnsi="仿宋_GB2312" w:eastAsia="仿宋_GB2312" w:cs="仿宋_GB2312"/>
          <w:color w:val="auto"/>
          <w:sz w:val="24"/>
          <w:szCs w:val="24"/>
          <w:highlight w:val="none"/>
          <w:lang w:val="en-US" w:eastAsia="zh-CN"/>
        </w:rPr>
        <w:t>数据共享</w:t>
      </w:r>
      <w:r>
        <w:rPr>
          <w:rFonts w:hint="eastAsia" w:ascii="仿宋_GB2312" w:hAnsi="仿宋_GB2312" w:eastAsia="仿宋_GB2312" w:cs="仿宋_GB2312"/>
          <w:color w:val="auto"/>
          <w:sz w:val="24"/>
          <w:szCs w:val="24"/>
          <w:highlight w:val="none"/>
          <w:lang w:val="en-US" w:eastAsia="zh-CN"/>
        </w:rPr>
        <w:t>时</w:t>
      </w:r>
      <w:r>
        <w:rPr>
          <w:rFonts w:hint="default"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lang w:val="en-US" w:eastAsia="zh-CN"/>
        </w:rPr>
        <w:t>取得买方的书面同意并</w:t>
      </w:r>
      <w:r>
        <w:rPr>
          <w:rFonts w:hint="default" w:ascii="仿宋_GB2312" w:hAnsi="仿宋_GB2312" w:eastAsia="仿宋_GB2312" w:cs="仿宋_GB2312"/>
          <w:color w:val="auto"/>
          <w:sz w:val="24"/>
          <w:szCs w:val="24"/>
          <w:highlight w:val="none"/>
          <w:lang w:val="en-US" w:eastAsia="zh-CN"/>
        </w:rPr>
        <w:t>确保各方在使用数据时符合合规要求</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当数据不再需要时，</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采取适当的措施彻底销毁数据，防止其被恢复和滥用。</w:t>
      </w:r>
    </w:p>
    <w:p w14:paraId="0CF17A76">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1" w:name="_Toc30381"/>
      <w:bookmarkStart w:id="1212" w:name="_Toc27314"/>
      <w:bookmarkStart w:id="1213" w:name="_Toc16330028"/>
      <w:bookmarkStart w:id="1214" w:name="_Toc9708"/>
      <w:r>
        <w:rPr>
          <w:rFonts w:hint="eastAsia" w:ascii="黑体" w:hAnsi="黑体" w:eastAsia="黑体" w:cs="黑体"/>
          <w:b w:val="0"/>
          <w:iCs/>
          <w:color w:val="auto"/>
          <w:kern w:val="2"/>
          <w:sz w:val="24"/>
          <w:szCs w:val="24"/>
          <w:highlight w:val="none"/>
          <w:lang w:val="en-US" w:eastAsia="zh-CN" w:bidi="ar-SA"/>
        </w:rPr>
        <w:t>11 违约责任</w:t>
      </w:r>
      <w:bookmarkEnd w:id="1211"/>
      <w:bookmarkEnd w:id="1212"/>
      <w:bookmarkEnd w:id="1213"/>
      <w:bookmarkEnd w:id="1214"/>
    </w:p>
    <w:p w14:paraId="2DD225C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23B906B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682A5C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11.1.2根据设备的瑕疵和受损程度以及买方遭受损失的金额，经买方同意降低设备价格。</w:t>
      </w:r>
    </w:p>
    <w:p w14:paraId="45141C2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33DFE2F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1FB472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11.4如卖方未按合同专用条款</w:t>
      </w: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3105D0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11.5买方延期付款时（有正当拒付理由者除外），每日按延付金额的3‰向卖方偿付延期付款违约金，但违约金总额不超过延付金额的50‰。</w:t>
      </w:r>
    </w:p>
    <w:p w14:paraId="1F171EB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D69EF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11.7因发票违规给买方造成的增值税、所得税等损失，由卖方承担相关责任，包括但不限于税款、滞纳金、罚款及其它相关损失。</w:t>
      </w:r>
    </w:p>
    <w:p w14:paraId="15EA1EFF">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11.8如果卖方违反本合同</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上述约定或其他约定（包括本合同及所有附件）</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除应按本合同约定赔偿损失及违约金外，还应赔偿包括但不限于</w:t>
      </w:r>
      <w:r>
        <w:rPr>
          <w:rFonts w:hint="eastAsia" w:ascii="仿宋_GB2312" w:hAnsi="仿宋_GB2312" w:eastAsia="仿宋_GB2312" w:cs="仿宋_GB2312"/>
          <w:color w:val="auto"/>
          <w:sz w:val="24"/>
          <w:szCs w:val="24"/>
          <w:highlight w:val="none"/>
          <w:lang w:val="en-US" w:eastAsia="zh-CN"/>
        </w:rPr>
        <w:t>买</w:t>
      </w:r>
      <w:r>
        <w:rPr>
          <w:rFonts w:hint="eastAsia" w:ascii="仿宋_GB2312" w:hAnsi="仿宋_GB2312" w:eastAsia="仿宋_GB2312" w:cs="仿宋_GB2312"/>
          <w:color w:val="auto"/>
          <w:sz w:val="24"/>
          <w:szCs w:val="24"/>
          <w:highlight w:val="none"/>
        </w:rPr>
        <w:t>方因此支出的或预计支付的诉讼费、保全申请费、保全保险费、鉴定费、评估费、司法审计费、拍卖费、律师费等一切费用。</w:t>
      </w:r>
    </w:p>
    <w:p w14:paraId="1F5F026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5" w:name="_Toc1827"/>
      <w:bookmarkStart w:id="1216" w:name="_Toc31554"/>
      <w:bookmarkStart w:id="1217" w:name="_Toc9172"/>
      <w:bookmarkStart w:id="1218" w:name="_Toc16330029"/>
      <w:r>
        <w:rPr>
          <w:rFonts w:hint="eastAsia" w:ascii="黑体" w:hAnsi="黑体" w:eastAsia="黑体" w:cs="黑体"/>
          <w:b w:val="0"/>
          <w:iCs/>
          <w:color w:val="auto"/>
          <w:kern w:val="2"/>
          <w:sz w:val="24"/>
          <w:szCs w:val="24"/>
          <w:highlight w:val="none"/>
          <w:lang w:val="en-US" w:eastAsia="zh-CN" w:bidi="ar-SA"/>
        </w:rPr>
        <w:t>12 合同的终止与解除</w:t>
      </w:r>
      <w:bookmarkEnd w:id="1215"/>
      <w:bookmarkEnd w:id="1216"/>
      <w:bookmarkEnd w:id="1217"/>
      <w:bookmarkEnd w:id="1218"/>
    </w:p>
    <w:p w14:paraId="6DC5469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12.1本合同订立后，卖方由于履行义务的能力或信用有严重缺陷，买方可以终止履行本合同，要求卖方返还已支付的款项并不承担违约责任。</w:t>
      </w:r>
    </w:p>
    <w:p w14:paraId="07FFBB2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12.2经双方协商一致，可以解除本合同。</w:t>
      </w:r>
    </w:p>
    <w:p w14:paraId="0CCE0A0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12.3有下列情形之一的，买方可以解除本合同：</w:t>
      </w:r>
    </w:p>
    <w:p w14:paraId="7C7F7DB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12.3.1卖方明确表示或者以自己的行为表明不履行交货、安装、调试、培训等主要义务的，或足以影响买方使用设备的行为的；</w:t>
      </w:r>
    </w:p>
    <w:p w14:paraId="636D4C1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12.3.2卖方所</w:t>
      </w:r>
      <w:r>
        <w:rPr>
          <w:rFonts w:hint="eastAsia" w:ascii="仿宋_GB2312" w:hAnsi="仿宋_GB2312" w:eastAsia="仿宋_GB2312" w:cs="仿宋_GB2312"/>
          <w:color w:val="auto"/>
          <w:sz w:val="24"/>
          <w:szCs w:val="24"/>
          <w:highlight w:val="none"/>
          <w:lang w:val="en-US" w:eastAsia="zh-CN"/>
        </w:rPr>
        <w:t>交付</w:t>
      </w:r>
      <w:r>
        <w:rPr>
          <w:rFonts w:hint="eastAsia" w:ascii="仿宋_GB2312" w:hAnsi="仿宋_GB2312" w:eastAsia="仿宋_GB2312" w:cs="仿宋_GB2312"/>
          <w:color w:val="auto"/>
          <w:sz w:val="24"/>
          <w:szCs w:val="24"/>
          <w:highlight w:val="none"/>
        </w:rPr>
        <w:t>的设备不符合本合同约定的质量要求或屡次验收不合格或达不到验收标准的；</w:t>
      </w:r>
    </w:p>
    <w:p w14:paraId="5525CEE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12.3.3卖方发生本合同约定的解除情形的；</w:t>
      </w:r>
    </w:p>
    <w:p w14:paraId="44E9E91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12.3.4卖方有其他违约行为。</w:t>
      </w:r>
    </w:p>
    <w:p w14:paraId="488F60F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12.4卖方分批交付设备的，卖方对其中一批设备不交付或者交付不符合约定，致使该批设备不能实现本合同目的的，买方可以就该批设备解除合同。</w:t>
      </w:r>
    </w:p>
    <w:p w14:paraId="3E06A81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04EB69D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12.6买方如果就其中一批设备解除合同，该批设备与其他各批设备相互依存的，可以就已经交付和未交付的各批设备解除合同。</w:t>
      </w:r>
    </w:p>
    <w:p w14:paraId="0A51A8C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12.7因为卖方违约导致买方解除合同的，卖方应赔偿买方因此所遭受的一切损失。</w:t>
      </w:r>
    </w:p>
    <w:p w14:paraId="78650225">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9" w:name="_Toc16330030"/>
      <w:bookmarkStart w:id="1220" w:name="_Toc31945"/>
      <w:bookmarkStart w:id="1221" w:name="_Toc13671"/>
      <w:bookmarkStart w:id="1222" w:name="_Toc8620"/>
      <w:r>
        <w:rPr>
          <w:rFonts w:hint="eastAsia" w:ascii="黑体" w:hAnsi="黑体" w:eastAsia="黑体" w:cs="黑体"/>
          <w:b w:val="0"/>
          <w:iCs/>
          <w:color w:val="auto"/>
          <w:kern w:val="2"/>
          <w:sz w:val="24"/>
          <w:szCs w:val="24"/>
          <w:highlight w:val="none"/>
          <w:lang w:val="en-US" w:eastAsia="zh-CN" w:bidi="ar-SA"/>
        </w:rPr>
        <w:t>13 不可抗力</w:t>
      </w:r>
      <w:bookmarkEnd w:id="1219"/>
      <w:bookmarkEnd w:id="1220"/>
      <w:bookmarkEnd w:id="1221"/>
      <w:bookmarkEnd w:id="1222"/>
    </w:p>
    <w:p w14:paraId="2EF9104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9C4A94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13.2各方应该通过协商决定是否终止本合同，或推迟全部或部分本合同的履行或免除对方全部或部分相关履行义务。</w:t>
      </w:r>
    </w:p>
    <w:p w14:paraId="01CBB26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3" w:name="_Toc16330031"/>
      <w:bookmarkStart w:id="1224" w:name="_Toc30389"/>
      <w:bookmarkStart w:id="1225" w:name="_Toc31243"/>
      <w:bookmarkStart w:id="1226" w:name="_Toc637"/>
      <w:r>
        <w:rPr>
          <w:rFonts w:hint="eastAsia" w:ascii="黑体" w:hAnsi="黑体" w:eastAsia="黑体" w:cs="黑体"/>
          <w:b w:val="0"/>
          <w:iCs/>
          <w:color w:val="auto"/>
          <w:kern w:val="2"/>
          <w:sz w:val="24"/>
          <w:szCs w:val="24"/>
          <w:highlight w:val="none"/>
          <w:lang w:val="en-US" w:eastAsia="zh-CN" w:bidi="ar-SA"/>
        </w:rPr>
        <w:t>14 通讯</w:t>
      </w:r>
      <w:bookmarkEnd w:id="1223"/>
      <w:bookmarkEnd w:id="1224"/>
      <w:bookmarkEnd w:id="1225"/>
      <w:bookmarkEnd w:id="1226"/>
    </w:p>
    <w:p w14:paraId="6D247B3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14.1通讯地址：</w:t>
      </w:r>
    </w:p>
    <w:p w14:paraId="6893706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本合同下的任何通讯按照本合同双方提供的信息，以书信、传真、电子通讯方式或电话作出。</w:t>
      </w:r>
    </w:p>
    <w:p w14:paraId="72150F8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14.2生效</w:t>
      </w:r>
    </w:p>
    <w:p w14:paraId="4A69B34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14.2.1书信。书信为送达时生效；</w:t>
      </w:r>
    </w:p>
    <w:p w14:paraId="107D3CF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14.2.2传真。发送人取得成功传输的信息时生效；</w:t>
      </w:r>
    </w:p>
    <w:p w14:paraId="2712B35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14.2.3电子邮件。电子邮件于发送之时生效，前提是寄件者于该邮件发送后24小时内没有收到发送失败通知；</w:t>
      </w:r>
    </w:p>
    <w:p w14:paraId="3DC83A9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14.2.4电话。电话于打出时生效，以电话作出的任何通讯必须以书信、传真或电子邮件确认，如果没有发送或者接收该确认不会使原有通讯失效。</w:t>
      </w:r>
    </w:p>
    <w:p w14:paraId="4418503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14.3书面法律证据。根据本合同以书信、传真或电子邮件方式送达任何订约方的任何通讯，将作为书面法律证据。</w:t>
      </w:r>
    </w:p>
    <w:p w14:paraId="024887F3">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7" w:name="_Toc11290"/>
      <w:bookmarkStart w:id="1228" w:name="_Toc16330032"/>
      <w:bookmarkStart w:id="1229" w:name="_Toc12984"/>
      <w:bookmarkStart w:id="1230" w:name="_Toc9915"/>
      <w:r>
        <w:rPr>
          <w:rFonts w:hint="eastAsia" w:ascii="黑体" w:hAnsi="黑体" w:eastAsia="黑体" w:cs="黑体"/>
          <w:b w:val="0"/>
          <w:iCs/>
          <w:color w:val="auto"/>
          <w:kern w:val="2"/>
          <w:sz w:val="24"/>
          <w:szCs w:val="24"/>
          <w:highlight w:val="none"/>
          <w:lang w:val="en-US" w:eastAsia="zh-CN" w:bidi="ar-SA"/>
        </w:rPr>
        <w:t>15 适用法律及争议解决</w:t>
      </w:r>
      <w:bookmarkEnd w:id="1227"/>
      <w:bookmarkEnd w:id="1228"/>
      <w:bookmarkEnd w:id="1229"/>
      <w:bookmarkEnd w:id="1230"/>
    </w:p>
    <w:p w14:paraId="2EC9AA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15.1本合同条款的效力和解释适用中华人民共和国法律。</w:t>
      </w:r>
    </w:p>
    <w:p w14:paraId="2613AE9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72A9BC4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1" w:name="_Toc18207"/>
      <w:bookmarkStart w:id="1232" w:name="_Toc16330033"/>
      <w:bookmarkStart w:id="1233" w:name="_Toc23765"/>
      <w:bookmarkStart w:id="1234" w:name="_Toc23906"/>
      <w:r>
        <w:rPr>
          <w:rFonts w:hint="eastAsia" w:ascii="黑体" w:hAnsi="黑体" w:eastAsia="黑体" w:cs="黑体"/>
          <w:b w:val="0"/>
          <w:iCs/>
          <w:color w:val="auto"/>
          <w:kern w:val="2"/>
          <w:sz w:val="24"/>
          <w:szCs w:val="24"/>
          <w:highlight w:val="none"/>
          <w:lang w:val="en-US" w:eastAsia="zh-CN" w:bidi="ar-SA"/>
        </w:rPr>
        <w:t>16 附件</w:t>
      </w:r>
      <w:bookmarkEnd w:id="1231"/>
      <w:bookmarkEnd w:id="1232"/>
      <w:bookmarkEnd w:id="1233"/>
      <w:bookmarkEnd w:id="1234"/>
    </w:p>
    <w:p w14:paraId="4E69039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本合同及其附件构成双方关于本合同标的之全部协议，包括但不限于下列文件：</w:t>
      </w:r>
    </w:p>
    <w:p w14:paraId="29AA8BA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16.1技术协议书；</w:t>
      </w:r>
    </w:p>
    <w:p w14:paraId="3226E25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16.2合同设备一览表；</w:t>
      </w:r>
    </w:p>
    <w:p w14:paraId="5AFD950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16.3卖方中标的设备投标书以及一切书面承诺；</w:t>
      </w:r>
    </w:p>
    <w:p w14:paraId="7F2CFFC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16.4招标文件。</w:t>
      </w:r>
    </w:p>
    <w:p w14:paraId="0E28CA6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上述附件内容与本合同约定有冲突的，以本合同约定为准。</w:t>
      </w:r>
    </w:p>
    <w:p w14:paraId="0A34425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5" w:name="_Toc17656"/>
      <w:bookmarkStart w:id="1236" w:name="_Toc16330034"/>
      <w:bookmarkStart w:id="1237" w:name="_Toc27202"/>
      <w:bookmarkStart w:id="1238" w:name="_Toc31331"/>
      <w:r>
        <w:rPr>
          <w:rFonts w:hint="eastAsia" w:ascii="黑体" w:hAnsi="黑体" w:eastAsia="黑体" w:cs="黑体"/>
          <w:b w:val="0"/>
          <w:iCs/>
          <w:color w:val="auto"/>
          <w:kern w:val="2"/>
          <w:sz w:val="24"/>
          <w:szCs w:val="24"/>
          <w:highlight w:val="none"/>
          <w:lang w:val="en-US" w:eastAsia="zh-CN" w:bidi="ar-SA"/>
        </w:rPr>
        <w:t>17 其他规定</w:t>
      </w:r>
      <w:bookmarkEnd w:id="1235"/>
      <w:bookmarkEnd w:id="1236"/>
      <w:bookmarkEnd w:id="1237"/>
      <w:bookmarkEnd w:id="1238"/>
    </w:p>
    <w:p w14:paraId="6545D87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17.1本合同及其附件构成了双方就本合同所含交易而达成的全部合同，并取代双方先前与该等交易有关的全部口头和书面合同。</w:t>
      </w:r>
    </w:p>
    <w:p w14:paraId="2076FAF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17.2如果本合同的任何条款和条件在任何时间成为非法、无效或不可强制执行的，则其他条款不应受其影响。</w:t>
      </w:r>
    </w:p>
    <w:p w14:paraId="34F94C3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E20142A">
      <w:pPr>
        <w:spacing w:after="0" w:line="360" w:lineRule="auto"/>
        <w:ind w:firstLine="480" w:firstLineChars="200"/>
        <w:rPr>
          <w:rFonts w:ascii="仿宋_GB2312" w:hAnsi="仿宋_GB2312" w:eastAsia="仿宋_GB2312" w:cs="仿宋_GB2312"/>
          <w:color w:val="auto"/>
          <w:sz w:val="24"/>
          <w:szCs w:val="24"/>
          <w:highlight w:val="none"/>
        </w:rPr>
      </w:pPr>
      <w:bookmarkStart w:id="1239" w:name="_Toc19077"/>
      <w:bookmarkStart w:id="1240" w:name="_Toc16330035"/>
      <w:bookmarkStart w:id="1241" w:name="_Toc17952"/>
      <w:bookmarkStart w:id="1242" w:name="_Toc29136"/>
      <w:r>
        <w:rPr>
          <w:rFonts w:hint="eastAsia" w:ascii="仿宋_GB2312" w:hAnsi="仿宋_GB2312" w:eastAsia="仿宋_GB2312" w:cs="仿宋_GB2312"/>
          <w:color w:val="auto"/>
          <w:sz w:val="24"/>
          <w:szCs w:val="24"/>
          <w:highlight w:val="none"/>
        </w:rPr>
        <w:t>17.4监造，在合同设备的制造过程中，买方有权派出代表对合同设备制造过程中的关键工序进行质量监督，卖方有配合买方监造的义务。</w:t>
      </w:r>
    </w:p>
    <w:p w14:paraId="56D3963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088609">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18 签署事项</w:t>
      </w:r>
      <w:bookmarkEnd w:id="1239"/>
      <w:bookmarkEnd w:id="1240"/>
      <w:bookmarkEnd w:id="1241"/>
      <w:bookmarkEnd w:id="1242"/>
    </w:p>
    <w:p w14:paraId="3BEE2CB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w:t>
      </w:r>
      <w:r>
        <w:rPr>
          <w:rFonts w:hint="eastAsia" w:ascii="仿宋_GB2312" w:hAnsi="仿宋_GB2312" w:eastAsia="仿宋_GB2312" w:cs="仿宋_GB2312"/>
          <w:color w:val="auto"/>
          <w:sz w:val="24"/>
          <w:szCs w:val="24"/>
          <w:highlight w:val="none"/>
          <w:lang w:val="en-US" w:eastAsia="zh-CN"/>
        </w:rPr>
        <w:t>或协议</w:t>
      </w:r>
      <w:r>
        <w:rPr>
          <w:rFonts w:hint="eastAsia" w:ascii="仿宋_GB2312" w:hAnsi="仿宋_GB2312" w:eastAsia="仿宋_GB2312" w:cs="仿宋_GB2312"/>
          <w:color w:val="auto"/>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color w:val="auto"/>
          <w:sz w:val="24"/>
          <w:highlight w:val="none"/>
        </w:rPr>
        <w:t>本合同所有的手写涂改、一方擅自增加、删改、篡改部分无效（个人手写签名除外）</w:t>
      </w:r>
      <w:r>
        <w:rPr>
          <w:rFonts w:hint="eastAsia" w:ascii="仿宋_GB2312" w:hAnsi="仿宋_GB2312" w:eastAsia="仿宋_GB2312" w:cs="仿宋_GB2312"/>
          <w:color w:val="auto"/>
          <w:sz w:val="24"/>
          <w:szCs w:val="24"/>
          <w:highlight w:val="none"/>
        </w:rPr>
        <w:t>。</w:t>
      </w:r>
    </w:p>
    <w:p w14:paraId="3C84597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393C0C5B">
      <w:pPr>
        <w:widowControl/>
        <w:adjustRightInd w:val="0"/>
        <w:snapToGrid w:val="0"/>
        <w:spacing w:after="0" w:line="360" w:lineRule="auto"/>
        <w:jc w:val="left"/>
        <w:rPr>
          <w:rFonts w:hint="eastAsia" w:ascii="仿宋_GB2312" w:hAnsi="仿宋_GB2312" w:eastAsia="仿宋_GB2312" w:cs="仿宋_GB2312"/>
          <w:snapToGrid w:val="0"/>
          <w:color w:val="auto"/>
          <w:kern w:val="0"/>
          <w:sz w:val="24"/>
          <w:szCs w:val="24"/>
          <w:highlight w:val="none"/>
          <w:lang w:eastAsia="zh-Hans"/>
        </w:rPr>
      </w:pPr>
    </w:p>
    <w:p w14:paraId="6F5715B1">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7"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7"/>
    </w:p>
    <w:p w14:paraId="2A14F9DD">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3F56C9F2">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5DFF770B">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28688573">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8"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8"/>
    </w:p>
    <w:p w14:paraId="257531B1">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070995C9">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6736346E">
      <w:pPr>
        <w:rPr>
          <w:rFonts w:hint="eastAsia" w:ascii="黑体" w:hAnsi="黑体" w:eastAsia="黑体" w:cs="宋体"/>
          <w:color w:val="auto"/>
          <w:sz w:val="28"/>
          <w:szCs w:val="28"/>
          <w:highlight w:val="none"/>
        </w:rPr>
      </w:pPr>
      <w:r>
        <w:rPr>
          <w:rFonts w:hint="eastAsia" w:ascii="黑体" w:hAnsi="黑体" w:eastAsia="黑体" w:cs="宋体"/>
          <w:color w:val="auto"/>
          <w:sz w:val="28"/>
          <w:szCs w:val="28"/>
          <w:highlight w:val="none"/>
        </w:rPr>
        <w:br w:type="page"/>
      </w:r>
    </w:p>
    <w:p w14:paraId="06A4436E">
      <w:pPr>
        <w:spacing w:after="0" w:line="240" w:lineRule="auto"/>
        <w:rPr>
          <w:rFonts w:ascii="Calibri" w:hAnsi="Calibri" w:eastAsia="宋体" w:cs="Times New Roman"/>
          <w:color w:val="auto"/>
          <w:highlight w:val="none"/>
        </w:rPr>
      </w:pPr>
      <w:r>
        <w:rPr>
          <w:rFonts w:hint="eastAsia" w:ascii="黑体" w:hAnsi="黑体" w:eastAsia="黑体" w:cs="宋体"/>
          <w:color w:val="auto"/>
          <w:sz w:val="28"/>
          <w:szCs w:val="28"/>
          <w:highlight w:val="none"/>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3DD9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6EEDA0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序号</w:t>
            </w:r>
          </w:p>
        </w:tc>
        <w:tc>
          <w:tcPr>
            <w:tcW w:w="756" w:type="dxa"/>
            <w:vAlign w:val="center"/>
          </w:tcPr>
          <w:p w14:paraId="38409AC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产品及部件名称</w:t>
            </w:r>
          </w:p>
        </w:tc>
        <w:tc>
          <w:tcPr>
            <w:tcW w:w="790" w:type="dxa"/>
            <w:vAlign w:val="center"/>
          </w:tcPr>
          <w:p w14:paraId="5BE8721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规格型号及技术参数</w:t>
            </w:r>
          </w:p>
        </w:tc>
        <w:tc>
          <w:tcPr>
            <w:tcW w:w="701" w:type="dxa"/>
            <w:vAlign w:val="center"/>
          </w:tcPr>
          <w:p w14:paraId="24269C6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单位</w:t>
            </w:r>
          </w:p>
        </w:tc>
        <w:tc>
          <w:tcPr>
            <w:tcW w:w="1066" w:type="dxa"/>
            <w:vAlign w:val="center"/>
          </w:tcPr>
          <w:p w14:paraId="4455C93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数量</w:t>
            </w:r>
          </w:p>
        </w:tc>
        <w:tc>
          <w:tcPr>
            <w:tcW w:w="1046" w:type="dxa"/>
            <w:vAlign w:val="center"/>
          </w:tcPr>
          <w:p w14:paraId="74E7431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不含税</w:t>
            </w:r>
          </w:p>
          <w:p w14:paraId="46A8951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977" w:type="dxa"/>
            <w:vAlign w:val="center"/>
          </w:tcPr>
          <w:p w14:paraId="0AB04AF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税率</w:t>
            </w:r>
          </w:p>
        </w:tc>
        <w:tc>
          <w:tcPr>
            <w:tcW w:w="881" w:type="dxa"/>
            <w:vAlign w:val="center"/>
          </w:tcPr>
          <w:p w14:paraId="73EBDF5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税额</w:t>
            </w:r>
          </w:p>
        </w:tc>
        <w:tc>
          <w:tcPr>
            <w:tcW w:w="997" w:type="dxa"/>
            <w:vAlign w:val="center"/>
          </w:tcPr>
          <w:p w14:paraId="15D40C2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含税</w:t>
            </w:r>
          </w:p>
          <w:p w14:paraId="4379301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677" w:type="dxa"/>
            <w:vAlign w:val="center"/>
          </w:tcPr>
          <w:p w14:paraId="7DAE79E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品牌</w:t>
            </w:r>
          </w:p>
        </w:tc>
        <w:tc>
          <w:tcPr>
            <w:tcW w:w="677" w:type="dxa"/>
            <w:vAlign w:val="center"/>
          </w:tcPr>
          <w:p w14:paraId="186CE28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其他</w:t>
            </w:r>
          </w:p>
        </w:tc>
      </w:tr>
      <w:tr w14:paraId="029C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D7BC2F1">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1</w:t>
            </w:r>
          </w:p>
        </w:tc>
        <w:tc>
          <w:tcPr>
            <w:tcW w:w="756" w:type="dxa"/>
            <w:vAlign w:val="center"/>
          </w:tcPr>
          <w:p w14:paraId="1ED4A6A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5C50C498">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000E040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3EFD3CB8">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14C8ED21">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32569FC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0E26E55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2BC1765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64147DA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C1D04E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5AB0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B8E728E">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2</w:t>
            </w:r>
          </w:p>
        </w:tc>
        <w:tc>
          <w:tcPr>
            <w:tcW w:w="756" w:type="dxa"/>
            <w:vAlign w:val="center"/>
          </w:tcPr>
          <w:p w14:paraId="2F22380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4DEFAE3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2D66BA4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0861EF7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649A45A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1FBA6A7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124CC8D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7CCC6EE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23F8C1CE">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92759E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777D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421F81">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w:t>
            </w:r>
          </w:p>
        </w:tc>
        <w:tc>
          <w:tcPr>
            <w:tcW w:w="756" w:type="dxa"/>
            <w:vAlign w:val="center"/>
          </w:tcPr>
          <w:p w14:paraId="07DE2C9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2758F8F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241C064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03B41C3B">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595E7D2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7088F34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15CD85C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02B890E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0DA5DD3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9CF5C0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593A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E0D3963">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合计</w:t>
            </w:r>
          </w:p>
        </w:tc>
        <w:tc>
          <w:tcPr>
            <w:tcW w:w="756" w:type="dxa"/>
            <w:vAlign w:val="center"/>
          </w:tcPr>
          <w:p w14:paraId="1B2B865B">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451075C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6F70172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305ABFA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51CF5936">
            <w:pPr>
              <w:spacing w:after="0" w:line="360" w:lineRule="auto"/>
              <w:jc w:val="center"/>
              <w:rPr>
                <w:rFonts w:ascii="仿宋_GB2312" w:hAnsi="宋体" w:eastAsia="仿宋_GB2312" w:cs="宋体"/>
                <w:color w:val="auto"/>
                <w:highlight w:val="none"/>
              </w:rPr>
            </w:pPr>
          </w:p>
        </w:tc>
        <w:tc>
          <w:tcPr>
            <w:tcW w:w="977" w:type="dxa"/>
            <w:vAlign w:val="center"/>
          </w:tcPr>
          <w:p w14:paraId="12F5C500">
            <w:pPr>
              <w:spacing w:after="0" w:line="360" w:lineRule="auto"/>
              <w:jc w:val="center"/>
              <w:rPr>
                <w:rFonts w:ascii="仿宋_GB2312" w:hAnsi="宋体" w:eastAsia="仿宋_GB2312" w:cs="宋体"/>
                <w:color w:val="auto"/>
                <w:highlight w:val="none"/>
              </w:rPr>
            </w:pPr>
          </w:p>
        </w:tc>
        <w:tc>
          <w:tcPr>
            <w:tcW w:w="881" w:type="dxa"/>
            <w:vAlign w:val="center"/>
          </w:tcPr>
          <w:p w14:paraId="78CAD2E2">
            <w:pPr>
              <w:spacing w:after="0" w:line="360" w:lineRule="auto"/>
              <w:jc w:val="center"/>
              <w:rPr>
                <w:rFonts w:ascii="仿宋_GB2312" w:hAnsi="宋体" w:eastAsia="仿宋_GB2312" w:cs="宋体"/>
                <w:color w:val="auto"/>
                <w:highlight w:val="none"/>
              </w:rPr>
            </w:pPr>
          </w:p>
        </w:tc>
        <w:tc>
          <w:tcPr>
            <w:tcW w:w="997" w:type="dxa"/>
            <w:vAlign w:val="center"/>
          </w:tcPr>
          <w:p w14:paraId="5738120E">
            <w:pPr>
              <w:spacing w:after="0" w:line="360" w:lineRule="auto"/>
              <w:jc w:val="center"/>
              <w:rPr>
                <w:rFonts w:ascii="仿宋_GB2312" w:hAnsi="宋体" w:eastAsia="仿宋_GB2312" w:cs="宋体"/>
                <w:color w:val="auto"/>
                <w:highlight w:val="none"/>
              </w:rPr>
            </w:pPr>
          </w:p>
        </w:tc>
        <w:tc>
          <w:tcPr>
            <w:tcW w:w="677" w:type="dxa"/>
            <w:vAlign w:val="center"/>
          </w:tcPr>
          <w:p w14:paraId="346ABA39">
            <w:pPr>
              <w:spacing w:after="0" w:line="360" w:lineRule="auto"/>
              <w:jc w:val="center"/>
              <w:rPr>
                <w:rFonts w:ascii="仿宋_GB2312" w:hAnsi="宋体" w:eastAsia="仿宋_GB2312" w:cs="宋体"/>
                <w:color w:val="auto"/>
                <w:highlight w:val="none"/>
              </w:rPr>
            </w:pPr>
          </w:p>
        </w:tc>
        <w:tc>
          <w:tcPr>
            <w:tcW w:w="677" w:type="dxa"/>
            <w:vAlign w:val="center"/>
          </w:tcPr>
          <w:p w14:paraId="28BCD400">
            <w:pPr>
              <w:spacing w:after="0" w:line="360" w:lineRule="auto"/>
              <w:jc w:val="center"/>
              <w:rPr>
                <w:rFonts w:ascii="仿宋_GB2312" w:hAnsi="宋体" w:eastAsia="仿宋_GB2312" w:cs="宋体"/>
                <w:color w:val="auto"/>
                <w:highlight w:val="none"/>
              </w:rPr>
            </w:pPr>
          </w:p>
        </w:tc>
      </w:tr>
    </w:tbl>
    <w:p w14:paraId="4282F8D4">
      <w:pPr>
        <w:widowControl w:val="0"/>
        <w:tabs>
          <w:tab w:val="right" w:leader="dot" w:pos="9061"/>
        </w:tabs>
        <w:spacing w:line="360" w:lineRule="auto"/>
        <w:ind w:left="0"/>
        <w:jc w:val="both"/>
        <w:outlineLvl w:val="0"/>
        <w:rPr>
          <w:rFonts w:ascii="宋体" w:hAnsi="宋体" w:eastAsia="宋体" w:cs="宋体"/>
          <w:b/>
          <w:iCs/>
          <w:color w:val="auto"/>
          <w:kern w:val="2"/>
          <w:sz w:val="20"/>
          <w:szCs w:val="20"/>
          <w:highlight w:val="none"/>
          <w:lang w:val="en-US" w:eastAsia="zh-CN" w:bidi="ar-SA"/>
        </w:rPr>
      </w:pPr>
    </w:p>
    <w:p w14:paraId="7D4B89FB">
      <w:pPr>
        <w:spacing w:after="0" w:line="240" w:lineRule="auto"/>
        <w:rPr>
          <w:rFonts w:ascii="宋体" w:hAnsi="宋体" w:eastAsia="宋体" w:cs="宋体"/>
          <w:color w:val="auto"/>
          <w:sz w:val="20"/>
          <w:highlight w:val="none"/>
        </w:rPr>
      </w:pPr>
    </w:p>
    <w:p w14:paraId="144FDD71">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p>
    <w:p w14:paraId="7659AE61">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color w:val="auto"/>
          <w:kern w:val="0"/>
          <w:sz w:val="24"/>
          <w:szCs w:val="24"/>
          <w:highlight w:val="none"/>
          <w:u w:val="single"/>
        </w:rPr>
      </w:pPr>
      <w:r>
        <w:rPr>
          <w:rFonts w:hint="eastAsia" w:ascii="仿宋_GB2312" w:hAnsi="仿宋_GB2312" w:eastAsia="仿宋_GB2312" w:cs="仿宋_GB2312"/>
          <w:snapToGrid w:val="0"/>
          <w:color w:val="auto"/>
          <w:kern w:val="0"/>
          <w:sz w:val="24"/>
          <w:szCs w:val="24"/>
          <w:highlight w:val="none"/>
          <w:lang w:eastAsia="zh-Hans"/>
        </w:rPr>
        <w:t>甲方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bCs/>
          <w:snapToGrid w:val="0"/>
          <w:color w:val="auto"/>
          <w:kern w:val="0"/>
          <w:sz w:val="24"/>
          <w:szCs w:val="24"/>
          <w:highlight w:val="none"/>
          <w:u w:val="single"/>
          <w:lang w:eastAsia="zh-CN"/>
        </w:rPr>
        <w:t>甲方单位</w:t>
      </w:r>
      <w:r>
        <w:rPr>
          <w:rFonts w:hint="eastAsia" w:ascii="仿宋_GB2312" w:hAnsi="仿宋_GB2312" w:eastAsia="仿宋_GB2312" w:cs="仿宋_GB2312"/>
          <w:b/>
          <w:bCs/>
          <w:snapToGrid w:val="0"/>
          <w:color w:val="auto"/>
          <w:kern w:val="0"/>
          <w:sz w:val="24"/>
          <w:szCs w:val="24"/>
          <w:highlight w:val="none"/>
          <w:u w:val="single"/>
        </w:rPr>
        <w:t>全称</w:t>
      </w:r>
    </w:p>
    <w:p w14:paraId="3ACF21FD">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color w:val="auto"/>
          <w:kern w:val="0"/>
          <w:sz w:val="24"/>
          <w:szCs w:val="24"/>
          <w:highlight w:val="none"/>
          <w:u w:val="single"/>
        </w:rPr>
      </w:pPr>
    </w:p>
    <w:p w14:paraId="17715949">
      <w:pPr>
        <w:widowControl/>
        <w:adjustRightInd w:val="0"/>
        <w:snapToGrid w:val="0"/>
        <w:spacing w:after="0"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甲方</w:t>
      </w:r>
      <w:r>
        <w:rPr>
          <w:rFonts w:hint="eastAsia" w:ascii="仿宋_GB2312" w:hAnsi="仿宋_GB2312" w:eastAsia="仿宋_GB2312" w:cs="仿宋_GB2312"/>
          <w:snapToGrid w:val="0"/>
          <w:color w:val="auto"/>
          <w:kern w:val="0"/>
          <w:sz w:val="24"/>
          <w:szCs w:val="24"/>
          <w:highlight w:val="none"/>
        </w:rPr>
        <w:t>代表</w:t>
      </w:r>
      <w:r>
        <w:rPr>
          <w:rFonts w:hint="eastAsia" w:ascii="仿宋_GB2312" w:hAnsi="仿宋_GB2312" w:eastAsia="仿宋_GB2312" w:cs="仿宋_GB2312"/>
          <w:snapToGrid w:val="0"/>
          <w:color w:val="auto"/>
          <w:kern w:val="0"/>
          <w:sz w:val="24"/>
          <w:szCs w:val="24"/>
          <w:highlight w:val="none"/>
          <w:lang w:eastAsia="zh-Hans"/>
        </w:rPr>
        <w:t xml:space="preserve">（签字）： </w:t>
      </w:r>
    </w:p>
    <w:p w14:paraId="1038205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5821B02B">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754D420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2AA6F8FB">
      <w:pPr>
        <w:widowControl/>
        <w:adjustRightInd w:val="0"/>
        <w:snapToGrid w:val="0"/>
        <w:spacing w:after="0" w:line="360" w:lineRule="auto"/>
        <w:ind w:firstLine="480" w:firstLineChars="200"/>
        <w:jc w:val="left"/>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snapToGrid w:val="0"/>
          <w:color w:val="auto"/>
          <w:kern w:val="0"/>
          <w:sz w:val="24"/>
          <w:szCs w:val="24"/>
          <w:highlight w:val="none"/>
        </w:rPr>
        <w:t>乙</w:t>
      </w:r>
      <w:r>
        <w:rPr>
          <w:rFonts w:hint="eastAsia" w:ascii="仿宋_GB2312" w:hAnsi="仿宋_GB2312" w:eastAsia="仿宋_GB2312" w:cs="仿宋_GB2312"/>
          <w:snapToGrid w:val="0"/>
          <w:color w:val="auto"/>
          <w:kern w:val="0"/>
          <w:sz w:val="24"/>
          <w:szCs w:val="24"/>
          <w:highlight w:val="none"/>
          <w:lang w:eastAsia="zh-Hans"/>
        </w:rPr>
        <w:t>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03A16C64">
      <w:pPr>
        <w:widowControl/>
        <w:adjustRightInd w:val="0"/>
        <w:snapToGrid w:val="0"/>
        <w:spacing w:after="0" w:line="360" w:lineRule="auto"/>
        <w:ind w:firstLine="482" w:firstLineChars="200"/>
        <w:jc w:val="left"/>
        <w:rPr>
          <w:rFonts w:hint="eastAsia" w:ascii="仿宋_GB2312" w:hAnsi="仿宋_GB2312" w:eastAsia="仿宋_GB2312" w:cs="仿宋_GB2312"/>
          <w:b/>
          <w:color w:val="auto"/>
          <w:sz w:val="24"/>
          <w:szCs w:val="24"/>
          <w:highlight w:val="none"/>
          <w:u w:val="single"/>
        </w:rPr>
      </w:pPr>
    </w:p>
    <w:p w14:paraId="2235830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r>
        <w:rPr>
          <w:rFonts w:hint="eastAsia" w:ascii="仿宋_GB2312" w:hAnsi="仿宋_GB2312" w:eastAsia="仿宋_GB2312" w:cs="仿宋_GB2312"/>
          <w:snapToGrid w:val="0"/>
          <w:color w:val="auto"/>
          <w:kern w:val="0"/>
          <w:sz w:val="24"/>
          <w:szCs w:val="24"/>
          <w:highlight w:val="none"/>
          <w:lang w:val="en-US" w:eastAsia="zh-CN"/>
        </w:rPr>
        <w:t>乙方代表</w:t>
      </w:r>
      <w:r>
        <w:rPr>
          <w:rFonts w:hint="eastAsia" w:ascii="仿宋_GB2312" w:hAnsi="仿宋_GB2312" w:eastAsia="仿宋_GB2312" w:cs="仿宋_GB2312"/>
          <w:snapToGrid w:val="0"/>
          <w:color w:val="auto"/>
          <w:kern w:val="0"/>
          <w:sz w:val="24"/>
          <w:szCs w:val="24"/>
          <w:highlight w:val="none"/>
          <w:lang w:val="en-US" w:eastAsia="zh-Hans"/>
        </w:rPr>
        <w:t xml:space="preserve">（签字）： </w:t>
      </w:r>
    </w:p>
    <w:p w14:paraId="48DDEC3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2864D789">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5AA88CE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0EEB5F6D">
      <w:pPr>
        <w:widowControl/>
        <w:adjustRightInd/>
        <w:snapToGrid/>
        <w:spacing w:after="0" w:line="240" w:lineRule="auto"/>
        <w:jc w:val="left"/>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rPr>
        <w:t>附件二 技术协议书</w:t>
      </w:r>
      <w:r>
        <w:rPr>
          <w:rFonts w:hint="eastAsia" w:ascii="黑体" w:hAnsi="黑体" w:eastAsia="黑体" w:cs="宋体"/>
          <w:color w:val="auto"/>
          <w:sz w:val="28"/>
          <w:szCs w:val="28"/>
          <w:highlight w:val="none"/>
          <w:lang w:eastAsia="zh-CN"/>
        </w:rPr>
        <w:t>【</w:t>
      </w:r>
      <w:r>
        <w:rPr>
          <w:rFonts w:hint="eastAsia" w:ascii="黑体" w:hAnsi="黑体" w:eastAsia="黑体" w:cs="宋体"/>
          <w:color w:val="auto"/>
          <w:sz w:val="28"/>
          <w:szCs w:val="28"/>
          <w:highlight w:val="none"/>
        </w:rPr>
        <w:t>作为附件另附</w:t>
      </w:r>
      <w:r>
        <w:rPr>
          <w:rFonts w:hint="eastAsia" w:ascii="黑体" w:hAnsi="黑体" w:eastAsia="黑体" w:cs="宋体"/>
          <w:color w:val="auto"/>
          <w:sz w:val="28"/>
          <w:szCs w:val="28"/>
          <w:highlight w:val="none"/>
          <w:lang w:eastAsia="zh-CN"/>
        </w:rPr>
        <w:t>】</w:t>
      </w:r>
    </w:p>
    <w:p w14:paraId="4282CEE2">
      <w:pPr>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lang w:eastAsia="zh-CN"/>
        </w:rPr>
        <w:br w:type="page"/>
      </w:r>
    </w:p>
    <w:p w14:paraId="07029A0A">
      <w:pPr>
        <w:pStyle w:val="71"/>
        <w:rPr>
          <w:rFonts w:hint="default" w:eastAsia="黑体"/>
          <w:color w:val="auto"/>
          <w:highlight w:val="none"/>
          <w:lang w:val="en-US" w:eastAsia="zh-CN"/>
        </w:rPr>
      </w:pPr>
      <w:r>
        <w:rPr>
          <w:rFonts w:hint="eastAsia"/>
          <w:color w:val="auto"/>
          <w:highlight w:val="none"/>
        </w:rPr>
        <w:t>第四部分　</w:t>
      </w:r>
      <w:bookmarkEnd w:id="1169"/>
      <w:r>
        <w:rPr>
          <w:rFonts w:hint="eastAsia"/>
          <w:color w:val="auto"/>
          <w:highlight w:val="none"/>
          <w:lang w:val="en-US" w:eastAsia="zh-CN"/>
        </w:rPr>
        <w:t>投标文件附件</w:t>
      </w:r>
      <w:bookmarkEnd w:id="1170"/>
    </w:p>
    <w:p w14:paraId="2793415D">
      <w:pPr>
        <w:pStyle w:val="71"/>
        <w:jc w:val="left"/>
        <w:rPr>
          <w:rFonts w:hint="eastAsia" w:ascii="宋体" w:hAnsi="宋体" w:eastAsia="宋体" w:cs="宋体"/>
          <w:color w:val="auto"/>
          <w:sz w:val="32"/>
          <w:szCs w:val="32"/>
          <w:highlight w:val="none"/>
          <w:lang w:eastAsia="zh-CN"/>
        </w:rPr>
      </w:pPr>
      <w:bookmarkStart w:id="1243" w:name="_Toc4225"/>
      <w:bookmarkStart w:id="1244" w:name="_Toc47976616"/>
      <w:r>
        <w:rPr>
          <w:rFonts w:hint="eastAsia" w:ascii="宋体" w:hAnsi="宋体" w:eastAsia="宋体" w:cs="宋体"/>
          <w:color w:val="auto"/>
          <w:sz w:val="32"/>
          <w:szCs w:val="32"/>
          <w:highlight w:val="none"/>
        </w:rPr>
        <w:t>附件</w:t>
      </w:r>
      <w:bookmarkEnd w:id="1243"/>
      <w:bookmarkEnd w:id="1244"/>
      <w:r>
        <w:rPr>
          <w:rFonts w:hint="eastAsia" w:ascii="宋体" w:hAnsi="宋体" w:eastAsia="宋体" w:cs="宋体"/>
          <w:color w:val="auto"/>
          <w:sz w:val="32"/>
          <w:szCs w:val="32"/>
          <w:highlight w:val="none"/>
          <w:lang w:val="en-US" w:eastAsia="zh-CN"/>
        </w:rPr>
        <w:t>1</w:t>
      </w:r>
    </w:p>
    <w:p w14:paraId="7A8C42D6">
      <w:pPr>
        <w:keepNext/>
        <w:keepLines/>
        <w:jc w:val="center"/>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投标函</w:t>
      </w:r>
    </w:p>
    <w:p w14:paraId="4FEA71D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有限公司：</w:t>
      </w:r>
    </w:p>
    <w:p w14:paraId="35E9BDD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bCs/>
          <w:snapToGrid w:val="0"/>
          <w:color w:val="auto"/>
          <w:kern w:val="0"/>
          <w:sz w:val="24"/>
          <w:szCs w:val="24"/>
          <w:highlight w:val="none"/>
        </w:rPr>
        <w:t>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份、副本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份；电子版投标文件一份。</w:t>
      </w:r>
    </w:p>
    <w:p w14:paraId="4D96777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14:paraId="6A15C68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7954B5B">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14:paraId="60010F40">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w:t>
      </w:r>
      <w:r>
        <w:rPr>
          <w:rFonts w:hint="eastAsia" w:ascii="宋体" w:hAnsi="宋体" w:cs="Times New Roman"/>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个日历日。</w:t>
      </w:r>
    </w:p>
    <w:p w14:paraId="26658D85">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14:paraId="2EF0AB9D">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14:paraId="0984AA2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14:paraId="5289BD7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14:paraId="61B556A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14:paraId="534BAA2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14:paraId="3369E4E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14:paraId="483115D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14:paraId="219EBA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14:paraId="1D0412D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20EE8D7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14:paraId="24A3435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3FB26078">
      <w:pPr>
        <w:rPr>
          <w:rFonts w:ascii="黑体" w:hAnsi="Calibri" w:eastAsia="黑体" w:cs="Times New Roman"/>
          <w:color w:val="auto"/>
          <w:sz w:val="24"/>
          <w:szCs w:val="24"/>
          <w:highlight w:val="none"/>
        </w:rPr>
      </w:pPr>
    </w:p>
    <w:p w14:paraId="3D7ACF8D">
      <w:pPr>
        <w:jc w:val="both"/>
        <w:rPr>
          <w:rFonts w:ascii="宋体"/>
          <w:b/>
          <w:color w:val="auto"/>
          <w:szCs w:val="24"/>
          <w:highlight w:val="none"/>
        </w:rPr>
      </w:pPr>
    </w:p>
    <w:p w14:paraId="79C069F1">
      <w:pPr>
        <w:pStyle w:val="72"/>
        <w:numPr>
          <w:ilvl w:val="0"/>
          <w:numId w:val="0"/>
        </w:numPr>
        <w:ind w:leftChars="0"/>
        <w:rPr>
          <w:rFonts w:hint="eastAsia" w:ascii="宋体" w:hAnsi="宋体" w:eastAsia="宋体" w:cs="宋体"/>
          <w:color w:val="auto"/>
          <w:sz w:val="32"/>
          <w:szCs w:val="32"/>
          <w:highlight w:val="none"/>
          <w:lang w:val="en-US" w:eastAsia="zh-CN"/>
        </w:rPr>
      </w:pPr>
      <w:bookmarkStart w:id="1245" w:name="_Toc47976618"/>
      <w:bookmarkStart w:id="1246" w:name="_Toc29366869"/>
      <w:bookmarkStart w:id="1247" w:name="_Toc29366865"/>
      <w:r>
        <w:rPr>
          <w:rFonts w:hint="eastAsia" w:ascii="宋体" w:hAnsi="宋体" w:eastAsia="宋体" w:cs="宋体"/>
          <w:color w:val="auto"/>
          <w:sz w:val="32"/>
          <w:szCs w:val="32"/>
          <w:highlight w:val="none"/>
          <w:lang w:val="en-US" w:eastAsia="zh-CN"/>
        </w:rPr>
        <w:t>附件2</w:t>
      </w:r>
    </w:p>
    <w:bookmarkEnd w:id="1245"/>
    <w:p w14:paraId="30080472">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法定代表人授权委托书</w:t>
      </w:r>
    </w:p>
    <w:p w14:paraId="0A72664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cs="Times New Roman"/>
          <w:b/>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53A6E4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175E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D62A1C0">
            <w:pPr>
              <w:adjustRightInd w:val="0"/>
              <w:snapToGrid w:val="0"/>
              <w:spacing w:before="93" w:beforeLines="30" w:line="312" w:lineRule="auto"/>
              <w:jc w:val="center"/>
              <w:rPr>
                <w:rFonts w:ascii="宋体" w:hAnsi="Calibri" w:eastAsia="宋体" w:cs="Times New Roman"/>
                <w:color w:val="auto"/>
                <w:sz w:val="24"/>
                <w:szCs w:val="20"/>
                <w:highlight w:val="none"/>
                <w:u w:val="none"/>
              </w:rPr>
            </w:pPr>
            <w:r>
              <w:rPr>
                <w:rFonts w:hint="eastAsia" w:ascii="宋体" w:hAnsi="宋体" w:eastAsia="宋体" w:cs="Times New Roman"/>
                <w:color w:val="auto"/>
                <w:sz w:val="24"/>
                <w:szCs w:val="20"/>
                <w:highlight w:val="none"/>
              </w:rPr>
              <w:t>附法人身份证明复印件</w:t>
            </w:r>
            <w:r>
              <w:rPr>
                <w:rFonts w:hint="eastAsia" w:ascii="宋体" w:hAnsi="宋体" w:eastAsia="宋体" w:cs="Times New Roman"/>
                <w:color w:val="auto"/>
                <w:sz w:val="24"/>
                <w:szCs w:val="20"/>
                <w:highlight w:val="none"/>
                <w:u w:val="none"/>
                <w:lang w:eastAsia="zh-CN"/>
              </w:rPr>
              <w:t>（</w:t>
            </w:r>
            <w:r>
              <w:rPr>
                <w:rFonts w:hint="eastAsia" w:ascii="宋体" w:hAnsi="宋体" w:eastAsia="宋体" w:cs="Times New Roman"/>
                <w:color w:val="auto"/>
                <w:sz w:val="24"/>
                <w:szCs w:val="20"/>
                <w:highlight w:val="none"/>
                <w:u w:val="none"/>
                <w:lang w:val="en-US" w:eastAsia="zh-CN"/>
              </w:rPr>
              <w:t>正反面）</w:t>
            </w:r>
          </w:p>
          <w:p w14:paraId="4F37DC7D">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w:t>
            </w:r>
            <w:r>
              <w:rPr>
                <w:rFonts w:hint="eastAsia" w:ascii="宋体" w:hAnsi="宋体" w:eastAsia="宋体" w:cs="Times New Roman"/>
                <w:color w:val="auto"/>
                <w:sz w:val="24"/>
                <w:szCs w:val="20"/>
                <w:highlight w:val="none"/>
                <w:lang w:eastAsia="zh-CN"/>
              </w:rPr>
              <w:t>（</w:t>
            </w:r>
            <w:r>
              <w:rPr>
                <w:rFonts w:hint="eastAsia" w:ascii="宋体" w:hAnsi="宋体" w:eastAsia="宋体" w:cs="Times New Roman"/>
                <w:color w:val="auto"/>
                <w:sz w:val="24"/>
                <w:szCs w:val="20"/>
                <w:highlight w:val="none"/>
                <w:lang w:val="en-US" w:eastAsia="zh-CN"/>
              </w:rPr>
              <w:t>正反面</w:t>
            </w:r>
            <w:r>
              <w:rPr>
                <w:rFonts w:hint="eastAsia" w:ascii="宋体" w:hAnsi="宋体" w:eastAsia="宋体" w:cs="Times New Roman"/>
                <w:color w:val="auto"/>
                <w:sz w:val="24"/>
                <w:szCs w:val="20"/>
                <w:highlight w:val="none"/>
                <w:lang w:eastAsia="zh-CN"/>
              </w:rPr>
              <w:t>）</w:t>
            </w:r>
          </w:p>
        </w:tc>
      </w:tr>
    </w:tbl>
    <w:p w14:paraId="0EF98CB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14:paraId="515BE5B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14:paraId="0F648F9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14:paraId="0A20667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14:paraId="1FDA730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14:paraId="0561450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14:paraId="7997178B">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9B2F3A0">
      <w:pPr>
        <w:spacing w:line="360" w:lineRule="auto"/>
        <w:ind w:firstLine="4800" w:firstLineChars="2000"/>
        <w:rPr>
          <w:rFonts w:ascii="宋体" w:hAnsi="宋体" w:cs="宋体"/>
          <w:color w:val="auto"/>
          <w:sz w:val="24"/>
          <w:szCs w:val="21"/>
          <w:highlight w:val="none"/>
        </w:rPr>
      </w:pPr>
    </w:p>
    <w:p w14:paraId="78122B50">
      <w:pPr>
        <w:spacing w:line="360" w:lineRule="auto"/>
        <w:ind w:firstLine="4800" w:firstLineChars="2000"/>
        <w:rPr>
          <w:rFonts w:ascii="宋体" w:hAnsi="宋体" w:cs="宋体"/>
          <w:color w:val="auto"/>
          <w:sz w:val="24"/>
          <w:szCs w:val="21"/>
          <w:highlight w:val="none"/>
        </w:rPr>
      </w:pPr>
    </w:p>
    <w:p w14:paraId="038D233B">
      <w:pPr>
        <w:spacing w:line="360" w:lineRule="auto"/>
        <w:ind w:firstLine="4800" w:firstLineChars="2000"/>
        <w:rPr>
          <w:rFonts w:ascii="宋体" w:hAnsi="宋体" w:cs="宋体"/>
          <w:color w:val="auto"/>
          <w:sz w:val="24"/>
          <w:szCs w:val="21"/>
          <w:highlight w:val="none"/>
        </w:rPr>
      </w:pPr>
    </w:p>
    <w:p w14:paraId="199CFF2E">
      <w:pPr>
        <w:spacing w:line="360" w:lineRule="auto"/>
        <w:ind w:firstLine="4800" w:firstLineChars="2000"/>
        <w:rPr>
          <w:rFonts w:ascii="宋体" w:hAnsi="宋体" w:cs="宋体"/>
          <w:color w:val="auto"/>
          <w:sz w:val="24"/>
          <w:szCs w:val="21"/>
          <w:highlight w:val="none"/>
        </w:rPr>
      </w:pPr>
    </w:p>
    <w:p w14:paraId="2AF1AC35">
      <w:pPr>
        <w:pStyle w:val="14"/>
        <w:rPr>
          <w:color w:val="auto"/>
          <w:highlight w:val="none"/>
        </w:rPr>
      </w:pPr>
    </w:p>
    <w:p w14:paraId="2125788A">
      <w:pPr>
        <w:spacing w:line="360" w:lineRule="auto"/>
        <w:rPr>
          <w:rFonts w:ascii="宋体" w:hAnsi="宋体" w:cs="宋体"/>
          <w:color w:val="auto"/>
          <w:sz w:val="24"/>
          <w:szCs w:val="21"/>
          <w:highlight w:val="none"/>
        </w:rPr>
      </w:pPr>
    </w:p>
    <w:p w14:paraId="14475F22">
      <w:pPr>
        <w:spacing w:line="360" w:lineRule="auto"/>
        <w:rPr>
          <w:rFonts w:ascii="宋体" w:hAnsi="宋体" w:cs="宋体"/>
          <w:color w:val="auto"/>
          <w:sz w:val="24"/>
          <w:szCs w:val="21"/>
          <w:highlight w:val="none"/>
        </w:rPr>
      </w:pPr>
    </w:p>
    <w:bookmarkEnd w:id="1246"/>
    <w:bookmarkEnd w:id="1247"/>
    <w:p w14:paraId="1279A28A">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69AAAB8E">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1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A8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77C409D">
            <w:pPr>
              <w:pStyle w:val="117"/>
              <w:spacing w:before="114"/>
              <w:ind w:left="720"/>
              <w:rPr>
                <w:color w:val="auto"/>
                <w:highlight w:val="none"/>
              </w:rPr>
            </w:pPr>
            <w:r>
              <w:rPr>
                <w:color w:val="auto"/>
                <w:highlight w:val="none"/>
              </w:rPr>
              <w:t xml:space="preserve">企业名称 </w:t>
            </w:r>
          </w:p>
        </w:tc>
        <w:tc>
          <w:tcPr>
            <w:tcW w:w="4680" w:type="dxa"/>
            <w:gridSpan w:val="4"/>
            <w:vAlign w:val="center"/>
          </w:tcPr>
          <w:p w14:paraId="136E2394">
            <w:pPr>
              <w:widowControl/>
              <w:jc w:val="center"/>
              <w:textAlignment w:val="center"/>
              <w:rPr>
                <w:rFonts w:ascii="宋体" w:hAnsi="宋体" w:eastAsia="宋体" w:cs="宋体"/>
                <w:color w:val="auto"/>
                <w:highlight w:val="none"/>
              </w:rPr>
            </w:pPr>
          </w:p>
        </w:tc>
        <w:tc>
          <w:tcPr>
            <w:tcW w:w="1310" w:type="dxa"/>
          </w:tcPr>
          <w:p w14:paraId="4CB7CD89">
            <w:pPr>
              <w:pStyle w:val="117"/>
              <w:spacing w:before="106"/>
              <w:ind w:left="154" w:right="26"/>
              <w:jc w:val="center"/>
              <w:rPr>
                <w:color w:val="auto"/>
                <w:highlight w:val="none"/>
              </w:rPr>
            </w:pPr>
            <w:r>
              <w:rPr>
                <w:color w:val="auto"/>
                <w:highlight w:val="none"/>
              </w:rPr>
              <w:t xml:space="preserve">联系人 </w:t>
            </w:r>
          </w:p>
        </w:tc>
        <w:tc>
          <w:tcPr>
            <w:tcW w:w="1510" w:type="dxa"/>
            <w:vAlign w:val="center"/>
          </w:tcPr>
          <w:p w14:paraId="019FBADD">
            <w:pPr>
              <w:widowControl/>
              <w:jc w:val="center"/>
              <w:textAlignment w:val="center"/>
              <w:rPr>
                <w:rFonts w:ascii="宋体" w:hAnsi="宋体" w:eastAsia="宋体" w:cs="宋体"/>
                <w:color w:val="auto"/>
                <w:szCs w:val="21"/>
                <w:highlight w:val="none"/>
              </w:rPr>
            </w:pPr>
          </w:p>
        </w:tc>
      </w:tr>
      <w:tr w14:paraId="7BA59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426B5F5">
            <w:pPr>
              <w:pStyle w:val="117"/>
              <w:spacing w:before="114"/>
              <w:ind w:left="720"/>
              <w:rPr>
                <w:color w:val="auto"/>
                <w:highlight w:val="none"/>
              </w:rPr>
            </w:pPr>
            <w:r>
              <w:rPr>
                <w:color w:val="auto"/>
                <w:highlight w:val="none"/>
              </w:rPr>
              <w:t xml:space="preserve">企业地址 </w:t>
            </w:r>
          </w:p>
        </w:tc>
        <w:tc>
          <w:tcPr>
            <w:tcW w:w="4680" w:type="dxa"/>
            <w:gridSpan w:val="4"/>
            <w:vAlign w:val="center"/>
          </w:tcPr>
          <w:p w14:paraId="6AF7D11E">
            <w:pPr>
              <w:widowControl/>
              <w:jc w:val="center"/>
              <w:textAlignment w:val="center"/>
              <w:rPr>
                <w:rFonts w:ascii="宋体" w:hAnsi="宋体" w:eastAsia="宋体" w:cs="宋体"/>
                <w:color w:val="auto"/>
                <w:highlight w:val="none"/>
              </w:rPr>
            </w:pPr>
          </w:p>
        </w:tc>
        <w:tc>
          <w:tcPr>
            <w:tcW w:w="1310" w:type="dxa"/>
          </w:tcPr>
          <w:p w14:paraId="31607C87">
            <w:pPr>
              <w:pStyle w:val="117"/>
              <w:spacing w:before="106"/>
              <w:ind w:left="154" w:right="26"/>
              <w:jc w:val="center"/>
              <w:rPr>
                <w:color w:val="auto"/>
                <w:highlight w:val="none"/>
              </w:rPr>
            </w:pPr>
            <w:r>
              <w:rPr>
                <w:color w:val="auto"/>
                <w:highlight w:val="none"/>
              </w:rPr>
              <w:t xml:space="preserve">联系人电话 </w:t>
            </w:r>
          </w:p>
        </w:tc>
        <w:tc>
          <w:tcPr>
            <w:tcW w:w="1510" w:type="dxa"/>
            <w:vAlign w:val="center"/>
          </w:tcPr>
          <w:p w14:paraId="6099D1B2">
            <w:pPr>
              <w:widowControl/>
              <w:jc w:val="center"/>
              <w:textAlignment w:val="center"/>
              <w:rPr>
                <w:rFonts w:ascii="宋体" w:hAnsi="宋体" w:eastAsia="宋体" w:cs="宋体"/>
                <w:color w:val="auto"/>
                <w:szCs w:val="21"/>
                <w:highlight w:val="none"/>
              </w:rPr>
            </w:pPr>
          </w:p>
        </w:tc>
      </w:tr>
      <w:tr w14:paraId="1D7E8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CF34078">
            <w:pPr>
              <w:pStyle w:val="117"/>
              <w:spacing w:before="111"/>
              <w:ind w:left="720"/>
              <w:rPr>
                <w:color w:val="auto"/>
                <w:highlight w:val="none"/>
              </w:rPr>
            </w:pPr>
            <w:r>
              <w:rPr>
                <w:color w:val="auto"/>
                <w:highlight w:val="none"/>
              </w:rPr>
              <w:t xml:space="preserve">企业性质 </w:t>
            </w:r>
          </w:p>
        </w:tc>
        <w:tc>
          <w:tcPr>
            <w:tcW w:w="4680" w:type="dxa"/>
            <w:gridSpan w:val="4"/>
            <w:vAlign w:val="center"/>
          </w:tcPr>
          <w:p w14:paraId="13E62391">
            <w:pPr>
              <w:widowControl/>
              <w:jc w:val="center"/>
              <w:textAlignment w:val="center"/>
              <w:rPr>
                <w:rFonts w:ascii="宋体" w:hAnsi="宋体" w:eastAsia="宋体" w:cs="宋体"/>
                <w:color w:val="auto"/>
                <w:highlight w:val="none"/>
              </w:rPr>
            </w:pPr>
          </w:p>
        </w:tc>
        <w:tc>
          <w:tcPr>
            <w:tcW w:w="1310" w:type="dxa"/>
          </w:tcPr>
          <w:p w14:paraId="32447C2C">
            <w:pPr>
              <w:pStyle w:val="117"/>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14:paraId="5AB72B23">
            <w:pPr>
              <w:widowControl/>
              <w:jc w:val="center"/>
              <w:textAlignment w:val="center"/>
              <w:rPr>
                <w:rFonts w:ascii="宋体" w:hAnsi="宋体" w:eastAsia="宋体" w:cs="宋体"/>
                <w:color w:val="auto"/>
                <w:szCs w:val="21"/>
                <w:highlight w:val="none"/>
              </w:rPr>
            </w:pPr>
          </w:p>
        </w:tc>
      </w:tr>
      <w:tr w14:paraId="6DDC9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9148E51">
            <w:pPr>
              <w:pStyle w:val="117"/>
              <w:spacing w:before="111"/>
              <w:ind w:left="509"/>
              <w:rPr>
                <w:color w:val="auto"/>
                <w:highlight w:val="none"/>
              </w:rPr>
            </w:pPr>
            <w:r>
              <w:rPr>
                <w:color w:val="auto"/>
                <w:highlight w:val="none"/>
              </w:rPr>
              <w:t xml:space="preserve">企业法人代表  </w:t>
            </w:r>
          </w:p>
        </w:tc>
        <w:tc>
          <w:tcPr>
            <w:tcW w:w="4680" w:type="dxa"/>
            <w:gridSpan w:val="4"/>
          </w:tcPr>
          <w:p w14:paraId="1E357D16">
            <w:pPr>
              <w:pStyle w:val="4"/>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14:paraId="232AE593">
            <w:pPr>
              <w:pStyle w:val="117"/>
              <w:spacing w:before="103"/>
              <w:ind w:right="26"/>
              <w:jc w:val="center"/>
              <w:rPr>
                <w:color w:val="auto"/>
                <w:highlight w:val="none"/>
              </w:rPr>
            </w:pPr>
            <w:r>
              <w:rPr>
                <w:color w:val="auto"/>
                <w:highlight w:val="none"/>
              </w:rPr>
              <w:t>企业资质</w:t>
            </w:r>
          </w:p>
        </w:tc>
        <w:tc>
          <w:tcPr>
            <w:tcW w:w="1510" w:type="dxa"/>
            <w:vAlign w:val="center"/>
          </w:tcPr>
          <w:p w14:paraId="2061F801">
            <w:pPr>
              <w:widowControl/>
              <w:jc w:val="center"/>
              <w:textAlignment w:val="center"/>
              <w:rPr>
                <w:rFonts w:ascii="宋体" w:hAnsi="宋体" w:eastAsia="宋体" w:cs="宋体"/>
                <w:color w:val="auto"/>
                <w:szCs w:val="21"/>
                <w:highlight w:val="none"/>
              </w:rPr>
            </w:pPr>
          </w:p>
        </w:tc>
      </w:tr>
      <w:tr w14:paraId="2B287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4B527E">
            <w:pPr>
              <w:pStyle w:val="117"/>
              <w:spacing w:before="114"/>
              <w:ind w:left="720"/>
              <w:rPr>
                <w:color w:val="auto"/>
                <w:highlight w:val="none"/>
              </w:rPr>
            </w:pPr>
            <w:r>
              <w:rPr>
                <w:color w:val="auto"/>
                <w:highlight w:val="none"/>
              </w:rPr>
              <w:t xml:space="preserve">品牌区分 </w:t>
            </w:r>
          </w:p>
        </w:tc>
        <w:tc>
          <w:tcPr>
            <w:tcW w:w="7500" w:type="dxa"/>
            <w:gridSpan w:val="6"/>
          </w:tcPr>
          <w:p w14:paraId="1642EAB3">
            <w:pPr>
              <w:pStyle w:val="117"/>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14:paraId="2E7A5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D528234">
            <w:pPr>
              <w:pStyle w:val="117"/>
              <w:spacing w:before="178"/>
              <w:ind w:left="720"/>
              <w:rPr>
                <w:color w:val="auto"/>
                <w:highlight w:val="none"/>
              </w:rPr>
            </w:pPr>
            <w:r>
              <w:rPr>
                <w:color w:val="auto"/>
                <w:highlight w:val="none"/>
              </w:rPr>
              <w:t xml:space="preserve">品牌名称 </w:t>
            </w:r>
          </w:p>
        </w:tc>
        <w:tc>
          <w:tcPr>
            <w:tcW w:w="3583" w:type="dxa"/>
            <w:gridSpan w:val="3"/>
            <w:vAlign w:val="center"/>
          </w:tcPr>
          <w:p w14:paraId="3E6BEBC5">
            <w:pPr>
              <w:widowControl/>
              <w:rPr>
                <w:rFonts w:ascii="宋体" w:hAnsi="宋体" w:eastAsia="仿宋_GB2312"/>
                <w:color w:val="auto"/>
                <w:kern w:val="0"/>
                <w:szCs w:val="21"/>
                <w:highlight w:val="none"/>
                <w:lang w:bidi="ar"/>
              </w:rPr>
            </w:pPr>
          </w:p>
        </w:tc>
        <w:tc>
          <w:tcPr>
            <w:tcW w:w="1097" w:type="dxa"/>
          </w:tcPr>
          <w:p w14:paraId="4A9354E6">
            <w:pPr>
              <w:pStyle w:val="117"/>
              <w:spacing w:before="15"/>
              <w:ind w:left="279"/>
              <w:rPr>
                <w:color w:val="auto"/>
                <w:highlight w:val="none"/>
              </w:rPr>
            </w:pPr>
            <w:r>
              <w:rPr>
                <w:color w:val="auto"/>
                <w:spacing w:val="-2"/>
                <w:highlight w:val="none"/>
              </w:rPr>
              <w:t>质量</w:t>
            </w:r>
            <w:r>
              <w:rPr>
                <w:color w:val="auto"/>
                <w:highlight w:val="none"/>
              </w:rPr>
              <w:t xml:space="preserve"> </w:t>
            </w:r>
          </w:p>
          <w:p w14:paraId="6810744E">
            <w:pPr>
              <w:pStyle w:val="117"/>
              <w:spacing w:before="30" w:line="277" w:lineRule="exact"/>
              <w:ind w:left="279"/>
              <w:rPr>
                <w:color w:val="auto"/>
                <w:highlight w:val="none"/>
              </w:rPr>
            </w:pPr>
            <w:r>
              <w:rPr>
                <w:rFonts w:hint="eastAsia"/>
                <w:color w:val="auto"/>
                <w:highlight w:val="none"/>
              </w:rPr>
              <w:t>体系</w:t>
            </w:r>
          </w:p>
        </w:tc>
        <w:tc>
          <w:tcPr>
            <w:tcW w:w="2820" w:type="dxa"/>
            <w:gridSpan w:val="2"/>
          </w:tcPr>
          <w:p w14:paraId="51B891D3">
            <w:pPr>
              <w:pStyle w:val="117"/>
              <w:spacing w:before="158"/>
              <w:jc w:val="center"/>
              <w:rPr>
                <w:color w:val="auto"/>
                <w:sz w:val="24"/>
                <w:highlight w:val="none"/>
              </w:rPr>
            </w:pPr>
            <w:r>
              <w:rPr>
                <w:rFonts w:hint="eastAsia"/>
                <w:color w:val="auto"/>
                <w:kern w:val="0"/>
                <w:szCs w:val="21"/>
                <w:highlight w:val="none"/>
                <w:lang w:bidi="ar"/>
              </w:rPr>
              <w:t>/</w:t>
            </w:r>
          </w:p>
        </w:tc>
      </w:tr>
      <w:tr w14:paraId="731F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7533652">
            <w:pPr>
              <w:pStyle w:val="117"/>
              <w:spacing w:before="149"/>
              <w:ind w:left="3345" w:right="3223"/>
              <w:jc w:val="center"/>
              <w:rPr>
                <w:color w:val="auto"/>
                <w:highlight w:val="none"/>
              </w:rPr>
            </w:pPr>
            <w:r>
              <w:rPr>
                <w:rFonts w:hint="eastAsia"/>
                <w:color w:val="auto"/>
                <w:szCs w:val="21"/>
                <w:highlight w:val="none"/>
              </w:rPr>
              <w:t>单位概况</w:t>
            </w:r>
          </w:p>
        </w:tc>
      </w:tr>
      <w:tr w14:paraId="50C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39130F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14:paraId="5F0821CA">
            <w:pPr>
              <w:widowControl/>
              <w:textAlignment w:val="center"/>
              <w:rPr>
                <w:rFonts w:ascii="宋体" w:hAnsi="宋体" w:eastAsia="宋体" w:cs="宋体"/>
                <w:color w:val="auto"/>
                <w:szCs w:val="21"/>
                <w:highlight w:val="none"/>
              </w:rPr>
            </w:pPr>
          </w:p>
        </w:tc>
        <w:tc>
          <w:tcPr>
            <w:tcW w:w="1530" w:type="dxa"/>
            <w:vAlign w:val="center"/>
          </w:tcPr>
          <w:p w14:paraId="0D964458">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14:paraId="62BA7A2B">
            <w:pPr>
              <w:widowControl/>
              <w:jc w:val="center"/>
              <w:textAlignment w:val="center"/>
              <w:rPr>
                <w:rFonts w:ascii="宋体" w:hAnsi="宋体" w:eastAsia="宋体" w:cs="宋体"/>
                <w:color w:val="auto"/>
                <w:szCs w:val="21"/>
                <w:highlight w:val="none"/>
              </w:rPr>
            </w:pPr>
          </w:p>
        </w:tc>
        <w:tc>
          <w:tcPr>
            <w:tcW w:w="1097" w:type="dxa"/>
            <w:vAlign w:val="center"/>
          </w:tcPr>
          <w:p w14:paraId="68B854A3">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14:paraId="59D8E6D0">
            <w:pPr>
              <w:widowControl/>
              <w:jc w:val="center"/>
              <w:textAlignment w:val="center"/>
              <w:rPr>
                <w:rFonts w:ascii="宋体" w:hAnsi="宋体" w:eastAsia="宋体" w:cs="宋体"/>
                <w:color w:val="auto"/>
                <w:szCs w:val="21"/>
                <w:highlight w:val="none"/>
              </w:rPr>
            </w:pPr>
          </w:p>
        </w:tc>
      </w:tr>
      <w:tr w14:paraId="28AFE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D4CA3F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14:paraId="5181DE8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2E49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07F3B65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14:paraId="30BE257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2AA2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52E9E3B8">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14:paraId="632942D2">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173F6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33EDB72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14:paraId="3AB152AF">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6B2E4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3086CD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14:paraId="0122EF9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1BC25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4D63DB4">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14:paraId="535E442D">
            <w:pPr>
              <w:widowControl/>
              <w:jc w:val="left"/>
              <w:rPr>
                <w:rFonts w:ascii="宋体" w:hAnsi="宋体" w:eastAsia="宋体" w:cs="宋体"/>
                <w:color w:val="auto"/>
                <w:kern w:val="0"/>
                <w:szCs w:val="21"/>
                <w:highlight w:val="none"/>
                <w:lang w:bidi="ar"/>
              </w:rPr>
            </w:pPr>
          </w:p>
        </w:tc>
      </w:tr>
    </w:tbl>
    <w:p w14:paraId="21AADD8C">
      <w:pP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br w:type="page"/>
      </w:r>
    </w:p>
    <w:p w14:paraId="7B8F9592">
      <w:pPr>
        <w:pStyle w:val="14"/>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14:paraId="1B2ED485">
      <w:pPr>
        <w:pStyle w:val="14"/>
        <w:rPr>
          <w:rFonts w:ascii="Times New Roman" w:hAnsi="Times New Roman" w:eastAsia="宋体" w:cs="Times New Roman"/>
          <w:b/>
          <w:bCs/>
          <w:color w:val="auto"/>
          <w:sz w:val="24"/>
          <w:szCs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6C1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34CB812F">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14:paraId="39EA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08A2A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14:paraId="27DDC916">
            <w:pPr>
              <w:spacing w:line="440" w:lineRule="exact"/>
              <w:jc w:val="center"/>
              <w:rPr>
                <w:rFonts w:ascii="宋体" w:hAnsi="宋体"/>
                <w:color w:val="auto"/>
                <w:sz w:val="24"/>
                <w:szCs w:val="24"/>
                <w:highlight w:val="none"/>
              </w:rPr>
            </w:pPr>
          </w:p>
        </w:tc>
      </w:tr>
      <w:tr w14:paraId="6A75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48928B">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14:paraId="6C04AE47">
            <w:pPr>
              <w:spacing w:line="440" w:lineRule="exact"/>
              <w:jc w:val="center"/>
              <w:rPr>
                <w:rFonts w:ascii="宋体" w:hAnsi="宋体"/>
                <w:color w:val="auto"/>
                <w:sz w:val="24"/>
                <w:szCs w:val="24"/>
                <w:highlight w:val="none"/>
              </w:rPr>
            </w:pPr>
          </w:p>
        </w:tc>
      </w:tr>
      <w:tr w14:paraId="798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2E262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14:paraId="20BD0ECF">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2021年</w:t>
            </w:r>
          </w:p>
        </w:tc>
        <w:tc>
          <w:tcPr>
            <w:tcW w:w="1288" w:type="dxa"/>
            <w:vAlign w:val="center"/>
          </w:tcPr>
          <w:p w14:paraId="0CDD0FEF">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2022年</w:t>
            </w:r>
          </w:p>
        </w:tc>
        <w:tc>
          <w:tcPr>
            <w:tcW w:w="1288" w:type="dxa"/>
            <w:vAlign w:val="center"/>
          </w:tcPr>
          <w:p w14:paraId="5438763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2023年</w:t>
            </w:r>
          </w:p>
        </w:tc>
      </w:tr>
      <w:tr w14:paraId="38A2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E04EE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14:paraId="0D90120A">
            <w:pPr>
              <w:spacing w:line="440" w:lineRule="exact"/>
              <w:jc w:val="center"/>
              <w:rPr>
                <w:rFonts w:ascii="宋体" w:hAnsi="宋体"/>
                <w:color w:val="auto"/>
                <w:sz w:val="24"/>
                <w:szCs w:val="24"/>
                <w:highlight w:val="none"/>
              </w:rPr>
            </w:pPr>
          </w:p>
        </w:tc>
        <w:tc>
          <w:tcPr>
            <w:tcW w:w="1288" w:type="dxa"/>
          </w:tcPr>
          <w:p w14:paraId="29B49E09">
            <w:pPr>
              <w:spacing w:line="440" w:lineRule="exact"/>
              <w:jc w:val="center"/>
              <w:rPr>
                <w:rFonts w:ascii="宋体" w:hAnsi="宋体"/>
                <w:color w:val="auto"/>
                <w:sz w:val="24"/>
                <w:szCs w:val="24"/>
                <w:highlight w:val="none"/>
              </w:rPr>
            </w:pPr>
          </w:p>
        </w:tc>
        <w:tc>
          <w:tcPr>
            <w:tcW w:w="1288" w:type="dxa"/>
          </w:tcPr>
          <w:p w14:paraId="5C63E8A3">
            <w:pPr>
              <w:spacing w:line="440" w:lineRule="exact"/>
              <w:jc w:val="center"/>
              <w:rPr>
                <w:rFonts w:ascii="宋体" w:hAnsi="宋体"/>
                <w:color w:val="auto"/>
                <w:sz w:val="24"/>
                <w:szCs w:val="24"/>
                <w:highlight w:val="none"/>
              </w:rPr>
            </w:pPr>
          </w:p>
        </w:tc>
      </w:tr>
      <w:tr w14:paraId="77F5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1D360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14:paraId="3B0E9EE3">
            <w:pPr>
              <w:spacing w:line="440" w:lineRule="exact"/>
              <w:jc w:val="center"/>
              <w:rPr>
                <w:rFonts w:ascii="宋体" w:hAnsi="宋体"/>
                <w:color w:val="auto"/>
                <w:sz w:val="24"/>
                <w:szCs w:val="24"/>
                <w:highlight w:val="none"/>
              </w:rPr>
            </w:pPr>
          </w:p>
        </w:tc>
        <w:tc>
          <w:tcPr>
            <w:tcW w:w="1288" w:type="dxa"/>
          </w:tcPr>
          <w:p w14:paraId="2B51051C">
            <w:pPr>
              <w:spacing w:line="440" w:lineRule="exact"/>
              <w:jc w:val="center"/>
              <w:rPr>
                <w:rFonts w:ascii="宋体" w:hAnsi="宋体"/>
                <w:color w:val="auto"/>
                <w:sz w:val="24"/>
                <w:szCs w:val="24"/>
                <w:highlight w:val="none"/>
              </w:rPr>
            </w:pPr>
          </w:p>
        </w:tc>
        <w:tc>
          <w:tcPr>
            <w:tcW w:w="1288" w:type="dxa"/>
          </w:tcPr>
          <w:p w14:paraId="53E94816">
            <w:pPr>
              <w:spacing w:line="440" w:lineRule="exact"/>
              <w:jc w:val="center"/>
              <w:rPr>
                <w:rFonts w:ascii="宋体" w:hAnsi="宋体"/>
                <w:color w:val="auto"/>
                <w:sz w:val="24"/>
                <w:szCs w:val="24"/>
                <w:highlight w:val="none"/>
              </w:rPr>
            </w:pPr>
          </w:p>
        </w:tc>
      </w:tr>
      <w:tr w14:paraId="76B3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447B81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14:paraId="0556678E">
            <w:pPr>
              <w:spacing w:line="440" w:lineRule="exact"/>
              <w:jc w:val="center"/>
              <w:rPr>
                <w:rFonts w:ascii="宋体" w:hAnsi="宋体"/>
                <w:color w:val="auto"/>
                <w:sz w:val="24"/>
                <w:szCs w:val="24"/>
                <w:highlight w:val="none"/>
              </w:rPr>
            </w:pPr>
          </w:p>
        </w:tc>
        <w:tc>
          <w:tcPr>
            <w:tcW w:w="1288" w:type="dxa"/>
          </w:tcPr>
          <w:p w14:paraId="301F9A3F">
            <w:pPr>
              <w:spacing w:line="440" w:lineRule="exact"/>
              <w:jc w:val="center"/>
              <w:rPr>
                <w:rFonts w:ascii="宋体" w:hAnsi="宋体"/>
                <w:color w:val="auto"/>
                <w:sz w:val="24"/>
                <w:szCs w:val="24"/>
                <w:highlight w:val="none"/>
              </w:rPr>
            </w:pPr>
          </w:p>
        </w:tc>
        <w:tc>
          <w:tcPr>
            <w:tcW w:w="1288" w:type="dxa"/>
          </w:tcPr>
          <w:p w14:paraId="07EDBB8B">
            <w:pPr>
              <w:spacing w:line="440" w:lineRule="exact"/>
              <w:jc w:val="center"/>
              <w:rPr>
                <w:rFonts w:ascii="宋体" w:hAnsi="宋体"/>
                <w:color w:val="auto"/>
                <w:sz w:val="24"/>
                <w:szCs w:val="24"/>
                <w:highlight w:val="none"/>
              </w:rPr>
            </w:pPr>
          </w:p>
        </w:tc>
      </w:tr>
      <w:tr w14:paraId="75F2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BFCE5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14:paraId="0C5F84B3">
            <w:pPr>
              <w:spacing w:line="440" w:lineRule="exact"/>
              <w:jc w:val="center"/>
              <w:rPr>
                <w:rFonts w:ascii="宋体" w:hAnsi="宋体"/>
                <w:color w:val="auto"/>
                <w:sz w:val="24"/>
                <w:szCs w:val="24"/>
                <w:highlight w:val="none"/>
              </w:rPr>
            </w:pPr>
          </w:p>
        </w:tc>
        <w:tc>
          <w:tcPr>
            <w:tcW w:w="1288" w:type="dxa"/>
          </w:tcPr>
          <w:p w14:paraId="5B08A058">
            <w:pPr>
              <w:spacing w:line="440" w:lineRule="exact"/>
              <w:jc w:val="center"/>
              <w:rPr>
                <w:rFonts w:ascii="宋体" w:hAnsi="宋体"/>
                <w:color w:val="auto"/>
                <w:sz w:val="24"/>
                <w:szCs w:val="24"/>
                <w:highlight w:val="none"/>
              </w:rPr>
            </w:pPr>
          </w:p>
        </w:tc>
        <w:tc>
          <w:tcPr>
            <w:tcW w:w="1288" w:type="dxa"/>
          </w:tcPr>
          <w:p w14:paraId="268D8E0E">
            <w:pPr>
              <w:spacing w:line="440" w:lineRule="exact"/>
              <w:jc w:val="center"/>
              <w:rPr>
                <w:rFonts w:ascii="宋体" w:hAnsi="宋体"/>
                <w:color w:val="auto"/>
                <w:sz w:val="24"/>
                <w:szCs w:val="24"/>
                <w:highlight w:val="none"/>
              </w:rPr>
            </w:pPr>
          </w:p>
        </w:tc>
      </w:tr>
      <w:tr w14:paraId="1843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08663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14:paraId="3B239218">
            <w:pPr>
              <w:spacing w:line="440" w:lineRule="exact"/>
              <w:jc w:val="center"/>
              <w:rPr>
                <w:rFonts w:ascii="宋体" w:hAnsi="宋体"/>
                <w:color w:val="auto"/>
                <w:sz w:val="24"/>
                <w:szCs w:val="24"/>
                <w:highlight w:val="none"/>
              </w:rPr>
            </w:pPr>
          </w:p>
        </w:tc>
        <w:tc>
          <w:tcPr>
            <w:tcW w:w="1288" w:type="dxa"/>
          </w:tcPr>
          <w:p w14:paraId="36E0E3A4">
            <w:pPr>
              <w:spacing w:line="440" w:lineRule="exact"/>
              <w:jc w:val="center"/>
              <w:rPr>
                <w:rFonts w:ascii="宋体" w:hAnsi="宋体"/>
                <w:color w:val="auto"/>
                <w:sz w:val="24"/>
                <w:szCs w:val="24"/>
                <w:highlight w:val="none"/>
              </w:rPr>
            </w:pPr>
          </w:p>
        </w:tc>
        <w:tc>
          <w:tcPr>
            <w:tcW w:w="1288" w:type="dxa"/>
          </w:tcPr>
          <w:p w14:paraId="2D29E844">
            <w:pPr>
              <w:spacing w:line="440" w:lineRule="exact"/>
              <w:jc w:val="center"/>
              <w:rPr>
                <w:rFonts w:ascii="宋体" w:hAnsi="宋体"/>
                <w:color w:val="auto"/>
                <w:sz w:val="24"/>
                <w:szCs w:val="24"/>
                <w:highlight w:val="none"/>
              </w:rPr>
            </w:pPr>
          </w:p>
        </w:tc>
      </w:tr>
      <w:tr w14:paraId="3438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416C4850">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14:paraId="33011327">
            <w:pPr>
              <w:spacing w:line="440" w:lineRule="exact"/>
              <w:jc w:val="center"/>
              <w:rPr>
                <w:rFonts w:ascii="宋体" w:hAnsi="宋体"/>
                <w:color w:val="auto"/>
                <w:sz w:val="24"/>
                <w:szCs w:val="24"/>
                <w:highlight w:val="none"/>
              </w:rPr>
            </w:pPr>
          </w:p>
        </w:tc>
        <w:tc>
          <w:tcPr>
            <w:tcW w:w="1288" w:type="dxa"/>
          </w:tcPr>
          <w:p w14:paraId="31CC0F58">
            <w:pPr>
              <w:spacing w:line="440" w:lineRule="exact"/>
              <w:jc w:val="center"/>
              <w:rPr>
                <w:rFonts w:ascii="宋体" w:hAnsi="宋体"/>
                <w:color w:val="auto"/>
                <w:sz w:val="24"/>
                <w:szCs w:val="24"/>
                <w:highlight w:val="none"/>
              </w:rPr>
            </w:pPr>
          </w:p>
        </w:tc>
        <w:tc>
          <w:tcPr>
            <w:tcW w:w="1288" w:type="dxa"/>
          </w:tcPr>
          <w:p w14:paraId="5909DD1A">
            <w:pPr>
              <w:spacing w:line="440" w:lineRule="exact"/>
              <w:jc w:val="center"/>
              <w:rPr>
                <w:rFonts w:ascii="宋体" w:hAnsi="宋体"/>
                <w:color w:val="auto"/>
                <w:sz w:val="24"/>
                <w:szCs w:val="24"/>
                <w:highlight w:val="none"/>
              </w:rPr>
            </w:pPr>
          </w:p>
        </w:tc>
      </w:tr>
      <w:tr w14:paraId="3877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44357BA5">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14:paraId="5CBEE1E5">
            <w:pPr>
              <w:spacing w:line="440" w:lineRule="exact"/>
              <w:jc w:val="center"/>
              <w:rPr>
                <w:rFonts w:ascii="宋体" w:hAnsi="宋体"/>
                <w:color w:val="auto"/>
                <w:sz w:val="24"/>
                <w:szCs w:val="24"/>
                <w:highlight w:val="none"/>
              </w:rPr>
            </w:pPr>
          </w:p>
        </w:tc>
        <w:tc>
          <w:tcPr>
            <w:tcW w:w="1288" w:type="dxa"/>
          </w:tcPr>
          <w:p w14:paraId="3EEF0507">
            <w:pPr>
              <w:spacing w:line="440" w:lineRule="exact"/>
              <w:jc w:val="center"/>
              <w:rPr>
                <w:rFonts w:ascii="宋体" w:hAnsi="宋体"/>
                <w:color w:val="auto"/>
                <w:sz w:val="24"/>
                <w:szCs w:val="24"/>
                <w:highlight w:val="none"/>
              </w:rPr>
            </w:pPr>
          </w:p>
        </w:tc>
        <w:tc>
          <w:tcPr>
            <w:tcW w:w="1288" w:type="dxa"/>
          </w:tcPr>
          <w:p w14:paraId="768FC39A">
            <w:pPr>
              <w:spacing w:line="440" w:lineRule="exact"/>
              <w:jc w:val="center"/>
              <w:rPr>
                <w:rFonts w:ascii="宋体" w:hAnsi="宋体"/>
                <w:color w:val="auto"/>
                <w:sz w:val="24"/>
                <w:szCs w:val="24"/>
                <w:highlight w:val="none"/>
              </w:rPr>
            </w:pPr>
          </w:p>
        </w:tc>
      </w:tr>
      <w:tr w14:paraId="6D45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C47B44">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14:paraId="3EEC0E3E">
            <w:pPr>
              <w:spacing w:line="440" w:lineRule="exact"/>
              <w:jc w:val="center"/>
              <w:rPr>
                <w:rFonts w:ascii="宋体" w:hAnsi="宋体"/>
                <w:color w:val="auto"/>
                <w:sz w:val="24"/>
                <w:szCs w:val="24"/>
                <w:highlight w:val="none"/>
              </w:rPr>
            </w:pPr>
          </w:p>
        </w:tc>
        <w:tc>
          <w:tcPr>
            <w:tcW w:w="1288" w:type="dxa"/>
          </w:tcPr>
          <w:p w14:paraId="727D61CD">
            <w:pPr>
              <w:spacing w:line="440" w:lineRule="exact"/>
              <w:jc w:val="center"/>
              <w:rPr>
                <w:rFonts w:ascii="宋体" w:hAnsi="宋体"/>
                <w:color w:val="auto"/>
                <w:sz w:val="24"/>
                <w:szCs w:val="24"/>
                <w:highlight w:val="none"/>
              </w:rPr>
            </w:pPr>
          </w:p>
        </w:tc>
        <w:tc>
          <w:tcPr>
            <w:tcW w:w="1288" w:type="dxa"/>
          </w:tcPr>
          <w:p w14:paraId="2B07DC7B">
            <w:pPr>
              <w:spacing w:line="440" w:lineRule="exact"/>
              <w:jc w:val="center"/>
              <w:rPr>
                <w:rFonts w:ascii="宋体" w:hAnsi="宋体"/>
                <w:color w:val="auto"/>
                <w:sz w:val="24"/>
                <w:szCs w:val="24"/>
                <w:highlight w:val="none"/>
              </w:rPr>
            </w:pPr>
          </w:p>
        </w:tc>
      </w:tr>
      <w:tr w14:paraId="5B59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5A3B3EF6">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14:paraId="7436A51A">
            <w:pPr>
              <w:spacing w:line="440" w:lineRule="exact"/>
              <w:jc w:val="center"/>
              <w:rPr>
                <w:rFonts w:ascii="宋体" w:hAnsi="宋体"/>
                <w:color w:val="auto"/>
                <w:sz w:val="24"/>
                <w:szCs w:val="24"/>
                <w:highlight w:val="none"/>
              </w:rPr>
            </w:pPr>
          </w:p>
        </w:tc>
        <w:tc>
          <w:tcPr>
            <w:tcW w:w="1288" w:type="dxa"/>
          </w:tcPr>
          <w:p w14:paraId="55FBE6A7">
            <w:pPr>
              <w:spacing w:line="440" w:lineRule="exact"/>
              <w:jc w:val="center"/>
              <w:rPr>
                <w:rFonts w:ascii="宋体" w:hAnsi="宋体"/>
                <w:color w:val="auto"/>
                <w:sz w:val="24"/>
                <w:szCs w:val="24"/>
                <w:highlight w:val="none"/>
              </w:rPr>
            </w:pPr>
          </w:p>
        </w:tc>
        <w:tc>
          <w:tcPr>
            <w:tcW w:w="1288" w:type="dxa"/>
          </w:tcPr>
          <w:p w14:paraId="5DB29273">
            <w:pPr>
              <w:spacing w:line="440" w:lineRule="exact"/>
              <w:jc w:val="center"/>
              <w:rPr>
                <w:rFonts w:ascii="宋体" w:hAnsi="宋体"/>
                <w:color w:val="auto"/>
                <w:sz w:val="24"/>
                <w:szCs w:val="24"/>
                <w:highlight w:val="none"/>
              </w:rPr>
            </w:pPr>
          </w:p>
        </w:tc>
      </w:tr>
      <w:tr w14:paraId="2FC1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E8488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14:paraId="0F0AB03B">
            <w:pPr>
              <w:spacing w:line="440" w:lineRule="exact"/>
              <w:jc w:val="center"/>
              <w:rPr>
                <w:rFonts w:ascii="宋体" w:hAnsi="宋体"/>
                <w:color w:val="auto"/>
                <w:sz w:val="24"/>
                <w:szCs w:val="24"/>
                <w:highlight w:val="none"/>
              </w:rPr>
            </w:pPr>
          </w:p>
        </w:tc>
        <w:tc>
          <w:tcPr>
            <w:tcW w:w="1288" w:type="dxa"/>
          </w:tcPr>
          <w:p w14:paraId="40843F5F">
            <w:pPr>
              <w:spacing w:line="440" w:lineRule="exact"/>
              <w:jc w:val="center"/>
              <w:rPr>
                <w:rFonts w:ascii="宋体" w:hAnsi="宋体"/>
                <w:color w:val="auto"/>
                <w:sz w:val="24"/>
                <w:szCs w:val="24"/>
                <w:highlight w:val="none"/>
              </w:rPr>
            </w:pPr>
          </w:p>
        </w:tc>
        <w:tc>
          <w:tcPr>
            <w:tcW w:w="1288" w:type="dxa"/>
          </w:tcPr>
          <w:p w14:paraId="3FDDDB66">
            <w:pPr>
              <w:spacing w:line="440" w:lineRule="exact"/>
              <w:jc w:val="center"/>
              <w:rPr>
                <w:rFonts w:ascii="宋体" w:hAnsi="宋体"/>
                <w:color w:val="auto"/>
                <w:sz w:val="24"/>
                <w:szCs w:val="24"/>
                <w:highlight w:val="none"/>
              </w:rPr>
            </w:pPr>
          </w:p>
        </w:tc>
      </w:tr>
    </w:tbl>
    <w:p w14:paraId="644F2B63">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4DB22CA0">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6D886123">
      <w:pPr>
        <w:spacing w:line="660" w:lineRule="exact"/>
        <w:ind w:firstLine="240" w:firstLineChars="10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3F10236">
      <w:pPr>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br w:type="page"/>
      </w:r>
    </w:p>
    <w:p w14:paraId="437251DC">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14:paraId="7605F0D3">
      <w:pPr>
        <w:spacing w:line="240" w:lineRule="exact"/>
        <w:jc w:val="center"/>
        <w:rPr>
          <w:rFonts w:ascii="宋体" w:hAnsi="Calibri" w:eastAsia="宋体" w:cs="Times New Roman"/>
          <w:b/>
          <w:bCs/>
          <w:color w:val="auto"/>
          <w:sz w:val="36"/>
          <w:szCs w:val="20"/>
          <w:highlight w:val="none"/>
        </w:rPr>
      </w:pPr>
    </w:p>
    <w:p w14:paraId="5EEDE3C1">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3A4790B1">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30034FF6">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14:paraId="71CF7826">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14:paraId="547B0B2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E7AB8C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87EC6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8D9D99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86B5DC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3CA35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3B429A">
      <w:pPr>
        <w:spacing w:line="360" w:lineRule="auto"/>
        <w:ind w:firstLine="480" w:firstLineChars="200"/>
        <w:rPr>
          <w:rFonts w:ascii="宋体" w:hAnsi="宋体" w:eastAsia="宋体" w:cs="Times New Roman"/>
          <w:color w:val="auto"/>
          <w:sz w:val="24"/>
          <w:szCs w:val="20"/>
          <w:highlight w:val="none"/>
          <w:u w:val="single"/>
        </w:rPr>
      </w:pPr>
    </w:p>
    <w:p w14:paraId="71410A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1221EA3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0785A33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0BB2CCF6">
      <w:pP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br w:type="page"/>
      </w:r>
    </w:p>
    <w:p w14:paraId="169635F5">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14:paraId="46AA980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F6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8B6312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14:paraId="07BC78D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14:paraId="5F69CC20">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14:paraId="7E20A262">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14:paraId="4705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5786A81">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w:t>
            </w:r>
          </w:p>
        </w:tc>
        <w:tc>
          <w:tcPr>
            <w:tcW w:w="3449" w:type="dxa"/>
          </w:tcPr>
          <w:p w14:paraId="124AB484">
            <w:pPr>
              <w:jc w:val="center"/>
              <w:rPr>
                <w:rFonts w:ascii="Times New Roman" w:hAnsi="Times New Roman" w:eastAsia="宋体" w:cs="Times New Roman"/>
                <w:b/>
                <w:color w:val="auto"/>
                <w:sz w:val="24"/>
                <w:szCs w:val="20"/>
                <w:highlight w:val="none"/>
              </w:rPr>
            </w:pPr>
          </w:p>
        </w:tc>
        <w:tc>
          <w:tcPr>
            <w:tcW w:w="2414" w:type="dxa"/>
          </w:tcPr>
          <w:p w14:paraId="1EDE80A1">
            <w:pPr>
              <w:jc w:val="center"/>
              <w:rPr>
                <w:rFonts w:ascii="Times New Roman" w:hAnsi="Times New Roman" w:eastAsia="宋体" w:cs="Times New Roman"/>
                <w:b/>
                <w:color w:val="auto"/>
                <w:sz w:val="24"/>
                <w:szCs w:val="20"/>
                <w:highlight w:val="none"/>
              </w:rPr>
            </w:pPr>
          </w:p>
        </w:tc>
        <w:tc>
          <w:tcPr>
            <w:tcW w:w="1608" w:type="dxa"/>
          </w:tcPr>
          <w:p w14:paraId="1BF6CBA9">
            <w:pPr>
              <w:jc w:val="center"/>
              <w:rPr>
                <w:rFonts w:ascii="Times New Roman" w:hAnsi="Times New Roman" w:eastAsia="宋体" w:cs="Times New Roman"/>
                <w:b/>
                <w:color w:val="auto"/>
                <w:sz w:val="24"/>
                <w:szCs w:val="20"/>
                <w:highlight w:val="none"/>
              </w:rPr>
            </w:pPr>
          </w:p>
        </w:tc>
      </w:tr>
      <w:tr w14:paraId="0045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F06DD7">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2</w:t>
            </w:r>
          </w:p>
        </w:tc>
        <w:tc>
          <w:tcPr>
            <w:tcW w:w="3449" w:type="dxa"/>
          </w:tcPr>
          <w:p w14:paraId="4BEA37FC">
            <w:pPr>
              <w:jc w:val="center"/>
              <w:rPr>
                <w:rFonts w:ascii="Times New Roman" w:hAnsi="Times New Roman" w:eastAsia="宋体" w:cs="Times New Roman"/>
                <w:b/>
                <w:color w:val="auto"/>
                <w:sz w:val="24"/>
                <w:szCs w:val="20"/>
                <w:highlight w:val="none"/>
              </w:rPr>
            </w:pPr>
          </w:p>
        </w:tc>
        <w:tc>
          <w:tcPr>
            <w:tcW w:w="2414" w:type="dxa"/>
          </w:tcPr>
          <w:p w14:paraId="4108080B">
            <w:pPr>
              <w:jc w:val="center"/>
              <w:rPr>
                <w:rFonts w:ascii="Times New Roman" w:hAnsi="Times New Roman" w:eastAsia="宋体" w:cs="Times New Roman"/>
                <w:b/>
                <w:color w:val="auto"/>
                <w:sz w:val="24"/>
                <w:szCs w:val="20"/>
                <w:highlight w:val="none"/>
              </w:rPr>
            </w:pPr>
          </w:p>
        </w:tc>
        <w:tc>
          <w:tcPr>
            <w:tcW w:w="1608" w:type="dxa"/>
          </w:tcPr>
          <w:p w14:paraId="72CF82BE">
            <w:pPr>
              <w:jc w:val="center"/>
              <w:rPr>
                <w:rFonts w:ascii="Times New Roman" w:hAnsi="Times New Roman" w:eastAsia="宋体" w:cs="Times New Roman"/>
                <w:b/>
                <w:color w:val="auto"/>
                <w:sz w:val="24"/>
                <w:szCs w:val="20"/>
                <w:highlight w:val="none"/>
              </w:rPr>
            </w:pPr>
          </w:p>
        </w:tc>
      </w:tr>
      <w:tr w14:paraId="5ED5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04B0D1">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3</w:t>
            </w:r>
          </w:p>
        </w:tc>
        <w:tc>
          <w:tcPr>
            <w:tcW w:w="3449" w:type="dxa"/>
          </w:tcPr>
          <w:p w14:paraId="3E8CE5E1">
            <w:pPr>
              <w:jc w:val="center"/>
              <w:rPr>
                <w:rFonts w:ascii="Times New Roman" w:hAnsi="Times New Roman" w:eastAsia="宋体" w:cs="Times New Roman"/>
                <w:b/>
                <w:color w:val="auto"/>
                <w:sz w:val="24"/>
                <w:szCs w:val="20"/>
                <w:highlight w:val="none"/>
              </w:rPr>
            </w:pPr>
          </w:p>
        </w:tc>
        <w:tc>
          <w:tcPr>
            <w:tcW w:w="2414" w:type="dxa"/>
          </w:tcPr>
          <w:p w14:paraId="6961FE9C">
            <w:pPr>
              <w:jc w:val="center"/>
              <w:rPr>
                <w:rFonts w:ascii="Times New Roman" w:hAnsi="Times New Roman" w:eastAsia="宋体" w:cs="Times New Roman"/>
                <w:b/>
                <w:color w:val="auto"/>
                <w:sz w:val="24"/>
                <w:szCs w:val="20"/>
                <w:highlight w:val="none"/>
              </w:rPr>
            </w:pPr>
          </w:p>
        </w:tc>
        <w:tc>
          <w:tcPr>
            <w:tcW w:w="1608" w:type="dxa"/>
          </w:tcPr>
          <w:p w14:paraId="66CE67C7">
            <w:pPr>
              <w:jc w:val="center"/>
              <w:rPr>
                <w:rFonts w:ascii="Times New Roman" w:hAnsi="Times New Roman" w:eastAsia="宋体" w:cs="Times New Roman"/>
                <w:b/>
                <w:color w:val="auto"/>
                <w:sz w:val="24"/>
                <w:szCs w:val="20"/>
                <w:highlight w:val="none"/>
              </w:rPr>
            </w:pPr>
          </w:p>
        </w:tc>
      </w:tr>
      <w:tr w14:paraId="3A5B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E84ED04">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4</w:t>
            </w:r>
          </w:p>
        </w:tc>
        <w:tc>
          <w:tcPr>
            <w:tcW w:w="3449" w:type="dxa"/>
          </w:tcPr>
          <w:p w14:paraId="3971BA7E">
            <w:pPr>
              <w:jc w:val="center"/>
              <w:rPr>
                <w:rFonts w:ascii="Times New Roman" w:hAnsi="Times New Roman" w:eastAsia="宋体" w:cs="Times New Roman"/>
                <w:b/>
                <w:color w:val="auto"/>
                <w:sz w:val="24"/>
                <w:szCs w:val="20"/>
                <w:highlight w:val="none"/>
              </w:rPr>
            </w:pPr>
          </w:p>
        </w:tc>
        <w:tc>
          <w:tcPr>
            <w:tcW w:w="2414" w:type="dxa"/>
          </w:tcPr>
          <w:p w14:paraId="13B542D1">
            <w:pPr>
              <w:jc w:val="center"/>
              <w:rPr>
                <w:rFonts w:ascii="Times New Roman" w:hAnsi="Times New Roman" w:eastAsia="宋体" w:cs="Times New Roman"/>
                <w:b/>
                <w:color w:val="auto"/>
                <w:sz w:val="24"/>
                <w:szCs w:val="20"/>
                <w:highlight w:val="none"/>
              </w:rPr>
            </w:pPr>
          </w:p>
        </w:tc>
        <w:tc>
          <w:tcPr>
            <w:tcW w:w="1608" w:type="dxa"/>
          </w:tcPr>
          <w:p w14:paraId="0941390C">
            <w:pPr>
              <w:jc w:val="center"/>
              <w:rPr>
                <w:rFonts w:ascii="Times New Roman" w:hAnsi="Times New Roman" w:eastAsia="宋体" w:cs="Times New Roman"/>
                <w:b/>
                <w:color w:val="auto"/>
                <w:sz w:val="24"/>
                <w:szCs w:val="20"/>
                <w:highlight w:val="none"/>
              </w:rPr>
            </w:pPr>
          </w:p>
        </w:tc>
      </w:tr>
      <w:tr w14:paraId="443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6F9140">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5</w:t>
            </w:r>
          </w:p>
        </w:tc>
        <w:tc>
          <w:tcPr>
            <w:tcW w:w="3449" w:type="dxa"/>
          </w:tcPr>
          <w:p w14:paraId="3F567867">
            <w:pPr>
              <w:jc w:val="center"/>
              <w:rPr>
                <w:rFonts w:ascii="Times New Roman" w:hAnsi="Times New Roman" w:eastAsia="宋体" w:cs="Times New Roman"/>
                <w:b/>
                <w:color w:val="auto"/>
                <w:sz w:val="24"/>
                <w:szCs w:val="20"/>
                <w:highlight w:val="none"/>
              </w:rPr>
            </w:pPr>
          </w:p>
        </w:tc>
        <w:tc>
          <w:tcPr>
            <w:tcW w:w="2414" w:type="dxa"/>
          </w:tcPr>
          <w:p w14:paraId="261CEA94">
            <w:pPr>
              <w:jc w:val="center"/>
              <w:rPr>
                <w:rFonts w:ascii="Times New Roman" w:hAnsi="Times New Roman" w:eastAsia="宋体" w:cs="Times New Roman"/>
                <w:b/>
                <w:color w:val="auto"/>
                <w:sz w:val="24"/>
                <w:szCs w:val="20"/>
                <w:highlight w:val="none"/>
              </w:rPr>
            </w:pPr>
          </w:p>
        </w:tc>
        <w:tc>
          <w:tcPr>
            <w:tcW w:w="1608" w:type="dxa"/>
          </w:tcPr>
          <w:p w14:paraId="647E544A">
            <w:pPr>
              <w:jc w:val="center"/>
              <w:rPr>
                <w:rFonts w:ascii="Times New Roman" w:hAnsi="Times New Roman" w:eastAsia="宋体" w:cs="Times New Roman"/>
                <w:b/>
                <w:color w:val="auto"/>
                <w:sz w:val="24"/>
                <w:szCs w:val="20"/>
                <w:highlight w:val="none"/>
              </w:rPr>
            </w:pPr>
          </w:p>
        </w:tc>
      </w:tr>
      <w:tr w14:paraId="193E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82AF1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6</w:t>
            </w:r>
          </w:p>
        </w:tc>
        <w:tc>
          <w:tcPr>
            <w:tcW w:w="3449" w:type="dxa"/>
          </w:tcPr>
          <w:p w14:paraId="56E9A698">
            <w:pPr>
              <w:jc w:val="center"/>
              <w:rPr>
                <w:rFonts w:ascii="Times New Roman" w:hAnsi="Times New Roman" w:eastAsia="宋体" w:cs="Times New Roman"/>
                <w:b/>
                <w:color w:val="auto"/>
                <w:sz w:val="24"/>
                <w:szCs w:val="20"/>
                <w:highlight w:val="none"/>
              </w:rPr>
            </w:pPr>
          </w:p>
        </w:tc>
        <w:tc>
          <w:tcPr>
            <w:tcW w:w="2414" w:type="dxa"/>
          </w:tcPr>
          <w:p w14:paraId="519FFEDD">
            <w:pPr>
              <w:jc w:val="center"/>
              <w:rPr>
                <w:rFonts w:ascii="Times New Roman" w:hAnsi="Times New Roman" w:eastAsia="宋体" w:cs="Times New Roman"/>
                <w:b/>
                <w:color w:val="auto"/>
                <w:sz w:val="24"/>
                <w:szCs w:val="20"/>
                <w:highlight w:val="none"/>
              </w:rPr>
            </w:pPr>
          </w:p>
        </w:tc>
        <w:tc>
          <w:tcPr>
            <w:tcW w:w="1608" w:type="dxa"/>
          </w:tcPr>
          <w:p w14:paraId="7E9F9AB9">
            <w:pPr>
              <w:jc w:val="center"/>
              <w:rPr>
                <w:rFonts w:ascii="Times New Roman" w:hAnsi="Times New Roman" w:eastAsia="宋体" w:cs="Times New Roman"/>
                <w:b/>
                <w:color w:val="auto"/>
                <w:sz w:val="24"/>
                <w:szCs w:val="20"/>
                <w:highlight w:val="none"/>
              </w:rPr>
            </w:pPr>
          </w:p>
        </w:tc>
      </w:tr>
      <w:tr w14:paraId="4538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44ED0F">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7</w:t>
            </w:r>
          </w:p>
        </w:tc>
        <w:tc>
          <w:tcPr>
            <w:tcW w:w="3449" w:type="dxa"/>
          </w:tcPr>
          <w:p w14:paraId="0B2078E4">
            <w:pPr>
              <w:jc w:val="center"/>
              <w:rPr>
                <w:rFonts w:ascii="Times New Roman" w:hAnsi="Times New Roman" w:eastAsia="宋体" w:cs="Times New Roman"/>
                <w:b/>
                <w:color w:val="auto"/>
                <w:sz w:val="24"/>
                <w:szCs w:val="20"/>
                <w:highlight w:val="none"/>
              </w:rPr>
            </w:pPr>
          </w:p>
        </w:tc>
        <w:tc>
          <w:tcPr>
            <w:tcW w:w="2414" w:type="dxa"/>
          </w:tcPr>
          <w:p w14:paraId="4A90D681">
            <w:pPr>
              <w:jc w:val="center"/>
              <w:rPr>
                <w:rFonts w:ascii="Times New Roman" w:hAnsi="Times New Roman" w:eastAsia="宋体" w:cs="Times New Roman"/>
                <w:b/>
                <w:color w:val="auto"/>
                <w:sz w:val="24"/>
                <w:szCs w:val="20"/>
                <w:highlight w:val="none"/>
              </w:rPr>
            </w:pPr>
          </w:p>
        </w:tc>
        <w:tc>
          <w:tcPr>
            <w:tcW w:w="1608" w:type="dxa"/>
          </w:tcPr>
          <w:p w14:paraId="6A1DCB97">
            <w:pPr>
              <w:jc w:val="center"/>
              <w:rPr>
                <w:rFonts w:ascii="Times New Roman" w:hAnsi="Times New Roman" w:eastAsia="宋体" w:cs="Times New Roman"/>
                <w:b/>
                <w:color w:val="auto"/>
                <w:sz w:val="24"/>
                <w:szCs w:val="20"/>
                <w:highlight w:val="none"/>
              </w:rPr>
            </w:pPr>
          </w:p>
        </w:tc>
      </w:tr>
      <w:tr w14:paraId="57C7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8CF697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8</w:t>
            </w:r>
          </w:p>
        </w:tc>
        <w:tc>
          <w:tcPr>
            <w:tcW w:w="3449" w:type="dxa"/>
          </w:tcPr>
          <w:p w14:paraId="1EE55FF2">
            <w:pPr>
              <w:jc w:val="center"/>
              <w:rPr>
                <w:rFonts w:ascii="Times New Roman" w:hAnsi="Times New Roman" w:eastAsia="宋体" w:cs="Times New Roman"/>
                <w:b/>
                <w:color w:val="auto"/>
                <w:sz w:val="24"/>
                <w:szCs w:val="20"/>
                <w:highlight w:val="none"/>
              </w:rPr>
            </w:pPr>
          </w:p>
        </w:tc>
        <w:tc>
          <w:tcPr>
            <w:tcW w:w="2414" w:type="dxa"/>
          </w:tcPr>
          <w:p w14:paraId="065DB688">
            <w:pPr>
              <w:jc w:val="center"/>
              <w:rPr>
                <w:rFonts w:ascii="Times New Roman" w:hAnsi="Times New Roman" w:eastAsia="宋体" w:cs="Times New Roman"/>
                <w:b/>
                <w:color w:val="auto"/>
                <w:sz w:val="24"/>
                <w:szCs w:val="20"/>
                <w:highlight w:val="none"/>
              </w:rPr>
            </w:pPr>
          </w:p>
        </w:tc>
        <w:tc>
          <w:tcPr>
            <w:tcW w:w="1608" w:type="dxa"/>
          </w:tcPr>
          <w:p w14:paraId="0B02D700">
            <w:pPr>
              <w:jc w:val="center"/>
              <w:rPr>
                <w:rFonts w:ascii="Times New Roman" w:hAnsi="Times New Roman" w:eastAsia="宋体" w:cs="Times New Roman"/>
                <w:b/>
                <w:color w:val="auto"/>
                <w:sz w:val="24"/>
                <w:szCs w:val="20"/>
                <w:highlight w:val="none"/>
              </w:rPr>
            </w:pPr>
          </w:p>
        </w:tc>
      </w:tr>
      <w:tr w14:paraId="0B65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99A6E0">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9</w:t>
            </w:r>
          </w:p>
        </w:tc>
        <w:tc>
          <w:tcPr>
            <w:tcW w:w="3449" w:type="dxa"/>
          </w:tcPr>
          <w:p w14:paraId="11F37D08">
            <w:pPr>
              <w:jc w:val="center"/>
              <w:rPr>
                <w:rFonts w:ascii="Times New Roman" w:hAnsi="Times New Roman" w:eastAsia="宋体" w:cs="Times New Roman"/>
                <w:b/>
                <w:color w:val="auto"/>
                <w:sz w:val="24"/>
                <w:szCs w:val="20"/>
                <w:highlight w:val="none"/>
              </w:rPr>
            </w:pPr>
          </w:p>
        </w:tc>
        <w:tc>
          <w:tcPr>
            <w:tcW w:w="2414" w:type="dxa"/>
          </w:tcPr>
          <w:p w14:paraId="2C310420">
            <w:pPr>
              <w:jc w:val="center"/>
              <w:rPr>
                <w:rFonts w:ascii="Times New Roman" w:hAnsi="Times New Roman" w:eastAsia="宋体" w:cs="Times New Roman"/>
                <w:b/>
                <w:color w:val="auto"/>
                <w:sz w:val="24"/>
                <w:szCs w:val="20"/>
                <w:highlight w:val="none"/>
              </w:rPr>
            </w:pPr>
          </w:p>
        </w:tc>
        <w:tc>
          <w:tcPr>
            <w:tcW w:w="1608" w:type="dxa"/>
          </w:tcPr>
          <w:p w14:paraId="53C9E5E1">
            <w:pPr>
              <w:jc w:val="center"/>
              <w:rPr>
                <w:rFonts w:ascii="Times New Roman" w:hAnsi="Times New Roman" w:eastAsia="宋体" w:cs="Times New Roman"/>
                <w:b/>
                <w:color w:val="auto"/>
                <w:sz w:val="24"/>
                <w:szCs w:val="20"/>
                <w:highlight w:val="none"/>
              </w:rPr>
            </w:pPr>
          </w:p>
        </w:tc>
      </w:tr>
      <w:tr w14:paraId="5FEC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189172">
            <w:pPr>
              <w:jc w:val="center"/>
              <w:rPr>
                <w:rFonts w:hint="default"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10</w:t>
            </w:r>
          </w:p>
        </w:tc>
        <w:tc>
          <w:tcPr>
            <w:tcW w:w="3449" w:type="dxa"/>
          </w:tcPr>
          <w:p w14:paraId="7D370571">
            <w:pPr>
              <w:jc w:val="center"/>
              <w:rPr>
                <w:rFonts w:ascii="Times New Roman" w:hAnsi="Times New Roman" w:eastAsia="宋体" w:cs="Times New Roman"/>
                <w:b/>
                <w:color w:val="auto"/>
                <w:sz w:val="24"/>
                <w:szCs w:val="20"/>
                <w:highlight w:val="none"/>
              </w:rPr>
            </w:pPr>
          </w:p>
        </w:tc>
        <w:tc>
          <w:tcPr>
            <w:tcW w:w="2414" w:type="dxa"/>
          </w:tcPr>
          <w:p w14:paraId="448EA663">
            <w:pPr>
              <w:jc w:val="center"/>
              <w:rPr>
                <w:rFonts w:ascii="Times New Roman" w:hAnsi="Times New Roman" w:eastAsia="宋体" w:cs="Times New Roman"/>
                <w:b/>
                <w:color w:val="auto"/>
                <w:sz w:val="24"/>
                <w:szCs w:val="20"/>
                <w:highlight w:val="none"/>
              </w:rPr>
            </w:pPr>
          </w:p>
        </w:tc>
        <w:tc>
          <w:tcPr>
            <w:tcW w:w="1608" w:type="dxa"/>
          </w:tcPr>
          <w:p w14:paraId="3C6F73A9">
            <w:pPr>
              <w:jc w:val="center"/>
              <w:rPr>
                <w:rFonts w:ascii="Times New Roman" w:hAnsi="Times New Roman" w:eastAsia="宋体" w:cs="Times New Roman"/>
                <w:b/>
                <w:color w:val="auto"/>
                <w:sz w:val="24"/>
                <w:szCs w:val="20"/>
                <w:highlight w:val="none"/>
              </w:rPr>
            </w:pPr>
          </w:p>
        </w:tc>
      </w:tr>
      <w:tr w14:paraId="6EBE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D68A37">
            <w:pPr>
              <w:jc w:val="center"/>
              <w:rPr>
                <w:rFonts w:ascii="Times New Roman" w:hAnsi="Times New Roman" w:eastAsia="宋体" w:cs="Times New Roman"/>
                <w:b/>
                <w:color w:val="auto"/>
                <w:sz w:val="24"/>
                <w:szCs w:val="20"/>
                <w:highlight w:val="none"/>
              </w:rPr>
            </w:pPr>
          </w:p>
        </w:tc>
        <w:tc>
          <w:tcPr>
            <w:tcW w:w="3449" w:type="dxa"/>
          </w:tcPr>
          <w:p w14:paraId="60EAD0C1">
            <w:pPr>
              <w:jc w:val="center"/>
              <w:rPr>
                <w:rFonts w:ascii="Times New Roman" w:hAnsi="Times New Roman" w:eastAsia="宋体" w:cs="Times New Roman"/>
                <w:b/>
                <w:color w:val="auto"/>
                <w:sz w:val="24"/>
                <w:szCs w:val="20"/>
                <w:highlight w:val="none"/>
              </w:rPr>
            </w:pPr>
          </w:p>
        </w:tc>
        <w:tc>
          <w:tcPr>
            <w:tcW w:w="2414" w:type="dxa"/>
          </w:tcPr>
          <w:p w14:paraId="52E54D78">
            <w:pPr>
              <w:jc w:val="center"/>
              <w:rPr>
                <w:rFonts w:ascii="Times New Roman" w:hAnsi="Times New Roman" w:eastAsia="宋体" w:cs="Times New Roman"/>
                <w:b/>
                <w:color w:val="auto"/>
                <w:sz w:val="24"/>
                <w:szCs w:val="20"/>
                <w:highlight w:val="none"/>
              </w:rPr>
            </w:pPr>
          </w:p>
        </w:tc>
        <w:tc>
          <w:tcPr>
            <w:tcW w:w="1608" w:type="dxa"/>
          </w:tcPr>
          <w:p w14:paraId="5C56E480">
            <w:pPr>
              <w:jc w:val="center"/>
              <w:rPr>
                <w:rFonts w:ascii="Times New Roman" w:hAnsi="Times New Roman" w:eastAsia="宋体" w:cs="Times New Roman"/>
                <w:b/>
                <w:color w:val="auto"/>
                <w:sz w:val="24"/>
                <w:szCs w:val="20"/>
                <w:highlight w:val="none"/>
              </w:rPr>
            </w:pPr>
          </w:p>
        </w:tc>
      </w:tr>
      <w:tr w14:paraId="6C6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F4E3880">
            <w:pPr>
              <w:jc w:val="center"/>
              <w:rPr>
                <w:rFonts w:ascii="Times New Roman" w:hAnsi="Times New Roman" w:eastAsia="宋体" w:cs="Times New Roman"/>
                <w:b/>
                <w:color w:val="auto"/>
                <w:sz w:val="24"/>
                <w:szCs w:val="20"/>
                <w:highlight w:val="none"/>
              </w:rPr>
            </w:pPr>
          </w:p>
        </w:tc>
        <w:tc>
          <w:tcPr>
            <w:tcW w:w="3449" w:type="dxa"/>
          </w:tcPr>
          <w:p w14:paraId="56F61264">
            <w:pPr>
              <w:jc w:val="center"/>
              <w:rPr>
                <w:rFonts w:ascii="Times New Roman" w:hAnsi="Times New Roman" w:eastAsia="宋体" w:cs="Times New Roman"/>
                <w:b/>
                <w:color w:val="auto"/>
                <w:sz w:val="24"/>
                <w:szCs w:val="20"/>
                <w:highlight w:val="none"/>
              </w:rPr>
            </w:pPr>
          </w:p>
        </w:tc>
        <w:tc>
          <w:tcPr>
            <w:tcW w:w="2414" w:type="dxa"/>
          </w:tcPr>
          <w:p w14:paraId="1525E6B6">
            <w:pPr>
              <w:jc w:val="center"/>
              <w:rPr>
                <w:rFonts w:ascii="Times New Roman" w:hAnsi="Times New Roman" w:eastAsia="宋体" w:cs="Times New Roman"/>
                <w:b/>
                <w:color w:val="auto"/>
                <w:sz w:val="24"/>
                <w:szCs w:val="20"/>
                <w:highlight w:val="none"/>
              </w:rPr>
            </w:pPr>
          </w:p>
        </w:tc>
        <w:tc>
          <w:tcPr>
            <w:tcW w:w="1608" w:type="dxa"/>
          </w:tcPr>
          <w:p w14:paraId="1BF38880">
            <w:pPr>
              <w:jc w:val="center"/>
              <w:rPr>
                <w:rFonts w:ascii="Times New Roman" w:hAnsi="Times New Roman" w:eastAsia="宋体" w:cs="Times New Roman"/>
                <w:b/>
                <w:color w:val="auto"/>
                <w:sz w:val="24"/>
                <w:szCs w:val="20"/>
                <w:highlight w:val="none"/>
              </w:rPr>
            </w:pPr>
          </w:p>
        </w:tc>
      </w:tr>
      <w:tr w14:paraId="0B8B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DA38A4">
            <w:pPr>
              <w:jc w:val="center"/>
              <w:rPr>
                <w:rFonts w:ascii="Times New Roman" w:hAnsi="Times New Roman" w:eastAsia="宋体" w:cs="Times New Roman"/>
                <w:b/>
                <w:color w:val="auto"/>
                <w:sz w:val="24"/>
                <w:szCs w:val="20"/>
                <w:highlight w:val="none"/>
              </w:rPr>
            </w:pPr>
          </w:p>
        </w:tc>
        <w:tc>
          <w:tcPr>
            <w:tcW w:w="3449" w:type="dxa"/>
          </w:tcPr>
          <w:p w14:paraId="0E684F07">
            <w:pPr>
              <w:jc w:val="center"/>
              <w:rPr>
                <w:rFonts w:ascii="Times New Roman" w:hAnsi="Times New Roman" w:eastAsia="宋体" w:cs="Times New Roman"/>
                <w:b/>
                <w:color w:val="auto"/>
                <w:sz w:val="24"/>
                <w:szCs w:val="20"/>
                <w:highlight w:val="none"/>
              </w:rPr>
            </w:pPr>
          </w:p>
        </w:tc>
        <w:tc>
          <w:tcPr>
            <w:tcW w:w="2414" w:type="dxa"/>
          </w:tcPr>
          <w:p w14:paraId="6388058F">
            <w:pPr>
              <w:jc w:val="center"/>
              <w:rPr>
                <w:rFonts w:ascii="Times New Roman" w:hAnsi="Times New Roman" w:eastAsia="宋体" w:cs="Times New Roman"/>
                <w:b/>
                <w:color w:val="auto"/>
                <w:sz w:val="24"/>
                <w:szCs w:val="20"/>
                <w:highlight w:val="none"/>
              </w:rPr>
            </w:pPr>
          </w:p>
        </w:tc>
        <w:tc>
          <w:tcPr>
            <w:tcW w:w="1608" w:type="dxa"/>
          </w:tcPr>
          <w:p w14:paraId="48BF4F6C">
            <w:pPr>
              <w:jc w:val="center"/>
              <w:rPr>
                <w:rFonts w:ascii="Times New Roman" w:hAnsi="Times New Roman" w:eastAsia="宋体" w:cs="Times New Roman"/>
                <w:b/>
                <w:color w:val="auto"/>
                <w:sz w:val="24"/>
                <w:szCs w:val="20"/>
                <w:highlight w:val="none"/>
              </w:rPr>
            </w:pPr>
          </w:p>
        </w:tc>
      </w:tr>
      <w:tr w14:paraId="55E4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E1CD21">
            <w:pPr>
              <w:jc w:val="center"/>
              <w:rPr>
                <w:rFonts w:ascii="Times New Roman" w:hAnsi="Times New Roman" w:eastAsia="宋体" w:cs="Times New Roman"/>
                <w:b/>
                <w:color w:val="auto"/>
                <w:sz w:val="24"/>
                <w:szCs w:val="20"/>
                <w:highlight w:val="none"/>
              </w:rPr>
            </w:pPr>
          </w:p>
        </w:tc>
        <w:tc>
          <w:tcPr>
            <w:tcW w:w="3449" w:type="dxa"/>
          </w:tcPr>
          <w:p w14:paraId="579C93A6">
            <w:pPr>
              <w:jc w:val="center"/>
              <w:rPr>
                <w:rFonts w:ascii="Times New Roman" w:hAnsi="Times New Roman" w:eastAsia="宋体" w:cs="Times New Roman"/>
                <w:b/>
                <w:color w:val="auto"/>
                <w:sz w:val="24"/>
                <w:szCs w:val="20"/>
                <w:highlight w:val="none"/>
              </w:rPr>
            </w:pPr>
          </w:p>
        </w:tc>
        <w:tc>
          <w:tcPr>
            <w:tcW w:w="2414" w:type="dxa"/>
          </w:tcPr>
          <w:p w14:paraId="34F52CB8">
            <w:pPr>
              <w:jc w:val="center"/>
              <w:rPr>
                <w:rFonts w:ascii="Times New Roman" w:hAnsi="Times New Roman" w:eastAsia="宋体" w:cs="Times New Roman"/>
                <w:b/>
                <w:color w:val="auto"/>
                <w:sz w:val="24"/>
                <w:szCs w:val="20"/>
                <w:highlight w:val="none"/>
              </w:rPr>
            </w:pPr>
          </w:p>
        </w:tc>
        <w:tc>
          <w:tcPr>
            <w:tcW w:w="1608" w:type="dxa"/>
          </w:tcPr>
          <w:p w14:paraId="3C6D4CE5">
            <w:pPr>
              <w:jc w:val="center"/>
              <w:rPr>
                <w:rFonts w:ascii="Times New Roman" w:hAnsi="Times New Roman" w:eastAsia="宋体" w:cs="Times New Roman"/>
                <w:b/>
                <w:color w:val="auto"/>
                <w:sz w:val="24"/>
                <w:szCs w:val="20"/>
                <w:highlight w:val="none"/>
              </w:rPr>
            </w:pPr>
          </w:p>
        </w:tc>
      </w:tr>
    </w:tbl>
    <w:p w14:paraId="18818C96">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44DD315C">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52551EC9">
      <w:pPr>
        <w:rPr>
          <w:rFonts w:ascii="宋体" w:hAnsi="Calibri" w:eastAsia="宋体" w:cs="宋体"/>
          <w:b/>
          <w:bCs/>
          <w:color w:val="auto"/>
          <w:sz w:val="28"/>
          <w:szCs w:val="20"/>
          <w:highlight w:val="none"/>
        </w:rPr>
      </w:pPr>
    </w:p>
    <w:p w14:paraId="10228999">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1913B64E">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年1月1日至今同类项目业绩一览表</w:t>
      </w:r>
    </w:p>
    <w:p w14:paraId="182C9A8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1CC9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0EE792C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14:paraId="3F461936">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14:paraId="18065E6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14:paraId="702EB20E">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1320" w:type="dxa"/>
            <w:vAlign w:val="center"/>
          </w:tcPr>
          <w:p w14:paraId="13C0945A">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14:paraId="3BCE525B">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14:paraId="63E11392">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14:paraId="238B4E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14:paraId="5BB2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4188DCC">
            <w:pPr>
              <w:ind w:left="420" w:hanging="420"/>
              <w:rPr>
                <w:rFonts w:ascii="宋体" w:hAnsi="Times New Roman" w:eastAsia="宋体" w:cs="Times New Roman"/>
                <w:b/>
                <w:color w:val="auto"/>
                <w:szCs w:val="20"/>
                <w:highlight w:val="none"/>
              </w:rPr>
            </w:pPr>
          </w:p>
        </w:tc>
        <w:tc>
          <w:tcPr>
            <w:tcW w:w="2082" w:type="dxa"/>
          </w:tcPr>
          <w:p w14:paraId="46F1570B">
            <w:pPr>
              <w:ind w:left="420" w:hanging="420"/>
              <w:rPr>
                <w:rFonts w:ascii="宋体" w:hAnsi="Times New Roman" w:eastAsia="宋体" w:cs="Times New Roman"/>
                <w:b/>
                <w:color w:val="auto"/>
                <w:szCs w:val="20"/>
                <w:highlight w:val="none"/>
              </w:rPr>
            </w:pPr>
          </w:p>
        </w:tc>
        <w:tc>
          <w:tcPr>
            <w:tcW w:w="1355" w:type="dxa"/>
          </w:tcPr>
          <w:p w14:paraId="4214FC46">
            <w:pPr>
              <w:ind w:left="420" w:hanging="420"/>
              <w:rPr>
                <w:rFonts w:ascii="宋体" w:hAnsi="Times New Roman" w:eastAsia="宋体" w:cs="Times New Roman"/>
                <w:b/>
                <w:color w:val="auto"/>
                <w:szCs w:val="20"/>
                <w:highlight w:val="none"/>
              </w:rPr>
            </w:pPr>
          </w:p>
        </w:tc>
        <w:tc>
          <w:tcPr>
            <w:tcW w:w="1320" w:type="dxa"/>
          </w:tcPr>
          <w:p w14:paraId="1087764E">
            <w:pPr>
              <w:ind w:left="420" w:hanging="420"/>
              <w:rPr>
                <w:rFonts w:ascii="宋体" w:hAnsi="Times New Roman" w:eastAsia="宋体" w:cs="Times New Roman"/>
                <w:b/>
                <w:color w:val="auto"/>
                <w:szCs w:val="20"/>
                <w:highlight w:val="none"/>
              </w:rPr>
            </w:pPr>
          </w:p>
        </w:tc>
        <w:tc>
          <w:tcPr>
            <w:tcW w:w="1023" w:type="dxa"/>
          </w:tcPr>
          <w:p w14:paraId="2C01D4AA">
            <w:pPr>
              <w:ind w:left="420" w:hanging="420"/>
              <w:rPr>
                <w:rFonts w:ascii="宋体" w:hAnsi="Times New Roman" w:eastAsia="宋体" w:cs="Times New Roman"/>
                <w:b/>
                <w:color w:val="auto"/>
                <w:szCs w:val="20"/>
                <w:highlight w:val="none"/>
              </w:rPr>
            </w:pPr>
          </w:p>
        </w:tc>
        <w:tc>
          <w:tcPr>
            <w:tcW w:w="1590" w:type="dxa"/>
          </w:tcPr>
          <w:p w14:paraId="463D2D68">
            <w:pPr>
              <w:ind w:left="420" w:hanging="420"/>
              <w:rPr>
                <w:rFonts w:ascii="宋体" w:hAnsi="Times New Roman" w:eastAsia="宋体" w:cs="Times New Roman"/>
                <w:b/>
                <w:color w:val="auto"/>
                <w:szCs w:val="20"/>
                <w:highlight w:val="none"/>
              </w:rPr>
            </w:pPr>
          </w:p>
        </w:tc>
      </w:tr>
      <w:tr w14:paraId="69C3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69C1CD4">
            <w:pPr>
              <w:ind w:left="420" w:hanging="420"/>
              <w:rPr>
                <w:rFonts w:ascii="宋体" w:hAnsi="Times New Roman" w:eastAsia="宋体" w:cs="Times New Roman"/>
                <w:b/>
                <w:color w:val="auto"/>
                <w:szCs w:val="20"/>
                <w:highlight w:val="none"/>
              </w:rPr>
            </w:pPr>
          </w:p>
        </w:tc>
        <w:tc>
          <w:tcPr>
            <w:tcW w:w="2082" w:type="dxa"/>
          </w:tcPr>
          <w:p w14:paraId="20EE676E">
            <w:pPr>
              <w:ind w:left="420" w:hanging="420"/>
              <w:rPr>
                <w:rFonts w:ascii="宋体" w:hAnsi="Times New Roman" w:eastAsia="宋体" w:cs="Times New Roman"/>
                <w:b/>
                <w:color w:val="auto"/>
                <w:szCs w:val="20"/>
                <w:highlight w:val="none"/>
              </w:rPr>
            </w:pPr>
          </w:p>
        </w:tc>
        <w:tc>
          <w:tcPr>
            <w:tcW w:w="1355" w:type="dxa"/>
          </w:tcPr>
          <w:p w14:paraId="2C161A18">
            <w:pPr>
              <w:ind w:left="420" w:hanging="420"/>
              <w:rPr>
                <w:rFonts w:ascii="宋体" w:hAnsi="Times New Roman" w:eastAsia="宋体" w:cs="Times New Roman"/>
                <w:b/>
                <w:color w:val="auto"/>
                <w:szCs w:val="20"/>
                <w:highlight w:val="none"/>
              </w:rPr>
            </w:pPr>
          </w:p>
        </w:tc>
        <w:tc>
          <w:tcPr>
            <w:tcW w:w="1320" w:type="dxa"/>
          </w:tcPr>
          <w:p w14:paraId="6BA2CFD8">
            <w:pPr>
              <w:ind w:left="420" w:hanging="420"/>
              <w:rPr>
                <w:rFonts w:ascii="宋体" w:hAnsi="Times New Roman" w:eastAsia="宋体" w:cs="Times New Roman"/>
                <w:b/>
                <w:color w:val="auto"/>
                <w:szCs w:val="20"/>
                <w:highlight w:val="none"/>
              </w:rPr>
            </w:pPr>
          </w:p>
        </w:tc>
        <w:tc>
          <w:tcPr>
            <w:tcW w:w="1023" w:type="dxa"/>
          </w:tcPr>
          <w:p w14:paraId="702DCB45">
            <w:pPr>
              <w:ind w:left="420" w:hanging="420"/>
              <w:rPr>
                <w:rFonts w:ascii="宋体" w:hAnsi="Times New Roman" w:eastAsia="宋体" w:cs="Times New Roman"/>
                <w:b/>
                <w:color w:val="auto"/>
                <w:szCs w:val="20"/>
                <w:highlight w:val="none"/>
              </w:rPr>
            </w:pPr>
          </w:p>
        </w:tc>
        <w:tc>
          <w:tcPr>
            <w:tcW w:w="1590" w:type="dxa"/>
          </w:tcPr>
          <w:p w14:paraId="49850228">
            <w:pPr>
              <w:ind w:left="420" w:hanging="420"/>
              <w:rPr>
                <w:rFonts w:ascii="宋体" w:hAnsi="Times New Roman" w:eastAsia="宋体" w:cs="Times New Roman"/>
                <w:b/>
                <w:color w:val="auto"/>
                <w:szCs w:val="20"/>
                <w:highlight w:val="none"/>
              </w:rPr>
            </w:pPr>
          </w:p>
        </w:tc>
      </w:tr>
      <w:tr w14:paraId="2C41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0C5B525">
            <w:pPr>
              <w:ind w:left="420" w:hanging="420"/>
              <w:rPr>
                <w:rFonts w:ascii="宋体" w:hAnsi="Times New Roman" w:eastAsia="宋体" w:cs="Times New Roman"/>
                <w:b/>
                <w:color w:val="auto"/>
                <w:szCs w:val="20"/>
                <w:highlight w:val="none"/>
              </w:rPr>
            </w:pPr>
          </w:p>
        </w:tc>
        <w:tc>
          <w:tcPr>
            <w:tcW w:w="2082" w:type="dxa"/>
          </w:tcPr>
          <w:p w14:paraId="661B0920">
            <w:pPr>
              <w:ind w:left="420" w:hanging="420"/>
              <w:rPr>
                <w:rFonts w:ascii="宋体" w:hAnsi="Times New Roman" w:eastAsia="宋体" w:cs="Times New Roman"/>
                <w:b/>
                <w:color w:val="auto"/>
                <w:szCs w:val="20"/>
                <w:highlight w:val="none"/>
              </w:rPr>
            </w:pPr>
          </w:p>
        </w:tc>
        <w:tc>
          <w:tcPr>
            <w:tcW w:w="1355" w:type="dxa"/>
          </w:tcPr>
          <w:p w14:paraId="0E660C72">
            <w:pPr>
              <w:ind w:left="420" w:hanging="420"/>
              <w:rPr>
                <w:rFonts w:ascii="宋体" w:hAnsi="Times New Roman" w:eastAsia="宋体" w:cs="Times New Roman"/>
                <w:b/>
                <w:color w:val="auto"/>
                <w:szCs w:val="20"/>
                <w:highlight w:val="none"/>
              </w:rPr>
            </w:pPr>
          </w:p>
        </w:tc>
        <w:tc>
          <w:tcPr>
            <w:tcW w:w="1320" w:type="dxa"/>
          </w:tcPr>
          <w:p w14:paraId="7AC36EDF">
            <w:pPr>
              <w:ind w:left="420" w:hanging="420"/>
              <w:rPr>
                <w:rFonts w:ascii="宋体" w:hAnsi="Times New Roman" w:eastAsia="宋体" w:cs="Times New Roman"/>
                <w:b/>
                <w:color w:val="auto"/>
                <w:szCs w:val="20"/>
                <w:highlight w:val="none"/>
              </w:rPr>
            </w:pPr>
          </w:p>
        </w:tc>
        <w:tc>
          <w:tcPr>
            <w:tcW w:w="1023" w:type="dxa"/>
          </w:tcPr>
          <w:p w14:paraId="4A8A02EA">
            <w:pPr>
              <w:ind w:left="420" w:hanging="420"/>
              <w:rPr>
                <w:rFonts w:ascii="宋体" w:hAnsi="Times New Roman" w:eastAsia="宋体" w:cs="Times New Roman"/>
                <w:b/>
                <w:color w:val="auto"/>
                <w:szCs w:val="20"/>
                <w:highlight w:val="none"/>
              </w:rPr>
            </w:pPr>
          </w:p>
        </w:tc>
        <w:tc>
          <w:tcPr>
            <w:tcW w:w="1590" w:type="dxa"/>
          </w:tcPr>
          <w:p w14:paraId="751A5929">
            <w:pPr>
              <w:ind w:left="420" w:hanging="420"/>
              <w:rPr>
                <w:rFonts w:ascii="宋体" w:hAnsi="Times New Roman" w:eastAsia="宋体" w:cs="Times New Roman"/>
                <w:b/>
                <w:color w:val="auto"/>
                <w:szCs w:val="20"/>
                <w:highlight w:val="none"/>
              </w:rPr>
            </w:pPr>
          </w:p>
        </w:tc>
      </w:tr>
      <w:tr w14:paraId="21EF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5012DD90">
            <w:pPr>
              <w:ind w:left="420" w:hanging="420"/>
              <w:rPr>
                <w:rFonts w:ascii="宋体" w:hAnsi="Times New Roman" w:eastAsia="宋体" w:cs="Times New Roman"/>
                <w:b/>
                <w:color w:val="auto"/>
                <w:szCs w:val="20"/>
                <w:highlight w:val="none"/>
              </w:rPr>
            </w:pPr>
          </w:p>
        </w:tc>
        <w:tc>
          <w:tcPr>
            <w:tcW w:w="2082" w:type="dxa"/>
          </w:tcPr>
          <w:p w14:paraId="5D119418">
            <w:pPr>
              <w:ind w:left="420" w:hanging="420"/>
              <w:rPr>
                <w:rFonts w:ascii="宋体" w:hAnsi="Times New Roman" w:eastAsia="宋体" w:cs="Times New Roman"/>
                <w:b/>
                <w:color w:val="auto"/>
                <w:szCs w:val="20"/>
                <w:highlight w:val="none"/>
              </w:rPr>
            </w:pPr>
          </w:p>
        </w:tc>
        <w:tc>
          <w:tcPr>
            <w:tcW w:w="1355" w:type="dxa"/>
          </w:tcPr>
          <w:p w14:paraId="46B8CFF1">
            <w:pPr>
              <w:ind w:left="420" w:hanging="420"/>
              <w:rPr>
                <w:rFonts w:ascii="宋体" w:hAnsi="Times New Roman" w:eastAsia="宋体" w:cs="Times New Roman"/>
                <w:b/>
                <w:color w:val="auto"/>
                <w:szCs w:val="20"/>
                <w:highlight w:val="none"/>
              </w:rPr>
            </w:pPr>
          </w:p>
        </w:tc>
        <w:tc>
          <w:tcPr>
            <w:tcW w:w="1320" w:type="dxa"/>
          </w:tcPr>
          <w:p w14:paraId="3183E56A">
            <w:pPr>
              <w:ind w:left="420" w:hanging="420"/>
              <w:rPr>
                <w:rFonts w:ascii="宋体" w:hAnsi="Times New Roman" w:eastAsia="宋体" w:cs="Times New Roman"/>
                <w:b/>
                <w:color w:val="auto"/>
                <w:szCs w:val="20"/>
                <w:highlight w:val="none"/>
              </w:rPr>
            </w:pPr>
          </w:p>
        </w:tc>
        <w:tc>
          <w:tcPr>
            <w:tcW w:w="1023" w:type="dxa"/>
          </w:tcPr>
          <w:p w14:paraId="7D436491">
            <w:pPr>
              <w:ind w:left="420" w:hanging="420"/>
              <w:rPr>
                <w:rFonts w:ascii="宋体" w:hAnsi="Times New Roman" w:eastAsia="宋体" w:cs="Times New Roman"/>
                <w:b/>
                <w:color w:val="auto"/>
                <w:szCs w:val="20"/>
                <w:highlight w:val="none"/>
              </w:rPr>
            </w:pPr>
          </w:p>
        </w:tc>
        <w:tc>
          <w:tcPr>
            <w:tcW w:w="1590" w:type="dxa"/>
          </w:tcPr>
          <w:p w14:paraId="767ABD54">
            <w:pPr>
              <w:ind w:left="420" w:hanging="420"/>
              <w:rPr>
                <w:rFonts w:ascii="宋体" w:hAnsi="Times New Roman" w:eastAsia="宋体" w:cs="Times New Roman"/>
                <w:b/>
                <w:color w:val="auto"/>
                <w:szCs w:val="20"/>
                <w:highlight w:val="none"/>
              </w:rPr>
            </w:pPr>
          </w:p>
        </w:tc>
      </w:tr>
      <w:tr w14:paraId="0E8C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7DCBF9A">
            <w:pPr>
              <w:ind w:left="420" w:hanging="420"/>
              <w:rPr>
                <w:rFonts w:ascii="宋体" w:hAnsi="Times New Roman" w:eastAsia="宋体" w:cs="Times New Roman"/>
                <w:b/>
                <w:color w:val="auto"/>
                <w:szCs w:val="20"/>
                <w:highlight w:val="none"/>
              </w:rPr>
            </w:pPr>
          </w:p>
        </w:tc>
        <w:tc>
          <w:tcPr>
            <w:tcW w:w="2082" w:type="dxa"/>
          </w:tcPr>
          <w:p w14:paraId="36A2DD8F">
            <w:pPr>
              <w:ind w:left="420" w:hanging="420"/>
              <w:rPr>
                <w:rFonts w:ascii="宋体" w:hAnsi="Times New Roman" w:eastAsia="宋体" w:cs="Times New Roman"/>
                <w:b/>
                <w:color w:val="auto"/>
                <w:szCs w:val="20"/>
                <w:highlight w:val="none"/>
              </w:rPr>
            </w:pPr>
          </w:p>
        </w:tc>
        <w:tc>
          <w:tcPr>
            <w:tcW w:w="1355" w:type="dxa"/>
          </w:tcPr>
          <w:p w14:paraId="52C10A27">
            <w:pPr>
              <w:ind w:left="420" w:hanging="420"/>
              <w:rPr>
                <w:rFonts w:ascii="宋体" w:hAnsi="Times New Roman" w:eastAsia="宋体" w:cs="Times New Roman"/>
                <w:b/>
                <w:color w:val="auto"/>
                <w:szCs w:val="20"/>
                <w:highlight w:val="none"/>
              </w:rPr>
            </w:pPr>
          </w:p>
        </w:tc>
        <w:tc>
          <w:tcPr>
            <w:tcW w:w="1320" w:type="dxa"/>
          </w:tcPr>
          <w:p w14:paraId="11B48F5C">
            <w:pPr>
              <w:ind w:left="420" w:hanging="420"/>
              <w:rPr>
                <w:rFonts w:ascii="宋体" w:hAnsi="Times New Roman" w:eastAsia="宋体" w:cs="Times New Roman"/>
                <w:b/>
                <w:color w:val="auto"/>
                <w:szCs w:val="20"/>
                <w:highlight w:val="none"/>
              </w:rPr>
            </w:pPr>
          </w:p>
        </w:tc>
        <w:tc>
          <w:tcPr>
            <w:tcW w:w="1023" w:type="dxa"/>
          </w:tcPr>
          <w:p w14:paraId="79805CC4">
            <w:pPr>
              <w:ind w:left="420" w:hanging="420"/>
              <w:rPr>
                <w:rFonts w:ascii="宋体" w:hAnsi="Times New Roman" w:eastAsia="宋体" w:cs="Times New Roman"/>
                <w:b/>
                <w:color w:val="auto"/>
                <w:szCs w:val="20"/>
                <w:highlight w:val="none"/>
              </w:rPr>
            </w:pPr>
          </w:p>
        </w:tc>
        <w:tc>
          <w:tcPr>
            <w:tcW w:w="1590" w:type="dxa"/>
          </w:tcPr>
          <w:p w14:paraId="28C3F30D">
            <w:pPr>
              <w:ind w:left="420" w:hanging="420"/>
              <w:rPr>
                <w:rFonts w:ascii="宋体" w:hAnsi="Times New Roman" w:eastAsia="宋体" w:cs="Times New Roman"/>
                <w:b/>
                <w:color w:val="auto"/>
                <w:szCs w:val="20"/>
                <w:highlight w:val="none"/>
              </w:rPr>
            </w:pPr>
          </w:p>
        </w:tc>
      </w:tr>
      <w:tr w14:paraId="1021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57F88530">
            <w:pPr>
              <w:ind w:left="420" w:hanging="420"/>
              <w:rPr>
                <w:rFonts w:ascii="宋体" w:hAnsi="Times New Roman" w:eastAsia="宋体" w:cs="Times New Roman"/>
                <w:b/>
                <w:color w:val="auto"/>
                <w:szCs w:val="20"/>
                <w:highlight w:val="none"/>
              </w:rPr>
            </w:pPr>
          </w:p>
        </w:tc>
        <w:tc>
          <w:tcPr>
            <w:tcW w:w="2082" w:type="dxa"/>
          </w:tcPr>
          <w:p w14:paraId="2D271C99">
            <w:pPr>
              <w:ind w:left="420" w:hanging="420"/>
              <w:rPr>
                <w:rFonts w:ascii="宋体" w:hAnsi="Times New Roman" w:eastAsia="宋体" w:cs="Times New Roman"/>
                <w:b/>
                <w:color w:val="auto"/>
                <w:szCs w:val="20"/>
                <w:highlight w:val="none"/>
              </w:rPr>
            </w:pPr>
          </w:p>
        </w:tc>
        <w:tc>
          <w:tcPr>
            <w:tcW w:w="1355" w:type="dxa"/>
          </w:tcPr>
          <w:p w14:paraId="0A781071">
            <w:pPr>
              <w:ind w:left="420" w:hanging="420"/>
              <w:rPr>
                <w:rFonts w:ascii="宋体" w:hAnsi="Times New Roman" w:eastAsia="宋体" w:cs="Times New Roman"/>
                <w:b/>
                <w:color w:val="auto"/>
                <w:szCs w:val="20"/>
                <w:highlight w:val="none"/>
              </w:rPr>
            </w:pPr>
          </w:p>
        </w:tc>
        <w:tc>
          <w:tcPr>
            <w:tcW w:w="1320" w:type="dxa"/>
          </w:tcPr>
          <w:p w14:paraId="79462865">
            <w:pPr>
              <w:ind w:left="420" w:hanging="420"/>
              <w:rPr>
                <w:rFonts w:ascii="宋体" w:hAnsi="Times New Roman" w:eastAsia="宋体" w:cs="Times New Roman"/>
                <w:b/>
                <w:color w:val="auto"/>
                <w:szCs w:val="20"/>
                <w:highlight w:val="none"/>
              </w:rPr>
            </w:pPr>
          </w:p>
        </w:tc>
        <w:tc>
          <w:tcPr>
            <w:tcW w:w="1023" w:type="dxa"/>
          </w:tcPr>
          <w:p w14:paraId="07236489">
            <w:pPr>
              <w:ind w:left="420" w:hanging="420"/>
              <w:rPr>
                <w:rFonts w:ascii="宋体" w:hAnsi="Times New Roman" w:eastAsia="宋体" w:cs="Times New Roman"/>
                <w:b/>
                <w:color w:val="auto"/>
                <w:szCs w:val="20"/>
                <w:highlight w:val="none"/>
              </w:rPr>
            </w:pPr>
          </w:p>
        </w:tc>
        <w:tc>
          <w:tcPr>
            <w:tcW w:w="1590" w:type="dxa"/>
          </w:tcPr>
          <w:p w14:paraId="74A5A723">
            <w:pPr>
              <w:ind w:left="420" w:hanging="420"/>
              <w:rPr>
                <w:rFonts w:ascii="宋体" w:hAnsi="Times New Roman" w:eastAsia="宋体" w:cs="Times New Roman"/>
                <w:b/>
                <w:color w:val="auto"/>
                <w:szCs w:val="20"/>
                <w:highlight w:val="none"/>
              </w:rPr>
            </w:pPr>
          </w:p>
        </w:tc>
      </w:tr>
      <w:tr w14:paraId="73B7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76E888F">
            <w:pPr>
              <w:ind w:left="420" w:hanging="420"/>
              <w:rPr>
                <w:rFonts w:ascii="宋体" w:hAnsi="Times New Roman" w:eastAsia="宋体" w:cs="Times New Roman"/>
                <w:b/>
                <w:color w:val="auto"/>
                <w:szCs w:val="20"/>
                <w:highlight w:val="none"/>
              </w:rPr>
            </w:pPr>
          </w:p>
        </w:tc>
        <w:tc>
          <w:tcPr>
            <w:tcW w:w="2082" w:type="dxa"/>
          </w:tcPr>
          <w:p w14:paraId="0215D2C7">
            <w:pPr>
              <w:ind w:left="420" w:hanging="420"/>
              <w:rPr>
                <w:rFonts w:ascii="宋体" w:hAnsi="Times New Roman" w:eastAsia="宋体" w:cs="Times New Roman"/>
                <w:b/>
                <w:color w:val="auto"/>
                <w:szCs w:val="20"/>
                <w:highlight w:val="none"/>
              </w:rPr>
            </w:pPr>
          </w:p>
        </w:tc>
        <w:tc>
          <w:tcPr>
            <w:tcW w:w="1355" w:type="dxa"/>
          </w:tcPr>
          <w:p w14:paraId="723A3E04">
            <w:pPr>
              <w:ind w:left="420" w:hanging="420"/>
              <w:rPr>
                <w:rFonts w:ascii="宋体" w:hAnsi="Times New Roman" w:eastAsia="宋体" w:cs="Times New Roman"/>
                <w:b/>
                <w:color w:val="auto"/>
                <w:szCs w:val="20"/>
                <w:highlight w:val="none"/>
              </w:rPr>
            </w:pPr>
          </w:p>
        </w:tc>
        <w:tc>
          <w:tcPr>
            <w:tcW w:w="1320" w:type="dxa"/>
          </w:tcPr>
          <w:p w14:paraId="5496AF5F">
            <w:pPr>
              <w:ind w:left="420" w:hanging="420"/>
              <w:rPr>
                <w:rFonts w:ascii="宋体" w:hAnsi="Times New Roman" w:eastAsia="宋体" w:cs="Times New Roman"/>
                <w:b/>
                <w:color w:val="auto"/>
                <w:szCs w:val="20"/>
                <w:highlight w:val="none"/>
              </w:rPr>
            </w:pPr>
          </w:p>
        </w:tc>
        <w:tc>
          <w:tcPr>
            <w:tcW w:w="1023" w:type="dxa"/>
          </w:tcPr>
          <w:p w14:paraId="581276AD">
            <w:pPr>
              <w:ind w:left="420" w:hanging="420"/>
              <w:rPr>
                <w:rFonts w:ascii="宋体" w:hAnsi="Times New Roman" w:eastAsia="宋体" w:cs="Times New Roman"/>
                <w:b/>
                <w:color w:val="auto"/>
                <w:szCs w:val="20"/>
                <w:highlight w:val="none"/>
              </w:rPr>
            </w:pPr>
          </w:p>
        </w:tc>
        <w:tc>
          <w:tcPr>
            <w:tcW w:w="1590" w:type="dxa"/>
          </w:tcPr>
          <w:p w14:paraId="79AE097A">
            <w:pPr>
              <w:ind w:left="420" w:hanging="420"/>
              <w:rPr>
                <w:rFonts w:ascii="宋体" w:hAnsi="Times New Roman" w:eastAsia="宋体" w:cs="Times New Roman"/>
                <w:b/>
                <w:color w:val="auto"/>
                <w:szCs w:val="20"/>
                <w:highlight w:val="none"/>
              </w:rPr>
            </w:pPr>
          </w:p>
        </w:tc>
      </w:tr>
      <w:tr w14:paraId="4018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D8836F0">
            <w:pPr>
              <w:ind w:left="420" w:hanging="420"/>
              <w:rPr>
                <w:rFonts w:ascii="宋体" w:hAnsi="Times New Roman" w:eastAsia="宋体" w:cs="Times New Roman"/>
                <w:b/>
                <w:color w:val="auto"/>
                <w:szCs w:val="20"/>
                <w:highlight w:val="none"/>
              </w:rPr>
            </w:pPr>
          </w:p>
        </w:tc>
        <w:tc>
          <w:tcPr>
            <w:tcW w:w="2082" w:type="dxa"/>
          </w:tcPr>
          <w:p w14:paraId="46372E4B">
            <w:pPr>
              <w:ind w:left="420" w:hanging="420"/>
              <w:rPr>
                <w:rFonts w:ascii="宋体" w:hAnsi="Times New Roman" w:eastAsia="宋体" w:cs="Times New Roman"/>
                <w:b/>
                <w:color w:val="auto"/>
                <w:szCs w:val="20"/>
                <w:highlight w:val="none"/>
              </w:rPr>
            </w:pPr>
          </w:p>
        </w:tc>
        <w:tc>
          <w:tcPr>
            <w:tcW w:w="1355" w:type="dxa"/>
          </w:tcPr>
          <w:p w14:paraId="61A9B5B9">
            <w:pPr>
              <w:ind w:left="420" w:hanging="420"/>
              <w:rPr>
                <w:rFonts w:ascii="宋体" w:hAnsi="Times New Roman" w:eastAsia="宋体" w:cs="Times New Roman"/>
                <w:b/>
                <w:color w:val="auto"/>
                <w:szCs w:val="20"/>
                <w:highlight w:val="none"/>
              </w:rPr>
            </w:pPr>
          </w:p>
        </w:tc>
        <w:tc>
          <w:tcPr>
            <w:tcW w:w="1320" w:type="dxa"/>
          </w:tcPr>
          <w:p w14:paraId="5A2AD312">
            <w:pPr>
              <w:ind w:left="420" w:hanging="420"/>
              <w:rPr>
                <w:rFonts w:ascii="宋体" w:hAnsi="Times New Roman" w:eastAsia="宋体" w:cs="Times New Roman"/>
                <w:b/>
                <w:color w:val="auto"/>
                <w:szCs w:val="20"/>
                <w:highlight w:val="none"/>
              </w:rPr>
            </w:pPr>
          </w:p>
        </w:tc>
        <w:tc>
          <w:tcPr>
            <w:tcW w:w="1023" w:type="dxa"/>
          </w:tcPr>
          <w:p w14:paraId="31525556">
            <w:pPr>
              <w:ind w:left="420" w:hanging="420"/>
              <w:rPr>
                <w:rFonts w:ascii="宋体" w:hAnsi="Times New Roman" w:eastAsia="宋体" w:cs="Times New Roman"/>
                <w:b/>
                <w:color w:val="auto"/>
                <w:szCs w:val="20"/>
                <w:highlight w:val="none"/>
              </w:rPr>
            </w:pPr>
          </w:p>
        </w:tc>
        <w:tc>
          <w:tcPr>
            <w:tcW w:w="1590" w:type="dxa"/>
          </w:tcPr>
          <w:p w14:paraId="5B250389">
            <w:pPr>
              <w:ind w:left="420" w:hanging="420"/>
              <w:rPr>
                <w:rFonts w:ascii="宋体" w:hAnsi="Times New Roman" w:eastAsia="宋体" w:cs="Times New Roman"/>
                <w:b/>
                <w:color w:val="auto"/>
                <w:szCs w:val="20"/>
                <w:highlight w:val="none"/>
              </w:rPr>
            </w:pPr>
          </w:p>
        </w:tc>
      </w:tr>
      <w:tr w14:paraId="0955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701C898">
            <w:pPr>
              <w:ind w:left="420" w:hanging="420"/>
              <w:rPr>
                <w:rFonts w:ascii="宋体" w:hAnsi="Times New Roman" w:eastAsia="宋体" w:cs="Times New Roman"/>
                <w:b/>
                <w:color w:val="auto"/>
                <w:szCs w:val="20"/>
                <w:highlight w:val="none"/>
              </w:rPr>
            </w:pPr>
          </w:p>
        </w:tc>
        <w:tc>
          <w:tcPr>
            <w:tcW w:w="2082" w:type="dxa"/>
          </w:tcPr>
          <w:p w14:paraId="14D4E9F6">
            <w:pPr>
              <w:ind w:left="420" w:hanging="420"/>
              <w:rPr>
                <w:rFonts w:ascii="宋体" w:hAnsi="Times New Roman" w:eastAsia="宋体" w:cs="Times New Roman"/>
                <w:b/>
                <w:color w:val="auto"/>
                <w:szCs w:val="20"/>
                <w:highlight w:val="none"/>
              </w:rPr>
            </w:pPr>
          </w:p>
        </w:tc>
        <w:tc>
          <w:tcPr>
            <w:tcW w:w="1355" w:type="dxa"/>
          </w:tcPr>
          <w:p w14:paraId="644F038B">
            <w:pPr>
              <w:ind w:left="420" w:hanging="420"/>
              <w:rPr>
                <w:rFonts w:ascii="宋体" w:hAnsi="Times New Roman" w:eastAsia="宋体" w:cs="Times New Roman"/>
                <w:b/>
                <w:color w:val="auto"/>
                <w:szCs w:val="20"/>
                <w:highlight w:val="none"/>
              </w:rPr>
            </w:pPr>
          </w:p>
        </w:tc>
        <w:tc>
          <w:tcPr>
            <w:tcW w:w="1320" w:type="dxa"/>
          </w:tcPr>
          <w:p w14:paraId="15EC3272">
            <w:pPr>
              <w:ind w:left="420" w:hanging="420"/>
              <w:rPr>
                <w:rFonts w:ascii="宋体" w:hAnsi="Times New Roman" w:eastAsia="宋体" w:cs="Times New Roman"/>
                <w:b/>
                <w:color w:val="auto"/>
                <w:szCs w:val="20"/>
                <w:highlight w:val="none"/>
              </w:rPr>
            </w:pPr>
          </w:p>
        </w:tc>
        <w:tc>
          <w:tcPr>
            <w:tcW w:w="1023" w:type="dxa"/>
          </w:tcPr>
          <w:p w14:paraId="2AD1AA01">
            <w:pPr>
              <w:ind w:left="420" w:hanging="420"/>
              <w:rPr>
                <w:rFonts w:ascii="宋体" w:hAnsi="Times New Roman" w:eastAsia="宋体" w:cs="Times New Roman"/>
                <w:b/>
                <w:color w:val="auto"/>
                <w:szCs w:val="20"/>
                <w:highlight w:val="none"/>
              </w:rPr>
            </w:pPr>
          </w:p>
        </w:tc>
        <w:tc>
          <w:tcPr>
            <w:tcW w:w="1590" w:type="dxa"/>
          </w:tcPr>
          <w:p w14:paraId="278371BD">
            <w:pPr>
              <w:ind w:left="420" w:hanging="420"/>
              <w:rPr>
                <w:rFonts w:ascii="宋体" w:hAnsi="Times New Roman" w:eastAsia="宋体" w:cs="Times New Roman"/>
                <w:b/>
                <w:color w:val="auto"/>
                <w:szCs w:val="20"/>
                <w:highlight w:val="none"/>
              </w:rPr>
            </w:pPr>
          </w:p>
        </w:tc>
      </w:tr>
      <w:tr w14:paraId="66B6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9FA2147">
            <w:pPr>
              <w:ind w:left="420" w:hanging="420"/>
              <w:rPr>
                <w:rFonts w:ascii="宋体" w:hAnsi="Times New Roman" w:eastAsia="宋体" w:cs="Times New Roman"/>
                <w:b/>
                <w:color w:val="auto"/>
                <w:szCs w:val="20"/>
                <w:highlight w:val="none"/>
              </w:rPr>
            </w:pPr>
          </w:p>
        </w:tc>
        <w:tc>
          <w:tcPr>
            <w:tcW w:w="2082" w:type="dxa"/>
          </w:tcPr>
          <w:p w14:paraId="3F92B9E3">
            <w:pPr>
              <w:ind w:left="420" w:hanging="420"/>
              <w:rPr>
                <w:rFonts w:ascii="宋体" w:hAnsi="Times New Roman" w:eastAsia="宋体" w:cs="Times New Roman"/>
                <w:b/>
                <w:color w:val="auto"/>
                <w:szCs w:val="20"/>
                <w:highlight w:val="none"/>
              </w:rPr>
            </w:pPr>
          </w:p>
        </w:tc>
        <w:tc>
          <w:tcPr>
            <w:tcW w:w="1355" w:type="dxa"/>
          </w:tcPr>
          <w:p w14:paraId="58EFF210">
            <w:pPr>
              <w:ind w:left="420" w:hanging="420"/>
              <w:rPr>
                <w:rFonts w:ascii="宋体" w:hAnsi="Times New Roman" w:eastAsia="宋体" w:cs="Times New Roman"/>
                <w:b/>
                <w:color w:val="auto"/>
                <w:szCs w:val="20"/>
                <w:highlight w:val="none"/>
              </w:rPr>
            </w:pPr>
          </w:p>
        </w:tc>
        <w:tc>
          <w:tcPr>
            <w:tcW w:w="1320" w:type="dxa"/>
          </w:tcPr>
          <w:p w14:paraId="3CD5C173">
            <w:pPr>
              <w:ind w:left="420" w:hanging="420"/>
              <w:rPr>
                <w:rFonts w:ascii="宋体" w:hAnsi="Times New Roman" w:eastAsia="宋体" w:cs="Times New Roman"/>
                <w:b/>
                <w:color w:val="auto"/>
                <w:szCs w:val="20"/>
                <w:highlight w:val="none"/>
              </w:rPr>
            </w:pPr>
          </w:p>
        </w:tc>
        <w:tc>
          <w:tcPr>
            <w:tcW w:w="1023" w:type="dxa"/>
          </w:tcPr>
          <w:p w14:paraId="6985738E">
            <w:pPr>
              <w:ind w:left="420" w:hanging="420"/>
              <w:rPr>
                <w:rFonts w:ascii="宋体" w:hAnsi="Times New Roman" w:eastAsia="宋体" w:cs="Times New Roman"/>
                <w:b/>
                <w:color w:val="auto"/>
                <w:szCs w:val="20"/>
                <w:highlight w:val="none"/>
              </w:rPr>
            </w:pPr>
          </w:p>
        </w:tc>
        <w:tc>
          <w:tcPr>
            <w:tcW w:w="1590" w:type="dxa"/>
          </w:tcPr>
          <w:p w14:paraId="5557659F">
            <w:pPr>
              <w:ind w:left="420" w:hanging="420"/>
              <w:rPr>
                <w:rFonts w:ascii="宋体" w:hAnsi="Times New Roman" w:eastAsia="宋体" w:cs="Times New Roman"/>
                <w:b/>
                <w:color w:val="auto"/>
                <w:szCs w:val="20"/>
                <w:highlight w:val="none"/>
              </w:rPr>
            </w:pPr>
          </w:p>
        </w:tc>
      </w:tr>
      <w:tr w14:paraId="53EE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0B80BC73">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ascii="宋体" w:hAnsi="宋体" w:eastAsia="宋体" w:cs="宋体"/>
                <w:color w:val="auto"/>
                <w:sz w:val="24"/>
                <w:szCs w:val="24"/>
                <w:highlight w:val="none"/>
              </w:rPr>
              <w:t>年1月1日至今所有业绩合同总额汇总（必填）</w:t>
            </w:r>
          </w:p>
        </w:tc>
        <w:tc>
          <w:tcPr>
            <w:tcW w:w="1320" w:type="dxa"/>
          </w:tcPr>
          <w:p w14:paraId="66B1A62C">
            <w:pPr>
              <w:ind w:left="420" w:hanging="420"/>
              <w:rPr>
                <w:rFonts w:ascii="宋体" w:hAnsi="Times New Roman" w:eastAsia="宋体" w:cs="Times New Roman"/>
                <w:b/>
                <w:color w:val="auto"/>
                <w:szCs w:val="20"/>
                <w:highlight w:val="none"/>
              </w:rPr>
            </w:pPr>
          </w:p>
        </w:tc>
        <w:tc>
          <w:tcPr>
            <w:tcW w:w="1023" w:type="dxa"/>
          </w:tcPr>
          <w:p w14:paraId="5B18A109">
            <w:pPr>
              <w:ind w:left="420" w:hanging="420"/>
              <w:rPr>
                <w:rFonts w:ascii="宋体" w:hAnsi="Times New Roman" w:eastAsia="宋体" w:cs="Times New Roman"/>
                <w:b/>
                <w:color w:val="auto"/>
                <w:szCs w:val="20"/>
                <w:highlight w:val="none"/>
              </w:rPr>
            </w:pPr>
          </w:p>
        </w:tc>
        <w:tc>
          <w:tcPr>
            <w:tcW w:w="1590" w:type="dxa"/>
          </w:tcPr>
          <w:p w14:paraId="35D851EF">
            <w:pPr>
              <w:ind w:left="420" w:hanging="420"/>
              <w:rPr>
                <w:rFonts w:ascii="宋体" w:hAnsi="Times New Roman" w:eastAsia="宋体" w:cs="Times New Roman"/>
                <w:b/>
                <w:color w:val="auto"/>
                <w:szCs w:val="20"/>
                <w:highlight w:val="none"/>
              </w:rPr>
            </w:pPr>
          </w:p>
        </w:tc>
      </w:tr>
    </w:tbl>
    <w:p w14:paraId="0A1C074E">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14:paraId="48E3363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00714C4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318F9C5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4449DFB9">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21EA86A6">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14:paraId="631BB533">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41737116">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ascii="宋体" w:hAnsi="宋体" w:eastAsia="宋体" w:cs="Times New Roman"/>
          <w:b/>
          <w:color w:val="auto"/>
          <w:sz w:val="24"/>
          <w:szCs w:val="24"/>
          <w:highlight w:val="none"/>
          <w:u w:val="single"/>
        </w:rPr>
        <w:t xml:space="preserve">            </w:t>
      </w:r>
    </w:p>
    <w:p w14:paraId="686A816F">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5607588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14:paraId="6D7E001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3C893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D3F5B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FDF00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9A1401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192952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FB526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43C75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3500D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52665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2FEBA9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1981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B7E17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6A2121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280141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52E73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66C1E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204BA0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1EBC218">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7056205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61FF466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AAC5CAD">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5D05A30B">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14:paraId="0EB80DA0">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41A4187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25C0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43CFD616">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27" w:type="dxa"/>
            <w:vAlign w:val="center"/>
          </w:tcPr>
          <w:p w14:paraId="043071C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777" w:type="dxa"/>
            <w:vAlign w:val="center"/>
          </w:tcPr>
          <w:p w14:paraId="656CBBC5">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373" w:type="dxa"/>
            <w:vAlign w:val="center"/>
          </w:tcPr>
          <w:p w14:paraId="522C63F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18" w:type="dxa"/>
            <w:vAlign w:val="center"/>
          </w:tcPr>
          <w:p w14:paraId="514CCC28">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398" w:type="dxa"/>
            <w:vAlign w:val="center"/>
          </w:tcPr>
          <w:p w14:paraId="23851B93">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14:paraId="4BA32CBD">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14:paraId="26B416F7">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14:paraId="2BD8AE17">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2091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079B9462">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27" w:type="dxa"/>
            <w:vAlign w:val="center"/>
          </w:tcPr>
          <w:p w14:paraId="7E56D30A">
            <w:pPr>
              <w:jc w:val="center"/>
              <w:rPr>
                <w:rFonts w:hint="default" w:ascii="Times New Roman" w:hAnsi="Times New Roman" w:eastAsia="宋体" w:cs="Times New Roman"/>
                <w:b/>
                <w:color w:val="auto"/>
                <w:szCs w:val="20"/>
                <w:highlight w:val="none"/>
                <w:lang w:val="en-US" w:eastAsia="zh-CN"/>
              </w:rPr>
            </w:pPr>
            <w:r>
              <w:rPr>
                <w:rFonts w:hint="eastAsia" w:ascii="Times New Roman" w:hAnsi="Times New Roman" w:eastAsia="宋体" w:cs="Times New Roman"/>
                <w:b/>
                <w:color w:val="auto"/>
                <w:szCs w:val="20"/>
                <w:highlight w:val="none"/>
                <w:lang w:val="en-US" w:eastAsia="zh-CN"/>
              </w:rPr>
              <w:t>项目名称</w:t>
            </w:r>
          </w:p>
        </w:tc>
        <w:tc>
          <w:tcPr>
            <w:tcW w:w="777" w:type="dxa"/>
            <w:vAlign w:val="center"/>
          </w:tcPr>
          <w:p w14:paraId="03DFF5BE">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373" w:type="dxa"/>
            <w:vAlign w:val="center"/>
          </w:tcPr>
          <w:p w14:paraId="7C9C943A">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14:paraId="60B0E751">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14:paraId="1C3E2FE7">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18" w:type="dxa"/>
            <w:vAlign w:val="center"/>
          </w:tcPr>
          <w:p w14:paraId="5B57C88D">
            <w:pPr>
              <w:jc w:val="center"/>
              <w:rPr>
                <w:rFonts w:ascii="Times New Roman" w:hAnsi="Times New Roman" w:eastAsia="宋体" w:cs="Times New Roman"/>
                <w:b/>
                <w:color w:val="auto"/>
                <w:szCs w:val="20"/>
                <w:highlight w:val="none"/>
              </w:rPr>
            </w:pPr>
          </w:p>
        </w:tc>
        <w:tc>
          <w:tcPr>
            <w:tcW w:w="1398" w:type="dxa"/>
            <w:vAlign w:val="center"/>
          </w:tcPr>
          <w:p w14:paraId="54529FD2">
            <w:pPr>
              <w:jc w:val="center"/>
              <w:rPr>
                <w:rFonts w:ascii="Times New Roman" w:hAnsi="Times New Roman" w:eastAsia="宋体" w:cs="Times New Roman"/>
                <w:b/>
                <w:color w:val="auto"/>
                <w:szCs w:val="20"/>
                <w:highlight w:val="none"/>
              </w:rPr>
            </w:pPr>
          </w:p>
        </w:tc>
        <w:tc>
          <w:tcPr>
            <w:tcW w:w="705" w:type="dxa"/>
            <w:vAlign w:val="center"/>
          </w:tcPr>
          <w:p w14:paraId="213BD4AD">
            <w:pPr>
              <w:jc w:val="center"/>
              <w:rPr>
                <w:rFonts w:ascii="Times New Roman" w:hAnsi="Times New Roman" w:eastAsia="宋体" w:cs="Times New Roman"/>
                <w:b/>
                <w:color w:val="auto"/>
                <w:szCs w:val="20"/>
                <w:highlight w:val="none"/>
              </w:rPr>
            </w:pPr>
          </w:p>
        </w:tc>
        <w:tc>
          <w:tcPr>
            <w:tcW w:w="699" w:type="dxa"/>
            <w:vAlign w:val="center"/>
          </w:tcPr>
          <w:p w14:paraId="40545FEE">
            <w:pPr>
              <w:jc w:val="center"/>
              <w:rPr>
                <w:rFonts w:ascii="Times New Roman" w:hAnsi="Times New Roman" w:eastAsia="宋体" w:cs="Times New Roman"/>
                <w:b/>
                <w:color w:val="auto"/>
                <w:szCs w:val="20"/>
                <w:highlight w:val="none"/>
              </w:rPr>
            </w:pPr>
          </w:p>
        </w:tc>
      </w:tr>
    </w:tbl>
    <w:p w14:paraId="2B710A78">
      <w:pPr>
        <w:rPr>
          <w:rFonts w:ascii="宋体" w:hAnsi="Arial" w:eastAsia="宋体" w:cs="Times New Roman"/>
          <w:color w:val="auto"/>
          <w:sz w:val="24"/>
          <w:szCs w:val="24"/>
          <w:highlight w:val="none"/>
        </w:rPr>
      </w:pPr>
    </w:p>
    <w:p w14:paraId="3E83D6DB">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03527D8D">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1.此表中的报价必须与相应的报价明细表中的报价一致。</w:t>
      </w:r>
    </w:p>
    <w:p w14:paraId="077F664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2.此表在投递标书时请单独密封两份，否则不予唱标。</w:t>
      </w:r>
    </w:p>
    <w:p w14:paraId="68170AC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3.需写明含税价、不含税价格、税率。</w:t>
      </w:r>
    </w:p>
    <w:p w14:paraId="70CE1BD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4.投标总价大写为必填项，如发生大小写不一致，以大写为准。</w:t>
      </w:r>
    </w:p>
    <w:p w14:paraId="06AE16C6">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3D0D8067">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color w:val="auto"/>
          <w:szCs w:val="21"/>
          <w:highlight w:val="none"/>
        </w:rPr>
      </w:pPr>
    </w:p>
    <w:p w14:paraId="0A691F5C">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520018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4ECD9F6E">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365DA78">
      <w:pPr>
        <w:ind w:firstLine="480"/>
        <w:rPr>
          <w:rFonts w:ascii="宋体" w:hAnsi="Calibri" w:eastAsia="宋体" w:cs="Times New Roman"/>
          <w:color w:val="auto"/>
          <w:sz w:val="24"/>
          <w:szCs w:val="24"/>
          <w:highlight w:val="none"/>
        </w:rPr>
      </w:pPr>
    </w:p>
    <w:p w14:paraId="025C8A9C">
      <w:pPr>
        <w:pStyle w:val="14"/>
        <w:rPr>
          <w:color w:val="auto"/>
          <w:highlight w:val="none"/>
        </w:rPr>
        <w:sectPr>
          <w:footerReference r:id="rId11" w:type="first"/>
          <w:headerReference r:id="rId9" w:type="default"/>
          <w:footerReference r:id="rId10" w:type="default"/>
          <w:pgSz w:w="11906" w:h="16838"/>
          <w:pgMar w:top="1588" w:right="1418" w:bottom="1134" w:left="1418" w:header="851" w:footer="992" w:gutter="0"/>
          <w:pgNumType w:fmt="numberInDash"/>
          <w:cols w:space="720" w:num="1"/>
          <w:titlePg/>
          <w:docGrid w:type="lines" w:linePitch="312" w:charSpace="0"/>
        </w:sectPr>
      </w:pPr>
    </w:p>
    <w:p w14:paraId="27E1E4DF">
      <w:pPr>
        <w:pStyle w:val="4"/>
        <w:spacing w:after="0" w:line="240" w:lineRule="auto"/>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2AD81FE2">
      <w:pPr>
        <w:pStyle w:val="5"/>
        <w:spacing w:after="0"/>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14:paraId="48E46D0D">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1F77BAC0">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51C8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45B5DF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315" w:type="dxa"/>
            <w:gridSpan w:val="2"/>
            <w:vAlign w:val="center"/>
          </w:tcPr>
          <w:p w14:paraId="613FB0D7">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1722" w:type="dxa"/>
            <w:vAlign w:val="center"/>
          </w:tcPr>
          <w:p w14:paraId="147BE279">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703" w:type="dxa"/>
            <w:vAlign w:val="center"/>
          </w:tcPr>
          <w:p w14:paraId="01FA5144">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50" w:type="dxa"/>
            <w:vAlign w:val="center"/>
          </w:tcPr>
          <w:p w14:paraId="3B1E78CA">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550" w:type="dxa"/>
            <w:vAlign w:val="center"/>
          </w:tcPr>
          <w:p w14:paraId="2D951371">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6</w:t>
            </w:r>
          </w:p>
        </w:tc>
        <w:tc>
          <w:tcPr>
            <w:tcW w:w="2510" w:type="dxa"/>
            <w:tcBorders>
              <w:right w:val="single" w:color="000000" w:sz="4" w:space="0"/>
            </w:tcBorders>
            <w:vAlign w:val="center"/>
          </w:tcPr>
          <w:p w14:paraId="4C93162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7</w:t>
            </w:r>
          </w:p>
        </w:tc>
        <w:tc>
          <w:tcPr>
            <w:tcW w:w="2196" w:type="dxa"/>
            <w:tcBorders>
              <w:left w:val="single" w:color="000000" w:sz="4" w:space="0"/>
            </w:tcBorders>
            <w:vAlign w:val="center"/>
          </w:tcPr>
          <w:p w14:paraId="381BE97D">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8</w:t>
            </w:r>
          </w:p>
        </w:tc>
        <w:tc>
          <w:tcPr>
            <w:tcW w:w="964" w:type="dxa"/>
            <w:vAlign w:val="center"/>
          </w:tcPr>
          <w:p w14:paraId="1BAA7EA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9</w:t>
            </w:r>
          </w:p>
        </w:tc>
      </w:tr>
      <w:tr w14:paraId="2C1EC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1674C5A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序号</w:t>
            </w:r>
          </w:p>
        </w:tc>
        <w:tc>
          <w:tcPr>
            <w:tcW w:w="2315" w:type="dxa"/>
            <w:gridSpan w:val="2"/>
            <w:vAlign w:val="center"/>
          </w:tcPr>
          <w:p w14:paraId="4CB6B8F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货物名称</w:t>
            </w:r>
          </w:p>
        </w:tc>
        <w:tc>
          <w:tcPr>
            <w:tcW w:w="1722" w:type="dxa"/>
            <w:vAlign w:val="center"/>
          </w:tcPr>
          <w:p w14:paraId="60FD0C49">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型号和规格</w:t>
            </w:r>
          </w:p>
        </w:tc>
        <w:tc>
          <w:tcPr>
            <w:tcW w:w="703" w:type="dxa"/>
            <w:vAlign w:val="center"/>
          </w:tcPr>
          <w:p w14:paraId="7E06704B">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数量</w:t>
            </w:r>
          </w:p>
        </w:tc>
        <w:tc>
          <w:tcPr>
            <w:tcW w:w="550" w:type="dxa"/>
            <w:vAlign w:val="center"/>
          </w:tcPr>
          <w:p w14:paraId="0ECE1A88">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单位</w:t>
            </w:r>
          </w:p>
        </w:tc>
        <w:tc>
          <w:tcPr>
            <w:tcW w:w="2550" w:type="dxa"/>
            <w:vAlign w:val="center"/>
          </w:tcPr>
          <w:p w14:paraId="6D76FDE2">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原产地和制造商名称</w:t>
            </w:r>
          </w:p>
        </w:tc>
        <w:tc>
          <w:tcPr>
            <w:tcW w:w="2510" w:type="dxa"/>
            <w:tcBorders>
              <w:right w:val="single" w:color="000000" w:sz="4" w:space="0"/>
            </w:tcBorders>
            <w:vAlign w:val="center"/>
          </w:tcPr>
          <w:p w14:paraId="3F76CAA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单价（不含税）</w:t>
            </w:r>
          </w:p>
          <w:p w14:paraId="457F7A09">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2196" w:type="dxa"/>
            <w:tcBorders>
              <w:left w:val="single" w:color="000000" w:sz="4" w:space="0"/>
            </w:tcBorders>
            <w:vAlign w:val="center"/>
          </w:tcPr>
          <w:p w14:paraId="71B4018E">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总价[4×7]（不含税）</w:t>
            </w:r>
          </w:p>
          <w:p w14:paraId="3A85074E">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964" w:type="dxa"/>
            <w:vAlign w:val="center"/>
          </w:tcPr>
          <w:p w14:paraId="6C6D8D1F">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备  注</w:t>
            </w:r>
          </w:p>
        </w:tc>
      </w:tr>
      <w:tr w14:paraId="3F104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FBC0C4">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15" w:type="dxa"/>
            <w:gridSpan w:val="2"/>
            <w:shd w:val="clear" w:color="auto" w:fill="auto"/>
            <w:vAlign w:val="center"/>
          </w:tcPr>
          <w:p w14:paraId="252747E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C976F5F">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D649814">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01738779">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1CA4609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17722F91">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232E74A9">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7AB9D8C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5689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3F00BCD">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15" w:type="dxa"/>
            <w:gridSpan w:val="2"/>
            <w:shd w:val="clear" w:color="auto" w:fill="auto"/>
            <w:vAlign w:val="center"/>
          </w:tcPr>
          <w:p w14:paraId="182D23B6">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2E782C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6743A8D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106CA9C3">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420A528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4A39ACC6">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78AF417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5D04D95">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38FA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AF1986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15" w:type="dxa"/>
            <w:gridSpan w:val="2"/>
            <w:shd w:val="clear" w:color="auto" w:fill="auto"/>
            <w:vAlign w:val="center"/>
          </w:tcPr>
          <w:p w14:paraId="034F4296">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24FC26D0">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11991179">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2F4C5FC6">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5184602F">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1242DA49">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2D37E960">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7749E7EC">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49DC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E59E6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15" w:type="dxa"/>
            <w:gridSpan w:val="2"/>
            <w:shd w:val="clear" w:color="auto" w:fill="auto"/>
            <w:vAlign w:val="center"/>
          </w:tcPr>
          <w:p w14:paraId="26727977">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280B879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78D7C4F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42096E0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798782D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234A302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1A652B7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603320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375EB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B3372C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15" w:type="dxa"/>
            <w:gridSpan w:val="2"/>
            <w:shd w:val="clear" w:color="auto" w:fill="auto"/>
            <w:vAlign w:val="center"/>
          </w:tcPr>
          <w:p w14:paraId="01631EA7">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09E021F9">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14F594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150EA06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1A2553E8">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7A81BB76">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405714A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04D54D0">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0ADCE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A4CB7F1">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315" w:type="dxa"/>
            <w:gridSpan w:val="2"/>
            <w:shd w:val="clear" w:color="auto" w:fill="auto"/>
          </w:tcPr>
          <w:p w14:paraId="6ABF2EA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r>
              <w:rPr>
                <w:rFonts w:hint="eastAsia" w:ascii="宋体" w:hAnsi="宋体" w:eastAsia="宋体" w:cs="Times New Roman"/>
                <w:color w:val="auto"/>
                <w:sz w:val="18"/>
                <w:szCs w:val="18"/>
                <w:highlight w:val="none"/>
              </w:rPr>
              <w:t>以上投标设备不足之处请往下添加序号自行补充</w:t>
            </w:r>
          </w:p>
        </w:tc>
        <w:tc>
          <w:tcPr>
            <w:tcW w:w="1722" w:type="dxa"/>
          </w:tcPr>
          <w:p w14:paraId="063534A1">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703" w:type="dxa"/>
          </w:tcPr>
          <w:p w14:paraId="3399E5BC">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550" w:type="dxa"/>
          </w:tcPr>
          <w:p w14:paraId="5774D468">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2550" w:type="dxa"/>
          </w:tcPr>
          <w:p w14:paraId="16CF917B">
            <w:pPr>
              <w:pageBreakBefore w:val="0"/>
              <w:widowControl w:val="0"/>
              <w:kinsoku/>
              <w:wordWrap/>
              <w:overflowPunct/>
              <w:topLinePunct w:val="0"/>
              <w:autoSpaceDE/>
              <w:autoSpaceDN/>
              <w:bidi w:val="0"/>
              <w:spacing w:after="0"/>
              <w:textAlignment w:val="auto"/>
              <w:rPr>
                <w:rFonts w:ascii="Arial"/>
                <w:color w:val="auto"/>
                <w:highlight w:val="none"/>
              </w:rPr>
            </w:pPr>
          </w:p>
        </w:tc>
        <w:tc>
          <w:tcPr>
            <w:tcW w:w="2510" w:type="dxa"/>
            <w:tcBorders>
              <w:right w:val="single" w:color="000000" w:sz="4" w:space="0"/>
            </w:tcBorders>
          </w:tcPr>
          <w:p w14:paraId="72B48ADF">
            <w:pPr>
              <w:pageBreakBefore w:val="0"/>
              <w:widowControl w:val="0"/>
              <w:kinsoku/>
              <w:wordWrap/>
              <w:overflowPunct/>
              <w:topLinePunct w:val="0"/>
              <w:autoSpaceDE/>
              <w:autoSpaceDN/>
              <w:bidi w:val="0"/>
              <w:spacing w:after="0"/>
              <w:textAlignment w:val="auto"/>
              <w:rPr>
                <w:rFonts w:ascii="Arial"/>
                <w:color w:val="auto"/>
                <w:highlight w:val="none"/>
              </w:rPr>
            </w:pPr>
          </w:p>
        </w:tc>
        <w:tc>
          <w:tcPr>
            <w:tcW w:w="2196" w:type="dxa"/>
            <w:tcBorders>
              <w:left w:val="single" w:color="000000" w:sz="4" w:space="0"/>
            </w:tcBorders>
          </w:tcPr>
          <w:p w14:paraId="42CA4A91">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12564016">
            <w:pPr>
              <w:pageBreakBefore w:val="0"/>
              <w:widowControl w:val="0"/>
              <w:kinsoku/>
              <w:wordWrap/>
              <w:overflowPunct/>
              <w:topLinePunct w:val="0"/>
              <w:autoSpaceDE/>
              <w:autoSpaceDN/>
              <w:bidi w:val="0"/>
              <w:spacing w:after="0"/>
              <w:textAlignment w:val="auto"/>
              <w:rPr>
                <w:rFonts w:ascii="Arial"/>
                <w:color w:val="auto"/>
                <w:highlight w:val="none"/>
              </w:rPr>
            </w:pPr>
          </w:p>
        </w:tc>
      </w:tr>
      <w:tr w14:paraId="62B4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3FD4BCF9">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pacing w:val="-6"/>
                <w:szCs w:val="21"/>
                <w:highlight w:val="none"/>
              </w:rPr>
            </w:pPr>
          </w:p>
        </w:tc>
        <w:tc>
          <w:tcPr>
            <w:tcW w:w="9440" w:type="dxa"/>
            <w:gridSpan w:val="6"/>
            <w:tcBorders>
              <w:right w:val="single" w:color="000000" w:sz="4" w:space="0"/>
            </w:tcBorders>
          </w:tcPr>
          <w:p w14:paraId="10FDF270">
            <w:pPr>
              <w:pageBreakBefore w:val="0"/>
              <w:widowControl w:val="0"/>
              <w:kinsoku/>
              <w:wordWrap/>
              <w:overflowPunct/>
              <w:topLinePunct w:val="0"/>
              <w:autoSpaceDE/>
              <w:autoSpaceDN/>
              <w:bidi w:val="0"/>
              <w:spacing w:after="0"/>
              <w:jc w:val="center"/>
              <w:textAlignment w:val="auto"/>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196" w:type="dxa"/>
            <w:tcBorders>
              <w:left w:val="single" w:color="000000" w:sz="4" w:space="0"/>
            </w:tcBorders>
          </w:tcPr>
          <w:p w14:paraId="7E3CCC0D">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6DAD58DD">
            <w:pPr>
              <w:pageBreakBefore w:val="0"/>
              <w:widowControl w:val="0"/>
              <w:kinsoku/>
              <w:wordWrap/>
              <w:overflowPunct/>
              <w:topLinePunct w:val="0"/>
              <w:autoSpaceDE/>
              <w:autoSpaceDN/>
              <w:bidi w:val="0"/>
              <w:spacing w:after="0"/>
              <w:textAlignment w:val="auto"/>
              <w:rPr>
                <w:rFonts w:ascii="Arial"/>
                <w:color w:val="auto"/>
                <w:highlight w:val="none"/>
              </w:rPr>
            </w:pPr>
          </w:p>
        </w:tc>
      </w:tr>
    </w:tbl>
    <w:p w14:paraId="66DFB9F9">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8"/>
          <w:szCs w:val="21"/>
          <w:highlight w:val="none"/>
        </w:rPr>
      </w:pPr>
    </w:p>
    <w:p w14:paraId="3B11A36F">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4"/>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4E55B199">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547AFA3F">
      <w:pPr>
        <w:pageBreakBefore w:val="0"/>
        <w:widowControl w:val="0"/>
        <w:kinsoku/>
        <w:wordWrap/>
        <w:overflowPunct/>
        <w:topLinePunct w:val="0"/>
        <w:autoSpaceDE/>
        <w:autoSpaceDN/>
        <w:bidi w:val="0"/>
        <w:spacing w:before="85" w:after="0" w:line="198" w:lineRule="auto"/>
        <w:ind w:left="432"/>
        <w:textAlignment w:val="auto"/>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14:paraId="21DFDF4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6E044CD3">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67C12E12">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1412DE25">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3E7E2B18">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39F5C86E">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22076DC8">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18454122">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投标人(章)：                                 </w:t>
      </w: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 xml:space="preserve">年    月  </w:t>
      </w:r>
    </w:p>
    <w:p w14:paraId="36CFFCC5">
      <w:pPr>
        <w:rPr>
          <w:rFonts w:ascii="宋体" w:hAnsi="宋体" w:eastAsia="宋体" w:cs="宋体"/>
          <w:color w:val="auto"/>
          <w:sz w:val="24"/>
          <w:szCs w:val="24"/>
          <w:highlight w:val="none"/>
        </w:rPr>
      </w:pPr>
    </w:p>
    <w:p w14:paraId="00B70B4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2A320DD8">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0059294C">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8374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B7427BC">
            <w:pPr>
              <w:pageBreakBefore w:val="0"/>
              <w:widowControl w:val="0"/>
              <w:kinsoku/>
              <w:wordWrap/>
              <w:overflowPunct/>
              <w:topLinePunct w:val="0"/>
              <w:autoSpaceDE/>
              <w:autoSpaceDN/>
              <w:bidi w:val="0"/>
              <w:adjustRightInd/>
              <w:snapToGrid/>
              <w:spacing w:after="0" w:line="296" w:lineRule="auto"/>
              <w:textAlignment w:val="auto"/>
              <w:rPr>
                <w:rFonts w:ascii="Arial"/>
                <w:color w:val="auto"/>
                <w:highlight w:val="none"/>
              </w:rPr>
            </w:pPr>
          </w:p>
          <w:p w14:paraId="1BA9FEA9">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序号</w:t>
            </w:r>
          </w:p>
        </w:tc>
        <w:tc>
          <w:tcPr>
            <w:tcW w:w="3530" w:type="dxa"/>
            <w:vMerge w:val="restart"/>
            <w:tcBorders>
              <w:bottom w:val="nil"/>
            </w:tcBorders>
          </w:tcPr>
          <w:p w14:paraId="13220927">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56EB9A0F">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内  容</w:t>
            </w:r>
          </w:p>
        </w:tc>
        <w:tc>
          <w:tcPr>
            <w:tcW w:w="2159" w:type="dxa"/>
          </w:tcPr>
          <w:p w14:paraId="61B0C69D">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数  量</w:t>
            </w:r>
          </w:p>
        </w:tc>
        <w:tc>
          <w:tcPr>
            <w:tcW w:w="2186" w:type="dxa"/>
          </w:tcPr>
          <w:p w14:paraId="1C8ECB76">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单价(元)</w:t>
            </w:r>
            <w:r>
              <w:rPr>
                <w:rFonts w:hint="eastAsia" w:ascii="宋体" w:hAnsi="宋体" w:eastAsia="宋体" w:cs="宋体"/>
                <w:color w:val="auto"/>
                <w:spacing w:val="-1"/>
                <w:szCs w:val="21"/>
                <w:highlight w:val="none"/>
              </w:rPr>
              <w:t>（不含税）</w:t>
            </w:r>
          </w:p>
        </w:tc>
        <w:tc>
          <w:tcPr>
            <w:tcW w:w="2596" w:type="dxa"/>
          </w:tcPr>
          <w:p w14:paraId="33870FB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总价(元)</w:t>
            </w:r>
            <w:r>
              <w:rPr>
                <w:rFonts w:hint="eastAsia" w:ascii="宋体" w:hAnsi="宋体" w:eastAsia="宋体" w:cs="宋体"/>
                <w:color w:val="auto"/>
                <w:spacing w:val="-1"/>
                <w:szCs w:val="21"/>
                <w:highlight w:val="none"/>
              </w:rPr>
              <w:t>（不含税）</w:t>
            </w:r>
          </w:p>
        </w:tc>
        <w:tc>
          <w:tcPr>
            <w:tcW w:w="2164" w:type="dxa"/>
          </w:tcPr>
          <w:p w14:paraId="46629D1C">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  注</w:t>
            </w:r>
          </w:p>
        </w:tc>
      </w:tr>
      <w:tr w14:paraId="7F48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593F20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530" w:type="dxa"/>
            <w:vMerge w:val="continue"/>
            <w:tcBorders>
              <w:top w:val="nil"/>
            </w:tcBorders>
          </w:tcPr>
          <w:p w14:paraId="2965B3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59" w:type="dxa"/>
          </w:tcPr>
          <w:p w14:paraId="706FDBD1">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14:paraId="0C2ABEED">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14:paraId="66DD51F4">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14:paraId="6EA10700">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68878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156086">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14:paraId="7B2B9966">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14:paraId="2B98E33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2073E95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7CA543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088E072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1B8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41F36A">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14:paraId="462D51EE">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14:paraId="0D24975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471CA83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6A8444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restart"/>
            <w:tcBorders>
              <w:bottom w:val="nil"/>
            </w:tcBorders>
          </w:tcPr>
          <w:p w14:paraId="587B75BF">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608EB88C">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412E0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5DF6CD2">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14:paraId="1EC48932">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14:paraId="3B0E9E5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37F01F5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6E9197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continue"/>
            <w:tcBorders>
              <w:top w:val="nil"/>
            </w:tcBorders>
          </w:tcPr>
          <w:p w14:paraId="6A4A63F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3F5D9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2EB4A65">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14:paraId="0752C220">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14:paraId="474020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74F39B8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ED40FB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1D521186">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30DE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39826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14:paraId="3D7E807F">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土建</w:t>
            </w:r>
          </w:p>
        </w:tc>
        <w:tc>
          <w:tcPr>
            <w:tcW w:w="2159" w:type="dxa"/>
          </w:tcPr>
          <w:p w14:paraId="648871A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4A601F8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7E4CD0C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30BE0D5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3355C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BB27B95">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530" w:type="dxa"/>
          </w:tcPr>
          <w:p w14:paraId="27E38ABD">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其他</w:t>
            </w:r>
          </w:p>
        </w:tc>
        <w:tc>
          <w:tcPr>
            <w:tcW w:w="2159" w:type="dxa"/>
          </w:tcPr>
          <w:p w14:paraId="39B07B4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5853E2F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130D756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2B94B659">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20D7F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D78125C">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14:paraId="706ED75F">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1A2FBB67">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p w14:paraId="1F102612">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14:paraId="75409AD5">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45A510C9">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5B0E861A">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74261272">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489BE8F3">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14:paraId="7CB41502">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610E9CD8">
      <w:pPr>
        <w:rPr>
          <w:color w:val="auto"/>
          <w:sz w:val="24"/>
          <w:szCs w:val="24"/>
          <w:highlight w:val="none"/>
        </w:rPr>
        <w:sectPr>
          <w:headerReference r:id="rId12" w:type="default"/>
          <w:footerReference r:id="rId13" w:type="default"/>
          <w:pgSz w:w="16841" w:h="11907"/>
          <w:pgMar w:top="400" w:right="1699" w:bottom="1184" w:left="1481" w:header="0" w:footer="1022" w:gutter="0"/>
          <w:pgNumType w:fmt="numberInDash"/>
          <w:cols w:space="720" w:num="1"/>
        </w:sectPr>
      </w:pPr>
    </w:p>
    <w:p w14:paraId="2C3C49D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40B23867">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5FDEA6A6">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32D76F28">
      <w:pPr>
        <w:pageBreakBefore w:val="0"/>
        <w:widowControl w:val="0"/>
        <w:kinsoku/>
        <w:wordWrap/>
        <w:overflowPunct/>
        <w:topLinePunct w:val="0"/>
        <w:autoSpaceDE/>
        <w:autoSpaceDN/>
        <w:bidi w:val="0"/>
        <w:adjustRightInd/>
        <w:snapToGrid/>
        <w:spacing w:after="0"/>
        <w:textAlignment w:val="auto"/>
        <w:rPr>
          <w:color w:val="auto"/>
          <w:highlight w:val="none"/>
        </w:rPr>
      </w:pPr>
    </w:p>
    <w:p w14:paraId="37406D84">
      <w:pPr>
        <w:pageBreakBefore w:val="0"/>
        <w:widowControl w:val="0"/>
        <w:kinsoku/>
        <w:wordWrap/>
        <w:overflowPunct/>
        <w:topLinePunct w:val="0"/>
        <w:autoSpaceDE/>
        <w:autoSpaceDN/>
        <w:bidi w:val="0"/>
        <w:adjustRightInd/>
        <w:snapToGrid/>
        <w:spacing w:after="0" w:line="20" w:lineRule="exact"/>
        <w:textAlignment w:val="auto"/>
        <w:rPr>
          <w:color w:val="auto"/>
          <w:highlight w:val="none"/>
        </w:rPr>
      </w:pPr>
    </w:p>
    <w:tbl>
      <w:tblPr>
        <w:tblStyle w:val="11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032B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6DF924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0F71B3CF">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0C58D01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176CE3E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67485AF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4C95F9D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320D199A">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2539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DC35B45">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14:paraId="41919F7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14:paraId="6741941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674E32B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2345573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4EE46BE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2E26B2D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738D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909BACE">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14:paraId="6224AE0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14:paraId="5571BFC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7D59593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DD760B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6879C06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3CEA842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9EB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523DDED">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14:paraId="2252FDB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14:paraId="5E53F22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509E2D6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E52898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1248125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1C97D4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F443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C26BD8B">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14:paraId="66EA0B42">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14:paraId="5781787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3C955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47D329D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458436A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7FA441B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227F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44B9D2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0B6DDC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5A519E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62B171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47FF24E7">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66003BC7">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2A8F231B">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14:paraId="6D15EF2B">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0081BFC9">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14:paraId="1C7471FB">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3B03451D">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73C618B3">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7631CA47">
      <w:pPr>
        <w:pageBreakBefore w:val="0"/>
        <w:widowControl w:val="0"/>
        <w:kinsoku/>
        <w:wordWrap/>
        <w:overflowPunct/>
        <w:topLinePunct w:val="0"/>
        <w:autoSpaceDE/>
        <w:autoSpaceDN/>
        <w:bidi w:val="0"/>
        <w:adjustRightInd/>
        <w:snapToGrid/>
        <w:spacing w:after="0"/>
        <w:textAlignment w:val="auto"/>
        <w:rPr>
          <w:color w:val="auto"/>
          <w:highlight w:val="none"/>
        </w:rPr>
      </w:pPr>
    </w:p>
    <w:p w14:paraId="713A60A6">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54C71BFB">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4E38936F">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sectPr>
          <w:footerReference r:id="rId14" w:type="default"/>
          <w:pgSz w:w="16841" w:h="11907"/>
          <w:pgMar w:top="400" w:right="1699" w:bottom="1184" w:left="1481" w:header="0" w:footer="1022" w:gutter="0"/>
          <w:pgNumType w:fmt="numberInDash"/>
          <w:cols w:space="720" w:num="1"/>
        </w:sectPr>
      </w:pPr>
    </w:p>
    <w:p w14:paraId="388B2B11">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14:paraId="3C45E999">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2F6BA0DD">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AC02769">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tbl>
      <w:tblPr>
        <w:tblStyle w:val="11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C15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E9D00F6">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7843AC47">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307F4F72">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06D5B9CF">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1A708734">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751175FE">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3CCB9AEF">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47CE77D6">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5A9CB59A">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7513A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B506FA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3186F0A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780BE2E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514C5AE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7709D6F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1348642F">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D6BE06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6E67B66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591AB96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7E709C6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7002789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419CAF9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68E9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FD8C0A">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14:paraId="500B11C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2F7ED72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08BCA09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8DD136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71B08A8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7E7F084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53DFF57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06FA02E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1F127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659CE8B">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14:paraId="2B9B8D7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6F25E8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7DD73FA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5B835D2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332110B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2092AFC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B2FDBC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2E3A44F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43FE3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485023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7EB4BCC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1F0E415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06507AF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88537F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27CA93D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29B4750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15EDB5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05BE696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042C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5C221D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2D403E7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1C34311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72766F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62649A6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11C085D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0BF5696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40235D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1290CB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295F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6AEFC2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516F2FC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78182A4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72619C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06E659B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2A62C3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6B6F453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2FB13FD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36F7F92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35308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06D05D6">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14:paraId="459D8719">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54221710">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209A7336">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084A2CD">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519A579A">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0331E2A7">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7417539">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55F5641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1B5B4136">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52C8A587">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4856D8E9">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sectPr>
          <w:footerReference r:id="rId15" w:type="default"/>
          <w:pgSz w:w="16841" w:h="11907"/>
          <w:pgMar w:top="400" w:right="1500" w:bottom="1184" w:left="1480" w:header="0" w:footer="1022" w:gutter="0"/>
          <w:pgNumType w:fmt="numberInDash"/>
          <w:cols w:space="720" w:num="1"/>
        </w:sectPr>
      </w:pPr>
    </w:p>
    <w:p w14:paraId="07538526">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5CC1DBA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370DECE9">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78C5A685">
      <w:pPr>
        <w:pageBreakBefore w:val="0"/>
        <w:widowControl w:val="0"/>
        <w:kinsoku/>
        <w:wordWrap/>
        <w:overflowPunct/>
        <w:topLinePunct w:val="0"/>
        <w:autoSpaceDE/>
        <w:autoSpaceDN/>
        <w:bidi w:val="0"/>
        <w:adjustRightInd/>
        <w:snapToGrid/>
        <w:spacing w:after="0" w:line="127" w:lineRule="exact"/>
        <w:textAlignment w:val="auto"/>
        <w:rPr>
          <w:color w:val="auto"/>
          <w:highlight w:val="none"/>
        </w:rPr>
      </w:pPr>
    </w:p>
    <w:tbl>
      <w:tblPr>
        <w:tblStyle w:val="11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0166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BA15BCF">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14:paraId="690AFCB6">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14:paraId="5731C8AB">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3D53AE94">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70326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C825A60">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14:paraId="0514D977">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14:paraId="4012724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0862A01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8694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150D7E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14:paraId="499C46DD">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14:paraId="02E7FDB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544F8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0019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675D7B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p w14:paraId="34C51977">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14:paraId="1128BBFF">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14:paraId="62A3E6F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92393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65E6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CC210">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14:paraId="4533DE40">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14:paraId="6760047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C9E7C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E0DD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6CBB78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23EA59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45847FD">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7CB6D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2DA9A0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AC5AD8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6E2441C">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61CE90F1">
      <w:pPr>
        <w:pageBreakBefore w:val="0"/>
        <w:widowControl w:val="0"/>
        <w:kinsoku/>
        <w:wordWrap/>
        <w:overflowPunct/>
        <w:topLinePunct w:val="0"/>
        <w:autoSpaceDE/>
        <w:autoSpaceDN/>
        <w:bidi w:val="0"/>
        <w:adjustRightInd/>
        <w:snapToGrid/>
        <w:spacing w:after="0" w:line="291" w:lineRule="auto"/>
        <w:textAlignment w:val="auto"/>
        <w:rPr>
          <w:rFonts w:ascii="Arial"/>
          <w:color w:val="auto"/>
          <w:highlight w:val="none"/>
        </w:rPr>
      </w:pPr>
    </w:p>
    <w:p w14:paraId="065DDAB3">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6AC76544">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14:paraId="50EF6C6A">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14:paraId="3A288B3B">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1C9FF747">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058FBB93">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Cs w:val="21"/>
          <w:highlight w:val="none"/>
        </w:rPr>
        <w:sectPr>
          <w:footerReference r:id="rId16" w:type="default"/>
          <w:pgSz w:w="16841" w:h="11907"/>
          <w:pgMar w:top="400" w:right="1699" w:bottom="1168" w:left="1481" w:header="0" w:footer="990" w:gutter="0"/>
          <w:pgNumType w:fmt="numberInDash"/>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14:paraId="2CBD32D1">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14:paraId="7C6E156F">
      <w:pPr>
        <w:pageBreakBefore w:val="0"/>
        <w:kinsoku/>
        <w:wordWrap/>
        <w:overflowPunct/>
        <w:topLinePunct w:val="0"/>
        <w:autoSpaceDE/>
        <w:autoSpaceDN/>
        <w:bidi w:val="0"/>
        <w:spacing w:after="0"/>
        <w:rPr>
          <w:rFonts w:ascii="Calibri" w:hAnsi="Calibri" w:eastAsia="宋体" w:cs="Times New Roman"/>
          <w:color w:val="auto"/>
          <w:szCs w:val="20"/>
          <w:highlight w:val="none"/>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6A35D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675217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4B12A0E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7F9766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7A830422">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14:paraId="7F9AD3E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14:paraId="7AB2B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2D430B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4A53A2D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371A27E">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0CBD7AB3">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335D6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D1CE55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6DA2227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7EE529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61A666C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r>
      <w:tr w14:paraId="08B08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7261C7B">
            <w:pPr>
              <w:pageBreakBefore w:val="0"/>
              <w:kinsoku/>
              <w:wordWrap/>
              <w:overflowPunct/>
              <w:topLinePunct w:val="0"/>
              <w:autoSpaceDE/>
              <w:autoSpaceDN/>
              <w:bidi w:val="0"/>
              <w:spacing w:after="0"/>
              <w:jc w:val="center"/>
              <w:rPr>
                <w:rFonts w:hint="eastAsia" w:ascii="宋体" w:hAnsi="宋体" w:eastAsia="宋体" w:cs="宋体"/>
                <w:b/>
                <w:color w:val="auto"/>
                <w:szCs w:val="20"/>
                <w:highlight w:val="none"/>
                <w:lang w:val="en-US" w:eastAsia="zh-CN"/>
              </w:rPr>
            </w:pPr>
            <w:r>
              <w:rPr>
                <w:rFonts w:hint="eastAsia" w:ascii="宋体" w:hAnsi="宋体" w:eastAsia="宋体" w:cs="宋体"/>
                <w:b/>
                <w:color w:val="auto"/>
                <w:szCs w:val="20"/>
                <w:highlight w:val="none"/>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C8B8F5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A36E563">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1857F4B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18F52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465FF2A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622" w:type="dxa"/>
            <w:tcBorders>
              <w:top w:val="single" w:color="auto" w:sz="4" w:space="0"/>
              <w:left w:val="single" w:color="auto" w:sz="4" w:space="0"/>
              <w:bottom w:val="single" w:color="auto" w:sz="4" w:space="0"/>
              <w:right w:val="single" w:color="auto" w:sz="4" w:space="0"/>
            </w:tcBorders>
          </w:tcPr>
          <w:p w14:paraId="13CD566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57FD61F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37256A1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7A074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4D9B393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14B9D26B">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27B09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856F052">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85856DC">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68E50CD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3429B9A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1F87D4B">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674E95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423FBC14">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75B3C4C">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C42E00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3D58CF6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89D543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112157AD">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6E3446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BC1837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1D6FA3B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413BAA64">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CFB52B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0C1B0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B2BD92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70DFC6E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94E009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563A3BAE">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42019B3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5F3095B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14:paraId="5FF08B25">
      <w:pPr>
        <w:pageBreakBefore w:val="0"/>
        <w:kinsoku/>
        <w:wordWrap/>
        <w:overflowPunct/>
        <w:topLinePunct w:val="0"/>
        <w:autoSpaceDE/>
        <w:autoSpaceDN/>
        <w:bidi w:val="0"/>
        <w:spacing w:after="0"/>
        <w:rPr>
          <w:rFonts w:ascii="宋体" w:hAnsi="Calibri" w:eastAsia="宋体" w:cs="Times New Roman"/>
          <w:color w:val="auto"/>
          <w:szCs w:val="20"/>
          <w:highlight w:val="none"/>
        </w:rPr>
      </w:pPr>
    </w:p>
    <w:p w14:paraId="63E8B602">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4B6627AB">
      <w:pPr>
        <w:pageBreakBefore w:val="0"/>
        <w:kinsoku/>
        <w:wordWrap/>
        <w:overflowPunct/>
        <w:topLinePunct w:val="0"/>
        <w:autoSpaceDE/>
        <w:autoSpaceDN/>
        <w:bidi w:val="0"/>
        <w:spacing w:before="110" w:after="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14:paraId="3C21C094">
      <w:pPr>
        <w:pageBreakBefore w:val="0"/>
        <w:kinsoku/>
        <w:wordWrap/>
        <w:overflowPunct/>
        <w:topLinePunct w:val="0"/>
        <w:autoSpaceDE/>
        <w:autoSpaceDN/>
        <w:bidi w:val="0"/>
        <w:spacing w:after="0" w:line="272" w:lineRule="auto"/>
        <w:rPr>
          <w:rFonts w:ascii="Arial"/>
          <w:color w:val="auto"/>
          <w:highlight w:val="none"/>
        </w:rPr>
      </w:pPr>
    </w:p>
    <w:p w14:paraId="716363F2">
      <w:pPr>
        <w:pageBreakBefore w:val="0"/>
        <w:kinsoku/>
        <w:wordWrap/>
        <w:overflowPunct/>
        <w:topLinePunct w:val="0"/>
        <w:autoSpaceDE/>
        <w:autoSpaceDN/>
        <w:bidi w:val="0"/>
        <w:spacing w:before="75" w:after="0"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Times New Roman"/>
          <w:b/>
          <w:color w:val="auto"/>
          <w:sz w:val="24"/>
          <w:szCs w:val="24"/>
          <w:highlight w:val="none"/>
          <w:u w:val="single"/>
        </w:rPr>
        <w:t xml:space="preserve">            </w:t>
      </w:r>
    </w:p>
    <w:p w14:paraId="24ABC4BB">
      <w:pPr>
        <w:pageBreakBefore w:val="0"/>
        <w:kinsoku/>
        <w:wordWrap/>
        <w:overflowPunct/>
        <w:topLinePunct w:val="0"/>
        <w:autoSpaceDE/>
        <w:autoSpaceDN/>
        <w:bidi w:val="0"/>
        <w:spacing w:before="306" w:after="0"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219EA411">
      <w:pPr>
        <w:pageBreakBefore w:val="0"/>
        <w:kinsoku/>
        <w:wordWrap/>
        <w:overflowPunct/>
        <w:topLinePunct w:val="0"/>
        <w:autoSpaceDE/>
        <w:autoSpaceDN/>
        <w:bidi w:val="0"/>
        <w:spacing w:after="0"/>
        <w:rPr>
          <w:color w:val="auto"/>
          <w:highlight w:val="none"/>
        </w:rPr>
      </w:pPr>
    </w:p>
    <w:p w14:paraId="626BF2CC">
      <w:pPr>
        <w:pageBreakBefore w:val="0"/>
        <w:kinsoku/>
        <w:wordWrap/>
        <w:overflowPunct/>
        <w:topLinePunct w:val="0"/>
        <w:autoSpaceDE/>
        <w:autoSpaceDN/>
        <w:bidi w:val="0"/>
        <w:spacing w:after="0" w:line="109" w:lineRule="exact"/>
        <w:rPr>
          <w:color w:val="auto"/>
          <w:highlight w:val="none"/>
        </w:rPr>
      </w:pPr>
    </w:p>
    <w:tbl>
      <w:tblPr>
        <w:tblStyle w:val="11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A6E31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298C7E0">
            <w:pPr>
              <w:pageBreakBefore w:val="0"/>
              <w:kinsoku/>
              <w:wordWrap/>
              <w:overflowPunct/>
              <w:topLinePunct w:val="0"/>
              <w:autoSpaceDE/>
              <w:autoSpaceDN/>
              <w:bidi w:val="0"/>
              <w:spacing w:before="52" w:after="0"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386C3C6C">
            <w:pPr>
              <w:pageBreakBefore w:val="0"/>
              <w:kinsoku/>
              <w:wordWrap/>
              <w:overflowPunct/>
              <w:topLinePunct w:val="0"/>
              <w:autoSpaceDE/>
              <w:autoSpaceDN/>
              <w:bidi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72CE29BB">
      <w:pPr>
        <w:keepNext/>
        <w:keepLines/>
        <w:pageBreakBefore w:val="0"/>
        <w:kinsoku/>
        <w:wordWrap/>
        <w:overflowPunct/>
        <w:topLinePunct w:val="0"/>
        <w:autoSpaceDE/>
        <w:autoSpaceDN/>
        <w:bidi w:val="0"/>
        <w:spacing w:after="0"/>
        <w:rPr>
          <w:rFonts w:ascii="Times New Roman" w:hAnsi="Times New Roman" w:eastAsia="宋体" w:cs="Times New Roman"/>
          <w:b/>
          <w:bCs/>
          <w:color w:val="auto"/>
          <w:sz w:val="24"/>
          <w:szCs w:val="24"/>
          <w:highlight w:val="none"/>
        </w:rPr>
      </w:pPr>
    </w:p>
    <w:p w14:paraId="3F91F5C5">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4B876311">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265FDCA7">
      <w:pPr>
        <w:pageBreakBefore w:val="0"/>
        <w:kinsoku/>
        <w:wordWrap/>
        <w:overflowPunct/>
        <w:topLinePunct w:val="0"/>
        <w:autoSpaceDE/>
        <w:autoSpaceDN/>
        <w:bidi w:val="0"/>
        <w:spacing w:before="75" w:after="0" w:line="227" w:lineRule="auto"/>
        <w:ind w:left="135"/>
        <w:rPr>
          <w:rFonts w:hint="eastAsia"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14:paraId="092249E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B9A93ED">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14:paraId="0B0F75E2">
      <w:pPr>
        <w:pageBreakBefore w:val="0"/>
        <w:kinsoku/>
        <w:wordWrap/>
        <w:overflowPunct/>
        <w:topLinePunct w:val="0"/>
        <w:autoSpaceDE/>
        <w:autoSpaceDN/>
        <w:bidi w:val="0"/>
        <w:spacing w:after="0" w:line="240" w:lineRule="exact"/>
        <w:jc w:val="center"/>
        <w:rPr>
          <w:rFonts w:ascii="宋体" w:hAnsi="Calibri" w:eastAsia="宋体" w:cs="Times New Roman"/>
          <w:b/>
          <w:bCs/>
          <w:color w:val="auto"/>
          <w:sz w:val="36"/>
          <w:szCs w:val="20"/>
          <w:highlight w:val="none"/>
        </w:rPr>
      </w:pPr>
    </w:p>
    <w:p w14:paraId="0EC39945">
      <w:pPr>
        <w:pageBreakBefore w:val="0"/>
        <w:kinsoku/>
        <w:wordWrap/>
        <w:overflowPunct/>
        <w:topLinePunct w:val="0"/>
        <w:autoSpaceDE/>
        <w:autoSpaceDN/>
        <w:bidi w:val="0"/>
        <w:spacing w:after="0"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6D014D6A">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04BADD0E">
      <w:pPr>
        <w:pageBreakBefore w:val="0"/>
        <w:kinsoku/>
        <w:wordWrap/>
        <w:overflowPunct/>
        <w:topLinePunct w:val="0"/>
        <w:autoSpaceDE/>
        <w:autoSpaceDN/>
        <w:bidi w:val="0"/>
        <w:spacing w:after="0"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14:paraId="613885E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D985F24">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4296D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BA1A0B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286648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37DA2A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A06E7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5608D8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561369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3A23AD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E3A9D7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D0DF5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68B5DB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82B5BB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28670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AE35C2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5F829B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7FF5F8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p>
    <w:p w14:paraId="75B648DD">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47A829A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70C36D2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29CA64DA">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24CFC2E6">
      <w:pPr>
        <w:pStyle w:val="14"/>
        <w:pageBreakBefore w:val="0"/>
        <w:kinsoku/>
        <w:wordWrap/>
        <w:overflowPunct/>
        <w:topLinePunct w:val="0"/>
        <w:autoSpaceDE/>
        <w:autoSpaceDN/>
        <w:bidi w:val="0"/>
        <w:spacing w:after="0"/>
        <w:rPr>
          <w:rFonts w:hAnsi="Calibri" w:eastAsia="宋体" w:cs="宋体"/>
          <w:b/>
          <w:bCs/>
          <w:color w:val="auto"/>
          <w:sz w:val="28"/>
          <w:szCs w:val="20"/>
          <w:highlight w:val="none"/>
        </w:rPr>
      </w:pPr>
    </w:p>
    <w:p w14:paraId="5FAF4544">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4E0CFAD1">
      <w:pPr>
        <w:pageBreakBefore w:val="0"/>
        <w:kinsoku/>
        <w:wordWrap/>
        <w:overflowPunct/>
        <w:topLinePunct w:val="0"/>
        <w:autoSpaceDE/>
        <w:autoSpaceDN/>
        <w:bidi w:val="0"/>
        <w:spacing w:after="0"/>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14:paraId="25306643">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EF9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611A929">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60205CD8">
            <w:pPr>
              <w:pageBreakBefore w:val="0"/>
              <w:kinsoku/>
              <w:wordWrap/>
              <w:overflowPunct/>
              <w:topLinePunct w:val="0"/>
              <w:autoSpaceDE/>
              <w:autoSpaceDN/>
              <w:bidi w:val="0"/>
              <w:spacing w:after="0"/>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14:paraId="3823DC3B">
            <w:pPr>
              <w:pageBreakBefore w:val="0"/>
              <w:kinsoku/>
              <w:wordWrap/>
              <w:overflowPunct/>
              <w:topLinePunct w:val="0"/>
              <w:autoSpaceDE/>
              <w:autoSpaceDN/>
              <w:bidi w:val="0"/>
              <w:spacing w:after="0"/>
              <w:rPr>
                <w:rFonts w:ascii="Times New Roman" w:hAnsi="Times New Roman" w:eastAsia="等线" w:cs="Times New Roman"/>
                <w:b/>
                <w:color w:val="auto"/>
                <w:sz w:val="30"/>
                <w:szCs w:val="30"/>
                <w:highlight w:val="none"/>
              </w:rPr>
            </w:pPr>
          </w:p>
          <w:p w14:paraId="1943C38D">
            <w:pPr>
              <w:pageBreakBefore w:val="0"/>
              <w:kinsoku/>
              <w:wordWrap/>
              <w:overflowPunct/>
              <w:topLinePunct w:val="0"/>
              <w:autoSpaceDE/>
              <w:autoSpaceDN/>
              <w:bidi w:val="0"/>
              <w:spacing w:after="0"/>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hint="eastAsia" w:ascii="宋体" w:hAnsi="宋体" w:eastAsia="宋体" w:cs="宋体"/>
                <w:b/>
                <w:color w:val="auto"/>
                <w:sz w:val="30"/>
                <w:szCs w:val="30"/>
                <w:highlight w:val="none"/>
                <w:lang w:val="en-US" w:eastAsia="zh-CN"/>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lang w:val="en-US" w:eastAsia="zh-CN"/>
              </w:rPr>
              <w:t>4</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14:paraId="0396E7A7">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3C1D622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0630B0FC">
            <w:pPr>
              <w:pageBreakBefore w:val="0"/>
              <w:kinsoku/>
              <w:wordWrap/>
              <w:overflowPunct/>
              <w:topLinePunct w:val="0"/>
              <w:autoSpaceDE/>
              <w:autoSpaceDN/>
              <w:bidi w:val="0"/>
              <w:spacing w:after="0"/>
              <w:jc w:val="center"/>
              <w:rPr>
                <w:rFonts w:hint="default" w:ascii="Times New Roman" w:hAnsi="Times New Roman" w:eastAsia="宋体" w:cs="Times New Roman"/>
                <w:b/>
                <w:color w:val="auto"/>
                <w:szCs w:val="20"/>
                <w:highlight w:val="none"/>
                <w:lang w:val="en-US" w:eastAsia="zh-CN"/>
              </w:rPr>
            </w:pPr>
            <w:r>
              <w:rPr>
                <w:rFonts w:hint="eastAsia" w:ascii="宋体" w:hAnsi="宋体" w:eastAsia="宋体" w:cs="宋体"/>
                <w:b/>
                <w:color w:val="auto"/>
                <w:szCs w:val="20"/>
                <w:highlight w:val="none"/>
              </w:rPr>
              <w:t>项目名称：</w:t>
            </w:r>
          </w:p>
          <w:p w14:paraId="1F32F76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14:paraId="7697D7E6">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14:paraId="3AF28DC6">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14:paraId="28F64B4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14:paraId="7D8065F9">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0FAFA8B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0FE20F3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2A118925">
      <w:pPr>
        <w:pStyle w:val="14"/>
        <w:pageBreakBefore w:val="0"/>
        <w:kinsoku/>
        <w:wordWrap/>
        <w:overflowPunct/>
        <w:topLinePunct w:val="0"/>
        <w:autoSpaceDE/>
        <w:autoSpaceDN/>
        <w:bidi w:val="0"/>
        <w:spacing w:after="0"/>
        <w:rPr>
          <w:color w:val="auto"/>
          <w:highlight w:val="none"/>
        </w:rPr>
      </w:pPr>
    </w:p>
    <w:p w14:paraId="020883FB">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12BBF033">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21577A75">
      <w:pPr>
        <w:pageBreakBefore w:val="0"/>
        <w:kinsoku/>
        <w:wordWrap/>
        <w:overflowPunct/>
        <w:topLinePunct w:val="0"/>
        <w:autoSpaceDE/>
        <w:autoSpaceDN/>
        <w:bidi w:val="0"/>
        <w:spacing w:after="0"/>
        <w:rPr>
          <w:color w:val="auto"/>
          <w:highlight w:val="none"/>
        </w:rPr>
        <w:sectPr>
          <w:headerReference r:id="rId18" w:type="first"/>
          <w:footerReference r:id="rId20" w:type="first"/>
          <w:headerReference r:id="rId17" w:type="default"/>
          <w:footerReference r:id="rId19" w:type="default"/>
          <w:pgSz w:w="11906" w:h="16838"/>
          <w:pgMar w:top="1588" w:right="1418" w:bottom="1134" w:left="1418" w:header="851" w:footer="992" w:gutter="0"/>
          <w:pgNumType w:fmt="numberInDash"/>
          <w:cols w:space="720" w:num="1"/>
          <w:titlePg/>
          <w:docGrid w:type="lines" w:linePitch="312" w:charSpace="0"/>
        </w:sectPr>
      </w:pPr>
    </w:p>
    <w:p w14:paraId="16AF837A">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rPr>
        <w:t>附件14</w:t>
      </w:r>
      <w:r>
        <w:rPr>
          <w:rFonts w:hint="eastAsia" w:ascii="Times New Roman" w:hAnsi="Times New Roman" w:eastAsia="宋体" w:cs="Times New Roman"/>
          <w:b/>
          <w:bCs/>
          <w:color w:val="auto"/>
          <w:sz w:val="24"/>
          <w:szCs w:val="24"/>
          <w:highlight w:val="none"/>
          <w:lang w:val="en-US" w:eastAsia="zh-CN"/>
        </w:rPr>
        <w:t>技术要求承诺书</w:t>
      </w:r>
    </w:p>
    <w:p w14:paraId="3EF9D2C8">
      <w:pPr>
        <w:pageBreakBefore w:val="0"/>
        <w:kinsoku/>
        <w:wordWrap/>
        <w:overflowPunct/>
        <w:topLinePunct w:val="0"/>
        <w:autoSpaceDE/>
        <w:autoSpaceDN/>
        <w:bidi w:val="0"/>
        <w:spacing w:after="0" w:line="360" w:lineRule="auto"/>
        <w:rPr>
          <w:rFonts w:hint="eastAsia" w:ascii="宋体" w:hAnsi="Calibri" w:eastAsia="宋体" w:cs="Times New Roman"/>
          <w:color w:val="auto"/>
          <w:sz w:val="24"/>
          <w:szCs w:val="20"/>
          <w:highlight w:val="none"/>
          <w:u w:val="single"/>
          <w:lang w:eastAsia="zh-CN"/>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5D32FD54">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p>
    <w:p w14:paraId="2C09F7B8">
      <w:pPr>
        <w:pageBreakBefore w:val="0"/>
        <w:kinsoku/>
        <w:wordWrap/>
        <w:overflowPunct/>
        <w:topLinePunct w:val="0"/>
        <w:autoSpaceDE/>
        <w:autoSpaceDN/>
        <w:bidi w:val="0"/>
        <w:spacing w:after="0" w:line="360" w:lineRule="auto"/>
        <w:ind w:firstLine="48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我代表（投标单位名称）对中标合同产品的服务作如下承诺：</w:t>
      </w:r>
    </w:p>
    <w:p w14:paraId="1FA0C52C">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我司提供的产品完全相应并满足本次项目招标文件的技术要求。</w:t>
      </w:r>
    </w:p>
    <w:p w14:paraId="28558F0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904979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33FCCE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6FFDF5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BB0E2DA">
      <w:pPr>
        <w:pStyle w:val="3"/>
        <w:pageBreakBefore w:val="0"/>
        <w:tabs>
          <w:tab w:val="right" w:leader="dot" w:pos="9061"/>
        </w:tabs>
        <w:kinsoku/>
        <w:wordWrap/>
        <w:overflowPunct/>
        <w:topLinePunct w:val="0"/>
        <w:autoSpaceDE/>
        <w:autoSpaceDN/>
        <w:bidi w:val="0"/>
        <w:spacing w:after="0"/>
        <w:rPr>
          <w:color w:val="auto"/>
          <w:highlight w:val="none"/>
        </w:rPr>
      </w:pPr>
    </w:p>
    <w:p w14:paraId="70B8107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13699CB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6D057BF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16D84D58">
      <w:pPr>
        <w:pageBreakBefore w:val="0"/>
        <w:kinsoku/>
        <w:wordWrap/>
        <w:overflowPunct/>
        <w:topLinePunct w:val="0"/>
        <w:autoSpaceDE/>
        <w:autoSpaceDN/>
        <w:bidi w:val="0"/>
        <w:spacing w:after="0"/>
        <w:rPr>
          <w:color w:val="auto"/>
          <w:highlight w:val="none"/>
        </w:rPr>
        <w:sectPr>
          <w:pgSz w:w="11906" w:h="16838"/>
          <w:pgMar w:top="1587" w:right="1417" w:bottom="1134" w:left="1417" w:header="850" w:footer="992" w:gutter="0"/>
          <w:pgNumType w:fmt="numberInDash"/>
          <w:cols w:space="0" w:num="1"/>
          <w:titlePg/>
          <w:docGrid w:type="lines" w:linePitch="324" w:charSpace="0"/>
        </w:sectPr>
      </w:pPr>
    </w:p>
    <w:p w14:paraId="1C1917BC">
      <w:pPr>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w:t>
      </w: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rPr>
        <w:t>技术标评分标准</w:t>
      </w:r>
    </w:p>
    <w:p w14:paraId="2A43A732">
      <w:pPr>
        <w:pageBreakBefore w:val="0"/>
        <w:kinsoku/>
        <w:wordWrap/>
        <w:overflowPunct/>
        <w:topLinePunct w:val="0"/>
        <w:autoSpaceDE/>
        <w:autoSpaceDN/>
        <w:bidi w:val="0"/>
        <w:spacing w:after="0"/>
        <w:jc w:val="center"/>
        <w:outlineLvl w:val="2"/>
        <w:rPr>
          <w:rFonts w:ascii="宋体" w:hAnsi="宋体" w:eastAsia="宋体"/>
          <w:b/>
          <w:bCs/>
          <w:color w:val="auto"/>
          <w:sz w:val="28"/>
          <w:szCs w:val="28"/>
          <w:highlight w:val="none"/>
        </w:rPr>
      </w:pPr>
      <w:r>
        <w:rPr>
          <w:rFonts w:hint="eastAsia" w:ascii="宋体" w:hAnsi="宋体" w:eastAsia="宋体"/>
          <w:b/>
          <w:bCs/>
          <w:color w:val="auto"/>
          <w:sz w:val="28"/>
          <w:szCs w:val="28"/>
          <w:highlight w:val="none"/>
        </w:rPr>
        <w:t>技术标评审表（</w:t>
      </w:r>
      <w:r>
        <w:rPr>
          <w:rFonts w:hint="eastAsia" w:ascii="宋体" w:hAnsi="宋体" w:eastAsia="宋体"/>
          <w:b/>
          <w:bCs/>
          <w:color w:val="auto"/>
          <w:sz w:val="28"/>
          <w:szCs w:val="28"/>
          <w:highlight w:val="none"/>
          <w:lang w:val="en-US" w:eastAsia="zh-CN"/>
        </w:rPr>
        <w:t>10</w:t>
      </w:r>
      <w:r>
        <w:rPr>
          <w:rFonts w:hint="eastAsia" w:ascii="宋体" w:hAnsi="宋体" w:eastAsia="宋体"/>
          <w:b/>
          <w:bCs/>
          <w:color w:val="auto"/>
          <w:sz w:val="28"/>
          <w:szCs w:val="28"/>
          <w:highlight w:val="none"/>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0B11400">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3607E2F">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3119BFD">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DC2163D">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auto"/>
                <w:kern w:val="2"/>
                <w:sz w:val="21"/>
                <w:szCs w:val="21"/>
                <w:highlight w:val="none"/>
                <w:lang w:val="en-US" w:eastAsia="zh-CN" w:bidi="ar-SA"/>
              </w:rPr>
            </w:pPr>
            <w:r>
              <w:rPr>
                <w:rStyle w:val="111"/>
                <w:rFonts w:hint="default"/>
                <w:color w:val="auto"/>
                <w:spacing w:val="315"/>
                <w:kern w:val="0"/>
                <w:highlight w:val="none"/>
                <w:fitText w:val="1050" w:id="2097091020"/>
                <w:lang w:bidi="ar"/>
              </w:rPr>
              <w:t>内</w:t>
            </w:r>
            <w:r>
              <w:rPr>
                <w:rStyle w:val="111"/>
                <w:rFonts w:hint="default"/>
                <w:color w:val="auto"/>
                <w:spacing w:val="0"/>
                <w:kern w:val="0"/>
                <w:highlight w:val="none"/>
                <w:fitText w:val="1050" w:id="2097091020"/>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60448E5">
            <w:pPr>
              <w:pageBreakBefore w:val="0"/>
              <w:widowControl/>
              <w:kinsoku/>
              <w:wordWrap/>
              <w:overflowPunct/>
              <w:topLinePunct w:val="0"/>
              <w:autoSpaceDE/>
              <w:autoSpaceDN/>
              <w:bidi w:val="0"/>
              <w:spacing w:after="0"/>
              <w:jc w:val="center"/>
              <w:textAlignment w:val="center"/>
              <w:rPr>
                <w:rStyle w:val="111"/>
                <w:rFonts w:hint="eastAsia" w:eastAsia="宋体"/>
                <w:color w:val="auto"/>
                <w:highlight w:val="none"/>
                <w:lang w:val="en-US" w:eastAsia="zh-CN" w:bidi="ar"/>
              </w:rPr>
            </w:pPr>
            <w:r>
              <w:rPr>
                <w:rStyle w:val="111"/>
                <w:rFonts w:hint="eastAsia" w:eastAsia="宋体"/>
                <w:color w:val="auto"/>
                <w:highlight w:val="none"/>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F098FCB">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评分标准</w:t>
            </w:r>
          </w:p>
        </w:tc>
      </w:tr>
      <w:tr w14:paraId="4163D515">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253E7A4F">
            <w:pPr>
              <w:pStyle w:val="10"/>
              <w:spacing w:after="0" w:line="34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A72C">
            <w:pPr>
              <w:pageBreakBefore w:val="0"/>
              <w:widowControl/>
              <w:kinsoku/>
              <w:wordWrap/>
              <w:overflowPunct/>
              <w:topLinePunct w:val="0"/>
              <w:autoSpaceDE/>
              <w:autoSpaceDN/>
              <w:bidi w:val="0"/>
              <w:spacing w:after="0"/>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C470">
            <w:pPr>
              <w:pStyle w:val="10"/>
              <w:spacing w:after="0" w:line="32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E3D8">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8D0BA86">
            <w:pPr>
              <w:pStyle w:val="10"/>
              <w:spacing w:after="0" w:line="32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1B901FC9">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4561764C">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50B9">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D03E">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ED3B">
            <w:pPr>
              <w:spacing w:line="440" w:lineRule="exact"/>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A9C48B">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E8119B4">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720DAF46">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120E">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5065">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2302">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92A1528">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B9F39F">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94DA344">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5427">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5236">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F027">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4FE729">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84E9C1F">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877FB59">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AC57">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1B2B">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C1F6">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E54D87B">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602EBF5E">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评标过程中必须确保推荐的入围候选中标人，在功能、质量、先进性、业绩等方面均符合招标标准要求。</w:t>
      </w:r>
    </w:p>
    <w:p w14:paraId="00539A3A">
      <w:pPr>
        <w:pageBreakBefore w:val="0"/>
        <w:kinsoku/>
        <w:wordWrap/>
        <w:overflowPunct/>
        <w:topLinePunct w:val="0"/>
        <w:autoSpaceDE/>
        <w:autoSpaceDN/>
        <w:bidi w:val="0"/>
        <w:spacing w:after="0" w:line="24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w:t>
      </w:r>
    </w:p>
    <w:p w14:paraId="204F4D0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a、若技术标评审出现总分并列时，比较产品技术与服务承诺部分综合得分，此分项得分高者排序在前；若产品技术与服务承诺综合得分仍相同，则由全体评委成员无记名投票，得票高者排序在前。</w:t>
      </w:r>
    </w:p>
    <w:p w14:paraId="4381B1C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b、评委打分超过得分界限或未按本方法赋分时，该评委的打分按废票处理。</w:t>
      </w:r>
    </w:p>
    <w:p w14:paraId="66EF16F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c、评标过程中，若出现本办法以外的特殊情况时，将暂停评标，有关情况处理意见待招标工作小组确认后，再行评定。</w:t>
      </w:r>
    </w:p>
    <w:p w14:paraId="1BF2D65E">
      <w:pPr>
        <w:pageBreakBefore w:val="0"/>
        <w:kinsoku/>
        <w:wordWrap/>
        <w:overflowPunct/>
        <w:topLinePunct w:val="0"/>
        <w:autoSpaceDE/>
        <w:autoSpaceDN/>
        <w:bidi w:val="0"/>
        <w:spacing w:after="0"/>
        <w:rPr>
          <w:color w:val="auto"/>
          <w:highlight w:val="none"/>
        </w:rPr>
      </w:pPr>
    </w:p>
    <w:p w14:paraId="16E79EC7">
      <w:pPr>
        <w:pageBreakBefore w:val="0"/>
        <w:kinsoku/>
        <w:wordWrap/>
        <w:overflowPunct/>
        <w:topLinePunct w:val="0"/>
        <w:autoSpaceDE/>
        <w:autoSpaceDN/>
        <w:bidi w:val="0"/>
        <w:spacing w:after="0"/>
        <w:rPr>
          <w:color w:val="auto"/>
          <w:highlight w:val="none"/>
        </w:r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0B33A32E">
      <w:pPr>
        <w:pStyle w:val="14"/>
        <w:pageBreakBefore w:val="0"/>
        <w:kinsoku/>
        <w:wordWrap/>
        <w:overflowPunct/>
        <w:topLinePunct w:val="0"/>
        <w:autoSpaceDE/>
        <w:autoSpaceDN/>
        <w:bidi w:val="0"/>
        <w:spacing w:after="0"/>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6</w:t>
      </w:r>
      <w:r>
        <w:rPr>
          <w:rFonts w:hint="eastAsia" w:hAnsi="宋体" w:eastAsia="宋体" w:cs="宋体"/>
          <w:b/>
          <w:bCs/>
          <w:color w:val="auto"/>
          <w:sz w:val="24"/>
          <w:szCs w:val="24"/>
          <w:highlight w:val="none"/>
        </w:rPr>
        <w:t xml:space="preserve"> SRM非生产供应商注册操作手册</w:t>
      </w:r>
    </w:p>
    <w:p w14:paraId="2EAEED47">
      <w:pPr>
        <w:pStyle w:val="14"/>
        <w:pageBreakBefore w:val="0"/>
        <w:kinsoku/>
        <w:wordWrap/>
        <w:overflowPunct/>
        <w:topLinePunct w:val="0"/>
        <w:autoSpaceDE/>
        <w:autoSpaceDN/>
        <w:bidi w:val="0"/>
        <w:spacing w:after="0"/>
        <w:rPr>
          <w:rFonts w:eastAsia="宋体"/>
          <w:color w:val="auto"/>
          <w:highlight w:val="none"/>
        </w:rPr>
      </w:pPr>
    </w:p>
    <w:p w14:paraId="65970E01">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06DA38EA">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56A932E9">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7AE754FB">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0877A63A">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14:paraId="0A174B81">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203C904D">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78B60159">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15E531A4">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1B042B03">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478CE025">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14:paraId="0A6A6E67">
      <w:pPr>
        <w:pStyle w:val="14"/>
        <w:pageBreakBefore w:val="0"/>
        <w:kinsoku/>
        <w:wordWrap/>
        <w:overflowPunct/>
        <w:topLinePunct w:val="0"/>
        <w:autoSpaceDE/>
        <w:autoSpaceDN/>
        <w:bidi w:val="0"/>
        <w:spacing w:after="0"/>
        <w:rPr>
          <w:color w:val="auto"/>
          <w:highlight w:val="none"/>
        </w:rPr>
      </w:pPr>
    </w:p>
    <w:p w14:paraId="696386F6">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0ECE263F">
      <w:pPr>
        <w:pStyle w:val="14"/>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496EAE20">
      <w:pPr>
        <w:pStyle w:val="14"/>
        <w:pageBreakBefore w:val="0"/>
        <w:kinsoku/>
        <w:wordWrap/>
        <w:overflowPunct/>
        <w:topLinePunct w:val="0"/>
        <w:autoSpaceDE/>
        <w:autoSpaceDN/>
        <w:bidi w:val="0"/>
        <w:spacing w:after="0"/>
        <w:rPr>
          <w:color w:val="auto"/>
          <w:highlight w:val="none"/>
        </w:rPr>
      </w:pPr>
    </w:p>
    <w:p w14:paraId="07A7A8E6">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14:paraId="6AF673FF">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14:paraId="24133F00">
      <w:pPr>
        <w:pStyle w:val="14"/>
        <w:pageBreakBefore w:val="0"/>
        <w:kinsoku/>
        <w:wordWrap/>
        <w:overflowPunct/>
        <w:topLinePunct w:val="0"/>
        <w:autoSpaceDE/>
        <w:autoSpaceDN/>
        <w:bidi w:val="0"/>
        <w:spacing w:after="0"/>
        <w:rPr>
          <w:color w:val="auto"/>
          <w:highlight w:val="none"/>
        </w:rPr>
      </w:pPr>
      <w:r>
        <w:rPr>
          <w:rFonts w:hint="eastAsia" w:hAnsi="宋体" w:eastAsia="宋体" w:cs="宋体"/>
          <w:b/>
          <w:bCs/>
          <w:color w:val="auto"/>
          <w:sz w:val="24"/>
          <w:szCs w:val="28"/>
          <w:highlight w:val="none"/>
        </w:rPr>
        <w:t>2.配套能力“供货类别”填“工艺装备”，业务主管部门选择“工艺工匠研究院”。</w:t>
      </w:r>
    </w:p>
    <w:p w14:paraId="19119E23">
      <w:pPr>
        <w:pStyle w:val="14"/>
        <w:pageBreakBefore w:val="0"/>
        <w:kinsoku/>
        <w:wordWrap/>
        <w:overflowPunct/>
        <w:topLinePunct w:val="0"/>
        <w:autoSpaceDE/>
        <w:autoSpaceDN/>
        <w:bidi w:val="0"/>
        <w:spacing w:after="0"/>
        <w:rPr>
          <w:color w:val="auto"/>
          <w:highlight w:val="none"/>
        </w:rPr>
        <w:sectPr>
          <w:pgSz w:w="11906" w:h="16838"/>
          <w:pgMar w:top="1588" w:right="1418" w:bottom="1134" w:left="1418" w:header="851" w:footer="992" w:gutter="0"/>
          <w:pgNumType w:fmt="numberInDash"/>
          <w:cols w:space="720" w:num="1"/>
          <w:titlePg/>
          <w:docGrid w:type="lines" w:linePitch="312" w:charSpace="0"/>
        </w:sectPr>
      </w:pPr>
    </w:p>
    <w:p w14:paraId="55E38796">
      <w:pPr>
        <w:pStyle w:val="14"/>
        <w:pageBreakBefore w:val="0"/>
        <w:kinsoku/>
        <w:wordWrap/>
        <w:overflowPunct/>
        <w:topLinePunct w:val="0"/>
        <w:autoSpaceDE/>
        <w:autoSpaceDN/>
        <w:bidi w:val="0"/>
        <w:spacing w:after="0"/>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7</w:t>
      </w:r>
      <w:r>
        <w:rPr>
          <w:rFonts w:hint="eastAsia" w:hAnsi="宋体" w:eastAsia="宋体" w:cs="宋体"/>
          <w:b/>
          <w:bCs/>
          <w:color w:val="auto"/>
          <w:sz w:val="24"/>
          <w:szCs w:val="24"/>
          <w:highlight w:val="none"/>
        </w:rPr>
        <w:t xml:space="preserve"> </w:t>
      </w:r>
      <w:r>
        <w:rPr>
          <w:rFonts w:hint="eastAsia" w:hAnsi="宋体" w:eastAsia="宋体" w:cs="Times New Roman"/>
          <w:b/>
          <w:color w:val="auto"/>
          <w:sz w:val="24"/>
          <w:szCs w:val="24"/>
          <w:highlight w:val="none"/>
        </w:rPr>
        <w:t>SRM系统供应商用户手册</w:t>
      </w:r>
    </w:p>
    <w:p w14:paraId="66356B1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37"/>
          <w:rFonts w:hint="eastAsia" w:ascii="宋体" w:hAnsi="宋体" w:eastAsia="宋体" w:cs="宋体"/>
          <w:color w:val="auto"/>
          <w:sz w:val="24"/>
          <w:szCs w:val="24"/>
          <w:highlight w:val="none"/>
        </w:rPr>
        <w:t>http</w:t>
      </w:r>
      <w:r>
        <w:rPr>
          <w:rStyle w:val="37"/>
          <w:rFonts w:hint="eastAsia" w:ascii="宋体" w:hAnsi="宋体" w:eastAsia="宋体" w:cs="宋体"/>
          <w:color w:val="auto"/>
          <w:sz w:val="24"/>
          <w:szCs w:val="24"/>
          <w:highlight w:val="none"/>
          <w:lang w:val="en-US" w:eastAsia="zh-CN"/>
        </w:rPr>
        <w:t>s</w:t>
      </w:r>
      <w:r>
        <w:rPr>
          <w:rStyle w:val="37"/>
          <w:rFonts w:hint="eastAsia" w:ascii="宋体" w:hAnsi="宋体" w:eastAsia="宋体" w:cs="宋体"/>
          <w:color w:val="auto"/>
          <w:sz w:val="24"/>
          <w:szCs w:val="24"/>
          <w:highlight w:val="none"/>
        </w:rPr>
        <w:t>://ecaitong.sinotruk.com:8012/</w:t>
      </w:r>
      <w:r>
        <w:rPr>
          <w:rStyle w:val="37"/>
          <w:rFonts w:hint="eastAsia" w:ascii="宋体" w:hAnsi="宋体" w:eastAsia="宋体" w:cs="宋体"/>
          <w:color w:val="auto"/>
          <w:sz w:val="24"/>
          <w:szCs w:val="24"/>
          <w:highlight w:val="none"/>
        </w:rPr>
        <w:fldChar w:fldCharType="end"/>
      </w:r>
    </w:p>
    <w:p w14:paraId="5448AC20">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14:paraId="00D49147">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14:paraId="20D4E3B9">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4E0987D4">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14:paraId="50D8955E">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6F7010C5">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0851A9AE">
      <w:pPr>
        <w:pageBreakBefore w:val="0"/>
        <w:kinsoku/>
        <w:wordWrap/>
        <w:overflowPunct/>
        <w:topLinePunct w:val="0"/>
        <w:autoSpaceDE/>
        <w:autoSpaceDN/>
        <w:bidi w:val="0"/>
        <w:spacing w:after="0"/>
        <w:rPr>
          <w:color w:val="auto"/>
          <w:highlight w:val="none"/>
        </w:rPr>
      </w:pPr>
    </w:p>
    <w:p w14:paraId="14EC5A75">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454F4B2D">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14:paraId="33DE19CA">
      <w:pPr>
        <w:pageBreakBefore w:val="0"/>
        <w:kinsoku/>
        <w:wordWrap/>
        <w:overflowPunct/>
        <w:topLinePunct w:val="0"/>
        <w:autoSpaceDE/>
        <w:autoSpaceDN/>
        <w:bidi w:val="0"/>
        <w:spacing w:after="0"/>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103322DE">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0CC70103">
      <w:pPr>
        <w:pStyle w:val="14"/>
        <w:pageBreakBefore w:val="0"/>
        <w:kinsoku/>
        <w:wordWrap/>
        <w:overflowPunct/>
        <w:topLinePunct w:val="0"/>
        <w:autoSpaceDE/>
        <w:autoSpaceDN/>
        <w:bidi w:val="0"/>
        <w:spacing w:after="0"/>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14:paraId="62CE74DD">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5039D02B">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493FFF3C">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14:paraId="7E00FDB6">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1A5E166D">
      <w:pPr>
        <w:pageBreakBefore w:val="0"/>
        <w:kinsoku/>
        <w:wordWrap/>
        <w:overflowPunct/>
        <w:topLinePunct w:val="0"/>
        <w:autoSpaceDE/>
        <w:autoSpaceDN/>
        <w:bidi w:val="0"/>
        <w:spacing w:after="0"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6C5BB1F2">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166E4FD1">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14:paraId="42EA3C4F">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4ABA0BC3">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0060878A">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14:paraId="1F9AE97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692D3426">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5"/>
                    <a:stretch>
                      <a:fillRect/>
                    </a:stretch>
                  </pic:blipFill>
                  <pic:spPr>
                    <a:xfrm>
                      <a:off x="0" y="0"/>
                      <a:ext cx="5758180" cy="2379345"/>
                    </a:xfrm>
                    <a:prstGeom prst="rect">
                      <a:avLst/>
                    </a:prstGeom>
                  </pic:spPr>
                </pic:pic>
              </a:graphicData>
            </a:graphic>
          </wp:inline>
        </w:drawing>
      </w:r>
    </w:p>
    <w:p w14:paraId="0BE8D307">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12D24DAA">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14:paraId="561B12B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6518F3F8">
      <w:pPr>
        <w:pageBreakBefore w:val="0"/>
        <w:kinsoku/>
        <w:wordWrap/>
        <w:overflowPunct/>
        <w:topLinePunct w:val="0"/>
        <w:autoSpaceDE/>
        <w:autoSpaceDN/>
        <w:bidi w:val="0"/>
        <w:spacing w:after="0"/>
        <w:rPr>
          <w:rFonts w:hint="eastAsia" w:ascii="宋体" w:hAnsi="宋体" w:eastAsia="宋体" w:cs="Times New Roman"/>
          <w:b/>
          <w:color w:val="auto"/>
          <w:sz w:val="36"/>
          <w:szCs w:val="36"/>
          <w:highlight w:val="none"/>
        </w:rPr>
      </w:pPr>
      <w:r>
        <w:rPr>
          <w:color w:val="auto"/>
          <w:highlight w:val="none"/>
        </w:rP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6"/>
                    <a:stretch>
                      <a:fillRect/>
                    </a:stretch>
                  </pic:blipFill>
                  <pic:spPr>
                    <a:xfrm>
                      <a:off x="0" y="0"/>
                      <a:ext cx="6002655" cy="2518410"/>
                    </a:xfrm>
                    <a:prstGeom prst="rect">
                      <a:avLst/>
                    </a:prstGeom>
                  </pic:spPr>
                </pic:pic>
              </a:graphicData>
            </a:graphic>
          </wp:inline>
        </w:drawing>
      </w:r>
    </w:p>
    <w:p w14:paraId="3AE10B54">
      <w:pPr>
        <w:pStyle w:val="76"/>
        <w:rPr>
          <w:rFonts w:hint="default" w:hAnsi="宋体"/>
          <w:color w:val="auto"/>
          <w:sz w:val="24"/>
          <w:highlight w:val="none"/>
          <w:lang w:val="en-US"/>
        </w:rPr>
      </w:pPr>
    </w:p>
    <w:p w14:paraId="07A28CD5">
      <w:pPr>
        <w:pStyle w:val="76"/>
        <w:rPr>
          <w:rFonts w:hint="default" w:hAnsi="宋体"/>
          <w:color w:val="auto"/>
          <w:sz w:val="24"/>
          <w:highlight w:val="none"/>
          <w:lang w:val="en-US"/>
        </w:rPr>
      </w:pPr>
    </w:p>
    <w:sectPr>
      <w:headerReference r:id="rId21" w:type="first"/>
      <w:footerReference r:id="rId22" w:type="firs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auto"/>
    <w:pitch w:val="default"/>
    <w:sig w:usb0="00000001" w:usb1="02000000" w:usb2="08000000" w:usb3="00000000" w:csb0="00000001" w:csb1="00000000"/>
  </w:font>
  <w:font w:name="方正小标宋简体">
    <w:altName w:val="方正舒体"/>
    <w:panose1 w:val="02000000000000000000"/>
    <w:charset w:val="86"/>
    <w:family w:val="script"/>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07A3AF1">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D1DF">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95DAD">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1895DAD">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923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2055C">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C92055C">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E2E1">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ED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9AED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4A27A31A">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1C5EE93C">
    <w:pPr>
      <w:pStyle w:val="18"/>
      <w:jc w:val="center"/>
    </w:pPr>
  </w:p>
  <w:p w14:paraId="3D87E5A4"/>
  <w:p w14:paraId="5B69F9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6F7A">
    <w:pPr>
      <w:pStyle w:val="18"/>
      <w:framePr w:wrap="around" w:vAnchor="text" w:hAnchor="margin" w:xAlign="center" w:y="1"/>
      <w:rPr>
        <w:rStyle w:val="34"/>
      </w:rPr>
    </w:pPr>
    <w:r>
      <w:fldChar w:fldCharType="begin"/>
    </w:r>
    <w:r>
      <w:rPr>
        <w:rStyle w:val="34"/>
      </w:rPr>
      <w:instrText xml:space="preserve">PAGE  </w:instrText>
    </w:r>
    <w:r>
      <w:fldChar w:fldCharType="end"/>
    </w:r>
  </w:p>
  <w:p w14:paraId="7BEE507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CBABF">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441BF">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C3EE">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D71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95D71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E8118">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2E5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2C2E5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B60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8BA40">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878BA40">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1FDC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56EDF">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756EDF">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5C1B">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02AA7">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302AA7">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79483">
    <w:pPr>
      <w:pStyle w:val="19"/>
      <w:ind w:firstLine="360"/>
      <w:jc w:val="right"/>
    </w:pPr>
    <w:r>
      <w:rPr>
        <w:rFonts w:hint="eastAsia"/>
      </w:rPr>
      <w:t>中国重型汽车集团</w:t>
    </w:r>
    <w:r>
      <w:rPr>
        <w:rFonts w:hint="eastAsia" w:ascii="Times New Roman" w:hAnsi="Times New Roman" w:cs="Times New Roman"/>
        <w:lang w:val="en-US" w:eastAsia="zh-CN"/>
      </w:rPr>
      <w:t>济南商用车有限公司轻卡制造公司</w:t>
    </w:r>
    <w:r>
      <w:rPr>
        <w:rFonts w:hint="eastAsia" w:ascii="Times New Roman" w:hAnsi="Times New Roman" w:cs="Times New Roman"/>
      </w:rPr>
      <w:t>采购项</w:t>
    </w:r>
    <w:r>
      <w:rPr>
        <w:rFonts w:hint="eastAsia"/>
      </w:rPr>
      <w:t>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A534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FF77">
    <w:pPr>
      <w:pStyle w:val="19"/>
      <w:ind w:firstLine="360"/>
      <w:jc w:val="right"/>
    </w:pPr>
    <w:r>
      <w:rPr>
        <w:rFonts w:hint="eastAsia"/>
      </w:rPr>
      <w:t>中国重汽集团济南商用车有限公司涂装现场质量监控提升项目-炉温仪项目招标书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238F">
    <w:pPr>
      <w:pStyle w:val="19"/>
      <w:ind w:firstLine="360"/>
      <w:jc w:val="right"/>
    </w:pPr>
    <w:r>
      <w:rPr>
        <w:rFonts w:hint="eastAsia"/>
      </w:rPr>
      <w:t>中国重汽集团济南商用车有限公司涂装现场质量监控提升项目-炉温仪项目招标书</w:t>
    </w:r>
  </w:p>
  <w:p w14:paraId="02A86D5B">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BB896">
    <w:pPr>
      <w:pStyle w:val="19"/>
      <w:ind w:firstLine="360"/>
      <w:jc w:val="right"/>
    </w:pPr>
    <w:r>
      <w:rPr>
        <w:rFonts w:hint="eastAsia"/>
      </w:rPr>
      <w:t>中国重汽集团济南商用车有限公司涂装现场质量监控提升项目-炉温仪项目招标书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B3CC">
    <w:pPr>
      <w:pStyle w:val="19"/>
      <w:ind w:firstLine="360"/>
      <w:jc w:val="right"/>
    </w:pPr>
    <w:r>
      <w:rPr>
        <w:rFonts w:hint="eastAsia"/>
      </w:rPr>
      <w:t>中国重汽集团济南商用车有限公司涂装现场质量监控提升项目-炉温仪项目招标书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C8A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9E01FD0"/>
    <w:multiLevelType w:val="singleLevel"/>
    <w:tmpl w:val="39E01FD0"/>
    <w:lvl w:ilvl="0" w:tentative="0">
      <w:start w:val="1"/>
      <w:numFmt w:val="decimal"/>
      <w:lvlText w:val="%1."/>
      <w:lvlJc w:val="left"/>
      <w:pPr>
        <w:ind w:left="425" w:hanging="425"/>
      </w:pPr>
      <w:rPr>
        <w:rFonts w:hint="default"/>
        <w:color w:val="auto"/>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3EA58E35"/>
    <w:multiLevelType w:val="singleLevel"/>
    <w:tmpl w:val="3EA58E35"/>
    <w:lvl w:ilvl="0" w:tentative="0">
      <w:start w:val="2"/>
      <w:numFmt w:val="chineseCounting"/>
      <w:suff w:val="nothing"/>
      <w:lvlText w:val="第%1部分　"/>
      <w:lvlJc w:val="left"/>
      <w:rPr>
        <w:rFonts w:hint="eastAsia"/>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3"/>
  </w:num>
  <w:num w:numId="6">
    <w:abstractNumId w:val="15"/>
  </w:num>
  <w:num w:numId="7">
    <w:abstractNumId w:val="16"/>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num>
  <w:num w:numId="12">
    <w:abstractNumId w:val="14"/>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num>
  <w:num w:numId="16">
    <w:abstractNumId w:val="5"/>
  </w:num>
  <w:num w:numId="17">
    <w:abstractNumId w:val="0"/>
  </w:num>
  <w:num w:numId="18">
    <w:abstractNumId w:val="3"/>
  </w:num>
  <w:num w:numId="19">
    <w:abstractNumId w:val="27"/>
  </w:num>
  <w:num w:numId="20">
    <w:abstractNumId w:val="29"/>
  </w:num>
  <w:num w:numId="21">
    <w:abstractNumId w:val="17"/>
  </w:num>
  <w:num w:numId="22">
    <w:abstractNumId w:val="10"/>
  </w:num>
  <w:num w:numId="23">
    <w:abstractNumId w:val="8"/>
  </w:num>
  <w:num w:numId="24">
    <w:abstractNumId w:val="4"/>
  </w:num>
  <w:num w:numId="25">
    <w:abstractNumId w:val="1"/>
  </w:num>
  <w:num w:numId="26">
    <w:abstractNumId w:val="6"/>
  </w:num>
  <w:num w:numId="27">
    <w:abstractNumId w:val="12"/>
  </w:num>
  <w:num w:numId="28">
    <w:abstractNumId w:val="11"/>
  </w:num>
  <w:num w:numId="29">
    <w:abstractNumId w:val="22"/>
  </w:num>
  <w:num w:numId="30">
    <w:abstractNumId w:val="19"/>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1MTNhNzUzNzE1MTg5ZTZjZGJlMjJhYjYyZDJjZj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77197"/>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A34D53"/>
    <w:rsid w:val="08633479"/>
    <w:rsid w:val="08B80F70"/>
    <w:rsid w:val="0A2B6CBB"/>
    <w:rsid w:val="0A672D1E"/>
    <w:rsid w:val="0BB630C9"/>
    <w:rsid w:val="0BF539BF"/>
    <w:rsid w:val="0CB51572"/>
    <w:rsid w:val="0DFB64F3"/>
    <w:rsid w:val="0E4D31E3"/>
    <w:rsid w:val="10DC2AA3"/>
    <w:rsid w:val="10FA7C8C"/>
    <w:rsid w:val="130B198F"/>
    <w:rsid w:val="169868DE"/>
    <w:rsid w:val="16A918E4"/>
    <w:rsid w:val="17D966D6"/>
    <w:rsid w:val="183277C9"/>
    <w:rsid w:val="1B5258BE"/>
    <w:rsid w:val="1BC71D3B"/>
    <w:rsid w:val="1C59115B"/>
    <w:rsid w:val="1E785FC6"/>
    <w:rsid w:val="1FB23E60"/>
    <w:rsid w:val="2004261C"/>
    <w:rsid w:val="200563F1"/>
    <w:rsid w:val="20BB7250"/>
    <w:rsid w:val="22C5630B"/>
    <w:rsid w:val="233A4603"/>
    <w:rsid w:val="23EC0BA6"/>
    <w:rsid w:val="24701A48"/>
    <w:rsid w:val="268B0052"/>
    <w:rsid w:val="27743C90"/>
    <w:rsid w:val="29CA2459"/>
    <w:rsid w:val="2B271A58"/>
    <w:rsid w:val="2B6304A7"/>
    <w:rsid w:val="2C827599"/>
    <w:rsid w:val="2CF6734C"/>
    <w:rsid w:val="2D4D33AB"/>
    <w:rsid w:val="2D663463"/>
    <w:rsid w:val="2DF00353"/>
    <w:rsid w:val="2EF96EE4"/>
    <w:rsid w:val="30B17BC6"/>
    <w:rsid w:val="34F8431E"/>
    <w:rsid w:val="36254FE4"/>
    <w:rsid w:val="372F61E0"/>
    <w:rsid w:val="39322FCA"/>
    <w:rsid w:val="3AB90991"/>
    <w:rsid w:val="3B706131"/>
    <w:rsid w:val="3B97196D"/>
    <w:rsid w:val="3D145A4E"/>
    <w:rsid w:val="3E6F041E"/>
    <w:rsid w:val="3EDF3059"/>
    <w:rsid w:val="4275481E"/>
    <w:rsid w:val="428B617A"/>
    <w:rsid w:val="433D7BDC"/>
    <w:rsid w:val="437E1813"/>
    <w:rsid w:val="45BD47FC"/>
    <w:rsid w:val="45CC5FB2"/>
    <w:rsid w:val="46A77952"/>
    <w:rsid w:val="46B75BA8"/>
    <w:rsid w:val="47C8170B"/>
    <w:rsid w:val="48C97955"/>
    <w:rsid w:val="49880C8F"/>
    <w:rsid w:val="4A462020"/>
    <w:rsid w:val="4A8835F7"/>
    <w:rsid w:val="4B592E71"/>
    <w:rsid w:val="4CBB5F06"/>
    <w:rsid w:val="4DBF21C2"/>
    <w:rsid w:val="4FEB08B0"/>
    <w:rsid w:val="50897E78"/>
    <w:rsid w:val="525070F0"/>
    <w:rsid w:val="52B9239A"/>
    <w:rsid w:val="53377434"/>
    <w:rsid w:val="54BD78FD"/>
    <w:rsid w:val="573945F7"/>
    <w:rsid w:val="58A86DDE"/>
    <w:rsid w:val="59154AD7"/>
    <w:rsid w:val="5A077DDA"/>
    <w:rsid w:val="5AC266B1"/>
    <w:rsid w:val="5ADF548D"/>
    <w:rsid w:val="5B903269"/>
    <w:rsid w:val="5BEF34D6"/>
    <w:rsid w:val="5D5C60B4"/>
    <w:rsid w:val="60151A0B"/>
    <w:rsid w:val="63F04A69"/>
    <w:rsid w:val="65421B81"/>
    <w:rsid w:val="66A50B1E"/>
    <w:rsid w:val="67B2063C"/>
    <w:rsid w:val="67BB4BB4"/>
    <w:rsid w:val="67C97AC3"/>
    <w:rsid w:val="67E30EC1"/>
    <w:rsid w:val="6A4E3B2B"/>
    <w:rsid w:val="6B481C3B"/>
    <w:rsid w:val="6C1331A3"/>
    <w:rsid w:val="6C893E2C"/>
    <w:rsid w:val="6CA84BC1"/>
    <w:rsid w:val="6D3E4756"/>
    <w:rsid w:val="6E290AC9"/>
    <w:rsid w:val="6E5878EA"/>
    <w:rsid w:val="6E87711D"/>
    <w:rsid w:val="6FB70357"/>
    <w:rsid w:val="6FC523EB"/>
    <w:rsid w:val="6FD85B3C"/>
    <w:rsid w:val="70651B61"/>
    <w:rsid w:val="72895F2E"/>
    <w:rsid w:val="72C02EBE"/>
    <w:rsid w:val="72C13BD3"/>
    <w:rsid w:val="72C507AD"/>
    <w:rsid w:val="72C93C83"/>
    <w:rsid w:val="72D028D8"/>
    <w:rsid w:val="72DD00D4"/>
    <w:rsid w:val="72FB055A"/>
    <w:rsid w:val="73532A56"/>
    <w:rsid w:val="745D47C3"/>
    <w:rsid w:val="747178F6"/>
    <w:rsid w:val="76937428"/>
    <w:rsid w:val="76AC3757"/>
    <w:rsid w:val="77A17922"/>
    <w:rsid w:val="79EF3C1F"/>
    <w:rsid w:val="7AB926A3"/>
    <w:rsid w:val="7B0F6764"/>
    <w:rsid w:val="7B5B24DE"/>
    <w:rsid w:val="7BB512A6"/>
    <w:rsid w:val="7CB93F8E"/>
    <w:rsid w:val="7CF66B46"/>
    <w:rsid w:val="7DBD28BA"/>
    <w:rsid w:val="7E5F4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11"/>
    <w:basedOn w:val="32"/>
    <w:qFormat/>
    <w:uiPriority w:val="0"/>
    <w:rPr>
      <w:rFonts w:hint="eastAsia" w:ascii="宋体" w:hAnsi="宋体" w:eastAsia="宋体" w:cs="宋体"/>
      <w:b/>
      <w:bCs/>
      <w:color w:val="000000"/>
      <w:sz w:val="21"/>
      <w:szCs w:val="21"/>
      <w:u w:val="none"/>
    </w:rPr>
  </w:style>
  <w:style w:type="paragraph" w:customStyle="1" w:styleId="112">
    <w:name w:val="HR正文表格"/>
    <w:basedOn w:val="1"/>
    <w:qFormat/>
    <w:uiPriority w:val="0"/>
    <w:pPr>
      <w:spacing w:beforeLines="25" w:afterLines="25" w:line="300" w:lineRule="auto"/>
    </w:pPr>
    <w:rPr>
      <w:szCs w:val="24"/>
    </w:rPr>
  </w:style>
  <w:style w:type="character" w:customStyle="1" w:styleId="113">
    <w:name w:val="font21"/>
    <w:basedOn w:val="32"/>
    <w:qFormat/>
    <w:uiPriority w:val="0"/>
    <w:rPr>
      <w:rFonts w:hint="eastAsia" w:ascii="仿宋" w:hAnsi="仿宋" w:eastAsia="仿宋" w:cs="仿宋"/>
      <w:color w:val="000000"/>
      <w:sz w:val="20"/>
      <w:szCs w:val="20"/>
      <w:u w:val="none"/>
    </w:rPr>
  </w:style>
  <w:style w:type="character" w:customStyle="1" w:styleId="114">
    <w:name w:val="font31"/>
    <w:basedOn w:val="32"/>
    <w:qFormat/>
    <w:uiPriority w:val="0"/>
    <w:rPr>
      <w:rFonts w:hint="eastAsia" w:ascii="仿宋" w:hAnsi="仿宋" w:eastAsia="仿宋" w:cs="仿宋"/>
      <w:color w:val="000000"/>
      <w:sz w:val="20"/>
      <w:szCs w:val="20"/>
      <w:u w:val="none"/>
    </w:rPr>
  </w:style>
  <w:style w:type="character" w:customStyle="1" w:styleId="115">
    <w:name w:val="font51"/>
    <w:basedOn w:val="32"/>
    <w:qFormat/>
    <w:uiPriority w:val="0"/>
    <w:rPr>
      <w:rFonts w:hint="eastAsia" w:ascii="仿宋" w:hAnsi="仿宋" w:eastAsia="仿宋" w:cs="仿宋"/>
      <w:color w:val="000000"/>
      <w:sz w:val="18"/>
      <w:szCs w:val="18"/>
      <w:u w:val="none"/>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Table Paragraph"/>
    <w:basedOn w:val="1"/>
    <w:qFormat/>
    <w:uiPriority w:val="1"/>
    <w:rPr>
      <w:rFonts w:ascii="宋体" w:hAnsi="宋体" w:eastAsia="宋体" w:cs="宋体"/>
    </w:rPr>
  </w:style>
  <w:style w:type="table" w:customStyle="1" w:styleId="1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68</Pages>
  <Words>4386</Words>
  <Characters>4660</Characters>
  <Lines>127</Lines>
  <Paragraphs>35</Paragraphs>
  <TotalTime>7</TotalTime>
  <ScaleCrop>false</ScaleCrop>
  <LinksUpToDate>false</LinksUpToDate>
  <CharactersWithSpaces>4729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石康</cp:lastModifiedBy>
  <cp:lastPrinted>2020-06-28T02:28:00Z</cp:lastPrinted>
  <dcterms:modified xsi:type="dcterms:W3CDTF">2026-03-03T00:56:47Z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1741CC999F1B4B35A2766103D08DC9DC_13</vt:lpwstr>
  </property>
  <property fmtid="{D5CDD505-2E9C-101B-9397-08002B2CF9AE}" pid="4" name="KSOTemplateDocerSaveRecord">
    <vt:lpwstr>eyJoZGlkIjoiNjU1MTNhNzUzNzE1MTg5ZTZjZGJlMjJhYjYyZDJjZjEiLCJ1c2VySWQiOiIxNTY4Nzk4NTAxIn0=</vt:lpwstr>
  </property>
</Properties>
</file>