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widowControl/>
        <w:jc w:val="center"/>
        <w:rPr>
          <w:i w:val="0"/>
          <w:iCs/>
          <w:sz w:val="32"/>
          <w:szCs w:val="32"/>
          <w:lang w:val="en-US"/>
        </w:rPr>
      </w:pPr>
      <w:bookmarkStart w:id="0" w:name="_Toc12866"/>
      <w:r>
        <w:rPr>
          <w:rFonts w:hint="eastAsia" w:cs="宋体"/>
          <w:i w:val="0"/>
          <w:iCs/>
          <w:sz w:val="32"/>
          <w:szCs w:val="32"/>
          <w:lang w:val="en-US" w:eastAsia="zh-CN"/>
        </w:rPr>
        <w:t>新建新能源变速箱测试台技改项目招标公告</w:t>
      </w:r>
      <w:bookmarkEnd w:id="0"/>
    </w:p>
    <w:p>
      <w:pPr>
        <w:pStyle w:val="3"/>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招标编号：（ZBGL2026010324）</w:t>
      </w:r>
      <w:bookmarkEnd w:id="1"/>
    </w:p>
    <w:p>
      <w:pPr>
        <w:rPr>
          <w:rFonts w:hint="eastAsia" w:asciiTheme="majorEastAsia" w:hAnsiTheme="majorEastAsia" w:eastAsiaTheme="majorEastAsia" w:cstheme="majorEastAsia"/>
          <w:b/>
          <w:bCs/>
          <w:sz w:val="24"/>
          <w:szCs w:val="24"/>
        </w:rPr>
      </w:pPr>
    </w:p>
    <w:p>
      <w:pPr>
        <w:rPr>
          <w:rFonts w:hint="eastAsia" w:asciiTheme="majorEastAsia" w:hAnsiTheme="majorEastAsia" w:eastAsiaTheme="majorEastAsia" w:cstheme="majorEastAsia"/>
          <w:b/>
          <w:bCs/>
          <w:sz w:val="24"/>
          <w:szCs w:val="24"/>
        </w:rPr>
      </w:pPr>
    </w:p>
    <w:tbl>
      <w:tblPr>
        <w:tblStyle w:val="10"/>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2026-2-6 </w:t>
            </w:r>
          </w:p>
        </w:tc>
        <w:tc>
          <w:tcPr>
            <w:tcW w:w="2200" w:type="dxa"/>
            <w:shd w:val="clear" w:color="auto" w:fill="DEDEDE"/>
            <w:vAlign w:val="center"/>
          </w:tcPr>
          <w:p>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2026-2-11 </w:t>
            </w:r>
          </w:p>
        </w:tc>
      </w:tr>
    </w:tbl>
    <w:p>
      <w:pPr>
        <w:rPr>
          <w:rFonts w:hint="eastAsia" w:asciiTheme="majorEastAsia" w:hAnsiTheme="majorEastAsia" w:eastAsiaTheme="majorEastAsia" w:cstheme="majorEastAsia"/>
          <w:b/>
          <w:bCs/>
          <w:sz w:val="24"/>
          <w:szCs w:val="24"/>
        </w:rPr>
      </w:pPr>
    </w:p>
    <w:p>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一、项目概况  </w:t>
      </w:r>
    </w:p>
    <w:p>
      <w:pPr>
        <w:ind w:firstLine="480"/>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新建一台新能源变速箱测试台及辅助设施</w:t>
      </w:r>
    </w:p>
    <w:p>
      <w:pPr>
        <w:ind w:firstLine="480"/>
        <w:rPr>
          <w:rFonts w:hint="default"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highlight w:val="yellow"/>
          <w:lang w:val="en-US" w:eastAsia="zh-CN"/>
        </w:rPr>
        <w:t>（若需详情，请联系技术联系人，或应标后见招标文件技术标书）</w:t>
      </w:r>
    </w:p>
    <w:p>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二、项目基本情况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项目名称：</w:t>
      </w:r>
      <w:r>
        <w:rPr>
          <w:rFonts w:hint="eastAsia" w:ascii="宋体" w:hAnsi="宋体" w:eastAsia="宋体" w:cs="宋体"/>
          <w:b/>
          <w:bCs/>
          <w:sz w:val="24"/>
          <w:szCs w:val="24"/>
          <w:lang w:val="en-US" w:eastAsia="zh-CN"/>
        </w:rPr>
        <w:t>新建新能源变速箱测试台</w:t>
      </w:r>
      <w:r>
        <w:rPr>
          <w:rFonts w:hint="eastAsia" w:ascii="宋体" w:hAnsi="宋体" w:eastAsia="宋体" w:cs="宋体"/>
          <w:b/>
          <w:bCs/>
          <w:sz w:val="24"/>
          <w:szCs w:val="24"/>
        </w:rPr>
        <w:t>技改项目</w:t>
      </w:r>
    </w:p>
    <w:p>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固定资产</w:t>
      </w:r>
    </w:p>
    <w:p>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p>
    <w:p>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三、供应商资格条件  </w:t>
      </w:r>
    </w:p>
    <w:p>
      <w:pPr>
        <w:pStyle w:val="2"/>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1.拟标投人必须是在中华人民共和国境内注册的独立法人机构，具有独立承担民事责任能力；注册资金不少于</w:t>
      </w:r>
      <w:r>
        <w:rPr>
          <w:rFonts w:hint="eastAsia" w:hAnsi="宋体" w:eastAsia="宋体" w:cs="宋体"/>
          <w:b/>
          <w:color w:val="000000"/>
          <w:sz w:val="24"/>
          <w:szCs w:val="24"/>
          <w:highlight w:val="none"/>
          <w:u w:val="single"/>
          <w:lang w:val="en-US" w:eastAsia="zh-CN"/>
        </w:rPr>
        <w:t>500</w:t>
      </w:r>
      <w:r>
        <w:rPr>
          <w:rFonts w:hint="eastAsia" w:hAnsi="宋体" w:eastAsia="宋体" w:cs="宋体"/>
          <w:b/>
          <w:color w:val="000000"/>
          <w:sz w:val="24"/>
          <w:szCs w:val="24"/>
          <w:highlight w:val="none"/>
          <w:u w:val="single"/>
        </w:rPr>
        <w:t>万</w:t>
      </w:r>
      <w:r>
        <w:rPr>
          <w:rFonts w:hint="eastAsia" w:hAnsi="宋体" w:eastAsia="宋体" w:cs="宋体"/>
          <w:color w:val="000000"/>
          <w:sz w:val="24"/>
          <w:szCs w:val="24"/>
          <w:highlight w:val="none"/>
        </w:rPr>
        <w:t>人民币（或等值其他货币）；公司成立</w:t>
      </w:r>
      <w:r>
        <w:rPr>
          <w:rFonts w:hint="eastAsia" w:hAnsi="宋体" w:eastAsia="宋体" w:cs="宋体"/>
          <w:b/>
          <w:color w:val="000000"/>
          <w:sz w:val="24"/>
          <w:szCs w:val="24"/>
          <w:highlight w:val="none"/>
          <w:u w:val="single"/>
          <w:lang w:val="en-US" w:eastAsia="zh-CN"/>
        </w:rPr>
        <w:t>五</w:t>
      </w:r>
      <w:r>
        <w:rPr>
          <w:rFonts w:hint="eastAsia" w:hAnsi="宋体" w:eastAsia="宋体" w:cs="宋体"/>
          <w:b/>
          <w:color w:val="000000"/>
          <w:sz w:val="24"/>
          <w:szCs w:val="24"/>
          <w:highlight w:val="none"/>
          <w:u w:val="single"/>
        </w:rPr>
        <w:t>年以上</w:t>
      </w:r>
      <w:r>
        <w:rPr>
          <w:rFonts w:hint="eastAsia" w:hAnsi="宋体" w:eastAsia="宋体" w:cs="宋体"/>
          <w:color w:val="000000"/>
          <w:sz w:val="24"/>
          <w:szCs w:val="24"/>
          <w:highlight w:val="none"/>
        </w:rPr>
        <w:t>（以营业执照成立日期到开标当日满</w:t>
      </w:r>
      <w:r>
        <w:rPr>
          <w:rFonts w:hint="eastAsia" w:hAnsi="宋体" w:eastAsia="宋体" w:cs="宋体"/>
          <w:color w:val="000000"/>
          <w:sz w:val="24"/>
          <w:szCs w:val="24"/>
          <w:highlight w:val="none"/>
          <w:lang w:val="en-US" w:eastAsia="zh-CN"/>
        </w:rPr>
        <w:t>五</w:t>
      </w:r>
      <w:r>
        <w:rPr>
          <w:rFonts w:hint="eastAsia" w:hAnsi="宋体" w:eastAsia="宋体" w:cs="宋体"/>
          <w:color w:val="000000"/>
          <w:sz w:val="24"/>
          <w:szCs w:val="24"/>
          <w:highlight w:val="none"/>
        </w:rPr>
        <w:t>年为准），且经营范围满足招标人需求；并在人员、设备、资金等方面具有承担本项目的能力；</w:t>
      </w:r>
    </w:p>
    <w:p>
      <w:pPr>
        <w:pStyle w:val="2"/>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2.拟投标人应提供营业执照</w:t>
      </w:r>
      <w:r>
        <w:rPr>
          <w:rFonts w:hint="eastAsia" w:hAnsi="宋体" w:eastAsia="宋体" w:cs="宋体"/>
          <w:b/>
          <w:sz w:val="24"/>
          <w:szCs w:val="24"/>
          <w:highlight w:val="none"/>
        </w:rPr>
        <w:t>副本原件和扫描件（需盖章）</w:t>
      </w:r>
      <w:r>
        <w:rPr>
          <w:rFonts w:hint="eastAsia" w:hAnsi="宋体" w:eastAsia="宋体" w:cs="宋体"/>
          <w:color w:val="000000"/>
          <w:sz w:val="24"/>
          <w:szCs w:val="24"/>
          <w:highlight w:val="none"/>
        </w:rPr>
        <w:t>；</w:t>
      </w:r>
    </w:p>
    <w:p>
      <w:pPr>
        <w:pStyle w:val="2"/>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3.拟投标人应提供法定代表人资格证明文件；</w:t>
      </w:r>
    </w:p>
    <w:p>
      <w:pPr>
        <w:pStyle w:val="2"/>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4.</w:t>
      </w:r>
      <w:r>
        <w:rPr>
          <w:rFonts w:hAnsi="宋体" w:eastAsia="宋体" w:cs="宋体"/>
          <w:sz w:val="24"/>
          <w:szCs w:val="24"/>
          <w:highlight w:val="none"/>
        </w:rPr>
        <w:t>拟投标人在国家市场监督管理总局的《国家企业信用信息公示系统》中查询不存在不良记录</w:t>
      </w:r>
      <w:r>
        <w:rPr>
          <w:rFonts w:hint="eastAsia" w:hAnsi="宋体" w:eastAsia="宋体" w:cs="宋体"/>
          <w:color w:val="000000"/>
          <w:sz w:val="24"/>
          <w:szCs w:val="24"/>
          <w:highlight w:val="none"/>
        </w:rPr>
        <w:t>；</w:t>
      </w:r>
    </w:p>
    <w:p>
      <w:pPr>
        <w:pStyle w:val="2"/>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 xml:space="preserve">5.拟投标人不存在严重违规或被列入招标人“黑名单”的声明； </w:t>
      </w:r>
    </w:p>
    <w:p>
      <w:pPr>
        <w:pStyle w:val="2"/>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6.拟投标人</w:t>
      </w:r>
      <w:r>
        <w:rPr>
          <w:rFonts w:hint="eastAsia" w:hAnsi="宋体" w:eastAsia="宋体" w:cs="宋体"/>
          <w:sz w:val="24"/>
          <w:szCs w:val="24"/>
          <w:highlight w:val="none"/>
        </w:rPr>
        <w:t>202</w:t>
      </w:r>
      <w:r>
        <w:rPr>
          <w:rFonts w:hint="eastAsia" w:hAnsi="宋体" w:eastAsia="宋体" w:cs="宋体"/>
          <w:sz w:val="24"/>
          <w:szCs w:val="24"/>
          <w:highlight w:val="none"/>
          <w:lang w:val="en-US" w:eastAsia="zh-CN"/>
        </w:rPr>
        <w:t>1</w:t>
      </w:r>
      <w:r>
        <w:rPr>
          <w:rFonts w:hint="eastAsia" w:hAnsi="宋体" w:eastAsia="宋体" w:cs="宋体"/>
          <w:sz w:val="24"/>
          <w:szCs w:val="24"/>
          <w:highlight w:val="none"/>
        </w:rPr>
        <w:t>年1月1日至今</w:t>
      </w:r>
      <w:r>
        <w:rPr>
          <w:rFonts w:hint="eastAsia" w:hAnsi="宋体" w:eastAsia="宋体" w:cs="宋体"/>
          <w:color w:val="000000"/>
          <w:sz w:val="24"/>
          <w:szCs w:val="24"/>
          <w:highlight w:val="none"/>
        </w:rPr>
        <w:t>经会计师事务所审计且出具无保留意见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pPr>
        <w:pStyle w:val="2"/>
        <w:ind w:firstLine="480" w:firstLineChars="200"/>
        <w:rPr>
          <w:rFonts w:hint="eastAsia" w:hAnsi="宋体" w:eastAsia="宋体" w:cs="宋体"/>
          <w:kern w:val="0"/>
          <w:sz w:val="24"/>
          <w:szCs w:val="24"/>
          <w:highlight w:val="none"/>
          <w:lang w:bidi="ar"/>
        </w:rPr>
      </w:pPr>
      <w:r>
        <w:rPr>
          <w:rFonts w:hint="eastAsia" w:hAnsi="宋体" w:eastAsia="宋体" w:cs="宋体"/>
          <w:color w:val="000000"/>
          <w:kern w:val="0"/>
          <w:sz w:val="24"/>
          <w:szCs w:val="24"/>
          <w:highlight w:val="none"/>
        </w:rPr>
        <w:t>7.</w:t>
      </w:r>
      <w:r>
        <w:rPr>
          <w:rFonts w:hint="eastAsia" w:hAnsi="宋体" w:eastAsia="宋体" w:cs="宋体"/>
          <w:color w:val="000000"/>
          <w:sz w:val="24"/>
          <w:szCs w:val="24"/>
          <w:highlight w:val="none"/>
        </w:rPr>
        <w:t>拟投标人2021年1月1日至今有与本次招标项目内容相同或类似项目业绩不少于</w:t>
      </w:r>
      <w:r>
        <w:rPr>
          <w:rFonts w:hint="eastAsia" w:hAnsi="宋体" w:eastAsia="宋体" w:cs="宋体"/>
          <w:color w:val="000000"/>
          <w:sz w:val="24"/>
          <w:szCs w:val="24"/>
          <w:highlight w:val="none"/>
          <w:lang w:val="en-US" w:eastAsia="zh-CN"/>
        </w:rPr>
        <w:t>五</w:t>
      </w:r>
      <w:r>
        <w:rPr>
          <w:rFonts w:hint="eastAsia" w:hAnsi="宋体" w:eastAsia="宋体" w:cs="宋体"/>
          <w:color w:val="000000"/>
          <w:sz w:val="24"/>
          <w:szCs w:val="24"/>
          <w:highlight w:val="none"/>
        </w:rPr>
        <w:t>个（需出示合同），且近三年内无因服务不当而造成重大事故</w:t>
      </w:r>
      <w:r>
        <w:rPr>
          <w:rFonts w:hint="eastAsia" w:hAnsi="宋体" w:eastAsia="宋体" w:cs="宋体"/>
          <w:color w:val="000000"/>
          <w:kern w:val="0"/>
          <w:sz w:val="24"/>
          <w:szCs w:val="24"/>
          <w:highlight w:val="none"/>
        </w:rPr>
        <w:t>；报名及投标时需提供近三年用户清单，同时需提供用户合同复印件</w:t>
      </w:r>
      <w:r>
        <w:rPr>
          <w:rFonts w:hint="eastAsia" w:hAnsi="宋体" w:eastAsia="宋体" w:cs="宋体"/>
          <w:color w:val="000000"/>
          <w:sz w:val="24"/>
          <w:szCs w:val="24"/>
          <w:highlight w:val="none"/>
        </w:rPr>
        <w:t>；</w:t>
      </w:r>
    </w:p>
    <w:p>
      <w:pPr>
        <w:pStyle w:val="2"/>
        <w:ind w:left="479" w:leftChars="228"/>
        <w:rPr>
          <w:rFonts w:hint="eastAsia" w:hAnsi="宋体" w:eastAsia="宋体" w:cs="宋体"/>
          <w:color w:val="000000"/>
          <w:sz w:val="24"/>
          <w:szCs w:val="24"/>
          <w:highlight w:val="none"/>
        </w:rPr>
      </w:pPr>
      <w:r>
        <w:rPr>
          <w:rFonts w:hint="eastAsia" w:hAnsi="宋体" w:eastAsia="宋体" w:cs="宋体"/>
          <w:color w:val="000000"/>
          <w:sz w:val="24"/>
          <w:szCs w:val="24"/>
          <w:highlight w:val="none"/>
        </w:rPr>
        <w:t>8.拟投标人近三年内在经营活动中无与本项目有关的违法及重大违规情况；9.拟投标人须认可招标人的工作指令，包括节、假日能正常开展工作的要求；</w:t>
      </w:r>
    </w:p>
    <w:p>
      <w:pPr>
        <w:pStyle w:val="2"/>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10.拟投标人最近半年纳税正常；</w:t>
      </w:r>
    </w:p>
    <w:p>
      <w:pPr>
        <w:pStyle w:val="2"/>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11.没有被我公司列入黑名单；</w:t>
      </w:r>
    </w:p>
    <w:p>
      <w:pPr>
        <w:pStyle w:val="2"/>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12.拟投标人信用证明材料（征信报告）未显示异常；</w:t>
      </w:r>
    </w:p>
    <w:p>
      <w:pPr>
        <w:pStyle w:val="2"/>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13.拟投标人的直接或间接股东、法定代表人、董事、监事、高管非重汽员工及其亲属；</w:t>
      </w:r>
    </w:p>
    <w:p>
      <w:pPr>
        <w:pStyle w:val="2"/>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14.</w:t>
      </w:r>
      <w:r>
        <w:rPr>
          <w:rFonts w:hint="eastAsia" w:hAnsi="宋体" w:eastAsia="宋体" w:cs="宋体"/>
          <w:color w:val="000000"/>
          <w:sz w:val="24"/>
          <w:szCs w:val="24"/>
          <w:highlight w:val="none"/>
          <w:lang w:val="en-US" w:eastAsia="zh-CN"/>
        </w:rPr>
        <w:t>不允许</w:t>
      </w:r>
      <w:r>
        <w:rPr>
          <w:rFonts w:hint="eastAsia" w:hAnsi="宋体" w:eastAsia="宋体" w:cs="宋体"/>
          <w:color w:val="000000"/>
          <w:sz w:val="24"/>
          <w:szCs w:val="24"/>
          <w:highlight w:val="none"/>
        </w:rPr>
        <w:t>代理商投标；</w:t>
      </w:r>
    </w:p>
    <w:p>
      <w:pPr>
        <w:pStyle w:val="2"/>
        <w:ind w:firstLine="480" w:firstLineChars="200"/>
        <w:rPr>
          <w:rFonts w:hint="eastAsia" w:hAnsi="宋体" w:eastAsia="宋体" w:cs="宋体"/>
          <w:sz w:val="24"/>
          <w:szCs w:val="24"/>
          <w:highlight w:val="none"/>
        </w:rPr>
      </w:pPr>
      <w:bookmarkStart w:id="2" w:name="OLE_LINK7"/>
      <w:r>
        <w:rPr>
          <w:rFonts w:hint="eastAsia" w:hAnsi="宋体" w:eastAsia="宋体" w:cs="宋体"/>
          <w:color w:val="000000"/>
          <w:sz w:val="24"/>
          <w:szCs w:val="24"/>
          <w:highlight w:val="none"/>
        </w:rPr>
        <w:t>15.</w:t>
      </w:r>
      <w:r>
        <w:rPr>
          <w:rFonts w:hAnsi="宋体" w:eastAsia="宋体" w:cs="宋体"/>
          <w:sz w:val="24"/>
          <w:szCs w:val="24"/>
          <w:highlight w:val="none"/>
        </w:rPr>
        <w:t>与招标人存在利害关系可能影响招标公正性的法人、其他组织或者个人，不得参加投标</w:t>
      </w:r>
      <w:bookmarkEnd w:id="2"/>
      <w:r>
        <w:rPr>
          <w:rFonts w:hint="eastAsia" w:hAnsi="宋体" w:eastAsia="宋体" w:cs="宋体"/>
          <w:sz w:val="24"/>
          <w:szCs w:val="24"/>
          <w:highlight w:val="none"/>
        </w:rPr>
        <w:t>；</w:t>
      </w:r>
    </w:p>
    <w:p>
      <w:pPr>
        <w:pStyle w:val="2"/>
        <w:ind w:firstLine="480" w:firstLineChars="200"/>
        <w:rPr>
          <w:rFonts w:hint="eastAsia" w:hAnsi="宋体" w:eastAsia="宋体" w:cs="宋体"/>
          <w:sz w:val="24"/>
          <w:szCs w:val="24"/>
          <w:highlight w:val="none"/>
        </w:rPr>
      </w:pPr>
      <w:r>
        <w:rPr>
          <w:rFonts w:hint="eastAsia" w:hAnsi="宋体" w:eastAsia="宋体" w:cs="宋体"/>
          <w:sz w:val="24"/>
          <w:szCs w:val="24"/>
          <w:highlight w:val="none"/>
        </w:rPr>
        <w:t>16.本项目不接受联合投标，拟投标人必须是最终投标单位和签订合同单位，不得以任何理由将已中标项目以任何形式分包或者转包给其他单位。</w:t>
      </w:r>
    </w:p>
    <w:p>
      <w:pPr>
        <w:ind w:firstLine="480" w:firstLineChars="200"/>
        <w:rPr>
          <w:rFonts w:hint="eastAsia" w:hAnsi="宋体" w:eastAsia="宋体" w:cs="宋体"/>
          <w:sz w:val="24"/>
          <w:szCs w:val="24"/>
          <w:highlight w:val="yellow"/>
          <w:lang w:val="en-US" w:eastAsia="zh-CN"/>
        </w:rPr>
      </w:pPr>
      <w:r>
        <w:rPr>
          <w:rFonts w:hint="eastAsia" w:hAnsi="宋体" w:eastAsia="宋体" w:cs="宋体"/>
          <w:sz w:val="24"/>
          <w:szCs w:val="24"/>
          <w:highlight w:val="yellow"/>
          <w:lang w:val="en-US" w:eastAsia="zh-CN"/>
        </w:rPr>
        <w:t>17.本项目不允许代理商投标。</w:t>
      </w:r>
    </w:p>
    <w:p>
      <w:pPr>
        <w:spacing w:line="360" w:lineRule="auto"/>
        <w:rPr>
          <w:rFonts w:hint="eastAsia" w:ascii="宋体" w:hAnsi="宋体" w:eastAsia="宋体" w:cs="宋体"/>
          <w:color w:val="000000"/>
          <w:sz w:val="24"/>
          <w:szCs w:val="24"/>
        </w:rPr>
      </w:pPr>
      <w:r>
        <w:rPr>
          <w:rFonts w:hint="eastAsia" w:ascii="宋体" w:hAnsi="宋体" w:eastAsia="宋体" w:cs="宋体"/>
          <w:b/>
          <w:bCs/>
          <w:sz w:val="24"/>
          <w:szCs w:val="24"/>
        </w:rPr>
        <w:t>《</w:t>
      </w:r>
      <w:r>
        <w:rPr>
          <w:rFonts w:hint="eastAsia" w:ascii="宋体" w:hAnsi="宋体" w:eastAsia="宋体" w:cs="宋体"/>
          <w:b/>
          <w:bCs/>
          <w:sz w:val="24"/>
          <w:szCs w:val="24"/>
          <w:lang w:val="en-US" w:eastAsia="zh-CN"/>
        </w:rPr>
        <w:t>应标</w:t>
      </w:r>
      <w:r>
        <w:rPr>
          <w:rFonts w:hint="eastAsia" w:ascii="宋体" w:hAnsi="宋体" w:eastAsia="宋体" w:cs="宋体"/>
          <w:b/>
          <w:bCs/>
          <w:sz w:val="24"/>
          <w:szCs w:val="24"/>
        </w:rPr>
        <w:t>文件（资质标）》包括</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1.1营业执照副本复印件</w:t>
      </w:r>
      <w:r>
        <w:rPr>
          <w:rFonts w:hint="eastAsia" w:ascii="宋体" w:hAnsi="宋体" w:eastAsia="宋体" w:cs="宋体"/>
          <w:b/>
          <w:bCs/>
          <w:color w:val="000000"/>
          <w:sz w:val="24"/>
          <w:szCs w:val="24"/>
        </w:rPr>
        <w:t>（需加盖公章）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1.2投标函（附件1）；</w:t>
      </w:r>
    </w:p>
    <w:p>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w:t>
      </w:r>
      <w:r>
        <w:rPr>
          <w:rFonts w:hint="eastAsia" w:ascii="宋体" w:hAnsi="宋体" w:eastAsia="宋体" w:cs="宋体"/>
          <w:b/>
          <w:color w:val="000000"/>
          <w:sz w:val="24"/>
          <w:szCs w:val="24"/>
          <w:highlight w:val="none"/>
        </w:rPr>
        <w:t>复印件）</w:t>
      </w:r>
      <w:r>
        <w:rPr>
          <w:rFonts w:hint="eastAsia" w:ascii="宋体" w:hAnsi="宋体" w:eastAsia="宋体" w:cs="宋体"/>
          <w:bCs/>
          <w:color w:val="000000"/>
          <w:sz w:val="24"/>
          <w:szCs w:val="24"/>
          <w:highlight w:val="none"/>
        </w:rPr>
        <w:t>和</w:t>
      </w:r>
      <w:r>
        <w:rPr>
          <w:rFonts w:hint="eastAsia" w:ascii="宋体" w:hAnsi="宋体" w:eastAsia="宋体" w:cs="宋体"/>
          <w:sz w:val="24"/>
          <w:szCs w:val="24"/>
          <w:highlight w:val="none"/>
        </w:rPr>
        <w:t>被授权人</w:t>
      </w:r>
      <w:r>
        <w:rPr>
          <w:rFonts w:hint="eastAsia" w:ascii="宋体" w:hAnsi="宋体" w:eastAsia="宋体" w:cs="宋体"/>
          <w:kern w:val="0"/>
          <w:sz w:val="24"/>
          <w:szCs w:val="24"/>
          <w:highlight w:val="none"/>
          <w:lang w:bidi="en-US"/>
        </w:rPr>
        <w:t>近6个月及以上在授权单位的社保缴纳证明</w:t>
      </w:r>
      <w:r>
        <w:rPr>
          <w:rFonts w:hint="eastAsia" w:ascii="宋体" w:hAnsi="宋体" w:eastAsia="宋体" w:cs="宋体"/>
          <w:b/>
          <w:color w:val="000000"/>
          <w:sz w:val="24"/>
          <w:szCs w:val="24"/>
          <w:highlight w:val="none"/>
        </w:rPr>
        <w:t>；</w:t>
      </w:r>
    </w:p>
    <w:p>
      <w:pPr>
        <w:spacing w:line="360" w:lineRule="auto"/>
        <w:ind w:firstLine="480" w:firstLineChars="200"/>
        <w:rPr>
          <w:rFonts w:hint="eastAsia" w:ascii="宋体" w:hAnsi="宋体" w:eastAsia="宋体" w:cs="宋体"/>
          <w:b/>
          <w:color w:val="000000"/>
          <w:sz w:val="24"/>
          <w:szCs w:val="24"/>
          <w:highlight w:val="none"/>
        </w:rPr>
      </w:pPr>
      <w:r>
        <w:rPr>
          <w:rFonts w:hint="eastAsia" w:ascii="宋体" w:hAnsi="宋体" w:eastAsia="宋体" w:cs="宋体"/>
          <w:color w:val="000000"/>
          <w:sz w:val="24"/>
          <w:szCs w:val="24"/>
          <w:highlight w:val="none"/>
        </w:rPr>
        <w:t>1.4</w:t>
      </w:r>
      <w:bookmarkStart w:id="3" w:name="OLE_LINK3"/>
      <w:r>
        <w:rPr>
          <w:rFonts w:hint="eastAsia" w:hAnsi="宋体" w:eastAsia="宋体" w:cs="宋体"/>
          <w:color w:val="000000"/>
          <w:sz w:val="24"/>
          <w:szCs w:val="24"/>
          <w:highlight w:val="none"/>
        </w:rPr>
        <w:t>拟投标人</w:t>
      </w:r>
      <w:r>
        <w:rPr>
          <w:rFonts w:hint="eastAsia" w:hAnsi="宋体" w:eastAsia="宋体" w:cs="宋体"/>
          <w:sz w:val="24"/>
          <w:szCs w:val="24"/>
          <w:highlight w:val="none"/>
        </w:rPr>
        <w:t>202</w:t>
      </w:r>
      <w:r>
        <w:rPr>
          <w:rFonts w:hint="eastAsia" w:hAnsi="宋体" w:eastAsia="宋体" w:cs="宋体"/>
          <w:sz w:val="24"/>
          <w:szCs w:val="24"/>
          <w:highlight w:val="none"/>
          <w:lang w:val="en-US" w:eastAsia="zh-CN"/>
        </w:rPr>
        <w:t>1</w:t>
      </w:r>
      <w:r>
        <w:rPr>
          <w:rFonts w:hint="eastAsia" w:hAnsi="宋体" w:eastAsia="宋体" w:cs="宋体"/>
          <w:sz w:val="24"/>
          <w:szCs w:val="24"/>
          <w:highlight w:val="none"/>
        </w:rPr>
        <w:t>年1月1日至今</w:t>
      </w:r>
      <w:r>
        <w:rPr>
          <w:rFonts w:hint="eastAsia" w:ascii="宋体" w:hAnsi="宋体" w:eastAsia="宋体" w:cs="宋体"/>
          <w:color w:val="000000"/>
          <w:sz w:val="24"/>
          <w:szCs w:val="24"/>
          <w:highlight w:val="none"/>
        </w:rPr>
        <w:t>经会计师事务所审计且出具无保留意见的财务审计报告，并加盖公章，包括但不限于报告页、经审计的资产负债表、利润表、现金流量表及报表附注</w:t>
      </w:r>
      <w:r>
        <w:rPr>
          <w:rFonts w:hint="eastAsia" w:hAnsi="宋体" w:eastAsia="宋体" w:cs="宋体"/>
          <w:color w:val="000000"/>
          <w:sz w:val="24"/>
          <w:szCs w:val="24"/>
          <w:highlight w:val="none"/>
        </w:rPr>
        <w:t>（如投标人公司没有经审计的财务报告，可提供加盖公章的近三年财务报表，包括但不限于资产负债表、利润表、现金流量表）</w:t>
      </w:r>
      <w:r>
        <w:rPr>
          <w:rFonts w:hint="eastAsia" w:ascii="宋体" w:hAnsi="宋体" w:eastAsia="宋体" w:cs="宋体"/>
          <w:color w:val="000000"/>
          <w:sz w:val="24"/>
          <w:szCs w:val="24"/>
          <w:highlight w:val="none"/>
        </w:rPr>
        <w:t>。</w:t>
      </w:r>
      <w:bookmarkEnd w:id="3"/>
      <w:r>
        <w:rPr>
          <w:rFonts w:hint="eastAsia" w:ascii="宋体" w:hAnsi="宋体" w:eastAsia="宋体" w:cs="宋体"/>
          <w:color w:val="000000"/>
          <w:sz w:val="24"/>
          <w:szCs w:val="24"/>
          <w:highlight w:val="none"/>
        </w:rPr>
        <w:t>必须连续，同时填写投标人基本情况及资产情况汇总表（附件3）；</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none"/>
        </w:rPr>
        <w:t>1.5近三年内在经营活动中</w:t>
      </w:r>
      <w:r>
        <w:rPr>
          <w:rFonts w:hint="eastAsia" w:hAnsi="宋体" w:eastAsia="宋体" w:cs="宋体"/>
          <w:color w:val="000000"/>
          <w:sz w:val="24"/>
          <w:szCs w:val="24"/>
          <w:highlight w:val="none"/>
        </w:rPr>
        <w:t>无与本项目有关的违法及重大违规</w:t>
      </w:r>
      <w:r>
        <w:rPr>
          <w:rFonts w:hint="eastAsia" w:ascii="宋体" w:hAnsi="宋体" w:eastAsia="宋体" w:cs="宋体"/>
          <w:color w:val="000000"/>
          <w:sz w:val="24"/>
          <w:szCs w:val="24"/>
          <w:highlight w:val="none"/>
        </w:rPr>
        <w:t>行为的声</w:t>
      </w:r>
      <w:r>
        <w:rPr>
          <w:rFonts w:hint="eastAsia" w:ascii="宋体" w:hAnsi="宋体" w:eastAsia="宋体" w:cs="宋体"/>
          <w:color w:val="000000"/>
          <w:sz w:val="24"/>
          <w:szCs w:val="24"/>
        </w:rPr>
        <w:t>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1.7企业对外担保说明（写投标人对外有无对外担保和质押业务，需加盖公章）；</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1.8企业信用证明材料（征信报告）；</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1.9代理商</w:t>
      </w:r>
      <w:r>
        <w:rPr>
          <w:rFonts w:hint="eastAsia" w:ascii="宋体" w:hAnsi="宋体" w:eastAsia="宋体" w:cs="宋体"/>
          <w:color w:val="000000"/>
          <w:sz w:val="24"/>
          <w:szCs w:val="24"/>
          <w:lang w:val="en-US" w:eastAsia="zh-CN"/>
        </w:rPr>
        <w:t>不能</w:t>
      </w:r>
      <w:r>
        <w:rPr>
          <w:rFonts w:hint="eastAsia" w:ascii="宋体" w:hAnsi="宋体" w:eastAsia="宋体" w:cs="宋体"/>
          <w:color w:val="000000"/>
          <w:sz w:val="24"/>
          <w:szCs w:val="24"/>
        </w:rPr>
        <w:t>投标</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1.10企业最近半年的完税证明、年度纳税信用评价信息（可从电子税务局查询截图，</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需加盖公章）；</w:t>
      </w:r>
    </w:p>
    <w:p>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1.11保密承诺函（附件4）；</w:t>
      </w:r>
    </w:p>
    <w:p>
      <w:pPr>
        <w:spacing w:line="360" w:lineRule="auto"/>
        <w:ind w:firstLine="480" w:firstLineChars="200"/>
        <w:rPr>
          <w:rFonts w:hint="eastAsia" w:ascii="宋体" w:hAnsi="宋体" w:eastAsia="宋体" w:cs="宋体"/>
          <w:color w:val="000000"/>
          <w:sz w:val="24"/>
          <w:szCs w:val="24"/>
          <w:highlight w:val="none"/>
        </w:rPr>
      </w:pPr>
      <w:bookmarkStart w:id="4" w:name="OLE_LINK21"/>
      <w:r>
        <w:rPr>
          <w:rFonts w:hint="eastAsia" w:ascii="宋体" w:hAnsi="宋体" w:eastAsia="宋体" w:cs="宋体"/>
          <w:color w:val="000000"/>
          <w:sz w:val="24"/>
          <w:szCs w:val="24"/>
          <w:highlight w:val="none"/>
        </w:rPr>
        <w:t>1.12</w:t>
      </w:r>
      <w:bookmarkEnd w:id="4"/>
      <w:r>
        <w:rPr>
          <w:rFonts w:hint="eastAsia" w:ascii="宋体" w:hAnsi="宋体" w:eastAsia="宋体" w:cs="Times New Roman"/>
          <w:color w:val="000000"/>
          <w:sz w:val="24"/>
          <w:szCs w:val="24"/>
          <w:highlight w:val="none"/>
        </w:rPr>
        <w:t>企业2021年1月1日以来同类项目业绩证明，</w:t>
      </w:r>
      <w:r>
        <w:rPr>
          <w:rFonts w:ascii="宋体" w:hAnsi="宋体" w:eastAsia="宋体" w:cs="宋体"/>
          <w:sz w:val="24"/>
          <w:szCs w:val="24"/>
          <w:highlight w:val="none"/>
        </w:rPr>
        <w:t>须提供</w:t>
      </w:r>
      <w:r>
        <w:rPr>
          <w:rFonts w:hint="eastAsia" w:hAnsi="宋体" w:eastAsia="宋体" w:cs="宋体"/>
          <w:b/>
          <w:bCs/>
          <w:color w:val="000000"/>
          <w:kern w:val="0"/>
          <w:sz w:val="24"/>
          <w:szCs w:val="24"/>
          <w:highlight w:val="none"/>
        </w:rPr>
        <w:t>用户清单</w:t>
      </w:r>
      <w:r>
        <w:rPr>
          <w:rFonts w:ascii="宋体" w:hAnsi="宋体" w:eastAsia="宋体" w:cs="宋体"/>
          <w:sz w:val="24"/>
          <w:szCs w:val="24"/>
          <w:highlight w:val="none"/>
        </w:rPr>
        <w:t>、采购合同</w:t>
      </w:r>
      <w:r>
        <w:rPr>
          <w:rFonts w:hint="eastAsia" w:ascii="宋体" w:hAnsi="宋体" w:eastAsia="宋体" w:cs="宋体"/>
          <w:sz w:val="24"/>
          <w:szCs w:val="24"/>
          <w:highlight w:val="none"/>
        </w:rPr>
        <w:t>复印件</w:t>
      </w:r>
      <w:r>
        <w:rPr>
          <w:rFonts w:hint="eastAsia" w:ascii="宋体" w:hAnsi="宋体" w:eastAsia="宋体" w:cs="宋体"/>
          <w:color w:val="000000"/>
          <w:sz w:val="24"/>
          <w:szCs w:val="24"/>
          <w:highlight w:val="none"/>
        </w:rPr>
        <w:t>；</w:t>
      </w:r>
    </w:p>
    <w:p>
      <w:pPr>
        <w:spacing w:line="360" w:lineRule="auto"/>
        <w:ind w:firstLine="480" w:firstLineChars="200"/>
        <w:rPr>
          <w:rFonts w:hint="default"/>
          <w:lang w:val="en-US" w:eastAsia="zh-CN"/>
        </w:rPr>
      </w:pPr>
      <w:r>
        <w:rPr>
          <w:rFonts w:hint="eastAsia" w:ascii="宋体" w:hAnsi="宋体" w:eastAsia="宋体" w:cs="宋体"/>
          <w:color w:val="000000"/>
          <w:sz w:val="24"/>
          <w:szCs w:val="24"/>
          <w:highlight w:val="none"/>
        </w:rPr>
        <w:t>1.13投标保证金缴纳凭证。</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四、采购文件领取 </w:t>
      </w:r>
      <w:r>
        <w:rPr>
          <w:rFonts w:hint="eastAsia" w:asciiTheme="majorEastAsia" w:hAnsiTheme="majorEastAsia" w:eastAsiaTheme="majorEastAsia" w:cstheme="majorEastAsia"/>
          <w:sz w:val="24"/>
          <w:szCs w:val="24"/>
        </w:rPr>
        <w:t xml:space="preserve">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rPr>
        <w:t>线</w:t>
      </w:r>
      <w:r>
        <w:rPr>
          <w:rFonts w:hint="eastAsia" w:asciiTheme="majorEastAsia" w:hAnsiTheme="majorEastAsia" w:eastAsiaTheme="majorEastAsia" w:cstheme="majorEastAsia"/>
          <w:sz w:val="24"/>
          <w:szCs w:val="24"/>
          <w:lang w:val="en-US" w:eastAsia="zh-CN"/>
        </w:rPr>
        <w:t>上</w:t>
      </w:r>
      <w:r>
        <w:rPr>
          <w:rFonts w:hint="eastAsia" w:asciiTheme="majorEastAsia" w:hAnsiTheme="majorEastAsia" w:eastAsiaTheme="majorEastAsia" w:cstheme="majorEastAsia"/>
          <w:sz w:val="24"/>
          <w:szCs w:val="24"/>
        </w:rPr>
        <w:t xml:space="preserve">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2</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11</w:t>
      </w:r>
      <w:r>
        <w:rPr>
          <w:rFonts w:hint="eastAsia" w:asciiTheme="majorEastAsia" w:hAnsiTheme="majorEastAsia" w:eastAsiaTheme="majorEastAsia" w:cstheme="majorEastAsia"/>
          <w:sz w:val="24"/>
          <w:szCs w:val="24"/>
        </w:rPr>
        <w:t xml:space="preserve"> 17:00:00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采购文件领取地点：</w:t>
      </w:r>
      <w:r>
        <w:rPr>
          <w:rFonts w:hint="eastAsia" w:asciiTheme="majorEastAsia" w:hAnsiTheme="majorEastAsia" w:eastAsiaTheme="majorEastAsia" w:cstheme="majorEastAsia"/>
          <w:sz w:val="24"/>
          <w:szCs w:val="24"/>
          <w:lang w:val="en-US" w:eastAsia="zh-CN"/>
        </w:rPr>
        <w:t>重汽e采通</w:t>
      </w:r>
      <w:r>
        <w:rPr>
          <w:rFonts w:hint="eastAsia" w:asciiTheme="majorEastAsia" w:hAnsiTheme="majorEastAsia" w:eastAsiaTheme="majorEastAsia" w:cstheme="majorEastAsia"/>
          <w:sz w:val="24"/>
          <w:szCs w:val="24"/>
        </w:rPr>
        <w:t xml:space="preserve"> </w:t>
      </w:r>
    </w:p>
    <w:p>
      <w:pPr>
        <w:jc w:val="left"/>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五、响应文件提交 </w:t>
      </w:r>
    </w:p>
    <w:p>
      <w:pPr>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线</w:t>
      </w:r>
      <w:r>
        <w:rPr>
          <w:rFonts w:hint="eastAsia" w:asciiTheme="majorEastAsia" w:hAnsiTheme="majorEastAsia" w:eastAsiaTheme="majorEastAsia" w:cstheme="majorEastAsia"/>
          <w:sz w:val="24"/>
          <w:szCs w:val="24"/>
          <w:lang w:val="en-US" w:eastAsia="zh-CN"/>
        </w:rPr>
        <w:t>上</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2026-0</w:t>
      </w:r>
      <w:r>
        <w:rPr>
          <w:rFonts w:hint="eastAsia" w:asciiTheme="majorEastAsia" w:hAnsiTheme="majorEastAsia" w:eastAsiaTheme="majorEastAsia" w:cstheme="majorEastAsia"/>
          <w:sz w:val="24"/>
          <w:szCs w:val="24"/>
          <w:lang w:val="en-US" w:eastAsia="zh-CN"/>
        </w:rPr>
        <w:t>2</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27</w:t>
      </w:r>
      <w:r>
        <w:rPr>
          <w:rFonts w:hint="eastAsia" w:asciiTheme="majorEastAsia" w:hAnsiTheme="majorEastAsia" w:eastAsiaTheme="majorEastAsia" w:cstheme="majorEastAsia"/>
          <w:sz w:val="24"/>
          <w:szCs w:val="24"/>
        </w:rPr>
        <w:t xml:space="preserve"> 09:00:00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递交地点：</w:t>
      </w:r>
      <w:r>
        <w:rPr>
          <w:rFonts w:hint="eastAsia" w:asciiTheme="majorEastAsia" w:hAnsiTheme="majorEastAsia" w:eastAsiaTheme="majorEastAsia" w:cstheme="majorEastAsia"/>
          <w:sz w:val="24"/>
          <w:szCs w:val="24"/>
          <w:lang w:val="en-US" w:eastAsia="zh-CN"/>
        </w:rPr>
        <w:t>重汽e采通</w:t>
      </w:r>
      <w:r>
        <w:rPr>
          <w:rFonts w:hint="eastAsia" w:asciiTheme="majorEastAsia" w:hAnsiTheme="majorEastAsia" w:eastAsiaTheme="majorEastAsia" w:cstheme="majorEastAsia"/>
          <w:sz w:val="24"/>
          <w:szCs w:val="24"/>
        </w:rPr>
        <w:t xml:space="preserve"> </w:t>
      </w:r>
    </w:p>
    <w:p>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六、开标时间和地点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2026-0</w:t>
      </w:r>
      <w:r>
        <w:rPr>
          <w:rFonts w:hint="eastAsia" w:asciiTheme="majorEastAsia" w:hAnsiTheme="majorEastAsia" w:eastAsiaTheme="majorEastAsia" w:cstheme="majorEastAsia"/>
          <w:sz w:val="24"/>
          <w:szCs w:val="24"/>
          <w:lang w:val="en-US" w:eastAsia="zh-CN"/>
        </w:rPr>
        <w:t>2</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27</w:t>
      </w:r>
      <w:r>
        <w:rPr>
          <w:rFonts w:hint="eastAsia" w:asciiTheme="majorEastAsia" w:hAnsiTheme="majorEastAsia" w:eastAsiaTheme="majorEastAsia" w:cstheme="majorEastAsia"/>
          <w:sz w:val="24"/>
          <w:szCs w:val="24"/>
        </w:rPr>
        <w:t xml:space="preserve"> 09:00:00 </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暂定，以实际通知为准</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rPr>
        <w:t xml:space="preserve"> </w:t>
      </w:r>
    </w:p>
    <w:p>
      <w:pPr>
        <w:ind w:firstLine="48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开标地点：</w:t>
      </w:r>
      <w:r>
        <w:rPr>
          <w:rFonts w:hint="eastAsia" w:ascii="宋体" w:hAnsi="宋体" w:eastAsia="宋体" w:cs="宋体"/>
          <w:b/>
          <w:bCs/>
          <w:sz w:val="24"/>
          <w:szCs w:val="24"/>
          <w:lang w:val="en-US" w:eastAsia="zh-CN"/>
        </w:rPr>
        <w:t>山东省济南市济南变速箱厂会议室（暂定，以实际通知为准）</w:t>
      </w:r>
      <w:r>
        <w:rPr>
          <w:rFonts w:hint="eastAsia" w:ascii="宋体" w:hAnsi="宋体" w:eastAsia="宋体" w:cs="宋体"/>
          <w:sz w:val="24"/>
          <w:szCs w:val="24"/>
        </w:rPr>
        <w:t>。</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七、发布公告的媒介  </w:t>
      </w:r>
    </w:p>
    <w:p>
      <w:pPr>
        <w:rPr>
          <w:rFonts w:hint="default"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rPr>
        <w:t xml:space="preserve">    阳光采购服务平台（www.ygcgfw.com） </w:t>
      </w:r>
      <w:r>
        <w:rPr>
          <w:rFonts w:hint="eastAsia" w:asciiTheme="majorEastAsia" w:hAnsiTheme="majorEastAsia" w:eastAsiaTheme="majorEastAsia" w:cstheme="majorEastAsia"/>
          <w:sz w:val="24"/>
          <w:szCs w:val="24"/>
          <w:highlight w:val="yellow"/>
          <w:lang w:val="en-US" w:eastAsia="zh-CN"/>
        </w:rPr>
        <w:t>中国重汽</w:t>
      </w:r>
      <w:r>
        <w:rPr>
          <w:rFonts w:hint="default" w:asciiTheme="majorEastAsia" w:hAnsiTheme="majorEastAsia" w:eastAsiaTheme="majorEastAsia" w:cstheme="majorEastAsia"/>
          <w:sz w:val="24"/>
          <w:szCs w:val="24"/>
          <w:highlight w:val="yellow"/>
          <w:lang w:eastAsia="zh-CN"/>
        </w:rPr>
        <w:t>集团官网</w:t>
      </w:r>
      <w:r>
        <w:rPr>
          <w:rFonts w:hint="eastAsia" w:asciiTheme="majorEastAsia" w:hAnsiTheme="majorEastAsia" w:eastAsiaTheme="majorEastAsia" w:cstheme="majorEastAsia"/>
          <w:sz w:val="24"/>
          <w:szCs w:val="24"/>
          <w:highlight w:val="yellow"/>
          <w:lang w:val="en-US" w:eastAsia="zh-CN"/>
        </w:rPr>
        <w:t>（ww.cnhtc.com.cn）</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八、联系方式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名称：中国重型汽车集团有限公司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地址：山东省济南市历城区华奥路777号中国重型汽车集团有限公司 </w:t>
      </w:r>
    </w:p>
    <w:p>
      <w:pPr>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联系人：</w:t>
      </w:r>
      <w:r>
        <w:rPr>
          <w:rFonts w:hint="eastAsia" w:asciiTheme="majorEastAsia" w:hAnsiTheme="majorEastAsia" w:eastAsiaTheme="majorEastAsia" w:cstheme="majorEastAsia"/>
          <w:sz w:val="24"/>
          <w:szCs w:val="24"/>
          <w:lang w:val="en-US" w:eastAsia="zh-CN"/>
        </w:rPr>
        <w:t>杨淑超</w:t>
      </w:r>
    </w:p>
    <w:p>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17860605820</w:t>
      </w:r>
    </w:p>
    <w:p>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w:t>
      </w:r>
      <w:r>
        <w:rPr>
          <w:rFonts w:ascii="宋体" w:hAnsi="宋体" w:eastAsia="宋体" w:cs="宋体"/>
          <w:sz w:val="24"/>
          <w:szCs w:val="24"/>
        </w:rPr>
        <w:t>金增志</w:t>
      </w:r>
    </w:p>
    <w:p>
      <w:pPr>
        <w:ind w:firstLine="480"/>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联系电话：</w:t>
      </w:r>
      <w:r>
        <w:rPr>
          <w:rFonts w:ascii="宋体" w:hAnsi="宋体" w:eastAsia="宋体" w:cs="宋体"/>
          <w:sz w:val="24"/>
          <w:szCs w:val="24"/>
        </w:rPr>
        <w:t>18643108058</w:t>
      </w:r>
    </w:p>
    <w:p>
      <w:pPr>
        <w:ind w:firstLine="48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九、其他说明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pPr>
        <w:ind w:firstLine="480" w:firstLineChars="20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供应商需在阳光采购服务平台进行注册，注册后搜索该项目并进行报名。</w:t>
      </w:r>
    </w:p>
    <w:p>
      <w:pPr>
        <w:ind w:firstLine="480" w:firstLineChars="200"/>
        <w:rPr>
          <w:rFonts w:hint="eastAsia" w:asciiTheme="majorEastAsia" w:hAnsiTheme="majorEastAsia" w:eastAsiaTheme="majorEastAsia" w:cstheme="majorEastAsia"/>
          <w:sz w:val="24"/>
          <w:szCs w:val="24"/>
        </w:rPr>
      </w:pPr>
    </w:p>
    <w:p>
      <w:pPr>
        <w:ind w:firstLine="480" w:firstLineChars="20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注：</w:t>
      </w:r>
    </w:p>
    <w:p>
      <w:pPr>
        <w:ind w:left="479" w:leftChars="228" w:firstLine="0" w:firstLineChars="0"/>
        <w:rPr>
          <w:rFonts w:hint="eastAsia" w:asciiTheme="majorEastAsia" w:hAnsiTheme="majorEastAsia" w:eastAsiaTheme="majorEastAsia" w:cstheme="majorEastAsia"/>
          <w:sz w:val="24"/>
          <w:szCs w:val="24"/>
        </w:rPr>
      </w:pPr>
      <w:r>
        <w:rPr>
          <w:rFonts w:hint="eastAsia" w:eastAsia="宋体" w:cs="宋体"/>
          <w:sz w:val="24"/>
          <w:szCs w:val="24"/>
          <w:highlight w:val="none"/>
        </w:rPr>
        <w:t>拟投标人根据招标人在中国重汽官网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已注册供应商</w:t>
      </w:r>
      <w:r>
        <w:rPr>
          <w:rFonts w:ascii="宋体" w:hAnsi="宋体" w:eastAsia="宋体" w:cs="宋体"/>
          <w:sz w:val="24"/>
          <w:szCs w:val="24"/>
        </w:rPr>
        <w:t>：</w:t>
      </w:r>
      <w:r>
        <w:rPr>
          <w:rFonts w:hint="eastAsia" w:ascii="宋体" w:hAnsi="宋体" w:eastAsia="宋体" w:cs="宋体"/>
          <w:sz w:val="24"/>
          <w:szCs w:val="24"/>
          <w:highlight w:val="yellow"/>
          <w:lang w:val="en-US" w:eastAsia="zh-CN"/>
        </w:rPr>
        <w:t>已注册的投标人注意去重汽e采通平台检查更新近三年的经营概况，财务信息更新到近三年，</w:t>
      </w:r>
      <w:r>
        <w:rPr>
          <w:rFonts w:ascii="宋体" w:hAnsi="宋体" w:eastAsia="宋体" w:cs="宋体"/>
          <w:sz w:val="24"/>
          <w:szCs w:val="24"/>
          <w:highlight w:val="yellow"/>
        </w:rPr>
        <w:t>确保信息真实、完整</w:t>
      </w:r>
      <w:r>
        <w:rPr>
          <w:rFonts w:hint="eastAsia" w:ascii="宋体" w:hAnsi="宋体" w:eastAsia="宋体" w:cs="宋体"/>
          <w:sz w:val="24"/>
          <w:szCs w:val="24"/>
          <w:highlight w:val="yellow"/>
          <w:lang w:val="en-US" w:eastAsia="zh-CN"/>
        </w:rPr>
        <w:t>且不许有空余，若因此造成应标不成功，后果由投标人自行承担。（更新路径：重汽e采通-供应商中心-供应商变更-供应商财务数据变更管理-右上角：发起变更；详见SRM系统供应商用户近三年财务数据更新附件3）</w:t>
      </w:r>
    </w:p>
    <w:p>
      <w:pPr>
        <w:ind w:firstLine="480"/>
        <w:rPr>
          <w:rFonts w:hint="eastAsia" w:asciiTheme="majorEastAsia" w:hAnsiTheme="majorEastAsia" w:eastAsiaTheme="majorEastAsia" w:cstheme="majorEastAsia"/>
          <w:sz w:val="24"/>
          <w:szCs w:val="24"/>
        </w:rPr>
      </w:pPr>
    </w:p>
    <w:p>
      <w:pPr>
        <w:ind w:firstLine="480"/>
        <w:rPr>
          <w:rFonts w:hint="eastAsia" w:asciiTheme="majorEastAsia" w:hAnsiTheme="majorEastAsia" w:eastAsiaTheme="majorEastAsia" w:cstheme="majorEastAsia"/>
          <w:sz w:val="24"/>
          <w:szCs w:val="24"/>
        </w:rPr>
      </w:pPr>
    </w:p>
    <w:p>
      <w:pPr>
        <w:ind w:left="479" w:leftChars="228" w:firstLine="0" w:firstLineChars="0"/>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开标过程概述：</w:t>
      </w:r>
    </w:p>
    <w:p>
      <w:pPr>
        <w:pStyle w:val="2"/>
        <w:spacing w:line="360" w:lineRule="auto"/>
        <w:ind w:firstLine="420" w:firstLineChars="200"/>
        <w:rPr>
          <w:rFonts w:hint="eastAsia" w:hAnsi="宋体"/>
          <w:bCs/>
          <w:color w:val="auto"/>
          <w:kern w:val="0"/>
          <w:szCs w:val="32"/>
          <w:highlight w:val="none"/>
        </w:rPr>
      </w:pPr>
      <w:r>
        <w:rPr>
          <w:rFonts w:hint="eastAsia" w:hAnsi="宋体"/>
          <w:bCs/>
          <w:color w:val="auto"/>
          <w:kern w:val="0"/>
          <w:szCs w:val="32"/>
          <w:highlight w:val="none"/>
          <w:lang w:val="en-US" w:eastAsia="zh-CN"/>
        </w:rPr>
        <w:t>唱标流程</w:t>
      </w:r>
      <w:r>
        <w:rPr>
          <w:rFonts w:hint="eastAsia" w:hAnsi="宋体"/>
          <w:bCs/>
          <w:color w:val="auto"/>
          <w:kern w:val="0"/>
          <w:szCs w:val="32"/>
          <w:highlight w:val="none"/>
        </w:rPr>
        <w:t>：</w:t>
      </w:r>
      <w:r>
        <w:rPr>
          <w:rFonts w:hint="eastAsia" w:hAnsi="宋体"/>
          <w:bCs/>
          <w:color w:val="auto"/>
          <w:kern w:val="0"/>
          <w:szCs w:val="32"/>
          <w:highlight w:val="none"/>
          <w:lang w:val="en-US" w:eastAsia="zh-CN"/>
        </w:rPr>
        <w:t>技术标唱标</w:t>
      </w:r>
      <w:r>
        <w:rPr>
          <w:rFonts w:hint="eastAsia" w:hAnsi="宋体"/>
          <w:bCs/>
          <w:color w:val="auto"/>
          <w:kern w:val="0"/>
          <w:szCs w:val="32"/>
          <w:highlight w:val="none"/>
        </w:rPr>
        <w:t>→</w:t>
      </w:r>
      <w:r>
        <w:rPr>
          <w:rFonts w:hint="eastAsia" w:hAnsi="宋体"/>
          <w:bCs/>
          <w:color w:val="auto"/>
          <w:kern w:val="0"/>
          <w:szCs w:val="32"/>
          <w:highlight w:val="none"/>
          <w:lang w:val="en-US" w:eastAsia="zh-CN"/>
        </w:rPr>
        <w:t>技术标澄清</w:t>
      </w:r>
      <w:r>
        <w:rPr>
          <w:rFonts w:hint="eastAsia" w:hAnsi="宋体"/>
          <w:bCs/>
          <w:color w:val="auto"/>
          <w:kern w:val="0"/>
          <w:szCs w:val="32"/>
          <w:highlight w:val="none"/>
        </w:rPr>
        <w:t>→</w:t>
      </w:r>
      <w:r>
        <w:rPr>
          <w:rFonts w:hint="eastAsia" w:hAnsi="宋体"/>
          <w:bCs/>
          <w:color w:val="auto"/>
          <w:kern w:val="0"/>
          <w:szCs w:val="32"/>
          <w:highlight w:val="none"/>
          <w:lang w:val="en-US" w:eastAsia="zh-CN"/>
        </w:rPr>
        <w:t>技术标评分</w:t>
      </w:r>
      <w:r>
        <w:rPr>
          <w:rFonts w:hint="eastAsia" w:hAnsi="宋体"/>
          <w:bCs/>
          <w:color w:val="auto"/>
          <w:kern w:val="0"/>
          <w:szCs w:val="32"/>
          <w:highlight w:val="none"/>
        </w:rPr>
        <w:t>→商务</w:t>
      </w:r>
      <w:r>
        <w:rPr>
          <w:rFonts w:hint="eastAsia" w:hAnsi="宋体"/>
          <w:bCs/>
          <w:color w:val="auto"/>
          <w:kern w:val="0"/>
          <w:szCs w:val="32"/>
          <w:highlight w:val="none"/>
          <w:lang w:val="en-US" w:eastAsia="zh-CN"/>
        </w:rPr>
        <w:t>标唱标</w:t>
      </w:r>
      <w:r>
        <w:rPr>
          <w:rFonts w:hint="eastAsia" w:hAnsi="宋体"/>
          <w:bCs/>
          <w:color w:val="auto"/>
          <w:kern w:val="0"/>
          <w:szCs w:val="32"/>
          <w:highlight w:val="none"/>
        </w:rPr>
        <w:t>→价格澄清→商务标评审；</w:t>
      </w:r>
    </w:p>
    <w:p>
      <w:pPr>
        <w:pStyle w:val="2"/>
        <w:spacing w:line="360" w:lineRule="auto"/>
        <w:ind w:firstLine="420" w:firstLineChars="200"/>
        <w:rPr>
          <w:rFonts w:hint="eastAsia" w:hAnsi="宋体"/>
          <w:bCs/>
          <w:color w:val="auto"/>
          <w:kern w:val="0"/>
          <w:szCs w:val="32"/>
          <w:highlight w:val="yellow"/>
          <w:lang w:val="en-US" w:eastAsia="zh-CN"/>
        </w:rPr>
      </w:pPr>
      <w:r>
        <w:rPr>
          <w:rFonts w:hint="eastAsia" w:hAnsi="宋体"/>
          <w:bCs/>
          <w:color w:val="auto"/>
          <w:kern w:val="0"/>
          <w:szCs w:val="32"/>
          <w:highlight w:val="yellow"/>
          <w:lang w:val="en-US" w:eastAsia="zh-CN"/>
        </w:rPr>
        <w:t>开标过程A级项目进行三轮开标会，B级项目进行两轮开标会。</w:t>
      </w:r>
    </w:p>
    <w:p>
      <w:pPr>
        <w:pStyle w:val="2"/>
        <w:spacing w:line="360" w:lineRule="auto"/>
        <w:ind w:firstLine="420" w:firstLineChars="200"/>
        <w:rPr>
          <w:rFonts w:hint="eastAsia" w:hAnsi="宋体"/>
          <w:bCs/>
          <w:color w:val="auto"/>
          <w:kern w:val="0"/>
          <w:szCs w:val="32"/>
          <w:highlight w:val="none"/>
          <w:lang w:val="en-US" w:eastAsia="zh-CN"/>
        </w:rPr>
      </w:pPr>
      <w:r>
        <w:rPr>
          <w:rFonts w:hint="eastAsia" w:hAnsi="宋体"/>
          <w:bCs/>
          <w:color w:val="auto"/>
          <w:kern w:val="0"/>
          <w:szCs w:val="32"/>
          <w:highlight w:val="none"/>
          <w:lang w:val="en-US" w:eastAsia="zh-CN"/>
        </w:rPr>
        <w:t>第一轮包括技术标答辩和商务标报价环节。</w:t>
      </w:r>
    </w:p>
    <w:p>
      <w:pPr>
        <w:pStyle w:val="2"/>
        <w:spacing w:line="360" w:lineRule="auto"/>
        <w:ind w:firstLine="420" w:firstLineChars="200"/>
        <w:rPr>
          <w:rFonts w:hint="eastAsia" w:hAnsi="宋体"/>
          <w:bCs/>
          <w:color w:val="auto"/>
          <w:kern w:val="0"/>
          <w:szCs w:val="32"/>
          <w:highlight w:val="none"/>
          <w:lang w:val="en-US" w:eastAsia="zh-CN"/>
        </w:rPr>
      </w:pPr>
      <w:r>
        <w:rPr>
          <w:rFonts w:hint="eastAsia" w:hAnsi="宋体"/>
          <w:bCs/>
          <w:color w:val="auto"/>
          <w:kern w:val="0"/>
          <w:szCs w:val="32"/>
          <w:highlight w:val="none"/>
          <w:lang w:val="en-US" w:eastAsia="zh-CN"/>
        </w:rPr>
        <w:t>第二轮由专家组审查第一轮的技术和商务情况，并决定是否继续进行商务报价。</w:t>
      </w:r>
    </w:p>
    <w:p>
      <w:pPr>
        <w:pStyle w:val="2"/>
        <w:spacing w:line="360" w:lineRule="auto"/>
        <w:ind w:firstLine="420" w:firstLineChars="200"/>
        <w:rPr>
          <w:rFonts w:hint="eastAsia" w:asciiTheme="majorEastAsia" w:hAnsiTheme="majorEastAsia" w:eastAsiaTheme="majorEastAsia" w:cstheme="majorEastAsia"/>
          <w:sz w:val="24"/>
          <w:szCs w:val="24"/>
        </w:rPr>
      </w:pPr>
      <w:r>
        <w:rPr>
          <w:rFonts w:hint="eastAsia" w:hAnsi="宋体"/>
          <w:bCs/>
          <w:color w:val="auto"/>
          <w:kern w:val="0"/>
          <w:szCs w:val="32"/>
          <w:highlight w:val="none"/>
          <w:lang w:val="en-US" w:eastAsia="zh-CN"/>
        </w:rPr>
        <w:t>A级项目第三轮由专家组审查前两轮的技术和商务报价情况。</w:t>
      </w:r>
    </w:p>
    <w:p>
      <w:pPr>
        <w:ind w:firstLine="480"/>
        <w:rPr>
          <w:rFonts w:hint="eastAsia" w:asciiTheme="majorEastAsia" w:hAnsiTheme="majorEastAsia" w:eastAsiaTheme="majorEastAsia" w:cstheme="majorEastAsia"/>
          <w:sz w:val="24"/>
          <w:szCs w:val="24"/>
        </w:rPr>
      </w:pPr>
    </w:p>
    <w:p>
      <w:pPr>
        <w:pStyle w:val="2"/>
        <w:outlineLvl w:val="2"/>
        <w:rPr>
          <w:rFonts w:hint="eastAsia" w:hAnsi="宋体" w:eastAsia="宋体" w:cs="宋体"/>
          <w:b/>
          <w:bCs/>
          <w:color w:val="000000"/>
          <w:sz w:val="24"/>
          <w:szCs w:val="24"/>
        </w:rPr>
      </w:pPr>
      <w:r>
        <w:rPr>
          <w:rFonts w:hint="eastAsia" w:hAnsi="宋体" w:eastAsia="宋体" w:cs="宋体"/>
          <w:b/>
          <w:bCs/>
          <w:color w:val="000000"/>
          <w:sz w:val="24"/>
          <w:szCs w:val="24"/>
          <w:lang w:val="en-US" w:eastAsia="zh-CN"/>
        </w:rPr>
        <w:t>附件</w:t>
      </w:r>
      <w:r>
        <w:rPr>
          <w:rFonts w:hint="eastAsia" w:hAnsi="宋体" w:eastAsia="宋体" w:cs="宋体"/>
          <w:b/>
          <w:bCs/>
          <w:color w:val="000000"/>
          <w:sz w:val="24"/>
          <w:szCs w:val="24"/>
        </w:rPr>
        <w:t>SRM非生产供应商注册操作手册</w:t>
      </w:r>
    </w:p>
    <w:p>
      <w:pPr>
        <w:pStyle w:val="2"/>
        <w:rPr>
          <w:rFonts w:eastAsia="宋体"/>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8"/>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9"/>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0"/>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1"/>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pStyle w:val="2"/>
      </w:pPr>
    </w:p>
    <w:p>
      <w:pPr>
        <w:rPr>
          <w:rFonts w:hint="eastAsia"/>
        </w:rPr>
      </w:pPr>
      <w:r>
        <w:drawing>
          <wp:inline distT="0" distB="0" distL="0" distR="0">
            <wp:extent cx="5760085" cy="2809875"/>
            <wp:effectExtent l="0" t="0" r="12065" b="9525"/>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2"/>
                    <a:stretch>
                      <a:fillRect/>
                    </a:stretch>
                  </pic:blipFill>
                  <pic:spPr>
                    <a:xfrm>
                      <a:off x="0" y="0"/>
                      <a:ext cx="5760085" cy="2810122"/>
                    </a:xfrm>
                    <a:prstGeom prst="rect">
                      <a:avLst/>
                    </a:prstGeom>
                  </pic:spPr>
                </pic:pic>
              </a:graphicData>
            </a:graphic>
          </wp:inline>
        </w:drawing>
      </w:r>
    </w:p>
    <w:p>
      <w:pPr>
        <w:pStyle w:val="2"/>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3"/>
                    <a:stretch>
                      <a:fillRect/>
                    </a:stretch>
                  </pic:blipFill>
                  <pic:spPr>
                    <a:xfrm>
                      <a:off x="0" y="0"/>
                      <a:ext cx="5760085" cy="2820042"/>
                    </a:xfrm>
                    <a:prstGeom prst="rect">
                      <a:avLst/>
                    </a:prstGeom>
                  </pic:spPr>
                </pic:pic>
              </a:graphicData>
            </a:graphic>
          </wp:inline>
        </w:drawing>
      </w:r>
    </w:p>
    <w:p>
      <w:pPr>
        <w:pStyle w:val="2"/>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2"/>
      </w:pPr>
      <w:r>
        <w:rPr>
          <w:rFonts w:hint="eastAsia" w:hAnsi="宋体" w:eastAsia="宋体" w:cs="宋体"/>
          <w:b/>
          <w:bCs/>
          <w:color w:val="000000"/>
          <w:sz w:val="24"/>
          <w:szCs w:val="28"/>
          <w:highlight w:val="yellow"/>
        </w:rPr>
        <w:t>2.配套能力“供货类别”填“”，业务主管部门选择“”。</w:t>
      </w:r>
    </w:p>
    <w:p>
      <w:pPr>
        <w:pStyle w:val="2"/>
        <w:sectPr>
          <w:pgSz w:w="11906" w:h="16838"/>
          <w:pgMar w:top="1588" w:right="1418" w:bottom="1134" w:left="1418" w:header="851" w:footer="992" w:gutter="0"/>
          <w:cols w:space="720" w:num="1"/>
          <w:titlePg/>
          <w:docGrid w:type="lines" w:linePitch="312" w:charSpace="0"/>
        </w:sectPr>
      </w:pPr>
    </w:p>
    <w:p>
      <w:pPr>
        <w:pStyle w:val="2"/>
        <w:outlineLvl w:val="2"/>
        <w:rPr>
          <w:rFonts w:hint="eastAsia"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eastAsia="宋体" w:cs="Times New Roman"/>
          <w:b/>
          <w:color w:val="000000"/>
          <w:sz w:val="24"/>
          <w:szCs w:val="24"/>
        </w:rPr>
        <w:t>SRM系统供应商用户手册</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8"/>
          <w:rFonts w:hint="eastAsia" w:ascii="宋体" w:hAnsi="宋体" w:eastAsia="宋体" w:cs="宋体"/>
          <w:sz w:val="24"/>
          <w:szCs w:val="24"/>
        </w:rPr>
        <w:t>https://ecaitong.sinotruk.com:8012/</w:t>
      </w:r>
      <w:r>
        <w:rPr>
          <w:rStyle w:val="18"/>
          <w:rFonts w:hint="eastAsia" w:ascii="宋体" w:hAnsi="宋体" w:eastAsia="宋体" w:cs="宋体"/>
          <w:sz w:val="24"/>
          <w:szCs w:val="24"/>
        </w:rPr>
        <w:fldChar w:fldCharType="end"/>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4"/>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5"/>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pStyle w:val="2"/>
      </w:pPr>
      <w:r>
        <w:rPr>
          <w:rFonts w:hint="eastAsia" w:hAnsi="宋体" w:eastAsia="宋体" w:cs="宋体"/>
          <w:color w:val="000000"/>
          <w:sz w:val="24"/>
          <w:szCs w:val="28"/>
          <w:highlight w:val="yellow"/>
        </w:rPr>
        <w:t>注意：系统内的投标报价单位为“万元”，如开标现场发现填错报价，即直接淘汰。</w:t>
      </w:r>
    </w:p>
    <w:p>
      <w:pPr>
        <w:pStyle w:val="2"/>
        <w:bidi w:val="0"/>
      </w:pPr>
      <w: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6"/>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7"/>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pStyle w:val="2"/>
        <w:bidi w:val="0"/>
      </w:pPr>
      <w: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8"/>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9"/>
                    <a:stretch>
                      <a:fillRect/>
                    </a:stretch>
                  </pic:blipFill>
                  <pic:spPr>
                    <a:xfrm>
                      <a:off x="0" y="0"/>
                      <a:ext cx="5760085" cy="1956600"/>
                    </a:xfrm>
                    <a:prstGeom prst="rect">
                      <a:avLst/>
                    </a:prstGeom>
                  </pic:spPr>
                </pic:pic>
              </a:graphicData>
            </a:graphic>
          </wp:inline>
        </w:drawing>
      </w:r>
    </w:p>
    <w:p>
      <w:pPr>
        <w:pStyle w:val="2"/>
        <w:rPr>
          <w:rFonts w:hint="eastAsia" w:hAnsi="宋体" w:eastAsia="宋体" w:cs="Times New Roman"/>
          <w:b/>
          <w:color w:val="000000"/>
          <w:sz w:val="24"/>
          <w:szCs w:val="24"/>
        </w:rPr>
      </w:pPr>
    </w:p>
    <w:p>
      <w:pPr>
        <w:pStyle w:val="2"/>
        <w:rPr>
          <w:rFonts w:hint="eastAsia" w:hAnsi="宋体" w:eastAsia="宋体" w:cs="Times New Roman"/>
          <w:b/>
          <w:color w:val="000000"/>
          <w:sz w:val="24"/>
          <w:szCs w:val="24"/>
        </w:rPr>
      </w:pPr>
    </w:p>
    <w:p>
      <w:pPr>
        <w:pStyle w:val="2"/>
        <w:bidi w:val="0"/>
        <w:rPr>
          <w:rFonts w:hint="eastAsia"/>
        </w:rPr>
      </w:pPr>
    </w:p>
    <w:p>
      <w:pPr>
        <w:pStyle w:val="2"/>
        <w:outlineLvl w:val="2"/>
        <w:rPr>
          <w:rFonts w:hint="eastAsia" w:hAnsi="宋体" w:eastAsia="宋体" w:cs="Times New Roman"/>
          <w:b/>
          <w:color w:val="000000"/>
          <w:sz w:val="24"/>
          <w:szCs w:val="24"/>
          <w:lang w:val="en-US" w:eastAsia="zh-CN"/>
        </w:rPr>
      </w:pPr>
      <w:r>
        <w:rPr>
          <w:rFonts w:hint="eastAsia" w:hAnsi="宋体" w:eastAsia="宋体" w:cs="宋体"/>
          <w:b/>
          <w:bCs/>
          <w:color w:val="000000"/>
          <w:sz w:val="24"/>
          <w:szCs w:val="24"/>
        </w:rPr>
        <w:t>附件</w:t>
      </w:r>
      <w:r>
        <w:rPr>
          <w:rFonts w:hint="eastAsia" w:hAnsi="宋体" w:eastAsia="宋体" w:cs="Times New Roman"/>
          <w:b/>
          <w:color w:val="000000"/>
          <w:sz w:val="24"/>
          <w:szCs w:val="24"/>
        </w:rPr>
        <w:t>SRM系统供应商</w:t>
      </w:r>
      <w:r>
        <w:rPr>
          <w:rFonts w:hint="eastAsia" w:hAnsi="宋体" w:eastAsia="宋体" w:cs="Times New Roman"/>
          <w:b/>
          <w:color w:val="000000"/>
          <w:sz w:val="24"/>
          <w:szCs w:val="24"/>
          <w:lang w:val="en-US" w:eastAsia="zh-CN"/>
        </w:rPr>
        <w:t>近三年数据更新</w:t>
      </w:r>
    </w:p>
    <w:p>
      <w:pPr>
        <w:bidi w:val="0"/>
      </w:pPr>
      <w:r>
        <w:drawing>
          <wp:inline distT="0" distB="0" distL="114300" distR="114300">
            <wp:extent cx="5749290" cy="2501265"/>
            <wp:effectExtent l="0" t="0" r="3810" b="63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20"/>
                    <a:stretch>
                      <a:fillRect/>
                    </a:stretch>
                  </pic:blipFill>
                  <pic:spPr>
                    <a:xfrm>
                      <a:off x="0" y="0"/>
                      <a:ext cx="5749290" cy="2501265"/>
                    </a:xfrm>
                    <a:prstGeom prst="rect">
                      <a:avLst/>
                    </a:prstGeom>
                    <a:noFill/>
                    <a:ln>
                      <a:noFill/>
                    </a:ln>
                  </pic:spPr>
                </pic:pic>
              </a:graphicData>
            </a:graphic>
          </wp:inline>
        </w:drawing>
      </w:r>
    </w:p>
    <w:p>
      <w:pPr>
        <w:bidi w:val="0"/>
      </w:pPr>
      <w:r>
        <w:drawing>
          <wp:inline distT="0" distB="0" distL="114300" distR="114300">
            <wp:extent cx="5746750" cy="3303270"/>
            <wp:effectExtent l="0" t="0" r="6350" b="1143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21"/>
                    <a:stretch>
                      <a:fillRect/>
                    </a:stretch>
                  </pic:blipFill>
                  <pic:spPr>
                    <a:xfrm>
                      <a:off x="0" y="0"/>
                      <a:ext cx="5746750" cy="3303270"/>
                    </a:xfrm>
                    <a:prstGeom prst="rect">
                      <a:avLst/>
                    </a:prstGeom>
                    <a:noFill/>
                    <a:ln>
                      <a:noFill/>
                    </a:ln>
                  </pic:spPr>
                </pic:pic>
              </a:graphicData>
            </a:graphic>
          </wp:inline>
        </w:drawing>
      </w:r>
    </w:p>
    <w:p>
      <w:pPr>
        <w:bidi w:val="0"/>
        <w:rPr>
          <w:rFonts w:hint="default"/>
          <w:lang w:val="en-US" w:eastAsia="zh-CN"/>
        </w:rPr>
      </w:pPr>
      <w:bookmarkStart w:id="9" w:name="_GoBack"/>
      <w:bookmarkEnd w:id="9"/>
      <w:r>
        <w:drawing>
          <wp:inline distT="0" distB="0" distL="114300" distR="114300">
            <wp:extent cx="5742940" cy="2099310"/>
            <wp:effectExtent l="0" t="0" r="10160" b="889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22"/>
                    <a:stretch>
                      <a:fillRect/>
                    </a:stretch>
                  </pic:blipFill>
                  <pic:spPr>
                    <a:xfrm>
                      <a:off x="0" y="0"/>
                      <a:ext cx="5742940" cy="2099310"/>
                    </a:xfrm>
                    <a:prstGeom prst="rect">
                      <a:avLst/>
                    </a:prstGeom>
                    <a:noFill/>
                    <a:ln>
                      <a:noFill/>
                    </a:ln>
                  </pic:spPr>
                </pic:pic>
              </a:graphicData>
            </a:graphic>
          </wp:inline>
        </w:drawing>
      </w:r>
      <w:r>
        <w:drawing>
          <wp:inline distT="0" distB="0" distL="114300" distR="114300">
            <wp:extent cx="5742940" cy="2925445"/>
            <wp:effectExtent l="0" t="0" r="10160" b="8255"/>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23"/>
                    <a:stretch>
                      <a:fillRect/>
                    </a:stretch>
                  </pic:blipFill>
                  <pic:spPr>
                    <a:xfrm>
                      <a:off x="0" y="0"/>
                      <a:ext cx="5742940" cy="2925445"/>
                    </a:xfrm>
                    <a:prstGeom prst="rect">
                      <a:avLst/>
                    </a:prstGeom>
                    <a:noFill/>
                    <a:ln>
                      <a:noFill/>
                    </a:ln>
                  </pic:spPr>
                </pic:pic>
              </a:graphicData>
            </a:graphic>
          </wp:inline>
        </w:drawing>
      </w:r>
    </w:p>
    <w:p/>
    <w:p>
      <w:pPr>
        <w:rPr>
          <w:rFonts w:hint="eastAsia"/>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5" w:name="_Toc639004"/>
      <w:bookmarkStart w:id="6" w:name="_Toc25811"/>
      <w:bookmarkStart w:id="7" w:name="_Toc212369550"/>
      <w:bookmarkStart w:id="8" w:name="_Toc353881012"/>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5"/>
      <w:bookmarkEnd w:id="6"/>
      <w:bookmarkEnd w:id="7"/>
      <w:bookmarkEnd w:id="8"/>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ascii="宋体" w:hAnsi="宋体" w:eastAsia="宋体" w:cs="Times New Roman"/>
          <w:b/>
          <w:bCs/>
          <w:color w:val="000000"/>
          <w:sz w:val="24"/>
          <w:szCs w:val="24"/>
          <w:u w:val="single"/>
        </w:rPr>
        <w:t xml:space="preserve"> </w:t>
      </w:r>
      <w:r>
        <w:rPr>
          <w:rFonts w:hint="eastAsia" w:ascii="宋体" w:hAnsi="宋体" w:eastAsia="宋体" w:cs="Times New Roman"/>
          <w:b/>
          <w:bCs/>
          <w:color w:val="000000"/>
          <w:sz w:val="24"/>
          <w:szCs w:val="24"/>
          <w:u w:val="single"/>
          <w:lang w:val="en-US" w:eastAsia="zh-CN"/>
        </w:rPr>
        <w:t xml:space="preserve">        </w:t>
      </w:r>
      <w:r>
        <w:rPr>
          <w:rFonts w:hint="eastAsia" w:ascii="宋体" w:hAnsi="宋体" w:eastAsia="宋体" w:cs="宋体"/>
          <w:sz w:val="24"/>
          <w:u w:val="single"/>
        </w:rPr>
        <w:t xml:space="preserve"> </w:t>
      </w:r>
      <w:r>
        <w:rPr>
          <w:rFonts w:ascii="宋体" w:hAnsi="宋体" w:eastAsia="宋体" w:cs="Times New Roman"/>
          <w:b/>
          <w:bCs/>
          <w:color w:val="000000"/>
          <w:sz w:val="24"/>
          <w:szCs w:val="24"/>
        </w:rPr>
        <w:t xml:space="preserve"> </w:t>
      </w:r>
      <w:r>
        <w:rPr>
          <w:rFonts w:hint="eastAsia" w:ascii="宋体" w:hAnsi="宋体" w:eastAsia="宋体" w:cs="Times New Roman"/>
          <w:bCs/>
          <w:snapToGrid w:val="0"/>
          <w:color w:val="000000"/>
          <w:kern w:val="0"/>
          <w:sz w:val="24"/>
          <w:szCs w:val="24"/>
        </w:rPr>
        <w:t>项目</w:t>
      </w:r>
      <w:r>
        <w:rPr>
          <w:rFonts w:hint="eastAsia" w:ascii="宋体" w:hAnsi="宋体" w:eastAsia="宋体" w:cs="Times New Roman"/>
          <w:color w:val="000000"/>
          <w:sz w:val="24"/>
          <w:szCs w:val="24"/>
        </w:rPr>
        <w:t>（）</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r>
        <w:rPr>
          <w:rFonts w:hint="eastAsia" w:ascii="宋体" w:hAnsi="Courier New" w:eastAsia="宋体"/>
          <w:bCs/>
          <w:color w:val="000000"/>
          <w:sz w:val="24"/>
          <w:szCs w:val="24"/>
        </w:rPr>
        <w:t>电子版投标文件为纸质盖章版的扫描件或加盖电子章；不盖章无效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2"/>
        <w:rPr>
          <w:rFonts w:ascii="黑体" w:hAnsi="Calibri" w:eastAsia="黑体" w:cs="Times New Roman"/>
          <w:color w:val="000000"/>
          <w:sz w:val="24"/>
          <w:szCs w:val="24"/>
        </w:rPr>
      </w:pPr>
    </w:p>
    <w:p>
      <w:pPr>
        <w:pStyle w:val="2"/>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1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
        <w:rPr>
          <w:rFonts w:ascii="Calibri" w:hAnsi="Calibri" w:eastAsia="黑体" w:cs="Times New Roman"/>
          <w:b/>
          <w:bCs/>
          <w:color w:val="000000"/>
          <w:sz w:val="28"/>
          <w:szCs w:val="20"/>
        </w:rPr>
        <w:sectPr>
          <w:pgSz w:w="11906" w:h="16838"/>
          <w:pgMar w:top="1588" w:right="1418" w:bottom="1134" w:left="1418" w:header="851" w:footer="992" w:gutter="0"/>
          <w:pgNumType w:fmt="decimal"/>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24"/>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23"/>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23"/>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23"/>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23"/>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23"/>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23"/>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23"/>
              <w:spacing w:before="111"/>
              <w:ind w:left="509"/>
              <w:rPr>
                <w:rFonts w:hint="eastAsia"/>
                <w:highlight w:val="yellow"/>
              </w:rPr>
            </w:pPr>
            <w:r>
              <w:t xml:space="preserve">企业法人代表  </w:t>
            </w:r>
          </w:p>
        </w:tc>
        <w:tc>
          <w:tcPr>
            <w:tcW w:w="4680" w:type="dxa"/>
            <w:gridSpan w:val="4"/>
          </w:tcPr>
          <w:p>
            <w:pPr>
              <w:pStyle w:val="4"/>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23"/>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23"/>
              <w:spacing w:before="114"/>
              <w:ind w:left="720"/>
              <w:rPr>
                <w:rFonts w:hint="eastAsia"/>
              </w:rPr>
            </w:pPr>
            <w:r>
              <w:t xml:space="preserve">品牌区分 </w:t>
            </w:r>
          </w:p>
        </w:tc>
        <w:tc>
          <w:tcPr>
            <w:tcW w:w="7500" w:type="dxa"/>
            <w:gridSpan w:val="6"/>
          </w:tcPr>
          <w:p>
            <w:pPr>
              <w:pStyle w:val="23"/>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23"/>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23"/>
              <w:spacing w:before="15"/>
              <w:ind w:left="279"/>
              <w:rPr>
                <w:rFonts w:hint="eastAsia"/>
              </w:rPr>
            </w:pPr>
            <w:r>
              <w:rPr>
                <w:spacing w:val="-2"/>
              </w:rPr>
              <w:t>质量</w:t>
            </w:r>
            <w:r>
              <w:t xml:space="preserve"> </w:t>
            </w:r>
          </w:p>
          <w:p>
            <w:pPr>
              <w:pStyle w:val="23"/>
              <w:spacing w:before="30" w:line="277" w:lineRule="exact"/>
              <w:ind w:left="279"/>
              <w:rPr>
                <w:rFonts w:hint="eastAsia"/>
              </w:rPr>
            </w:pPr>
            <w:r>
              <w:rPr>
                <w:rFonts w:hint="eastAsia"/>
              </w:rPr>
              <w:t>体系</w:t>
            </w:r>
          </w:p>
        </w:tc>
        <w:tc>
          <w:tcPr>
            <w:tcW w:w="2820" w:type="dxa"/>
            <w:gridSpan w:val="2"/>
          </w:tcPr>
          <w:p>
            <w:pPr>
              <w:pStyle w:val="23"/>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23"/>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tbl>
      <w:tblPr>
        <w:tblStyle w:val="10"/>
        <w:tblW w:w="9719" w:type="dxa"/>
        <w:jc w:val="center"/>
        <w:tblLayout w:type="fixed"/>
        <w:tblCellMar>
          <w:top w:w="0" w:type="dxa"/>
          <w:left w:w="108" w:type="dxa"/>
          <w:bottom w:w="0" w:type="dxa"/>
          <w:right w:w="108" w:type="dxa"/>
        </w:tblCellMar>
      </w:tblPr>
      <w:tblGrid>
        <w:gridCol w:w="2429"/>
        <w:gridCol w:w="1778"/>
        <w:gridCol w:w="1702"/>
        <w:gridCol w:w="2050"/>
        <w:gridCol w:w="1760"/>
      </w:tblGrid>
      <w:tr>
        <w:tblPrEx>
          <w:tblCellMar>
            <w:top w:w="0" w:type="dxa"/>
            <w:left w:w="108" w:type="dxa"/>
            <w:bottom w:w="0" w:type="dxa"/>
            <w:right w:w="108" w:type="dxa"/>
          </w:tblCellMar>
        </w:tblPrEx>
        <w:trPr>
          <w:trHeight w:val="720" w:hRule="atLeast"/>
          <w:jc w:val="center"/>
        </w:trPr>
        <w:tc>
          <w:tcPr>
            <w:tcW w:w="9719" w:type="dxa"/>
            <w:gridSpan w:val="5"/>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eastAsia="宋体"/>
                <w:color w:val="000000"/>
                <w:sz w:val="24"/>
                <w:szCs w:val="24"/>
                <w:u w:val="single"/>
              </w:rPr>
            </w:pPr>
            <w:r>
              <w:rPr>
                <w:rFonts w:ascii="宋体" w:hAnsi="宋体" w:eastAsia="宋体"/>
                <w:color w:val="000000"/>
                <w:sz w:val="24"/>
                <w:szCs w:val="24"/>
                <w:u w:val="single"/>
              </w:rPr>
              <w:t xml:space="preserve">                   </w:t>
            </w:r>
            <w:r>
              <w:rPr>
                <w:rFonts w:ascii="宋体" w:hAnsi="宋体" w:eastAsia="宋体"/>
                <w:color w:val="000000"/>
                <w:sz w:val="24"/>
                <w:szCs w:val="24"/>
              </w:rPr>
              <w:t>公司资产情况汇总表</w:t>
            </w:r>
          </w:p>
        </w:tc>
      </w:tr>
      <w:tr>
        <w:tblPrEx>
          <w:tblCellMar>
            <w:top w:w="0" w:type="dxa"/>
            <w:left w:w="108" w:type="dxa"/>
            <w:bottom w:w="0" w:type="dxa"/>
            <w:right w:w="108" w:type="dxa"/>
          </w:tblCellMar>
        </w:tblPrEx>
        <w:trPr>
          <w:trHeight w:val="424"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注册资金（万元）</w:t>
            </w:r>
          </w:p>
        </w:tc>
        <w:tc>
          <w:tcPr>
            <w:tcW w:w="7290" w:type="dxa"/>
            <w:gridSpan w:val="4"/>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r>
      <w:tr>
        <w:tblPrEx>
          <w:tblCellMar>
            <w:top w:w="0" w:type="dxa"/>
            <w:left w:w="108" w:type="dxa"/>
            <w:bottom w:w="0" w:type="dxa"/>
            <w:right w:w="108" w:type="dxa"/>
          </w:tblCellMar>
        </w:tblPrEx>
        <w:trPr>
          <w:trHeight w:val="492"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实收资金（万元）</w:t>
            </w:r>
          </w:p>
        </w:tc>
        <w:tc>
          <w:tcPr>
            <w:tcW w:w="7290" w:type="dxa"/>
            <w:gridSpan w:val="4"/>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r>
      <w:tr>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年度资产情况</w:t>
            </w:r>
          </w:p>
        </w:tc>
        <w:tc>
          <w:tcPr>
            <w:tcW w:w="1778"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202</w:t>
            </w:r>
            <w:r>
              <w:rPr>
                <w:rFonts w:hint="eastAsia" w:ascii="宋体" w:hAnsi="宋体" w:eastAsia="宋体"/>
                <w:color w:val="000000"/>
                <w:sz w:val="24"/>
                <w:szCs w:val="24"/>
              </w:rPr>
              <w:t>1</w:t>
            </w:r>
            <w:r>
              <w:rPr>
                <w:rFonts w:ascii="宋体" w:hAnsi="宋体" w:eastAsia="宋体"/>
                <w:color w:val="000000"/>
                <w:sz w:val="24"/>
                <w:szCs w:val="24"/>
              </w:rPr>
              <w:t>年</w:t>
            </w:r>
          </w:p>
        </w:tc>
        <w:tc>
          <w:tcPr>
            <w:tcW w:w="1702"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202</w:t>
            </w:r>
            <w:r>
              <w:rPr>
                <w:rFonts w:hint="eastAsia" w:ascii="宋体" w:hAnsi="宋体" w:eastAsia="宋体"/>
                <w:color w:val="000000"/>
                <w:sz w:val="24"/>
                <w:szCs w:val="24"/>
              </w:rPr>
              <w:t>2</w:t>
            </w:r>
            <w:r>
              <w:rPr>
                <w:rFonts w:ascii="宋体" w:hAnsi="宋体" w:eastAsia="宋体"/>
                <w:color w:val="000000"/>
                <w:sz w:val="24"/>
                <w:szCs w:val="24"/>
              </w:rPr>
              <w:t>年</w:t>
            </w:r>
          </w:p>
        </w:tc>
        <w:tc>
          <w:tcPr>
            <w:tcW w:w="2050"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eastAsia="宋体"/>
                <w:color w:val="000000"/>
                <w:sz w:val="24"/>
                <w:szCs w:val="24"/>
              </w:rPr>
            </w:pPr>
            <w:r>
              <w:rPr>
                <w:rFonts w:ascii="宋体" w:hAnsi="宋体" w:eastAsia="宋体"/>
                <w:color w:val="000000"/>
                <w:sz w:val="24"/>
                <w:szCs w:val="24"/>
              </w:rPr>
              <w:t>202</w:t>
            </w:r>
            <w:r>
              <w:rPr>
                <w:rFonts w:hint="eastAsia" w:ascii="宋体" w:hAnsi="宋体" w:eastAsia="宋体"/>
                <w:color w:val="000000"/>
                <w:sz w:val="24"/>
                <w:szCs w:val="24"/>
              </w:rPr>
              <w:t>3</w:t>
            </w:r>
            <w:r>
              <w:rPr>
                <w:rFonts w:ascii="宋体" w:hAnsi="宋体" w:eastAsia="宋体"/>
                <w:color w:val="000000"/>
                <w:sz w:val="24"/>
                <w:szCs w:val="24"/>
              </w:rPr>
              <w:t>年</w:t>
            </w:r>
          </w:p>
        </w:tc>
        <w:tc>
          <w:tcPr>
            <w:tcW w:w="1760"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eastAsia="宋体"/>
                <w:color w:val="000000"/>
                <w:sz w:val="24"/>
                <w:szCs w:val="24"/>
              </w:rPr>
            </w:pPr>
            <w:r>
              <w:rPr>
                <w:rFonts w:hint="eastAsia" w:ascii="宋体" w:hAnsi="宋体" w:eastAsia="宋体"/>
                <w:color w:val="000000"/>
                <w:sz w:val="24"/>
                <w:szCs w:val="24"/>
              </w:rPr>
              <w:t>2024年</w:t>
            </w:r>
          </w:p>
        </w:tc>
      </w:tr>
      <w:tr>
        <w:tblPrEx>
          <w:tblCellMar>
            <w:top w:w="0" w:type="dxa"/>
            <w:left w:w="108" w:type="dxa"/>
            <w:bottom w:w="0" w:type="dxa"/>
            <w:right w:w="108" w:type="dxa"/>
          </w:tblCellMar>
        </w:tblPrEx>
        <w:trPr>
          <w:trHeight w:val="506"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流动资产（万元）</w:t>
            </w:r>
          </w:p>
        </w:tc>
        <w:tc>
          <w:tcPr>
            <w:tcW w:w="1778"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r>
      <w:tr>
        <w:tblPrEx>
          <w:tblCellMar>
            <w:top w:w="0" w:type="dxa"/>
            <w:left w:w="108" w:type="dxa"/>
            <w:bottom w:w="0" w:type="dxa"/>
            <w:right w:w="108" w:type="dxa"/>
          </w:tblCellMar>
        </w:tblPrEx>
        <w:trPr>
          <w:trHeight w:val="615"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非流动资产（万元）</w:t>
            </w:r>
          </w:p>
        </w:tc>
        <w:tc>
          <w:tcPr>
            <w:tcW w:w="1778"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r>
      <w:tr>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营业收入（万元）</w:t>
            </w:r>
          </w:p>
        </w:tc>
        <w:tc>
          <w:tcPr>
            <w:tcW w:w="1778"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highlight w:val="yellow"/>
              </w:rPr>
            </w:pPr>
          </w:p>
        </w:tc>
      </w:tr>
      <w:tr>
        <w:tblPrEx>
          <w:tblCellMar>
            <w:top w:w="0" w:type="dxa"/>
            <w:left w:w="108" w:type="dxa"/>
            <w:bottom w:w="0" w:type="dxa"/>
            <w:right w:w="108" w:type="dxa"/>
          </w:tblCellMar>
        </w:tblPrEx>
        <w:trPr>
          <w:trHeight w:val="858"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年底资产总值（万元）</w:t>
            </w:r>
          </w:p>
        </w:tc>
        <w:tc>
          <w:tcPr>
            <w:tcW w:w="1778"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r>
      <w:tr>
        <w:tblPrEx>
          <w:tblCellMar>
            <w:top w:w="0" w:type="dxa"/>
            <w:left w:w="108" w:type="dxa"/>
            <w:bottom w:w="0" w:type="dxa"/>
            <w:right w:w="108" w:type="dxa"/>
          </w:tblCellMar>
        </w:tblPrEx>
        <w:trPr>
          <w:trHeight w:val="858"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年底负债总值（万元）</w:t>
            </w:r>
          </w:p>
        </w:tc>
        <w:tc>
          <w:tcPr>
            <w:tcW w:w="1778"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r>
      <w:tr>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  %）</w:t>
            </w:r>
          </w:p>
        </w:tc>
        <w:tc>
          <w:tcPr>
            <w:tcW w:w="1778"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highlight w:val="yellow"/>
              </w:rPr>
            </w:pPr>
          </w:p>
        </w:tc>
      </w:tr>
      <w:tr>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净利润（万元）</w:t>
            </w:r>
          </w:p>
        </w:tc>
        <w:tc>
          <w:tcPr>
            <w:tcW w:w="1778"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highlight w:val="yellow"/>
              </w:rPr>
            </w:pPr>
          </w:p>
        </w:tc>
      </w:tr>
      <w:tr>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未分配利润（万元）</w:t>
            </w:r>
          </w:p>
        </w:tc>
        <w:tc>
          <w:tcPr>
            <w:tcW w:w="1778"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r>
      <w:tr>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营运资金</w:t>
            </w:r>
          </w:p>
        </w:tc>
        <w:tc>
          <w:tcPr>
            <w:tcW w:w="1778"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r>
      <w:tr>
        <w:tblPrEx>
          <w:tblCellMar>
            <w:top w:w="0" w:type="dxa"/>
            <w:left w:w="108" w:type="dxa"/>
            <w:bottom w:w="0" w:type="dxa"/>
            <w:right w:w="108" w:type="dxa"/>
          </w:tblCellMar>
        </w:tblPrEx>
        <w:trPr>
          <w:trHeight w:val="1292"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（本年营业收入-上年营业收入）÷上年营业收入</w:t>
            </w:r>
          </w:p>
        </w:tc>
        <w:tc>
          <w:tcPr>
            <w:tcW w:w="1778"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r>
    </w:tbl>
    <w:p>
      <w:pPr>
        <w:pStyle w:val="2"/>
        <w:rPr>
          <w:rFonts w:ascii="Times New Roman" w:hAnsi="Times New Roman" w:eastAsia="宋体" w:cs="Times New Roman"/>
          <w:b/>
          <w:bCs/>
          <w:color w:val="000000"/>
          <w:sz w:val="24"/>
          <w:szCs w:val="24"/>
        </w:rPr>
      </w:pP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4" w:type="first"/>
          <w:footerReference r:id="rId3" w:type="default"/>
          <w:pgSz w:w="11906" w:h="16838"/>
          <w:pgMar w:top="1588" w:right="1418" w:bottom="1134" w:left="1418" w:header="851" w:footer="992" w:gutter="0"/>
          <w:pgNumType w:fmt="decimal"/>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default"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6" w:type="first"/>
          <w:footerReference r:id="rId5" w:type="default"/>
          <w:pgSz w:w="11906" w:h="16838"/>
          <w:pgMar w:top="1588" w:right="1418" w:bottom="1134" w:left="1418" w:header="851" w:footer="992" w:gutter="0"/>
          <w:pgNumType w:fmt="decimal"/>
          <w:cols w:space="720" w:num="1"/>
          <w:titlePg/>
          <w:docGrid w:type="lines" w:linePitch="312" w:charSpace="0"/>
        </w:sectPr>
      </w:pPr>
    </w:p>
    <w:p>
      <w:pPr>
        <w:rPr>
          <w:rFonts w:hint="eastAsia" w:ascii="仿宋_GB2312" w:hAnsi="仿宋_GB2312" w:eastAsia="仿宋_GB2312" w:cs="仿宋_GB2312"/>
        </w:rPr>
      </w:pPr>
    </w:p>
    <w:p>
      <w:pPr>
        <w:rPr>
          <w:rFonts w:hint="eastAsia" w:ascii="仿宋_GB2312" w:hAnsi="仿宋_GB2312" w:eastAsia="仿宋_GB2312" w:cs="仿宋_GB2312"/>
        </w:rPr>
      </w:pPr>
    </w:p>
    <w:p>
      <w:pPr>
        <w:rPr>
          <w:rFonts w:hint="eastAsia" w:ascii="仿宋_GB2312" w:hAnsi="仿宋_GB2312" w:eastAsia="仿宋_GB2312" w:cs="仿宋_GB2312"/>
        </w:rPr>
      </w:pPr>
    </w:p>
    <w:p>
      <w:pPr>
        <w:jc w:val="both"/>
      </w:pPr>
    </w:p>
    <w:p>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p>
    <w:p>
      <w:pPr>
        <w:rPr>
          <w:rFonts w:hint="eastAsia" w:asciiTheme="majorEastAsia" w:hAnsiTheme="majorEastAsia" w:eastAsiaTheme="majorEastAsia" w:cstheme="majorEastAsia"/>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monospace">
    <w:altName w:val="Segoe Print"/>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Segoe Print">
    <w:panose1 w:val="02000600000000000000"/>
    <w:charset w:val="00"/>
    <w:family w:val="auto"/>
    <w:pitch w:val="default"/>
    <w:sig w:usb0="0000028F" w:usb1="00000000" w:usb2="00000000" w:usb3="00000000" w:csb0="2000009F" w:csb1="47010000"/>
  </w:font>
  <w:font w:name="Wingdings 2">
    <w:altName w:val="Wingdings"/>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rPr>
        <w:rFonts w:hint="eastAsia"/>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4" name="文本框 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pPr>
                          <w:r>
                            <w:fldChar w:fldCharType="begin"/>
                          </w:r>
                          <w:r>
                            <w:instrText xml:space="preserve"> PAGE  \* MERGEFORMAT </w:instrText>
                          </w:r>
                          <w:r>
                            <w:fldChar w:fldCharType="separate"/>
                          </w:r>
                          <w:r>
                            <w:t>84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DTdpA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DTdpAzAgAAYwQAAA4AAAAAAAAAAQAgAAAAHwEAAGRycy9lMm9Eb2MueG1sUEsF&#10;BgAAAAAGAAYAWQEAAMQFAAAAAA==&#10;">
              <v:fill on="f" focussize="0,0"/>
              <v:stroke on="f" weight="0.5pt"/>
              <v:imagedata o:title=""/>
              <o:lock v:ext="edit" aspectratio="f"/>
              <v:textbox inset="0mm,0mm,0mm,0mm" style="mso-fit-shape-to-text:t;">
                <w:txbxContent>
                  <w:p>
                    <w:pPr>
                      <w:pStyle w:val="8"/>
                    </w:pPr>
                    <w:r>
                      <w:fldChar w:fldCharType="begin"/>
                    </w:r>
                    <w:r>
                      <w:instrText xml:space="preserve"> PAGE  \* MERGEFORMAT </w:instrText>
                    </w:r>
                    <w:r>
                      <w:fldChar w:fldCharType="separate"/>
                    </w:r>
                    <w:r>
                      <w:t>84</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rPr>
        <w:rFonts w:hint="eastAsia"/>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pPr>
                          <w:r>
                            <w:fldChar w:fldCharType="begin"/>
                          </w:r>
                          <w:r>
                            <w:instrText xml:space="preserve"> PAGE  \* MERGEFORMAT </w:instrText>
                          </w:r>
                          <w:r>
                            <w:fldChar w:fldCharType="separate"/>
                          </w:r>
                          <w:r>
                            <w:t>83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pPr>
                      <w:pStyle w:val="8"/>
                    </w:pPr>
                    <w:r>
                      <w:fldChar w:fldCharType="begin"/>
                    </w:r>
                    <w:r>
                      <w:instrText xml:space="preserve"> PAGE  \* MERGEFORMAT </w:instrText>
                    </w:r>
                    <w:r>
                      <w:fldChar w:fldCharType="separate"/>
                    </w:r>
                    <w:r>
                      <w:t>83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rPr>
        <w:rFonts w:hint="eastAsia"/>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6" name="文本框 5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WFKJQzAgAAYwQAAA4AAABkcnMvZTJvRG9jLnhtbK1UzY7TMBC+I/EO&#10;lu80adFW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t/epO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WFKJQzAgAAYwQAAA4AAAAAAAAAAQAgAAAAHwEAAGRycy9lMm9Eb2MueG1sUEsF&#10;BgAAAAAGAAYAWQEAAMQFAAAAAA==&#10;">
              <v:fill on="f" focussize="0,0"/>
              <v:stroke on="f" weight="0.5pt"/>
              <v:imagedata o:title=""/>
              <o:lock v:ext="edit" aspectratio="f"/>
              <v:textbox inset="0mm,0mm,0mm,0mm" style="mso-fit-shape-to-text:t;">
                <w:txbxContent>
                  <w:p>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rPr>
        <w:rFonts w:hint="eastAsia"/>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7" name="文本框 5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pPr>
                          <w:r>
                            <w:fldChar w:fldCharType="begin"/>
                          </w:r>
                          <w:r>
                            <w:instrText xml:space="preserve"> PAGE  \* MERGEFORMAT </w:instrText>
                          </w:r>
                          <w:r>
                            <w:fldChar w:fldCharType="separate"/>
                          </w:r>
                          <w:r>
                            <w:t>85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tv3szAgAAY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Dctv3szAgAAYwQAAA4AAAAAAAAAAQAgAAAAHwEAAGRycy9lMm9Eb2MueG1sUEsF&#10;BgAAAAAGAAYAWQEAAMQFAAAAAA==&#10;">
              <v:fill on="f" focussize="0,0"/>
              <v:stroke on="f" weight="0.5pt"/>
              <v:imagedata o:title=""/>
              <o:lock v:ext="edit" aspectratio="f"/>
              <v:textbox inset="0mm,0mm,0mm,0mm" style="mso-fit-shape-to-text:t;">
                <w:txbxContent>
                  <w:p>
                    <w:pPr>
                      <w:pStyle w:val="8"/>
                    </w:pPr>
                    <w:r>
                      <w:fldChar w:fldCharType="begin"/>
                    </w:r>
                    <w:r>
                      <w:instrText xml:space="preserve"> PAGE  \* MERGEFORMAT </w:instrText>
                    </w:r>
                    <w:r>
                      <w:fldChar w:fldCharType="separate"/>
                    </w:r>
                    <w:r>
                      <w:t>85</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834A75"/>
    <w:rsid w:val="04301453"/>
    <w:rsid w:val="0C682624"/>
    <w:rsid w:val="0FAC178F"/>
    <w:rsid w:val="137C39E2"/>
    <w:rsid w:val="1A5F0822"/>
    <w:rsid w:val="1CBE329F"/>
    <w:rsid w:val="21265E7E"/>
    <w:rsid w:val="27315D1D"/>
    <w:rsid w:val="283D5FEB"/>
    <w:rsid w:val="415E038C"/>
    <w:rsid w:val="44907102"/>
    <w:rsid w:val="47DD599F"/>
    <w:rsid w:val="48031288"/>
    <w:rsid w:val="4833657D"/>
    <w:rsid w:val="48EF075C"/>
    <w:rsid w:val="4E25790F"/>
    <w:rsid w:val="536770A5"/>
    <w:rsid w:val="56B166D1"/>
    <w:rsid w:val="57BF3EB6"/>
    <w:rsid w:val="594B58EE"/>
    <w:rsid w:val="5E124824"/>
    <w:rsid w:val="65A43583"/>
    <w:rsid w:val="66D60058"/>
    <w:rsid w:val="6B0F2793"/>
    <w:rsid w:val="73114357"/>
    <w:rsid w:val="73A14AA1"/>
    <w:rsid w:val="77E571F5"/>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3"/>
    <w:basedOn w:val="1"/>
    <w:next w:val="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szCs w:val="20"/>
    </w:rPr>
  </w:style>
  <w:style w:type="paragraph" w:styleId="6">
    <w:name w:val="Body Text"/>
    <w:basedOn w:val="1"/>
    <w:next w:val="7"/>
    <w:qFormat/>
    <w:uiPriority w:val="0"/>
    <w:rPr>
      <w:rFonts w:ascii="仿宋_GB2312" w:eastAsia="仿宋_GB2312" w:hAnsiTheme="minorHAnsi" w:cstheme="minorBidi"/>
      <w:sz w:val="32"/>
      <w:szCs w:val="22"/>
    </w:rPr>
  </w:style>
  <w:style w:type="paragraph" w:customStyle="1" w:styleId="7">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8">
    <w:name w:val="footer"/>
    <w:basedOn w:val="1"/>
    <w:unhideWhenUsed/>
    <w:qFormat/>
    <w:uiPriority w:val="99"/>
    <w:pPr>
      <w:tabs>
        <w:tab w:val="center" w:pos="4153"/>
        <w:tab w:val="right" w:pos="8306"/>
      </w:tabs>
      <w:snapToGrid w:val="0"/>
      <w:jc w:val="left"/>
    </w:pPr>
    <w:rPr>
      <w:sz w:val="18"/>
      <w:szCs w:val="18"/>
    </w:rPr>
  </w:style>
  <w:style w:type="paragraph" w:styleId="9">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character" w:styleId="12">
    <w:name w:val="Strong"/>
    <w:basedOn w:val="11"/>
    <w:qFormat/>
    <w:uiPriority w:val="0"/>
    <w:rPr>
      <w:b/>
    </w:rPr>
  </w:style>
  <w:style w:type="character" w:styleId="13">
    <w:name w:val="FollowedHyperlink"/>
    <w:basedOn w:val="11"/>
    <w:qFormat/>
    <w:uiPriority w:val="0"/>
    <w:rPr>
      <w:color w:val="800080"/>
      <w:u w:val="none"/>
    </w:rPr>
  </w:style>
  <w:style w:type="character" w:styleId="14">
    <w:name w:val="HTML Definition"/>
    <w:basedOn w:val="11"/>
    <w:qFormat/>
    <w:uiPriority w:val="0"/>
  </w:style>
  <w:style w:type="character" w:styleId="15">
    <w:name w:val="HTML Typewriter"/>
    <w:basedOn w:val="11"/>
    <w:qFormat/>
    <w:uiPriority w:val="0"/>
    <w:rPr>
      <w:rFonts w:hint="default" w:ascii="monospace" w:hAnsi="monospace" w:eastAsia="monospace" w:cs="monospace"/>
      <w:sz w:val="20"/>
    </w:rPr>
  </w:style>
  <w:style w:type="character" w:styleId="16">
    <w:name w:val="HTML Acronym"/>
    <w:basedOn w:val="11"/>
    <w:qFormat/>
    <w:uiPriority w:val="0"/>
  </w:style>
  <w:style w:type="character" w:styleId="17">
    <w:name w:val="HTML Variable"/>
    <w:basedOn w:val="11"/>
    <w:qFormat/>
    <w:uiPriority w:val="0"/>
  </w:style>
  <w:style w:type="character" w:styleId="18">
    <w:name w:val="Hyperlink"/>
    <w:basedOn w:val="11"/>
    <w:qFormat/>
    <w:uiPriority w:val="0"/>
    <w:rPr>
      <w:color w:val="0000FF"/>
      <w:u w:val="none"/>
    </w:rPr>
  </w:style>
  <w:style w:type="character" w:styleId="19">
    <w:name w:val="HTML Code"/>
    <w:basedOn w:val="11"/>
    <w:qFormat/>
    <w:uiPriority w:val="0"/>
    <w:rPr>
      <w:rFonts w:hint="default" w:ascii="monospace" w:hAnsi="monospace" w:eastAsia="monospace" w:cs="monospace"/>
      <w:sz w:val="20"/>
    </w:rPr>
  </w:style>
  <w:style w:type="character" w:styleId="20">
    <w:name w:val="HTML Cite"/>
    <w:basedOn w:val="11"/>
    <w:qFormat/>
    <w:uiPriority w:val="0"/>
  </w:style>
  <w:style w:type="character" w:styleId="21">
    <w:name w:val="HTML Keyboard"/>
    <w:basedOn w:val="11"/>
    <w:qFormat/>
    <w:uiPriority w:val="0"/>
    <w:rPr>
      <w:rFonts w:ascii="monospace" w:hAnsi="monospace" w:eastAsia="monospace" w:cs="monospace"/>
      <w:sz w:val="20"/>
    </w:rPr>
  </w:style>
  <w:style w:type="character" w:styleId="22">
    <w:name w:val="HTML Sample"/>
    <w:basedOn w:val="11"/>
    <w:qFormat/>
    <w:uiPriority w:val="0"/>
    <w:rPr>
      <w:rFonts w:hint="default" w:ascii="monospace" w:hAnsi="monospace" w:eastAsia="monospace" w:cs="monospace"/>
    </w:rPr>
  </w:style>
  <w:style w:type="paragraph" w:customStyle="1" w:styleId="23">
    <w:name w:val="Table Paragraph"/>
    <w:basedOn w:val="1"/>
    <w:qFormat/>
    <w:uiPriority w:val="1"/>
    <w:rPr>
      <w:rFonts w:ascii="宋体" w:hAnsi="宋体" w:eastAsia="宋体" w:cs="宋体"/>
    </w:rPr>
  </w:style>
  <w:style w:type="table" w:customStyle="1" w:styleId="2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image" Target="media/image16.png"/><Relationship Id="rId22" Type="http://schemas.openxmlformats.org/officeDocument/2006/relationships/image" Target="media/image15.png"/><Relationship Id="rId21" Type="http://schemas.openxmlformats.org/officeDocument/2006/relationships/image" Target="media/image14.png"/><Relationship Id="rId20" Type="http://schemas.openxmlformats.org/officeDocument/2006/relationships/image" Target="media/image13.png"/><Relationship Id="rId2" Type="http://schemas.openxmlformats.org/officeDocument/2006/relationships/settings" Target="settings.xml"/><Relationship Id="rId19" Type="http://schemas.openxmlformats.org/officeDocument/2006/relationships/image" Target="media/image12.png"/><Relationship Id="rId18" Type="http://schemas.openxmlformats.org/officeDocument/2006/relationships/image" Target="media/image11.png"/><Relationship Id="rId17" Type="http://schemas.openxmlformats.org/officeDocument/2006/relationships/image" Target="media/image10.png"/><Relationship Id="rId16" Type="http://schemas.openxmlformats.org/officeDocument/2006/relationships/image" Target="media/image9.png"/><Relationship Id="rId15" Type="http://schemas.openxmlformats.org/officeDocument/2006/relationships/image" Target="media/image8.pn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1428</Words>
  <Characters>1581</Characters>
  <Lines>0</Lines>
  <Paragraphs>0</Paragraphs>
  <TotalTime>0</TotalTime>
  <ScaleCrop>false</ScaleCrop>
  <LinksUpToDate>false</LinksUpToDate>
  <CharactersWithSpaces>1769</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轻途</cp:lastModifiedBy>
  <dcterms:modified xsi:type="dcterms:W3CDTF">2026-02-06T08:59:05Z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KSOTemplateDocerSaveRecord">
    <vt:lpwstr>eyJoZGlkIjoiMjU1MjU2NmRlYWJmZWVkYjQ3ZmQ4OTdkM2JiNmI3ZjUiLCJ1c2VySWQiOiIzODEwMDEwNTMifQ==</vt:lpwstr>
  </property>
  <property fmtid="{D5CDD505-2E9C-101B-9397-08002B2CF9AE}" pid="4" name="ICV">
    <vt:lpwstr>36BA767B9B1647D78DB7367FAC05A487_13</vt:lpwstr>
  </property>
</Properties>
</file>