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jc w:val="center"/>
        <w:rPr>
          <w:i w:val="0"/>
          <w:iCs/>
          <w:sz w:val="32"/>
          <w:szCs w:val="32"/>
          <w:lang w:val="en-US"/>
        </w:rPr>
      </w:pPr>
      <w:bookmarkStart w:id="0" w:name="_Toc12866"/>
      <w:r>
        <w:rPr>
          <w:rFonts w:hint="eastAsia" w:cs="宋体"/>
          <w:i w:val="0"/>
          <w:iCs/>
          <w:sz w:val="32"/>
          <w:szCs w:val="32"/>
          <w:lang w:val="en-US" w:eastAsia="zh-CN"/>
        </w:rPr>
        <w:t>新建新能源变速箱测试台技改项目招标公告</w:t>
      </w:r>
      <w:bookmarkEnd w:id="0"/>
    </w:p>
    <w:p>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招标编号：（ZBGL2026010324）</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2026-2-6 </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2026-2-11 </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ind w:firstLine="48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新建一台新能源变速箱测试台及辅助设施</w:t>
      </w:r>
    </w:p>
    <w:p>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宋体" w:hAnsi="宋体" w:eastAsia="宋体" w:cs="宋体"/>
          <w:b/>
          <w:bCs/>
          <w:sz w:val="24"/>
          <w:szCs w:val="24"/>
          <w:lang w:val="en-US" w:eastAsia="zh-CN"/>
        </w:rPr>
        <w:t>新建新能源变速箱测试台</w:t>
      </w:r>
      <w:r>
        <w:rPr>
          <w:rFonts w:hint="eastAsia" w:ascii="宋体" w:hAnsi="宋体" w:eastAsia="宋体" w:cs="宋体"/>
          <w:b/>
          <w:bCs/>
          <w:sz w:val="24"/>
          <w:szCs w:val="24"/>
        </w:rPr>
        <w:t>技改项目</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1.拟标投人必须是在中华人民共和国境内注册的独立法人机构，具有独立承担民事责任能力；注册资金不少于</w:t>
      </w:r>
      <w:r>
        <w:rPr>
          <w:rFonts w:hint="eastAsia" w:hAnsi="宋体" w:eastAsia="宋体" w:cs="宋体"/>
          <w:b/>
          <w:color w:val="000000"/>
          <w:sz w:val="24"/>
          <w:szCs w:val="24"/>
          <w:highlight w:val="none"/>
          <w:u w:val="single"/>
          <w:lang w:val="en-US" w:eastAsia="zh-CN"/>
        </w:rPr>
        <w:t>500</w:t>
      </w:r>
      <w:r>
        <w:rPr>
          <w:rFonts w:hint="eastAsia" w:hAnsi="宋体" w:eastAsia="宋体" w:cs="宋体"/>
          <w:b/>
          <w:color w:val="000000"/>
          <w:sz w:val="24"/>
          <w:szCs w:val="24"/>
          <w:highlight w:val="none"/>
          <w:u w:val="single"/>
        </w:rPr>
        <w:t>万</w:t>
      </w:r>
      <w:r>
        <w:rPr>
          <w:rFonts w:hint="eastAsia" w:hAnsi="宋体" w:eastAsia="宋体" w:cs="宋体"/>
          <w:color w:val="000000"/>
          <w:sz w:val="24"/>
          <w:szCs w:val="24"/>
          <w:highlight w:val="none"/>
        </w:rPr>
        <w:t>人民币（或等值其他货币）；公司成立</w:t>
      </w:r>
      <w:r>
        <w:rPr>
          <w:rFonts w:hint="eastAsia" w:hAnsi="宋体" w:eastAsia="宋体" w:cs="宋体"/>
          <w:b/>
          <w:color w:val="000000"/>
          <w:sz w:val="24"/>
          <w:szCs w:val="24"/>
          <w:highlight w:val="none"/>
          <w:u w:val="single"/>
          <w:lang w:val="en-US" w:eastAsia="zh-CN"/>
        </w:rPr>
        <w:t>五</w:t>
      </w:r>
      <w:r>
        <w:rPr>
          <w:rFonts w:hint="eastAsia" w:hAnsi="宋体" w:eastAsia="宋体" w:cs="宋体"/>
          <w:b/>
          <w:color w:val="000000"/>
          <w:sz w:val="24"/>
          <w:szCs w:val="24"/>
          <w:highlight w:val="none"/>
          <w:u w:val="single"/>
        </w:rPr>
        <w:t>年以上</w:t>
      </w:r>
      <w:r>
        <w:rPr>
          <w:rFonts w:hint="eastAsia" w:hAnsi="宋体" w:eastAsia="宋体" w:cs="宋体"/>
          <w:color w:val="000000"/>
          <w:sz w:val="24"/>
          <w:szCs w:val="24"/>
          <w:highlight w:val="none"/>
        </w:rPr>
        <w:t>（以营业执照成立日期到开标当日满</w:t>
      </w:r>
      <w:r>
        <w:rPr>
          <w:rFonts w:hint="eastAsia" w:hAnsi="宋体" w:eastAsia="宋体" w:cs="宋体"/>
          <w:color w:val="000000"/>
          <w:sz w:val="24"/>
          <w:szCs w:val="24"/>
          <w:highlight w:val="none"/>
          <w:lang w:val="en-US" w:eastAsia="zh-CN"/>
        </w:rPr>
        <w:t>五</w:t>
      </w:r>
      <w:r>
        <w:rPr>
          <w:rFonts w:hint="eastAsia" w:hAnsi="宋体" w:eastAsia="宋体" w:cs="宋体"/>
          <w:color w:val="000000"/>
          <w:sz w:val="24"/>
          <w:szCs w:val="24"/>
          <w:highlight w:val="none"/>
        </w:rPr>
        <w:t>年为准），且经营范围满足招标人需求；并在人员、设备、资金等方面具有承担本项目的能力；</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w:t>
      </w:r>
      <w:r>
        <w:rPr>
          <w:rFonts w:hint="eastAsia" w:hAnsi="宋体" w:eastAsia="宋体" w:cs="宋体"/>
          <w:b/>
          <w:sz w:val="24"/>
          <w:szCs w:val="24"/>
          <w:highlight w:val="none"/>
        </w:rPr>
        <w:t>副本原件和扫描件（需盖章）</w:t>
      </w:r>
      <w:r>
        <w:rPr>
          <w:rFonts w:hint="eastAsia" w:hAnsi="宋体" w:eastAsia="宋体" w:cs="宋体"/>
          <w:color w:val="000000"/>
          <w:sz w:val="24"/>
          <w:szCs w:val="24"/>
          <w:highlight w:val="none"/>
        </w:rPr>
        <w:t>；</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4.</w:t>
      </w:r>
      <w:r>
        <w:rPr>
          <w:rFonts w:hAnsi="宋体" w:eastAsia="宋体" w:cs="宋体"/>
          <w:sz w:val="24"/>
          <w:szCs w:val="24"/>
          <w:highlight w:val="none"/>
        </w:rPr>
        <w:t>拟投标人在国家市场监督管理总局的《国家企业信用信息公示系统》中查询不存在不良记录</w:t>
      </w:r>
      <w:r>
        <w:rPr>
          <w:rFonts w:hint="eastAsia" w:hAnsi="宋体" w:eastAsia="宋体" w:cs="宋体"/>
          <w:color w:val="000000"/>
          <w:sz w:val="24"/>
          <w:szCs w:val="24"/>
          <w:highlight w:val="none"/>
        </w:rPr>
        <w:t>；</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 xml:space="preserve">5.拟投标人不存在严重违规或被列入招标人“黑名单”的声明； </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w:t>
      </w:r>
      <w:r>
        <w:rPr>
          <w:rFonts w:hint="eastAsia" w:hAnsi="宋体" w:eastAsia="宋体" w:cs="宋体"/>
          <w:sz w:val="24"/>
          <w:szCs w:val="24"/>
          <w:highlight w:val="none"/>
        </w:rPr>
        <w:t>202</w:t>
      </w:r>
      <w:r>
        <w:rPr>
          <w:rFonts w:hint="eastAsia" w:hAnsi="宋体" w:eastAsia="宋体" w:cs="宋体"/>
          <w:sz w:val="24"/>
          <w:szCs w:val="24"/>
          <w:highlight w:val="none"/>
          <w:lang w:val="en-US" w:eastAsia="zh-CN"/>
        </w:rPr>
        <w:t>1</w:t>
      </w:r>
      <w:r>
        <w:rPr>
          <w:rFonts w:hint="eastAsia" w:hAnsi="宋体" w:eastAsia="宋体" w:cs="宋体"/>
          <w:sz w:val="24"/>
          <w:szCs w:val="24"/>
          <w:highlight w:val="none"/>
        </w:rPr>
        <w:t>年1月1日至今</w:t>
      </w:r>
      <w:r>
        <w:rPr>
          <w:rFonts w:hint="eastAsia"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
        <w:ind w:firstLine="480" w:firstLineChars="200"/>
        <w:rPr>
          <w:rFonts w:hint="eastAsia" w:hAnsi="宋体" w:eastAsia="宋体" w:cs="宋体"/>
          <w:kern w:val="0"/>
          <w:sz w:val="24"/>
          <w:szCs w:val="24"/>
          <w:highlight w:val="none"/>
          <w:lang w:bidi="ar"/>
        </w:rPr>
      </w:pPr>
      <w:r>
        <w:rPr>
          <w:rFonts w:hint="eastAsia" w:hAnsi="宋体" w:eastAsia="宋体" w:cs="宋体"/>
          <w:color w:val="000000"/>
          <w:kern w:val="0"/>
          <w:sz w:val="24"/>
          <w:szCs w:val="24"/>
          <w:highlight w:val="none"/>
        </w:rPr>
        <w:t>7.</w:t>
      </w:r>
      <w:r>
        <w:rPr>
          <w:rFonts w:hint="eastAsia" w:hAnsi="宋体" w:eastAsia="宋体" w:cs="宋体"/>
          <w:color w:val="000000"/>
          <w:sz w:val="24"/>
          <w:szCs w:val="24"/>
          <w:highlight w:val="none"/>
        </w:rPr>
        <w:t>拟投标人2021年1月1日至今有与本次招标项目内容相同或类似项目业绩不少于</w:t>
      </w:r>
      <w:r>
        <w:rPr>
          <w:rFonts w:hint="eastAsia" w:hAnsi="宋体" w:eastAsia="宋体" w:cs="宋体"/>
          <w:color w:val="000000"/>
          <w:sz w:val="24"/>
          <w:szCs w:val="24"/>
          <w:highlight w:val="none"/>
          <w:lang w:val="en-US" w:eastAsia="zh-CN"/>
        </w:rPr>
        <w:t>五</w:t>
      </w:r>
      <w:r>
        <w:rPr>
          <w:rFonts w:hint="eastAsia" w:hAnsi="宋体" w:eastAsia="宋体" w:cs="宋体"/>
          <w:color w:val="000000"/>
          <w:sz w:val="24"/>
          <w:szCs w:val="24"/>
          <w:highlight w:val="none"/>
        </w:rPr>
        <w:t>个（需出示合同），且近三年内无因服务不当而造成重大事故</w:t>
      </w:r>
      <w:r>
        <w:rPr>
          <w:rFonts w:hint="eastAsia" w:hAnsi="宋体" w:eastAsia="宋体" w:cs="宋体"/>
          <w:color w:val="000000"/>
          <w:kern w:val="0"/>
          <w:sz w:val="24"/>
          <w:szCs w:val="24"/>
          <w:highlight w:val="none"/>
        </w:rPr>
        <w:t>；报名及投标时需提供近三年用户清单，同时需提供用户合同复印件</w:t>
      </w:r>
      <w:r>
        <w:rPr>
          <w:rFonts w:hint="eastAsia" w:hAnsi="宋体" w:eastAsia="宋体" w:cs="宋体"/>
          <w:color w:val="000000"/>
          <w:sz w:val="24"/>
          <w:szCs w:val="24"/>
          <w:highlight w:val="none"/>
        </w:rPr>
        <w:t>；</w:t>
      </w:r>
    </w:p>
    <w:p>
      <w:pPr>
        <w:pStyle w:val="2"/>
        <w:ind w:left="479" w:leftChars="228"/>
        <w:rPr>
          <w:rFonts w:hint="eastAsia" w:hAnsi="宋体" w:eastAsia="宋体" w:cs="宋体"/>
          <w:color w:val="000000"/>
          <w:sz w:val="24"/>
          <w:szCs w:val="24"/>
          <w:highlight w:val="none"/>
        </w:rPr>
      </w:pPr>
      <w:r>
        <w:rPr>
          <w:rFonts w:hint="eastAsia" w:hAnsi="宋体" w:eastAsia="宋体" w:cs="宋体"/>
          <w:color w:val="000000"/>
          <w:sz w:val="24"/>
          <w:szCs w:val="24"/>
          <w:highlight w:val="none"/>
        </w:rPr>
        <w:t>8.拟投标人近三年内在经营活动中无与本项目有关的违法及重大违规情况；9.拟投标人须认可招标人的工作指令，包括节、假日能正常开展工作的要求；</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10.拟投标人最近半年纳税正常；</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11.没有被我公司列入黑名单；</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12.拟投标人信用证明材料（征信报告）未显示异常；</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13.拟投标人的直接或间接股东、法定代表人、董事、监事、高管非重汽员工及其亲属；</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14.</w:t>
      </w:r>
      <w:r>
        <w:rPr>
          <w:rFonts w:hint="eastAsia" w:hAnsi="宋体" w:eastAsia="宋体" w:cs="宋体"/>
          <w:color w:val="000000"/>
          <w:sz w:val="24"/>
          <w:szCs w:val="24"/>
          <w:highlight w:val="none"/>
          <w:lang w:val="en-US" w:eastAsia="zh-CN"/>
        </w:rPr>
        <w:t>不允许</w:t>
      </w:r>
      <w:r>
        <w:rPr>
          <w:rFonts w:hint="eastAsia" w:hAnsi="宋体" w:eastAsia="宋体" w:cs="宋体"/>
          <w:color w:val="000000"/>
          <w:sz w:val="24"/>
          <w:szCs w:val="24"/>
          <w:highlight w:val="none"/>
        </w:rPr>
        <w:t>代理商投标；</w:t>
      </w:r>
    </w:p>
    <w:p>
      <w:pPr>
        <w:pStyle w:val="2"/>
        <w:ind w:firstLine="480" w:firstLineChars="200"/>
        <w:rPr>
          <w:rFonts w:hint="eastAsia" w:hAnsi="宋体" w:eastAsia="宋体" w:cs="宋体"/>
          <w:sz w:val="24"/>
          <w:szCs w:val="24"/>
          <w:highlight w:val="none"/>
        </w:rPr>
      </w:pPr>
      <w:bookmarkStart w:id="2" w:name="OLE_LINK7"/>
      <w:r>
        <w:rPr>
          <w:rFonts w:hint="eastAsia" w:hAnsi="宋体" w:eastAsia="宋体" w:cs="宋体"/>
          <w:color w:val="000000"/>
          <w:sz w:val="24"/>
          <w:szCs w:val="24"/>
          <w:highlight w:val="none"/>
        </w:rPr>
        <w:t>15.</w:t>
      </w:r>
      <w:r>
        <w:rPr>
          <w:rFonts w:hAnsi="宋体" w:eastAsia="宋体" w:cs="宋体"/>
          <w:sz w:val="24"/>
          <w:szCs w:val="24"/>
          <w:highlight w:val="none"/>
        </w:rPr>
        <w:t>与招标人存在利害关系可能影响招标公正性的法人、其他组织或者个人，不得参加投标</w:t>
      </w:r>
      <w:bookmarkEnd w:id="2"/>
      <w:r>
        <w:rPr>
          <w:rFonts w:hint="eastAsia" w:hAnsi="宋体" w:eastAsia="宋体" w:cs="宋体"/>
          <w:sz w:val="24"/>
          <w:szCs w:val="24"/>
          <w:highlight w:val="none"/>
        </w:rPr>
        <w:t>；</w:t>
      </w:r>
    </w:p>
    <w:p>
      <w:pPr>
        <w:pStyle w:val="2"/>
        <w:ind w:firstLine="480" w:firstLineChars="200"/>
        <w:rPr>
          <w:rFonts w:hint="eastAsia" w:hAnsi="宋体" w:eastAsia="宋体" w:cs="宋体"/>
          <w:sz w:val="24"/>
          <w:szCs w:val="24"/>
          <w:highlight w:val="none"/>
        </w:rPr>
      </w:pPr>
      <w:r>
        <w:rPr>
          <w:rFonts w:hint="eastAsia" w:hAnsi="宋体" w:eastAsia="宋体" w:cs="宋体"/>
          <w:sz w:val="24"/>
          <w:szCs w:val="24"/>
          <w:highlight w:val="none"/>
        </w:rPr>
        <w:t>16.本项目不接受联合投标，拟投标人必须是最终投标单位和签订合同单位，不得以任何理由将已中标项目以任何形式分包或者转包给其他单位。</w:t>
      </w:r>
    </w:p>
    <w:p>
      <w:pPr>
        <w:ind w:firstLine="480" w:firstLineChars="200"/>
        <w:rPr>
          <w:rFonts w:hint="eastAsia" w:hAnsi="宋体" w:eastAsia="宋体" w:cs="宋体"/>
          <w:sz w:val="24"/>
          <w:szCs w:val="24"/>
          <w:highlight w:val="yellow"/>
          <w:lang w:val="en-US" w:eastAsia="zh-CN"/>
        </w:rPr>
      </w:pPr>
      <w:r>
        <w:rPr>
          <w:rFonts w:hint="eastAsia" w:hAnsi="宋体" w:eastAsia="宋体" w:cs="宋体"/>
          <w:sz w:val="24"/>
          <w:szCs w:val="24"/>
          <w:highlight w:val="yellow"/>
          <w:lang w:val="en-US" w:eastAsia="zh-CN"/>
        </w:rPr>
        <w:t>17.本项目不允许代理商投标。</w:t>
      </w:r>
    </w:p>
    <w:p>
      <w:pPr>
        <w:spacing w:line="360" w:lineRule="auto"/>
        <w:rPr>
          <w:rFonts w:hint="eastAsia" w:ascii="宋体" w:hAnsi="宋体" w:eastAsia="宋体" w:cs="宋体"/>
          <w:color w:val="000000"/>
          <w:sz w:val="24"/>
          <w:szCs w:val="24"/>
        </w:rPr>
      </w:pPr>
      <w:r>
        <w:rPr>
          <w:rFonts w:hint="eastAsia" w:ascii="宋体" w:hAnsi="宋体" w:eastAsia="宋体" w:cs="宋体"/>
          <w:b/>
          <w:bCs/>
          <w:sz w:val="24"/>
          <w:szCs w:val="24"/>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文件（资质标）》包括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w:t>
      </w:r>
      <w:r>
        <w:rPr>
          <w:rFonts w:hint="eastAsia" w:ascii="宋体" w:hAnsi="宋体" w:eastAsia="宋体" w:cs="宋体"/>
          <w:b/>
          <w:color w:val="000000"/>
          <w:sz w:val="24"/>
          <w:szCs w:val="24"/>
          <w:highlight w:val="none"/>
        </w:rPr>
        <w:t>复印件）</w:t>
      </w:r>
      <w:r>
        <w:rPr>
          <w:rFonts w:hint="eastAsia" w:ascii="宋体" w:hAnsi="宋体" w:eastAsia="宋体" w:cs="宋体"/>
          <w:bCs/>
          <w:color w:val="000000"/>
          <w:sz w:val="24"/>
          <w:szCs w:val="24"/>
          <w:highlight w:val="none"/>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w:t>
      </w:r>
      <w:bookmarkStart w:id="3" w:name="OLE_LINK3"/>
      <w:r>
        <w:rPr>
          <w:rFonts w:hint="eastAsia" w:hAnsi="宋体" w:eastAsia="宋体" w:cs="宋体"/>
          <w:color w:val="000000"/>
          <w:sz w:val="24"/>
          <w:szCs w:val="24"/>
          <w:highlight w:val="none"/>
        </w:rPr>
        <w:t>拟投标人</w:t>
      </w:r>
      <w:r>
        <w:rPr>
          <w:rFonts w:hint="eastAsia" w:hAnsi="宋体" w:eastAsia="宋体" w:cs="宋体"/>
          <w:sz w:val="24"/>
          <w:szCs w:val="24"/>
          <w:highlight w:val="none"/>
        </w:rPr>
        <w:t>202</w:t>
      </w:r>
      <w:r>
        <w:rPr>
          <w:rFonts w:hint="eastAsia" w:hAnsi="宋体" w:eastAsia="宋体" w:cs="宋体"/>
          <w:sz w:val="24"/>
          <w:szCs w:val="24"/>
          <w:highlight w:val="none"/>
          <w:lang w:val="en-US" w:eastAsia="zh-CN"/>
        </w:rPr>
        <w:t>1</w:t>
      </w:r>
      <w:r>
        <w:rPr>
          <w:rFonts w:hint="eastAsia" w:hAnsi="宋体" w:eastAsia="宋体" w:cs="宋体"/>
          <w:sz w:val="24"/>
          <w:szCs w:val="24"/>
          <w:highlight w:val="none"/>
        </w:rPr>
        <w:t>年1月1日至今</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highlight w:val="none"/>
        </w:rPr>
        <w:t>。</w:t>
      </w:r>
      <w:bookmarkEnd w:id="3"/>
      <w:r>
        <w:rPr>
          <w:rFonts w:hint="eastAsia" w:ascii="宋体" w:hAnsi="宋体" w:eastAsia="宋体" w:cs="宋体"/>
          <w:color w:val="000000"/>
          <w:sz w:val="24"/>
          <w:szCs w:val="24"/>
          <w:highlight w:val="none"/>
        </w:rPr>
        <w:t>必须连续，同时填写投标人基本情况及资产情况汇总表（附件3）；</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w:t>
      </w:r>
      <w:r>
        <w:rPr>
          <w:rFonts w:hint="eastAsia" w:ascii="宋体" w:hAnsi="宋体" w:eastAsia="宋体" w:cs="宋体"/>
          <w:color w:val="000000"/>
          <w:sz w:val="24"/>
          <w:szCs w:val="24"/>
        </w:rPr>
        <w:t>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1.9代理商</w:t>
      </w:r>
      <w:r>
        <w:rPr>
          <w:rFonts w:hint="eastAsia" w:ascii="宋体" w:hAnsi="宋体" w:eastAsia="宋体" w:cs="宋体"/>
          <w:color w:val="000000"/>
          <w:sz w:val="24"/>
          <w:szCs w:val="24"/>
          <w:lang w:val="en-US" w:eastAsia="zh-CN"/>
        </w:rPr>
        <w:t>不能</w:t>
      </w:r>
      <w:r>
        <w:rPr>
          <w:rFonts w:hint="eastAsia" w:ascii="宋体" w:hAnsi="宋体" w:eastAsia="宋体" w:cs="宋体"/>
          <w:color w:val="000000"/>
          <w:sz w:val="24"/>
          <w:szCs w:val="24"/>
        </w:rPr>
        <w:t>投标</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1.11保密承诺函（附件4）；</w:t>
      </w:r>
    </w:p>
    <w:p>
      <w:pPr>
        <w:spacing w:line="360" w:lineRule="auto"/>
        <w:ind w:firstLine="480" w:firstLineChars="200"/>
        <w:rPr>
          <w:rFonts w:hint="eastAsia" w:ascii="宋体" w:hAnsi="宋体" w:eastAsia="宋体" w:cs="宋体"/>
          <w:color w:val="000000"/>
          <w:sz w:val="24"/>
          <w:szCs w:val="24"/>
          <w:highlight w:val="none"/>
        </w:rPr>
      </w:pPr>
      <w:bookmarkStart w:id="4" w:name="OLE_LINK21"/>
      <w:r>
        <w:rPr>
          <w:rFonts w:hint="eastAsia" w:ascii="宋体" w:hAnsi="宋体" w:eastAsia="宋体" w:cs="宋体"/>
          <w:color w:val="000000"/>
          <w:sz w:val="24"/>
          <w:szCs w:val="24"/>
          <w:highlight w:val="none"/>
        </w:rPr>
        <w:t>1.12</w:t>
      </w:r>
      <w:bookmarkEnd w:id="4"/>
      <w:r>
        <w:rPr>
          <w:rFonts w:hint="eastAsia" w:ascii="宋体" w:hAnsi="宋体" w:eastAsia="宋体" w:cs="Times New Roman"/>
          <w:color w:val="000000"/>
          <w:sz w:val="24"/>
          <w:szCs w:val="24"/>
          <w:highlight w:val="none"/>
        </w:rPr>
        <w:t>企业2021年1月1日以来同类项目业绩证明，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pPr>
        <w:spacing w:line="360" w:lineRule="auto"/>
        <w:ind w:firstLine="480" w:firstLineChars="200"/>
        <w:rPr>
          <w:rFonts w:hint="default"/>
          <w:lang w:val="en-US" w:eastAsia="zh-CN"/>
        </w:rPr>
      </w:pPr>
      <w:r>
        <w:rPr>
          <w:rFonts w:hint="eastAsia" w:ascii="宋体" w:hAnsi="宋体" w:eastAsia="宋体" w:cs="宋体"/>
          <w:color w:val="000000"/>
          <w:sz w:val="24"/>
          <w:szCs w:val="24"/>
          <w:highlight w:val="none"/>
        </w:rPr>
        <w:t>1.13投标保证金缴纳凭证。</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11</w:t>
      </w:r>
      <w:r>
        <w:rPr>
          <w:rFonts w:hint="eastAsia" w:asciiTheme="majorEastAsia" w:hAnsiTheme="majorEastAsia" w:eastAsiaTheme="majorEastAsia" w:cstheme="majorEastAsia"/>
          <w:sz w:val="24"/>
          <w:szCs w:val="24"/>
        </w:rPr>
        <w:t xml:space="preserve"> 17:00:00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27</w:t>
      </w:r>
      <w:r>
        <w:rPr>
          <w:rFonts w:hint="eastAsia" w:asciiTheme="majorEastAsia" w:hAnsiTheme="majorEastAsia" w:eastAsiaTheme="majorEastAsia" w:cstheme="majorEastAsia"/>
          <w:sz w:val="24"/>
          <w:szCs w:val="24"/>
        </w:rPr>
        <w:t xml:space="preserve"> 09:00:00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27</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b/>
          <w:bCs/>
          <w:sz w:val="24"/>
          <w:szCs w:val="24"/>
          <w:lang w:val="en-US" w:eastAsia="zh-CN"/>
        </w:rPr>
        <w:t>山东省济南市济南变速箱厂会议室（暂定，以实际通知为准）</w:t>
      </w:r>
      <w:r>
        <w:rPr>
          <w:rFonts w:hint="eastAsia" w:ascii="宋体" w:hAnsi="宋体" w:eastAsia="宋体" w:cs="宋体"/>
          <w:sz w:val="24"/>
          <w:szCs w:val="24"/>
        </w:rPr>
        <w:t>。</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ascii="宋体" w:hAnsi="宋体" w:eastAsia="宋体" w:cs="宋体"/>
          <w:sz w:val="24"/>
          <w:szCs w:val="24"/>
        </w:rPr>
        <w:t>金增志</w:t>
      </w:r>
    </w:p>
    <w:p>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ascii="宋体" w:hAnsi="宋体" w:eastAsia="宋体" w:cs="宋体"/>
          <w:sz w:val="24"/>
          <w:szCs w:val="24"/>
        </w:rPr>
        <w:t>18643108058</w:t>
      </w: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firstLineChars="200"/>
        <w:rPr>
          <w:rFonts w:hint="eastAsia" w:asciiTheme="majorEastAsia" w:hAnsiTheme="majorEastAsia" w:eastAsiaTheme="majorEastAsia" w:cstheme="majorEastAsia"/>
          <w:sz w:val="24"/>
          <w:szCs w:val="24"/>
        </w:rPr>
      </w:pPr>
    </w:p>
    <w:p>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开标过程概述：</w:t>
      </w:r>
    </w:p>
    <w:p>
      <w:pPr>
        <w:pStyle w:val="2"/>
        <w:spacing w:line="360" w:lineRule="auto"/>
        <w:ind w:firstLine="420" w:firstLineChars="200"/>
        <w:rPr>
          <w:rFonts w:hint="eastAsia" w:hAnsi="宋体"/>
          <w:bCs/>
          <w:color w:val="auto"/>
          <w:kern w:val="0"/>
          <w:szCs w:val="32"/>
          <w:highlight w:val="none"/>
        </w:rPr>
      </w:pPr>
      <w:r>
        <w:rPr>
          <w:rFonts w:hint="eastAsia" w:hAnsi="宋体"/>
          <w:bCs/>
          <w:color w:val="auto"/>
          <w:kern w:val="0"/>
          <w:szCs w:val="32"/>
          <w:highlight w:val="none"/>
          <w:lang w:val="en-US" w:eastAsia="zh-CN"/>
        </w:rPr>
        <w:t>唱标流程</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技术标唱标</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技术标澄清</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技术标评分</w:t>
      </w:r>
      <w:r>
        <w:rPr>
          <w:rFonts w:hint="eastAsia" w:hAnsi="宋体"/>
          <w:bCs/>
          <w:color w:val="auto"/>
          <w:kern w:val="0"/>
          <w:szCs w:val="32"/>
          <w:highlight w:val="none"/>
        </w:rPr>
        <w:t>→商务</w:t>
      </w:r>
      <w:r>
        <w:rPr>
          <w:rFonts w:hint="eastAsia" w:hAnsi="宋体"/>
          <w:bCs/>
          <w:color w:val="auto"/>
          <w:kern w:val="0"/>
          <w:szCs w:val="32"/>
          <w:highlight w:val="none"/>
          <w:lang w:val="en-US" w:eastAsia="zh-CN"/>
        </w:rPr>
        <w:t>标唱标</w:t>
      </w:r>
      <w:r>
        <w:rPr>
          <w:rFonts w:hint="eastAsia" w:hAnsi="宋体"/>
          <w:bCs/>
          <w:color w:val="auto"/>
          <w:kern w:val="0"/>
          <w:szCs w:val="32"/>
          <w:highlight w:val="none"/>
        </w:rPr>
        <w:t>→价格澄清→商务标评审；</w:t>
      </w:r>
    </w:p>
    <w:p>
      <w:pPr>
        <w:pStyle w:val="2"/>
        <w:spacing w:line="360" w:lineRule="auto"/>
        <w:ind w:firstLine="420" w:firstLineChars="200"/>
        <w:rPr>
          <w:rFonts w:hint="eastAsia" w:hAnsi="宋体"/>
          <w:bCs/>
          <w:color w:val="auto"/>
          <w:kern w:val="0"/>
          <w:szCs w:val="32"/>
          <w:highlight w:val="yellow"/>
          <w:lang w:val="en-US" w:eastAsia="zh-CN"/>
        </w:rPr>
      </w:pPr>
      <w:r>
        <w:rPr>
          <w:rFonts w:hint="eastAsia" w:hAnsi="宋体"/>
          <w:bCs/>
          <w:color w:val="auto"/>
          <w:kern w:val="0"/>
          <w:szCs w:val="32"/>
          <w:highlight w:val="yellow"/>
          <w:lang w:val="en-US" w:eastAsia="zh-CN"/>
        </w:rPr>
        <w:t>开标过程A级项目进行三轮开标会，B级项目进行两轮开标会。</w:t>
      </w:r>
    </w:p>
    <w:p>
      <w:pPr>
        <w:pStyle w:val="2"/>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第一轮包括技术标答辩和商务标报价环节。</w:t>
      </w:r>
    </w:p>
    <w:p>
      <w:pPr>
        <w:pStyle w:val="2"/>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第二轮由专家组审查第一轮的技术和商务情况，并决定是否继续进行商务报价。</w:t>
      </w:r>
    </w:p>
    <w:p>
      <w:pPr>
        <w:pStyle w:val="2"/>
        <w:spacing w:line="360" w:lineRule="auto"/>
        <w:ind w:firstLine="420" w:firstLineChars="200"/>
        <w:rPr>
          <w:rFonts w:hint="eastAsia" w:asciiTheme="majorEastAsia" w:hAnsiTheme="majorEastAsia" w:eastAsiaTheme="majorEastAsia" w:cstheme="majorEastAsia"/>
          <w:sz w:val="24"/>
          <w:szCs w:val="24"/>
        </w:rPr>
      </w:pPr>
      <w:r>
        <w:rPr>
          <w:rFonts w:hint="eastAsia" w:hAnsi="宋体"/>
          <w:bCs/>
          <w:color w:val="auto"/>
          <w:kern w:val="0"/>
          <w:szCs w:val="32"/>
          <w:highlight w:val="none"/>
          <w:lang w:val="en-US" w:eastAsia="zh-CN"/>
        </w:rPr>
        <w:t>A级项目第三轮由专家组审查前两轮的技术和商务报价情况。</w:t>
      </w:r>
    </w:p>
    <w:p>
      <w:pPr>
        <w:ind w:firstLine="480"/>
        <w:rPr>
          <w:rFonts w:hint="eastAsia" w:asciiTheme="majorEastAsia" w:hAnsiTheme="majorEastAsia" w:eastAsiaTheme="majorEastAsia" w:cstheme="majorEastAsia"/>
          <w:sz w:val="24"/>
          <w:szCs w:val="24"/>
        </w:rPr>
      </w:pPr>
    </w:p>
    <w:p>
      <w:pPr>
        <w:pStyle w:val="2"/>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w:t>
      </w:r>
      <w:r>
        <w:rPr>
          <w:rFonts w:hint="eastAsia" w:hAnsi="宋体" w:eastAsia="宋体" w:cs="宋体"/>
          <w:b/>
          <w:bCs/>
          <w:color w:val="000000"/>
          <w:sz w:val="24"/>
          <w:szCs w:val="24"/>
        </w:rPr>
        <w:t>SRM非生产供应商注册操作手册</w:t>
      </w:r>
    </w:p>
    <w:p>
      <w:pPr>
        <w:pStyle w:val="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0"/>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1"/>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2"/>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2"/>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pPr>
        <w:pStyle w:val="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
      </w:pPr>
      <w:r>
        <w:rPr>
          <w:rFonts w:hint="eastAsia" w:hAnsi="宋体" w:eastAsia="宋体" w:cs="宋体"/>
          <w:b/>
          <w:bCs/>
          <w:color w:val="000000"/>
          <w:sz w:val="24"/>
          <w:szCs w:val="28"/>
          <w:highlight w:val="yellow"/>
        </w:rPr>
        <w:t>2.配套能力“供货类别”填“”，业务主管部门选择“”。</w:t>
      </w:r>
    </w:p>
    <w:p>
      <w:pPr>
        <w:pStyle w:val="2"/>
        <w:sectPr>
          <w:pgSz w:w="11906" w:h="16838"/>
          <w:pgMar w:top="1588" w:right="1418" w:bottom="1134" w:left="1418" w:header="851" w:footer="992" w:gutter="0"/>
          <w:cols w:space="720" w:num="1"/>
          <w:titlePg/>
          <w:docGrid w:type="lines" w:linePitch="312" w:charSpace="0"/>
        </w:sectPr>
      </w:pPr>
    </w:p>
    <w:p>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
      </w:pPr>
      <w:r>
        <w:rPr>
          <w:rFonts w:hint="eastAsia" w:hAnsi="宋体" w:eastAsia="宋体" w:cs="宋体"/>
          <w:color w:val="000000"/>
          <w:sz w:val="24"/>
          <w:szCs w:val="28"/>
          <w:highlight w:val="yellow"/>
        </w:rPr>
        <w:t>注意：系统内的投标报价单位为“万元”，如开标现场发现填错报价，即直接淘汰。</w:t>
      </w:r>
    </w:p>
    <w:p>
      <w:pPr>
        <w:pStyle w:val="2"/>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2"/>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pPr>
        <w:pStyle w:val="2"/>
        <w:rPr>
          <w:rFonts w:hint="eastAsia" w:hAnsi="宋体" w:eastAsia="宋体" w:cs="Times New Roman"/>
          <w:b/>
          <w:color w:val="000000"/>
          <w:sz w:val="24"/>
          <w:szCs w:val="24"/>
        </w:rPr>
      </w:pPr>
    </w:p>
    <w:p>
      <w:pPr>
        <w:pStyle w:val="2"/>
        <w:rPr>
          <w:rFonts w:hint="eastAsia" w:hAnsi="宋体" w:eastAsia="宋体" w:cs="Times New Roman"/>
          <w:b/>
          <w:color w:val="000000"/>
          <w:sz w:val="24"/>
          <w:szCs w:val="24"/>
        </w:rPr>
      </w:pPr>
    </w:p>
    <w:p>
      <w:pPr>
        <w:pStyle w:val="2"/>
        <w:bidi w:val="0"/>
        <w:rPr>
          <w:rFonts w:hint="eastAsia"/>
        </w:rPr>
      </w:pPr>
    </w:p>
    <w:p>
      <w:pPr>
        <w:pStyle w:val="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bidi w:val="0"/>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749290" cy="2501265"/>
                    </a:xfrm>
                    <a:prstGeom prst="rect">
                      <a:avLst/>
                    </a:prstGeom>
                    <a:noFill/>
                    <a:ln>
                      <a:noFill/>
                    </a:ln>
                  </pic:spPr>
                </pic:pic>
              </a:graphicData>
            </a:graphic>
          </wp:inline>
        </w:drawing>
      </w:r>
    </w:p>
    <w:p>
      <w:pPr>
        <w:bidi w:val="0"/>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5746750" cy="3303270"/>
                    </a:xfrm>
                    <a:prstGeom prst="rect">
                      <a:avLst/>
                    </a:prstGeom>
                    <a:noFill/>
                    <a:ln>
                      <a:noFill/>
                    </a:ln>
                  </pic:spPr>
                </pic:pic>
              </a:graphicData>
            </a:graphic>
          </wp:inline>
        </w:drawing>
      </w:r>
    </w:p>
    <w:p>
      <w:pPr>
        <w:bidi w:val="0"/>
        <w:rPr>
          <w:rFonts w:hint="default"/>
          <w:lang w:val="en-US" w:eastAsia="zh-CN"/>
        </w:rPr>
      </w:pPr>
      <w:bookmarkStart w:id="9" w:name="_GoBack"/>
      <w:bookmarkEnd w:id="9"/>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a:stretch>
                      <a:fillRect/>
                    </a:stretch>
                  </pic:blipFill>
                  <pic:spPr>
                    <a:xfrm>
                      <a:off x="0" y="0"/>
                      <a:ext cx="5742940" cy="2925445"/>
                    </a:xfrm>
                    <a:prstGeom prst="rect">
                      <a:avLst/>
                    </a:prstGeom>
                    <a:noFill/>
                    <a:ln>
                      <a:noFill/>
                    </a:ln>
                  </pic:spPr>
                </pic:pic>
              </a:graphicData>
            </a:graphic>
          </wp:inline>
        </w:drawing>
      </w:r>
    </w:p>
    <w:p/>
    <w:p>
      <w:pPr>
        <w:rPr>
          <w:rFonts w:hint="eastAsia"/>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 w:name="_Toc639004"/>
      <w:bookmarkStart w:id="6" w:name="_Toc25811"/>
      <w:bookmarkStart w:id="7" w:name="_Toc212369550"/>
      <w:bookmarkStart w:id="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
      <w:bookmarkEnd w:id="6"/>
      <w:bookmarkEnd w:id="7"/>
      <w:bookmarkEnd w:id="8"/>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 xml:space="preserve">        </w:t>
      </w:r>
      <w:r>
        <w:rPr>
          <w:rFonts w:hint="eastAsia" w:ascii="宋体" w:hAnsi="宋体" w:eastAsia="宋体" w:cs="宋体"/>
          <w:sz w:val="24"/>
          <w:u w:val="single"/>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bCs/>
          <w:snapToGrid w:val="0"/>
          <w:color w:val="000000"/>
          <w:kern w:val="0"/>
          <w:sz w:val="24"/>
          <w:szCs w:val="24"/>
        </w:rPr>
        <w:t>项目</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2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2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2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2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
              <w:spacing w:before="114"/>
              <w:ind w:left="720"/>
              <w:rPr>
                <w:rFonts w:hint="eastAsia"/>
              </w:rPr>
            </w:pPr>
            <w:r>
              <w:t xml:space="preserve">品牌区分 </w:t>
            </w:r>
          </w:p>
        </w:tc>
        <w:tc>
          <w:tcPr>
            <w:tcW w:w="7500" w:type="dxa"/>
            <w:gridSpan w:val="6"/>
          </w:tcPr>
          <w:p>
            <w:pPr>
              <w:pStyle w:val="2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23"/>
              <w:spacing w:before="15"/>
              <w:ind w:left="279"/>
              <w:rPr>
                <w:rFonts w:hint="eastAsia"/>
              </w:rPr>
            </w:pPr>
            <w:r>
              <w:rPr>
                <w:spacing w:val="-2"/>
              </w:rPr>
              <w:t>质量</w:t>
            </w:r>
            <w:r>
              <w:t xml:space="preserve"> </w:t>
            </w:r>
          </w:p>
          <w:p>
            <w:pPr>
              <w:pStyle w:val="23"/>
              <w:spacing w:before="30" w:line="277" w:lineRule="exact"/>
              <w:ind w:left="279"/>
              <w:rPr>
                <w:rFonts w:hint="eastAsia"/>
              </w:rPr>
            </w:pPr>
            <w:r>
              <w:rPr>
                <w:rFonts w:hint="eastAsia"/>
              </w:rPr>
              <w:t>体系</w:t>
            </w:r>
          </w:p>
        </w:tc>
        <w:tc>
          <w:tcPr>
            <w:tcW w:w="2820" w:type="dxa"/>
            <w:gridSpan w:val="2"/>
          </w:tcPr>
          <w:p>
            <w:pPr>
              <w:pStyle w:val="23"/>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10"/>
        <w:tblW w:w="9719" w:type="dxa"/>
        <w:jc w:val="center"/>
        <w:tblLayout w:type="fixed"/>
        <w:tblCellMar>
          <w:top w:w="0" w:type="dxa"/>
          <w:left w:w="108" w:type="dxa"/>
          <w:bottom w:w="0" w:type="dxa"/>
          <w:right w:w="108" w:type="dxa"/>
        </w:tblCellMar>
      </w:tblPr>
      <w:tblGrid>
        <w:gridCol w:w="2429"/>
        <w:gridCol w:w="1778"/>
        <w:gridCol w:w="1702"/>
        <w:gridCol w:w="2050"/>
        <w:gridCol w:w="1760"/>
      </w:tblGrid>
      <w:tr>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r>
      <w:tr>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bl>
    <w:p>
      <w:pPr>
        <w:pStyle w:val="2"/>
        <w:rPr>
          <w:rFonts w:ascii="Times New Roman" w:hAnsi="Times New Roman" w:eastAsia="宋体" w:cs="Times New Roman"/>
          <w:b/>
          <w:bCs/>
          <w:color w:val="000000"/>
          <w:sz w:val="24"/>
          <w:szCs w:val="24"/>
        </w:rPr>
      </w:pP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pgNumType w:fmt="decimal"/>
          <w:cols w:space="720" w:num="1"/>
          <w:titlePg/>
          <w:docGrid w:type="lines" w:linePitch="312" w:charSpace="0"/>
        </w:sect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85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4301453"/>
    <w:rsid w:val="0C682624"/>
    <w:rsid w:val="0FAC178F"/>
    <w:rsid w:val="137C39E2"/>
    <w:rsid w:val="1A5F0822"/>
    <w:rsid w:val="1CBE329F"/>
    <w:rsid w:val="21265E7E"/>
    <w:rsid w:val="27315D1D"/>
    <w:rsid w:val="283D5FEB"/>
    <w:rsid w:val="415E038C"/>
    <w:rsid w:val="44907102"/>
    <w:rsid w:val="47DD599F"/>
    <w:rsid w:val="48031288"/>
    <w:rsid w:val="4833657D"/>
    <w:rsid w:val="48EF075C"/>
    <w:rsid w:val="4E25790F"/>
    <w:rsid w:val="536770A5"/>
    <w:rsid w:val="56B166D1"/>
    <w:rsid w:val="57BF3EB6"/>
    <w:rsid w:val="594B58EE"/>
    <w:rsid w:val="5E124824"/>
    <w:rsid w:val="65A43583"/>
    <w:rsid w:val="66D60058"/>
    <w:rsid w:val="6B0F2793"/>
    <w:rsid w:val="73114357"/>
    <w:rsid w:val="73A14AA1"/>
    <w:rsid w:val="77E571F5"/>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6">
    <w:name w:val="Body Text"/>
    <w:basedOn w:val="1"/>
    <w:next w:val="7"/>
    <w:qFormat/>
    <w:uiPriority w:val="0"/>
    <w:rPr>
      <w:rFonts w:ascii="仿宋_GB2312" w:eastAsia="仿宋_GB2312" w:hAnsiTheme="minorHAnsi" w:cstheme="minorBidi"/>
      <w:sz w:val="32"/>
      <w:szCs w:val="22"/>
    </w:rPr>
  </w:style>
  <w:style w:type="paragraph" w:customStyle="1" w:styleId="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Table Paragraph"/>
    <w:basedOn w:val="1"/>
    <w:qFormat/>
    <w:uiPriority w:val="1"/>
    <w:rPr>
      <w:rFonts w:ascii="宋体" w:hAnsi="宋体" w:eastAsia="宋体" w:cs="宋体"/>
    </w:rPr>
  </w:style>
  <w:style w:type="table" w:customStyle="1" w:styleId="2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1428</Words>
  <Characters>1581</Characters>
  <Lines>0</Lines>
  <Paragraphs>0</Paragraphs>
  <TotalTime>0</TotalTime>
  <ScaleCrop>false</ScaleCrop>
  <LinksUpToDate>false</LinksUpToDate>
  <CharactersWithSpaces>1769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轻途</cp:lastModifiedBy>
  <dcterms:modified xsi:type="dcterms:W3CDTF">2026-02-06T08:59:05Z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36BA767B9B1647D78DB7367FAC05A487_13</vt:lpwstr>
  </property>
</Properties>
</file>