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3"/>
        <w:widowControl/>
        <w:jc w:val="center"/>
        <w:rPr>
          <w:i w:val="0"/>
          <w:iCs/>
          <w:sz w:val="32"/>
          <w:szCs w:val="32"/>
          <w:lang w:val="en-US"/>
        </w:rPr>
      </w:pPr>
      <w:r>
        <w:rPr>
          <w:rFonts w:hint="eastAsia" w:cs="宋体"/>
          <w:i w:val="0"/>
          <w:iCs/>
          <w:sz w:val="32"/>
          <w:szCs w:val="32"/>
          <w:lang w:val="en-US" w:eastAsia="zh-CN"/>
        </w:rPr>
        <w:t>中国重汽集团拧紧专项项目定值电枪分项公开招标公告</w:t>
      </w:r>
    </w:p>
    <w:p w14:paraId="2538CB01">
      <w:pPr>
        <w:pStyle w:val="3"/>
        <w:widowControl/>
        <w:jc w:val="center"/>
        <w:rPr>
          <w:rFonts w:hint="eastAsia" w:ascii="Cambria" w:hAnsi="Cambria" w:eastAsia="宋体" w:cs="宋体"/>
          <w:b/>
          <w:bCs/>
          <w:i w:val="0"/>
          <w:iCs/>
          <w:sz w:val="22"/>
          <w:szCs w:val="22"/>
          <w:highlight w:val="none"/>
          <w:lang w:eastAsia="zh-CN"/>
        </w:rPr>
      </w:pPr>
      <w:bookmarkStart w:id="0"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ZBGL2026020030</w:t>
      </w:r>
      <w:r>
        <w:rPr>
          <w:rFonts w:hint="eastAsia" w:ascii="Cambria" w:hAnsi="Cambria" w:eastAsia="宋体" w:cs="宋体"/>
          <w:b/>
          <w:bCs/>
          <w:i w:val="0"/>
          <w:iCs/>
          <w:sz w:val="22"/>
          <w:szCs w:val="22"/>
          <w:highlight w:val="none"/>
          <w:lang w:eastAsia="zh-CN"/>
        </w:rPr>
        <w:t>）</w:t>
      </w:r>
      <w:bookmarkEnd w:id="0"/>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8"/>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ascii="微软雅黑" w:hAnsi="微软雅黑" w:eastAsia="微软雅黑" w:cs="微软雅黑"/>
                <w:i w:val="0"/>
                <w:iCs w:val="0"/>
                <w:caps w:val="0"/>
                <w:color w:val="333333"/>
                <w:spacing w:val="0"/>
                <w:sz w:val="24"/>
                <w:szCs w:val="24"/>
                <w:shd w:val="clear" w:fill="FFFFFF"/>
              </w:rPr>
              <w:t>2026-02-24</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ascii="微软雅黑" w:hAnsi="微软雅黑" w:eastAsia="微软雅黑" w:cs="微软雅黑"/>
                <w:i w:val="0"/>
                <w:iCs w:val="0"/>
                <w:caps w:val="0"/>
                <w:color w:val="333333"/>
                <w:spacing w:val="0"/>
                <w:sz w:val="24"/>
                <w:szCs w:val="24"/>
                <w:shd w:val="clear" w:fill="FFFFFF"/>
              </w:rPr>
              <w:t>2026-03-01</w:t>
            </w:r>
          </w:p>
        </w:tc>
      </w:tr>
    </w:tbl>
    <w:p w14:paraId="40D0D37B">
      <w:pPr>
        <w:rPr>
          <w:rFonts w:hint="eastAsia" w:asciiTheme="majorEastAsia" w:hAnsiTheme="majorEastAsia" w:eastAsiaTheme="majorEastAsia" w:cstheme="majorEastAsia"/>
          <w:b/>
          <w:bCs/>
          <w:sz w:val="24"/>
          <w:szCs w:val="24"/>
        </w:rPr>
      </w:pPr>
    </w:p>
    <w:p w14:paraId="6E54CA63">
      <w:pPr>
        <w:keepNext w:val="0"/>
        <w:keepLines w:val="0"/>
        <w:pageBreakBefore w:val="0"/>
        <w:widowControl w:val="0"/>
        <w:kinsoku/>
        <w:wordWrap/>
        <w:overflowPunct/>
        <w:topLinePunct w:val="0"/>
        <w:autoSpaceDE/>
        <w:autoSpaceDN/>
        <w:bidi w:val="0"/>
        <w:adjustRightInd/>
        <w:snapToGrid/>
        <w:spacing w:line="360" w:lineRule="auto"/>
        <w:ind w:left="241" w:hanging="241" w:hangingChars="10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一、项目概况  </w:t>
      </w:r>
      <w:r>
        <w:rPr>
          <w:rFonts w:hint="eastAsia" w:asciiTheme="majorEastAsia" w:hAnsiTheme="majorEastAsia" w:eastAsiaTheme="majorEastAsia" w:cstheme="majorEastAsia"/>
          <w:sz w:val="24"/>
          <w:szCs w:val="24"/>
        </w:rPr>
        <w:t xml:space="preserve">  </w:t>
      </w:r>
      <w:r>
        <w:rPr>
          <w:rFonts w:ascii="宋体" w:hAnsi="宋体" w:eastAsia="宋体" w:cs="宋体"/>
          <w:sz w:val="24"/>
          <w:szCs w:val="24"/>
        </w:rPr>
        <w:br w:type="textWrapping"/>
      </w:r>
      <w:r>
        <w:rPr>
          <w:rFonts w:hint="eastAsia" w:ascii="宋体" w:cs="宋体"/>
          <w:sz w:val="24"/>
          <w:lang w:val="en-US" w:eastAsia="zh-CN" w:bidi="ar"/>
        </w:rPr>
        <w:t>根据中国重汽集团的使用需求，对中国重汽集团拧紧专项项目定值电枪分项进行公开招标，资金已落实，该项目具备招标条件，现组织公开招标，欢迎合格潜在投标人前来参加投标。</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3761E67">
      <w:pPr>
        <w:widowControl/>
        <w:spacing w:line="360" w:lineRule="auto"/>
        <w:ind w:firstLine="480" w:firstLineChars="200"/>
        <w:rPr>
          <w:rFonts w:hint="eastAsia" w:ascii="宋体" w:cs="宋体"/>
          <w:sz w:val="24"/>
          <w:lang w:bidi="ar"/>
        </w:rPr>
      </w:pPr>
      <w:r>
        <w:rPr>
          <w:rFonts w:hint="eastAsia" w:ascii="宋体" w:cs="宋体"/>
          <w:sz w:val="24"/>
          <w:lang w:val="en-US" w:eastAsia="zh-CN" w:bidi="ar"/>
        </w:rPr>
        <w:t>1、项目名称：</w:t>
      </w:r>
    </w:p>
    <w:p w14:paraId="4AE20409">
      <w:pPr>
        <w:widowControl/>
        <w:spacing w:line="360" w:lineRule="auto"/>
        <w:ind w:firstLine="480" w:firstLineChars="200"/>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中国重汽集团拧紧专项项目定值电枪分项</w:t>
      </w:r>
    </w:p>
    <w:p w14:paraId="5D4AE586">
      <w:pPr>
        <w:widowControl/>
        <w:spacing w:line="360" w:lineRule="auto"/>
        <w:ind w:firstLine="480" w:firstLineChars="200"/>
        <w:rPr>
          <w:rFonts w:hint="eastAsia" w:ascii="宋体" w:cs="宋体"/>
          <w:sz w:val="24"/>
          <w:lang w:bidi="ar"/>
        </w:rPr>
      </w:pPr>
      <w:r>
        <w:rPr>
          <w:rFonts w:hint="eastAsia" w:ascii="宋体" w:cs="宋体"/>
          <w:sz w:val="24"/>
          <w:lang w:val="en-US" w:eastAsia="zh-CN" w:bidi="ar"/>
        </w:rPr>
        <w:t>2、项目类别：</w:t>
      </w:r>
    </w:p>
    <w:p w14:paraId="2C4441E0">
      <w:pPr>
        <w:widowControl/>
        <w:spacing w:line="360" w:lineRule="auto"/>
        <w:ind w:firstLine="480" w:firstLineChars="200"/>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货物类</w:t>
      </w:r>
    </w:p>
    <w:p w14:paraId="1107BB83">
      <w:pPr>
        <w:widowControl/>
        <w:spacing w:line="360" w:lineRule="auto"/>
        <w:ind w:firstLine="480" w:firstLineChars="200"/>
        <w:rPr>
          <w:rFonts w:hint="eastAsia" w:ascii="宋体" w:cs="宋体"/>
          <w:sz w:val="24"/>
          <w:lang w:bidi="ar"/>
        </w:rPr>
      </w:pPr>
      <w:r>
        <w:rPr>
          <w:rFonts w:hint="eastAsia" w:ascii="宋体" w:cs="宋体"/>
          <w:sz w:val="24"/>
          <w:lang w:val="en-US" w:eastAsia="zh-CN" w:bidi="ar"/>
        </w:rPr>
        <w:t>3、采购方式：</w:t>
      </w:r>
    </w:p>
    <w:p w14:paraId="18AA31BF">
      <w:pPr>
        <w:widowControl/>
        <w:spacing w:line="360" w:lineRule="auto"/>
        <w:ind w:firstLine="480" w:firstLineChars="200"/>
        <w:rPr>
          <w:rFonts w:hint="eastAsia" w:ascii="宋体" w:cs="宋体"/>
          <w:sz w:val="24"/>
          <w:lang w:bidi="ar"/>
        </w:rPr>
      </w:pPr>
      <w:r>
        <w:rPr>
          <w:rFonts w:hint="eastAsia" w:ascii="宋体" w:cs="宋体"/>
          <w:sz w:val="24"/>
          <w:lang w:val="en-US" w:eastAsia="zh-CN" w:bidi="ar"/>
        </w:rPr>
        <w:t>公开招标</w:t>
      </w:r>
    </w:p>
    <w:p w14:paraId="785D716B">
      <w:pPr>
        <w:widowControl/>
        <w:spacing w:line="360" w:lineRule="auto"/>
        <w:ind w:firstLine="480" w:firstLineChars="200"/>
        <w:rPr>
          <w:rFonts w:hint="eastAsia" w:ascii="宋体" w:cs="宋体"/>
          <w:sz w:val="24"/>
          <w:lang w:bidi="ar"/>
        </w:rPr>
      </w:pPr>
      <w:r>
        <w:rPr>
          <w:rFonts w:hint="eastAsia" w:ascii="宋体" w:cs="宋体"/>
          <w:sz w:val="24"/>
          <w:lang w:val="en-US" w:eastAsia="zh-CN" w:bidi="ar"/>
        </w:rPr>
        <w:t>4、采购内容：</w:t>
      </w:r>
    </w:p>
    <w:p w14:paraId="7F29B2B0">
      <w:pPr>
        <w:widowControl/>
        <w:spacing w:line="360" w:lineRule="auto"/>
        <w:ind w:firstLine="480" w:firstLineChars="200"/>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定值电枪合计175套，使用单位为中国重汽集团济南卡车制造公司、济南商用车制造公司、济宁商用车公司、济南轻卡制造公司、杭发公司</w:t>
      </w:r>
    </w:p>
    <w:p w14:paraId="1B43DBD6">
      <w:pPr>
        <w:widowControl/>
        <w:jc w:val="center"/>
        <w:rPr>
          <w:rFonts w:ascii="宋体" w:hAnsi="宋体"/>
        </w:rPr>
      </w:pPr>
    </w:p>
    <w:tbl>
      <w:tblPr>
        <w:tblStyle w:val="18"/>
        <w:tblpPr w:leftFromText="180" w:rightFromText="180" w:vertAnchor="text" w:horzAnchor="page" w:tblpXSpec="center" w:tblpY="431"/>
        <w:tblOverlap w:val="never"/>
        <w:tblW w:w="90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5"/>
        <w:gridCol w:w="1233"/>
        <w:gridCol w:w="885"/>
        <w:gridCol w:w="754"/>
        <w:gridCol w:w="2223"/>
        <w:gridCol w:w="1043"/>
        <w:gridCol w:w="2094"/>
      </w:tblGrid>
      <w:tr w14:paraId="21311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jc w:val="center"/>
        </w:trPr>
        <w:tc>
          <w:tcPr>
            <w:tcW w:w="805" w:type="dxa"/>
            <w:vAlign w:val="center"/>
          </w:tcPr>
          <w:p w14:paraId="67C05F9B">
            <w:pPr>
              <w:widowControl/>
              <w:jc w:val="center"/>
              <w:rPr>
                <w:rFonts w:ascii="宋体" w:hAnsi="宋体" w:eastAsia="宋体" w:cs="宋体"/>
                <w:b/>
                <w:bCs/>
                <w:color w:val="000000"/>
                <w:kern w:val="0"/>
                <w:sz w:val="22"/>
              </w:rPr>
            </w:pPr>
            <w:r>
              <w:rPr>
                <w:rFonts w:hint="eastAsia" w:ascii="宋体" w:hAnsi="宋体" w:cs="宋体"/>
                <w:b/>
                <w:bCs/>
                <w:color w:val="000000"/>
                <w:kern w:val="0"/>
                <w:sz w:val="22"/>
              </w:rPr>
              <w:t>分包</w:t>
            </w:r>
          </w:p>
        </w:tc>
        <w:tc>
          <w:tcPr>
            <w:tcW w:w="1233" w:type="dxa"/>
            <w:vAlign w:val="center"/>
          </w:tcPr>
          <w:p w14:paraId="6222B97D">
            <w:pPr>
              <w:widowControl/>
              <w:jc w:val="center"/>
              <w:rPr>
                <w:rFonts w:ascii="宋体" w:hAnsi="宋体" w:cs="宋体"/>
                <w:b/>
                <w:bCs/>
                <w:color w:val="000000"/>
                <w:kern w:val="0"/>
                <w:sz w:val="22"/>
              </w:rPr>
            </w:pPr>
            <w:r>
              <w:rPr>
                <w:rFonts w:hint="eastAsia" w:ascii="宋体" w:hAnsi="宋体" w:cs="宋体"/>
                <w:b/>
                <w:bCs/>
                <w:color w:val="000000"/>
                <w:kern w:val="0"/>
                <w:sz w:val="22"/>
              </w:rPr>
              <w:t>设备名称</w:t>
            </w:r>
          </w:p>
        </w:tc>
        <w:tc>
          <w:tcPr>
            <w:tcW w:w="885" w:type="dxa"/>
            <w:vAlign w:val="center"/>
          </w:tcPr>
          <w:p w14:paraId="60AD0399">
            <w:pPr>
              <w:widowControl/>
              <w:jc w:val="center"/>
              <w:rPr>
                <w:rFonts w:ascii="宋体" w:hAnsi="宋体" w:cs="宋体"/>
                <w:b/>
                <w:bCs/>
                <w:color w:val="000000"/>
                <w:kern w:val="0"/>
                <w:sz w:val="22"/>
              </w:rPr>
            </w:pPr>
            <w:r>
              <w:rPr>
                <w:rFonts w:hint="eastAsia" w:ascii="宋体" w:hAnsi="宋体" w:cs="宋体"/>
                <w:b/>
                <w:bCs/>
                <w:color w:val="000000"/>
                <w:kern w:val="0"/>
                <w:sz w:val="22"/>
              </w:rPr>
              <w:t>单位</w:t>
            </w:r>
          </w:p>
        </w:tc>
        <w:tc>
          <w:tcPr>
            <w:tcW w:w="754" w:type="dxa"/>
            <w:vAlign w:val="center"/>
          </w:tcPr>
          <w:p w14:paraId="6E9E185B">
            <w:pPr>
              <w:widowControl/>
              <w:jc w:val="center"/>
              <w:rPr>
                <w:rFonts w:ascii="宋体" w:hAnsi="宋体" w:cs="宋体"/>
                <w:b/>
                <w:bCs/>
                <w:color w:val="000000"/>
                <w:kern w:val="0"/>
                <w:sz w:val="22"/>
              </w:rPr>
            </w:pPr>
            <w:r>
              <w:rPr>
                <w:rFonts w:hint="eastAsia" w:ascii="宋体" w:hAnsi="宋体" w:cs="宋体"/>
                <w:b/>
                <w:bCs/>
                <w:color w:val="000000"/>
                <w:kern w:val="0"/>
                <w:sz w:val="22"/>
              </w:rPr>
              <w:t>数量</w:t>
            </w:r>
          </w:p>
        </w:tc>
        <w:tc>
          <w:tcPr>
            <w:tcW w:w="2223" w:type="dxa"/>
          </w:tcPr>
          <w:p w14:paraId="79F3C295">
            <w:pPr>
              <w:widowControl/>
              <w:jc w:val="center"/>
              <w:rPr>
                <w:rFonts w:ascii="宋体" w:hAnsi="宋体" w:cs="宋体"/>
                <w:b/>
                <w:bCs/>
                <w:color w:val="000000"/>
                <w:kern w:val="0"/>
                <w:sz w:val="22"/>
              </w:rPr>
            </w:pPr>
            <w:r>
              <w:rPr>
                <w:rFonts w:hint="eastAsia" w:ascii="宋体" w:hAnsi="宋体" w:cs="宋体"/>
                <w:b/>
                <w:bCs/>
                <w:color w:val="000000"/>
                <w:kern w:val="0"/>
                <w:sz w:val="22"/>
              </w:rPr>
              <w:t>安装地点/服务对象</w:t>
            </w:r>
          </w:p>
        </w:tc>
        <w:tc>
          <w:tcPr>
            <w:tcW w:w="1043" w:type="dxa"/>
          </w:tcPr>
          <w:p w14:paraId="540F5F5F">
            <w:pPr>
              <w:widowControl/>
              <w:jc w:val="center"/>
              <w:rPr>
                <w:rFonts w:ascii="宋体" w:hAnsi="宋体" w:cs="宋体"/>
                <w:b/>
                <w:bCs/>
                <w:color w:val="000000"/>
                <w:kern w:val="0"/>
                <w:sz w:val="22"/>
              </w:rPr>
            </w:pPr>
            <w:r>
              <w:rPr>
                <w:rFonts w:hint="eastAsia" w:ascii="宋体" w:hAnsi="宋体" w:cs="宋体"/>
                <w:b/>
                <w:bCs/>
                <w:color w:val="000000"/>
                <w:kern w:val="0"/>
                <w:sz w:val="22"/>
              </w:rPr>
              <w:t>供货方式</w:t>
            </w:r>
          </w:p>
        </w:tc>
        <w:tc>
          <w:tcPr>
            <w:tcW w:w="2094" w:type="dxa"/>
          </w:tcPr>
          <w:p w14:paraId="435C2BDA">
            <w:pPr>
              <w:widowControl/>
              <w:jc w:val="center"/>
              <w:rPr>
                <w:rFonts w:ascii="宋体" w:hAnsi="宋体" w:cs="宋体"/>
                <w:b/>
                <w:bCs/>
                <w:color w:val="000000"/>
                <w:kern w:val="0"/>
                <w:sz w:val="22"/>
              </w:rPr>
            </w:pPr>
            <w:r>
              <w:rPr>
                <w:rFonts w:hint="eastAsia" w:ascii="宋体" w:hAnsi="宋体" w:cs="宋体"/>
                <w:b/>
                <w:bCs/>
                <w:color w:val="000000"/>
                <w:kern w:val="0"/>
                <w:sz w:val="22"/>
              </w:rPr>
              <w:t>备注</w:t>
            </w:r>
          </w:p>
        </w:tc>
      </w:tr>
      <w:tr w14:paraId="0F16B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05" w:type="dxa"/>
            <w:vAlign w:val="center"/>
          </w:tcPr>
          <w:p w14:paraId="307A9813">
            <w:pPr>
              <w:widowControl/>
              <w:jc w:val="center"/>
              <w:rPr>
                <w:rFonts w:ascii="宋体" w:hAnsi="宋体" w:cs="宋体"/>
                <w:b/>
                <w:bCs/>
                <w:sz w:val="22"/>
              </w:rPr>
            </w:pPr>
            <w:r>
              <w:rPr>
                <w:rFonts w:hint="eastAsia" w:ascii="宋体" w:hAnsi="宋体" w:cs="宋体"/>
                <w:kern w:val="0"/>
                <w:sz w:val="22"/>
              </w:rPr>
              <w:t>1</w:t>
            </w:r>
          </w:p>
        </w:tc>
        <w:tc>
          <w:tcPr>
            <w:tcW w:w="1233" w:type="dxa"/>
          </w:tcPr>
          <w:p w14:paraId="4BE04743">
            <w:pPr>
              <w:widowControl/>
              <w:jc w:val="center"/>
              <w:rPr>
                <w:rFonts w:ascii="宋体" w:hAnsi="宋体" w:cs="宋体"/>
                <w:b/>
                <w:bCs/>
                <w:sz w:val="22"/>
              </w:rPr>
            </w:pPr>
            <w:r>
              <w:rPr>
                <w:rFonts w:hint="eastAsia" w:ascii="宋体" w:hAnsi="宋体" w:cs="宋体"/>
                <w:sz w:val="22"/>
              </w:rPr>
              <w:t>定值电枪</w:t>
            </w:r>
          </w:p>
        </w:tc>
        <w:tc>
          <w:tcPr>
            <w:tcW w:w="885" w:type="dxa"/>
            <w:vAlign w:val="center"/>
          </w:tcPr>
          <w:p w14:paraId="5494A4B5">
            <w:pPr>
              <w:widowControl/>
              <w:jc w:val="center"/>
              <w:rPr>
                <w:rFonts w:ascii="宋体" w:hAnsi="宋体" w:cs="宋体"/>
                <w:b/>
                <w:bCs/>
                <w:sz w:val="22"/>
              </w:rPr>
            </w:pPr>
            <w:r>
              <w:rPr>
                <w:rFonts w:hint="eastAsia" w:ascii="宋体" w:hAnsi="宋体" w:cs="宋体"/>
                <w:kern w:val="0"/>
                <w:sz w:val="22"/>
              </w:rPr>
              <w:t>套</w:t>
            </w:r>
          </w:p>
        </w:tc>
        <w:tc>
          <w:tcPr>
            <w:tcW w:w="754" w:type="dxa"/>
          </w:tcPr>
          <w:p w14:paraId="2EAC7432">
            <w:pPr>
              <w:widowControl/>
              <w:jc w:val="center"/>
              <w:rPr>
                <w:rFonts w:ascii="宋体" w:hAnsi="宋体" w:cs="宋体"/>
                <w:sz w:val="22"/>
              </w:rPr>
            </w:pPr>
            <w:r>
              <w:rPr>
                <w:rFonts w:hint="eastAsia" w:ascii="宋体" w:hAnsi="宋体" w:cs="宋体"/>
                <w:kern w:val="0"/>
                <w:sz w:val="22"/>
                <w:lang w:bidi="ar"/>
              </w:rPr>
              <w:t>46</w:t>
            </w:r>
          </w:p>
        </w:tc>
        <w:tc>
          <w:tcPr>
            <w:tcW w:w="2223" w:type="dxa"/>
          </w:tcPr>
          <w:p w14:paraId="50BA4209">
            <w:pPr>
              <w:widowControl/>
              <w:jc w:val="center"/>
              <w:rPr>
                <w:rFonts w:ascii="宋体" w:hAnsi="宋体" w:cs="宋体"/>
                <w:b/>
                <w:bCs/>
                <w:sz w:val="22"/>
              </w:rPr>
            </w:pPr>
            <w:r>
              <w:rPr>
                <w:rFonts w:hint="eastAsia" w:ascii="宋体" w:hAnsi="宋体" w:cs="宋体"/>
                <w:kern w:val="0"/>
                <w:sz w:val="22"/>
                <w:lang w:bidi="ar"/>
              </w:rPr>
              <w:t>济南卡车制造公司</w:t>
            </w:r>
          </w:p>
        </w:tc>
        <w:tc>
          <w:tcPr>
            <w:tcW w:w="1043" w:type="dxa"/>
            <w:vMerge w:val="restart"/>
          </w:tcPr>
          <w:p w14:paraId="4AD5F6EA">
            <w:pPr>
              <w:spacing w:line="360" w:lineRule="auto"/>
              <w:rPr>
                <w:rFonts w:ascii="宋体" w:hAnsi="宋体" w:cs="宋体"/>
                <w:b/>
                <w:bCs/>
                <w:sz w:val="22"/>
              </w:rPr>
            </w:pPr>
            <w:r>
              <w:rPr>
                <w:rFonts w:hint="eastAsia" w:ascii="宋体" w:hAnsi="宋体" w:cs="宋体"/>
                <w:kern w:val="0"/>
                <w:sz w:val="22"/>
              </w:rPr>
              <w:t>交钥匙</w:t>
            </w:r>
          </w:p>
        </w:tc>
        <w:tc>
          <w:tcPr>
            <w:tcW w:w="2094" w:type="dxa"/>
          </w:tcPr>
          <w:p w14:paraId="775B5D52">
            <w:pPr>
              <w:rPr>
                <w:rFonts w:ascii="宋体" w:hAnsi="宋体" w:eastAsia="宋体" w:cs="宋体"/>
                <w:b/>
                <w:bCs/>
                <w:sz w:val="22"/>
              </w:rPr>
            </w:pPr>
            <w:r>
              <w:rPr>
                <w:rFonts w:hint="eastAsia" w:ascii="宋体" w:hAnsi="宋体" w:cs="宋体"/>
                <w:kern w:val="0"/>
                <w:sz w:val="22"/>
                <w:lang w:bidi="ar"/>
              </w:rPr>
              <w:t>传感器式2把，离合器式44把；各包分别报价</w:t>
            </w:r>
          </w:p>
        </w:tc>
      </w:tr>
      <w:tr w14:paraId="0FCDE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05" w:type="dxa"/>
            <w:vAlign w:val="center"/>
          </w:tcPr>
          <w:p w14:paraId="1B506FD1">
            <w:pPr>
              <w:widowControl/>
              <w:jc w:val="center"/>
              <w:rPr>
                <w:rFonts w:ascii="宋体" w:hAnsi="宋体" w:cs="宋体"/>
                <w:b/>
                <w:bCs/>
                <w:sz w:val="22"/>
              </w:rPr>
            </w:pPr>
            <w:r>
              <w:rPr>
                <w:rFonts w:hint="eastAsia" w:ascii="宋体" w:hAnsi="宋体" w:cs="宋体"/>
                <w:kern w:val="0"/>
                <w:sz w:val="22"/>
              </w:rPr>
              <w:t>2</w:t>
            </w:r>
          </w:p>
        </w:tc>
        <w:tc>
          <w:tcPr>
            <w:tcW w:w="1233" w:type="dxa"/>
          </w:tcPr>
          <w:p w14:paraId="086ADC14">
            <w:pPr>
              <w:widowControl/>
              <w:jc w:val="center"/>
              <w:rPr>
                <w:rFonts w:ascii="宋体" w:hAnsi="宋体" w:cs="宋体"/>
                <w:b/>
                <w:bCs/>
                <w:sz w:val="22"/>
              </w:rPr>
            </w:pPr>
            <w:r>
              <w:rPr>
                <w:rFonts w:hint="eastAsia" w:ascii="宋体" w:hAnsi="宋体" w:cs="宋体"/>
                <w:sz w:val="22"/>
              </w:rPr>
              <w:t>定值电枪</w:t>
            </w:r>
          </w:p>
        </w:tc>
        <w:tc>
          <w:tcPr>
            <w:tcW w:w="885" w:type="dxa"/>
            <w:vAlign w:val="center"/>
          </w:tcPr>
          <w:p w14:paraId="0D50C419">
            <w:pPr>
              <w:widowControl/>
              <w:jc w:val="center"/>
              <w:rPr>
                <w:rFonts w:ascii="宋体" w:hAnsi="宋体" w:cs="宋体"/>
                <w:b/>
                <w:bCs/>
                <w:sz w:val="22"/>
              </w:rPr>
            </w:pPr>
            <w:r>
              <w:rPr>
                <w:rFonts w:hint="eastAsia" w:ascii="宋体" w:hAnsi="宋体" w:cs="宋体"/>
                <w:kern w:val="0"/>
                <w:sz w:val="22"/>
              </w:rPr>
              <w:t>套</w:t>
            </w:r>
          </w:p>
        </w:tc>
        <w:tc>
          <w:tcPr>
            <w:tcW w:w="754" w:type="dxa"/>
          </w:tcPr>
          <w:p w14:paraId="06ABCB5E">
            <w:pPr>
              <w:widowControl/>
              <w:jc w:val="center"/>
              <w:rPr>
                <w:rFonts w:ascii="宋体" w:hAnsi="宋体" w:cs="宋体"/>
                <w:sz w:val="22"/>
              </w:rPr>
            </w:pPr>
            <w:r>
              <w:rPr>
                <w:rFonts w:hint="eastAsia" w:ascii="宋体" w:hAnsi="宋体" w:cs="宋体"/>
                <w:kern w:val="0"/>
                <w:sz w:val="22"/>
                <w:lang w:bidi="ar"/>
              </w:rPr>
              <w:t>24</w:t>
            </w:r>
          </w:p>
        </w:tc>
        <w:tc>
          <w:tcPr>
            <w:tcW w:w="2223" w:type="dxa"/>
          </w:tcPr>
          <w:p w14:paraId="412E93D5">
            <w:pPr>
              <w:widowControl/>
              <w:jc w:val="center"/>
              <w:rPr>
                <w:rFonts w:ascii="宋体" w:hAnsi="宋体" w:cs="宋体"/>
                <w:kern w:val="0"/>
                <w:sz w:val="22"/>
              </w:rPr>
            </w:pPr>
            <w:r>
              <w:rPr>
                <w:rFonts w:hint="eastAsia" w:ascii="宋体" w:hAnsi="宋体" w:cs="宋体"/>
                <w:sz w:val="22"/>
              </w:rPr>
              <w:t>济南商用车制造公司</w:t>
            </w:r>
          </w:p>
        </w:tc>
        <w:tc>
          <w:tcPr>
            <w:tcW w:w="1043" w:type="dxa"/>
            <w:vMerge w:val="continue"/>
          </w:tcPr>
          <w:p w14:paraId="3FF98104">
            <w:pPr>
              <w:spacing w:line="360" w:lineRule="auto"/>
              <w:rPr>
                <w:rFonts w:ascii="宋体" w:hAnsi="宋体" w:cs="宋体"/>
                <w:b/>
                <w:bCs/>
                <w:sz w:val="22"/>
              </w:rPr>
            </w:pPr>
          </w:p>
        </w:tc>
        <w:tc>
          <w:tcPr>
            <w:tcW w:w="2094" w:type="dxa"/>
          </w:tcPr>
          <w:p w14:paraId="5848BF07">
            <w:pPr>
              <w:rPr>
                <w:rFonts w:ascii="宋体" w:hAnsi="宋体" w:cs="宋体"/>
                <w:kern w:val="0"/>
                <w:sz w:val="22"/>
                <w:lang w:bidi="ar"/>
              </w:rPr>
            </w:pPr>
            <w:r>
              <w:rPr>
                <w:rFonts w:hint="eastAsia" w:ascii="宋体" w:hAnsi="宋体" w:cs="宋体"/>
                <w:kern w:val="0"/>
                <w:sz w:val="22"/>
                <w:lang w:bidi="ar"/>
              </w:rPr>
              <w:t>传感器式4把，离合器式20把；各包分别报价</w:t>
            </w:r>
          </w:p>
        </w:tc>
      </w:tr>
      <w:tr w14:paraId="2571C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05" w:type="dxa"/>
            <w:vAlign w:val="center"/>
          </w:tcPr>
          <w:p w14:paraId="7A91DB05">
            <w:pPr>
              <w:widowControl/>
              <w:jc w:val="center"/>
              <w:rPr>
                <w:rFonts w:ascii="宋体" w:hAnsi="宋体" w:cs="宋体"/>
                <w:kern w:val="0"/>
                <w:sz w:val="22"/>
              </w:rPr>
            </w:pPr>
            <w:r>
              <w:rPr>
                <w:rFonts w:hint="eastAsia" w:ascii="宋体" w:hAnsi="宋体" w:cs="宋体"/>
                <w:kern w:val="0"/>
                <w:sz w:val="22"/>
              </w:rPr>
              <w:t>3</w:t>
            </w:r>
          </w:p>
        </w:tc>
        <w:tc>
          <w:tcPr>
            <w:tcW w:w="1233" w:type="dxa"/>
          </w:tcPr>
          <w:p w14:paraId="681C928B">
            <w:pPr>
              <w:widowControl/>
              <w:jc w:val="center"/>
              <w:rPr>
                <w:rFonts w:ascii="宋体" w:hAnsi="宋体" w:cs="宋体"/>
                <w:kern w:val="0"/>
                <w:sz w:val="22"/>
                <w:lang w:bidi="ar"/>
              </w:rPr>
            </w:pPr>
            <w:r>
              <w:rPr>
                <w:rFonts w:hint="eastAsia" w:ascii="宋体" w:hAnsi="宋体" w:cs="宋体"/>
                <w:sz w:val="22"/>
              </w:rPr>
              <w:t>定值电枪</w:t>
            </w:r>
          </w:p>
        </w:tc>
        <w:tc>
          <w:tcPr>
            <w:tcW w:w="885" w:type="dxa"/>
            <w:vAlign w:val="center"/>
          </w:tcPr>
          <w:p w14:paraId="044EB2B4">
            <w:pPr>
              <w:widowControl/>
              <w:jc w:val="center"/>
              <w:rPr>
                <w:rFonts w:ascii="宋体" w:hAnsi="宋体" w:cs="宋体"/>
                <w:kern w:val="0"/>
                <w:sz w:val="22"/>
              </w:rPr>
            </w:pPr>
            <w:r>
              <w:rPr>
                <w:rFonts w:hint="eastAsia" w:ascii="宋体" w:hAnsi="宋体" w:cs="宋体"/>
                <w:kern w:val="0"/>
                <w:sz w:val="22"/>
              </w:rPr>
              <w:t>套</w:t>
            </w:r>
          </w:p>
        </w:tc>
        <w:tc>
          <w:tcPr>
            <w:tcW w:w="754" w:type="dxa"/>
          </w:tcPr>
          <w:p w14:paraId="2A7DFF67">
            <w:pPr>
              <w:widowControl/>
              <w:jc w:val="center"/>
              <w:rPr>
                <w:rFonts w:ascii="宋体" w:hAnsi="宋体" w:cs="宋体"/>
                <w:sz w:val="22"/>
              </w:rPr>
            </w:pPr>
            <w:r>
              <w:rPr>
                <w:rFonts w:hint="eastAsia" w:ascii="宋体" w:hAnsi="宋体" w:cs="宋体"/>
                <w:sz w:val="22"/>
              </w:rPr>
              <w:t>88</w:t>
            </w:r>
          </w:p>
        </w:tc>
        <w:tc>
          <w:tcPr>
            <w:tcW w:w="2223" w:type="dxa"/>
          </w:tcPr>
          <w:p w14:paraId="441EE398">
            <w:pPr>
              <w:widowControl/>
              <w:jc w:val="center"/>
              <w:rPr>
                <w:rFonts w:ascii="宋体" w:hAnsi="宋体" w:cs="宋体"/>
                <w:kern w:val="0"/>
                <w:sz w:val="22"/>
              </w:rPr>
            </w:pPr>
            <w:r>
              <w:rPr>
                <w:rFonts w:hint="eastAsia" w:ascii="宋体" w:hAnsi="宋体" w:cs="宋体"/>
                <w:sz w:val="22"/>
              </w:rPr>
              <w:t>济宁商用车公司</w:t>
            </w:r>
          </w:p>
        </w:tc>
        <w:tc>
          <w:tcPr>
            <w:tcW w:w="1043" w:type="dxa"/>
            <w:vMerge w:val="continue"/>
          </w:tcPr>
          <w:p w14:paraId="438977DB">
            <w:pPr>
              <w:spacing w:line="360" w:lineRule="auto"/>
              <w:rPr>
                <w:rFonts w:ascii="宋体" w:hAnsi="宋体" w:cs="宋体"/>
                <w:b/>
                <w:bCs/>
                <w:sz w:val="22"/>
              </w:rPr>
            </w:pPr>
          </w:p>
        </w:tc>
        <w:tc>
          <w:tcPr>
            <w:tcW w:w="2094" w:type="dxa"/>
          </w:tcPr>
          <w:p w14:paraId="6A94559E">
            <w:pPr>
              <w:rPr>
                <w:rFonts w:ascii="宋体" w:hAnsi="宋体" w:cs="宋体"/>
                <w:kern w:val="0"/>
                <w:sz w:val="22"/>
                <w:lang w:bidi="ar"/>
              </w:rPr>
            </w:pPr>
            <w:r>
              <w:rPr>
                <w:rFonts w:hint="eastAsia" w:ascii="宋体" w:hAnsi="宋体" w:cs="宋体"/>
                <w:kern w:val="0"/>
                <w:sz w:val="22"/>
                <w:lang w:bidi="ar"/>
              </w:rPr>
              <w:t>传感器式5把，离合器式83把；各包分别报价</w:t>
            </w:r>
          </w:p>
        </w:tc>
      </w:tr>
      <w:tr w14:paraId="5C7B7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05" w:type="dxa"/>
            <w:vAlign w:val="center"/>
          </w:tcPr>
          <w:p w14:paraId="727CDE1B">
            <w:pPr>
              <w:widowControl/>
              <w:jc w:val="center"/>
              <w:rPr>
                <w:rFonts w:ascii="宋体" w:hAnsi="宋体" w:cs="宋体"/>
                <w:kern w:val="0"/>
                <w:sz w:val="22"/>
              </w:rPr>
            </w:pPr>
            <w:r>
              <w:rPr>
                <w:rFonts w:hint="eastAsia" w:ascii="宋体" w:hAnsi="宋体" w:cs="宋体"/>
                <w:kern w:val="0"/>
                <w:sz w:val="22"/>
              </w:rPr>
              <w:t>4</w:t>
            </w:r>
          </w:p>
        </w:tc>
        <w:tc>
          <w:tcPr>
            <w:tcW w:w="1233" w:type="dxa"/>
          </w:tcPr>
          <w:p w14:paraId="35956FC8">
            <w:pPr>
              <w:widowControl/>
              <w:jc w:val="center"/>
              <w:rPr>
                <w:rFonts w:ascii="宋体" w:hAnsi="宋体" w:cs="宋体"/>
                <w:kern w:val="0"/>
                <w:sz w:val="22"/>
                <w:lang w:bidi="ar"/>
              </w:rPr>
            </w:pPr>
            <w:r>
              <w:rPr>
                <w:rFonts w:hint="eastAsia" w:ascii="宋体" w:hAnsi="宋体" w:cs="宋体"/>
                <w:sz w:val="22"/>
              </w:rPr>
              <w:t>定值电枪</w:t>
            </w:r>
          </w:p>
        </w:tc>
        <w:tc>
          <w:tcPr>
            <w:tcW w:w="885" w:type="dxa"/>
            <w:vAlign w:val="center"/>
          </w:tcPr>
          <w:p w14:paraId="38FC2A32">
            <w:pPr>
              <w:widowControl/>
              <w:jc w:val="center"/>
              <w:rPr>
                <w:rFonts w:ascii="宋体" w:hAnsi="宋体" w:cs="宋体"/>
                <w:kern w:val="0"/>
                <w:sz w:val="22"/>
              </w:rPr>
            </w:pPr>
            <w:r>
              <w:rPr>
                <w:rFonts w:hint="eastAsia" w:ascii="宋体" w:hAnsi="宋体" w:cs="宋体"/>
                <w:kern w:val="0"/>
                <w:sz w:val="22"/>
              </w:rPr>
              <w:t>套</w:t>
            </w:r>
          </w:p>
        </w:tc>
        <w:tc>
          <w:tcPr>
            <w:tcW w:w="754" w:type="dxa"/>
          </w:tcPr>
          <w:p w14:paraId="1807D14D">
            <w:pPr>
              <w:widowControl/>
              <w:jc w:val="center"/>
              <w:rPr>
                <w:rFonts w:ascii="宋体" w:hAnsi="宋体" w:cs="宋体"/>
                <w:sz w:val="22"/>
              </w:rPr>
            </w:pPr>
            <w:r>
              <w:rPr>
                <w:rFonts w:hint="eastAsia" w:ascii="宋体" w:hAnsi="宋体" w:cs="宋体"/>
                <w:sz w:val="22"/>
              </w:rPr>
              <w:t>15</w:t>
            </w:r>
          </w:p>
        </w:tc>
        <w:tc>
          <w:tcPr>
            <w:tcW w:w="2223" w:type="dxa"/>
          </w:tcPr>
          <w:p w14:paraId="065C5864">
            <w:pPr>
              <w:widowControl/>
              <w:jc w:val="center"/>
              <w:rPr>
                <w:rFonts w:ascii="宋体" w:hAnsi="宋体" w:cs="宋体"/>
                <w:kern w:val="0"/>
                <w:sz w:val="22"/>
              </w:rPr>
            </w:pPr>
            <w:r>
              <w:rPr>
                <w:rFonts w:hint="eastAsia" w:ascii="宋体" w:hAnsi="宋体" w:cs="宋体"/>
                <w:sz w:val="22"/>
              </w:rPr>
              <w:t>济南轻卡制造公司</w:t>
            </w:r>
          </w:p>
        </w:tc>
        <w:tc>
          <w:tcPr>
            <w:tcW w:w="1043" w:type="dxa"/>
            <w:vMerge w:val="continue"/>
          </w:tcPr>
          <w:p w14:paraId="3EF60E4A">
            <w:pPr>
              <w:spacing w:line="360" w:lineRule="auto"/>
              <w:rPr>
                <w:rFonts w:ascii="宋体" w:hAnsi="宋体" w:cs="宋体"/>
                <w:b/>
                <w:bCs/>
                <w:sz w:val="22"/>
              </w:rPr>
            </w:pPr>
          </w:p>
        </w:tc>
        <w:tc>
          <w:tcPr>
            <w:tcW w:w="2094" w:type="dxa"/>
          </w:tcPr>
          <w:p w14:paraId="3AB8BB1D">
            <w:pPr>
              <w:rPr>
                <w:rFonts w:ascii="宋体" w:hAnsi="宋体" w:cs="宋体"/>
                <w:kern w:val="0"/>
                <w:sz w:val="22"/>
                <w:lang w:bidi="ar"/>
              </w:rPr>
            </w:pPr>
            <w:r>
              <w:rPr>
                <w:rFonts w:hint="eastAsia" w:ascii="宋体" w:hAnsi="宋体" w:cs="宋体"/>
                <w:kern w:val="0"/>
                <w:sz w:val="22"/>
                <w:lang w:bidi="ar"/>
              </w:rPr>
              <w:t>离合器式15把；各包分别报价</w:t>
            </w:r>
          </w:p>
        </w:tc>
      </w:tr>
      <w:tr w14:paraId="3A4EE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805" w:type="dxa"/>
            <w:vAlign w:val="center"/>
          </w:tcPr>
          <w:p w14:paraId="48BF6A0F">
            <w:pPr>
              <w:widowControl/>
              <w:jc w:val="center"/>
              <w:rPr>
                <w:rFonts w:ascii="宋体" w:hAnsi="宋体" w:cs="宋体"/>
                <w:kern w:val="0"/>
                <w:sz w:val="22"/>
              </w:rPr>
            </w:pPr>
            <w:r>
              <w:rPr>
                <w:rFonts w:hint="eastAsia" w:ascii="宋体" w:hAnsi="宋体" w:cs="宋体"/>
                <w:kern w:val="0"/>
                <w:sz w:val="22"/>
              </w:rPr>
              <w:t>5</w:t>
            </w:r>
          </w:p>
        </w:tc>
        <w:tc>
          <w:tcPr>
            <w:tcW w:w="1233" w:type="dxa"/>
          </w:tcPr>
          <w:p w14:paraId="21BA713E">
            <w:pPr>
              <w:widowControl/>
              <w:jc w:val="center"/>
              <w:rPr>
                <w:rFonts w:ascii="宋体" w:hAnsi="宋体" w:cs="宋体"/>
                <w:kern w:val="0"/>
                <w:sz w:val="22"/>
                <w:lang w:bidi="ar"/>
              </w:rPr>
            </w:pPr>
            <w:r>
              <w:rPr>
                <w:rFonts w:hint="eastAsia" w:ascii="宋体" w:hAnsi="宋体" w:cs="宋体"/>
                <w:sz w:val="22"/>
              </w:rPr>
              <w:t>定值电枪</w:t>
            </w:r>
          </w:p>
        </w:tc>
        <w:tc>
          <w:tcPr>
            <w:tcW w:w="885" w:type="dxa"/>
          </w:tcPr>
          <w:p w14:paraId="15D422CF">
            <w:pPr>
              <w:widowControl/>
              <w:jc w:val="center"/>
              <w:rPr>
                <w:rFonts w:ascii="宋体" w:hAnsi="宋体" w:cs="宋体"/>
                <w:kern w:val="0"/>
                <w:sz w:val="22"/>
              </w:rPr>
            </w:pPr>
            <w:r>
              <w:rPr>
                <w:rFonts w:hint="eastAsia" w:ascii="宋体" w:hAnsi="宋体" w:cs="宋体"/>
                <w:kern w:val="0"/>
                <w:sz w:val="22"/>
              </w:rPr>
              <w:t>套</w:t>
            </w:r>
          </w:p>
        </w:tc>
        <w:tc>
          <w:tcPr>
            <w:tcW w:w="754" w:type="dxa"/>
          </w:tcPr>
          <w:p w14:paraId="72F149F7">
            <w:pPr>
              <w:widowControl/>
              <w:jc w:val="center"/>
              <w:rPr>
                <w:rFonts w:ascii="宋体" w:hAnsi="宋体" w:cs="宋体"/>
                <w:sz w:val="22"/>
              </w:rPr>
            </w:pPr>
            <w:r>
              <w:rPr>
                <w:rFonts w:hint="eastAsia" w:ascii="宋体" w:hAnsi="宋体" w:cs="宋体"/>
                <w:sz w:val="22"/>
              </w:rPr>
              <w:t>2</w:t>
            </w:r>
          </w:p>
        </w:tc>
        <w:tc>
          <w:tcPr>
            <w:tcW w:w="2223" w:type="dxa"/>
          </w:tcPr>
          <w:p w14:paraId="592D15A7">
            <w:pPr>
              <w:widowControl/>
              <w:jc w:val="center"/>
              <w:rPr>
                <w:rFonts w:ascii="宋体" w:hAnsi="宋体" w:cs="宋体"/>
                <w:kern w:val="0"/>
                <w:sz w:val="22"/>
              </w:rPr>
            </w:pPr>
            <w:r>
              <w:rPr>
                <w:rFonts w:hint="eastAsia" w:ascii="宋体" w:hAnsi="宋体" w:cs="宋体"/>
                <w:sz w:val="22"/>
              </w:rPr>
              <w:t>杭发公司</w:t>
            </w:r>
          </w:p>
        </w:tc>
        <w:tc>
          <w:tcPr>
            <w:tcW w:w="1043" w:type="dxa"/>
            <w:vMerge w:val="continue"/>
          </w:tcPr>
          <w:p w14:paraId="782FEC21">
            <w:pPr>
              <w:spacing w:line="360" w:lineRule="auto"/>
              <w:rPr>
                <w:rFonts w:ascii="宋体" w:hAnsi="宋体" w:cs="宋体"/>
                <w:b/>
                <w:bCs/>
                <w:sz w:val="22"/>
              </w:rPr>
            </w:pPr>
          </w:p>
        </w:tc>
        <w:tc>
          <w:tcPr>
            <w:tcW w:w="2094" w:type="dxa"/>
          </w:tcPr>
          <w:p w14:paraId="20DF4A0A">
            <w:pPr>
              <w:rPr>
                <w:rFonts w:ascii="宋体" w:hAnsi="宋体" w:cs="宋体"/>
                <w:kern w:val="0"/>
                <w:sz w:val="22"/>
                <w:lang w:bidi="ar"/>
              </w:rPr>
            </w:pPr>
            <w:r>
              <w:rPr>
                <w:rFonts w:hint="eastAsia" w:ascii="宋体" w:hAnsi="宋体" w:cs="宋体"/>
                <w:kern w:val="0"/>
                <w:sz w:val="22"/>
                <w:lang w:bidi="ar"/>
              </w:rPr>
              <w:t>离合器式2把；各包分别报价</w:t>
            </w:r>
          </w:p>
        </w:tc>
      </w:tr>
    </w:tbl>
    <w:p w14:paraId="16840318">
      <w:pPr>
        <w:widowControl/>
        <w:spacing w:line="360" w:lineRule="auto"/>
        <w:ind w:firstLine="480" w:firstLineChars="200"/>
        <w:rPr>
          <w:rFonts w:hint="eastAsia" w:ascii="宋体" w:hAnsi="宋体" w:eastAsia="宋体" w:cs="宋体"/>
          <w:i w:val="0"/>
          <w:iCs w:val="0"/>
          <w:caps w:val="0"/>
          <w:color w:val="333333"/>
          <w:spacing w:val="0"/>
          <w:sz w:val="24"/>
          <w:szCs w:val="24"/>
          <w:shd w:val="clear" w:fill="FFFFFF"/>
        </w:rPr>
      </w:pPr>
    </w:p>
    <w:p w14:paraId="661D956B">
      <w:pPr>
        <w:widowControl/>
        <w:spacing w:line="360" w:lineRule="auto"/>
        <w:rPr>
          <w:rFonts w:hint="eastAsia" w:ascii="宋体" w:hAnsi="宋体" w:eastAsia="宋体" w:cs="宋体"/>
          <w:i w:val="0"/>
          <w:iCs w:val="0"/>
          <w:caps w:val="0"/>
          <w:color w:val="333333"/>
          <w:spacing w:val="0"/>
          <w:sz w:val="24"/>
          <w:szCs w:val="24"/>
          <w:shd w:val="clear" w:fill="FFFFFF"/>
        </w:rPr>
      </w:pPr>
    </w:p>
    <w:p w14:paraId="2E378493">
      <w:pPr>
        <w:widowControl/>
        <w:spacing w:line="360" w:lineRule="auto"/>
        <w:ind w:firstLine="480" w:firstLineChars="200"/>
        <w:rPr>
          <w:rFonts w:hint="eastAsia" w:ascii="宋体" w:cs="宋体"/>
          <w:sz w:val="24"/>
          <w:lang w:bidi="ar"/>
        </w:rPr>
      </w:pPr>
      <w:r>
        <w:rPr>
          <w:rFonts w:hint="eastAsia" w:ascii="宋体" w:cs="宋体"/>
          <w:sz w:val="24"/>
          <w:lang w:val="en-US" w:eastAsia="zh-CN" w:bidi="ar"/>
        </w:rPr>
        <w:t>5、预算金额：</w:t>
      </w:r>
    </w:p>
    <w:p w14:paraId="3407A00D">
      <w:pPr>
        <w:widowControl/>
        <w:spacing w:line="360" w:lineRule="auto"/>
        <w:ind w:firstLine="480" w:firstLineChars="200"/>
        <w:rPr>
          <w:rFonts w:hint="eastAsia" w:ascii="宋体" w:cs="宋体"/>
          <w:sz w:val="24"/>
          <w:lang w:bidi="ar"/>
        </w:rPr>
      </w:pPr>
      <w:r>
        <w:rPr>
          <w:rFonts w:hint="eastAsia" w:ascii="宋体" w:hAnsi="宋体" w:eastAsia="宋体" w:cs="宋体"/>
          <w:i w:val="0"/>
          <w:iCs w:val="0"/>
          <w:caps w:val="0"/>
          <w:color w:val="333333"/>
          <w:spacing w:val="0"/>
          <w:sz w:val="24"/>
          <w:szCs w:val="24"/>
          <w:shd w:val="clear" w:fill="FFFFFF"/>
        </w:rPr>
        <w:t>218.97万元</w:t>
      </w:r>
    </w:p>
    <w:p w14:paraId="383CBD7E">
      <w:pPr>
        <w:widowControl/>
        <w:spacing w:line="360" w:lineRule="auto"/>
        <w:ind w:left="239" w:leftChars="114" w:firstLine="241" w:firstLineChars="100"/>
        <w:rPr>
          <w:rFonts w:hint="eastAsia" w:ascii="宋体" w:cs="宋体"/>
          <w:sz w:val="24"/>
          <w:lang w:bidi="ar"/>
        </w:rPr>
      </w:pPr>
      <w:r>
        <w:rPr>
          <w:rFonts w:hint="eastAsia" w:asciiTheme="majorEastAsia" w:hAnsiTheme="majorEastAsia" w:eastAsiaTheme="majorEastAsia" w:cstheme="majorEastAsia"/>
          <w:b/>
          <w:bCs/>
          <w:sz w:val="24"/>
          <w:szCs w:val="24"/>
        </w:rPr>
        <w:t xml:space="preserve">供应商资格条件  </w:t>
      </w:r>
      <w:r>
        <w:rPr>
          <w:rFonts w:hint="eastAsia" w:asciiTheme="majorEastAsia" w:hAnsiTheme="majorEastAsia" w:eastAsiaTheme="majorEastAsia" w:cstheme="majorEastAsia"/>
          <w:sz w:val="24"/>
          <w:szCs w:val="24"/>
        </w:rPr>
        <w:t xml:space="preserve"> </w:t>
      </w:r>
      <w:r>
        <w:rPr>
          <w:rFonts w:ascii="宋体" w:hAnsi="宋体" w:eastAsia="宋体" w:cs="宋体"/>
          <w:sz w:val="24"/>
          <w:szCs w:val="24"/>
        </w:rPr>
        <w:br w:type="textWrapping"/>
      </w:r>
      <w:r>
        <w:rPr>
          <w:rFonts w:hint="eastAsia" w:ascii="宋体" w:cs="宋体"/>
          <w:sz w:val="24"/>
          <w:lang w:bidi="ar"/>
        </w:rPr>
        <w:t>1拟标投人必须是在中华人民共和国境内注册的独立法人机构，具有独立承担民事责任能力；注册资金不少于300万人民币（或等值其他货币）；公司成立三年以上（以营业执照成立日期到开标当日满三年为准），且经营范围满足招标人需求；并在人员、设备、资金等方面具有承担本项目的能力；</w:t>
      </w:r>
    </w:p>
    <w:p w14:paraId="44094BE5">
      <w:pPr>
        <w:widowControl/>
        <w:spacing w:line="360" w:lineRule="auto"/>
        <w:ind w:firstLine="480" w:firstLineChars="200"/>
        <w:rPr>
          <w:rFonts w:hint="eastAsia" w:ascii="宋体" w:cs="宋体"/>
          <w:sz w:val="24"/>
          <w:lang w:bidi="ar"/>
        </w:rPr>
      </w:pPr>
      <w:r>
        <w:rPr>
          <w:rFonts w:hint="eastAsia" w:ascii="宋体" w:cs="宋体"/>
          <w:sz w:val="24"/>
          <w:lang w:bidi="ar"/>
        </w:rPr>
        <w:t xml:space="preserve">    2拟投标人应提供营业执照副本复印件（需加盖公章）；</w:t>
      </w:r>
    </w:p>
    <w:p w14:paraId="2B81B047">
      <w:pPr>
        <w:widowControl/>
        <w:spacing w:line="360" w:lineRule="auto"/>
        <w:ind w:firstLine="480" w:firstLineChars="200"/>
        <w:rPr>
          <w:rFonts w:hint="eastAsia" w:ascii="宋体" w:cs="宋体"/>
          <w:sz w:val="24"/>
          <w:lang w:bidi="ar"/>
        </w:rPr>
      </w:pPr>
      <w:r>
        <w:rPr>
          <w:rFonts w:hint="eastAsia" w:ascii="宋体" w:cs="宋体"/>
          <w:sz w:val="24"/>
          <w:lang w:bidi="ar"/>
        </w:rPr>
        <w:t xml:space="preserve">    3拟投标人应提供法定代表人资格证明文件；</w:t>
      </w:r>
    </w:p>
    <w:p w14:paraId="7D0779FF">
      <w:pPr>
        <w:widowControl/>
        <w:spacing w:line="360" w:lineRule="auto"/>
        <w:ind w:firstLine="480" w:firstLineChars="200"/>
        <w:rPr>
          <w:rFonts w:hint="eastAsia" w:ascii="宋体" w:cs="宋体"/>
          <w:sz w:val="24"/>
          <w:lang w:bidi="ar"/>
        </w:rPr>
      </w:pPr>
      <w:r>
        <w:rPr>
          <w:rFonts w:hint="eastAsia" w:ascii="宋体" w:cs="宋体"/>
          <w:sz w:val="24"/>
          <w:lang w:bidi="ar"/>
        </w:rPr>
        <w:t xml:space="preserve">    4拟投标人在国家市场监督管理总局的《国家企业信用信息公示系统》中查询不存在不良记录；</w:t>
      </w:r>
    </w:p>
    <w:p w14:paraId="0E7B84DE">
      <w:pPr>
        <w:widowControl/>
        <w:spacing w:line="360" w:lineRule="auto"/>
        <w:ind w:firstLine="480" w:firstLineChars="200"/>
        <w:rPr>
          <w:rFonts w:hint="eastAsia" w:ascii="宋体" w:cs="宋体"/>
          <w:sz w:val="24"/>
          <w:lang w:bidi="ar"/>
        </w:rPr>
      </w:pPr>
      <w:r>
        <w:rPr>
          <w:rFonts w:hint="eastAsia" w:ascii="宋体" w:cs="宋体"/>
          <w:sz w:val="24"/>
          <w:lang w:bidi="ar"/>
        </w:rPr>
        <w:t xml:space="preserve">    5拟投标人不存在严重违规或被列入招标人“黑名单”的声明；</w:t>
      </w:r>
    </w:p>
    <w:p w14:paraId="1780BD6A">
      <w:pPr>
        <w:widowControl/>
        <w:spacing w:line="360" w:lineRule="auto"/>
        <w:ind w:firstLine="480" w:firstLineChars="200"/>
        <w:rPr>
          <w:rFonts w:hint="eastAsia" w:ascii="宋体" w:cs="宋体"/>
          <w:sz w:val="24"/>
          <w:lang w:bidi="ar"/>
        </w:rPr>
      </w:pPr>
      <w:r>
        <w:rPr>
          <w:rFonts w:hint="eastAsia" w:ascii="宋体" w:cs="宋体"/>
          <w:sz w:val="24"/>
          <w:lang w:bidi="ar"/>
        </w:rPr>
        <w:t xml:space="preserve">    6拟投标人2022年1月1日至今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或招标人认可的其他财务证明材料；</w:t>
      </w:r>
    </w:p>
    <w:p w14:paraId="2BFF9E9A">
      <w:pPr>
        <w:widowControl/>
        <w:spacing w:line="360" w:lineRule="auto"/>
        <w:ind w:firstLine="480" w:firstLineChars="200"/>
        <w:rPr>
          <w:rFonts w:hint="eastAsia" w:ascii="宋体" w:cs="宋体"/>
          <w:sz w:val="24"/>
          <w:lang w:bidi="ar"/>
        </w:rPr>
      </w:pPr>
      <w:r>
        <w:rPr>
          <w:rFonts w:hint="eastAsia" w:ascii="宋体" w:cs="宋体"/>
          <w:sz w:val="24"/>
          <w:lang w:bidi="ar"/>
        </w:rPr>
        <w:t xml:space="preserve">    7拟投标人2022年1月1日至今，有与本次招标内容相同或类似项目业绩，且近三年内无因服务不当而造成重大事故；</w:t>
      </w:r>
    </w:p>
    <w:p w14:paraId="55A22E46">
      <w:pPr>
        <w:widowControl/>
        <w:spacing w:line="360" w:lineRule="auto"/>
        <w:ind w:firstLine="480" w:firstLineChars="200"/>
        <w:rPr>
          <w:rFonts w:hint="eastAsia" w:ascii="宋体" w:cs="宋体"/>
          <w:sz w:val="24"/>
          <w:lang w:bidi="ar"/>
        </w:rPr>
      </w:pPr>
      <w:r>
        <w:rPr>
          <w:rFonts w:hint="eastAsia" w:ascii="宋体" w:cs="宋体"/>
          <w:sz w:val="24"/>
          <w:lang w:bidi="ar"/>
        </w:rPr>
        <w:t xml:space="preserve">    8拟投标人近三年内在经营活动中无与本项目有关的违法及重大违规情况；</w:t>
      </w:r>
    </w:p>
    <w:p w14:paraId="56101698">
      <w:pPr>
        <w:widowControl/>
        <w:spacing w:line="360" w:lineRule="auto"/>
        <w:ind w:firstLine="480" w:firstLineChars="200"/>
        <w:rPr>
          <w:rFonts w:hint="eastAsia" w:ascii="宋体" w:cs="宋体"/>
          <w:sz w:val="24"/>
          <w:lang w:bidi="ar"/>
        </w:rPr>
      </w:pPr>
      <w:r>
        <w:rPr>
          <w:rFonts w:hint="eastAsia" w:ascii="宋体" w:cs="宋体"/>
          <w:sz w:val="24"/>
          <w:lang w:bidi="ar"/>
        </w:rPr>
        <w:t xml:space="preserve">    9拟投标人须认可招标人的工作指令，包括节、假日能正常开展工作的要求；</w:t>
      </w:r>
    </w:p>
    <w:p w14:paraId="018CB4EB">
      <w:pPr>
        <w:widowControl/>
        <w:spacing w:line="360" w:lineRule="auto"/>
        <w:ind w:firstLine="480" w:firstLineChars="200"/>
        <w:rPr>
          <w:rFonts w:hint="eastAsia" w:ascii="宋体" w:cs="宋体"/>
          <w:sz w:val="24"/>
          <w:lang w:bidi="ar"/>
        </w:rPr>
      </w:pPr>
      <w:r>
        <w:rPr>
          <w:rFonts w:hint="eastAsia" w:ascii="宋体" w:cs="宋体"/>
          <w:sz w:val="24"/>
          <w:lang w:bidi="ar"/>
        </w:rPr>
        <w:t xml:space="preserve">    10拟投标人最近半年纳税正常或招标人认可的其他财务证明材料；</w:t>
      </w:r>
    </w:p>
    <w:p w14:paraId="154B5018">
      <w:pPr>
        <w:widowControl/>
        <w:spacing w:line="360" w:lineRule="auto"/>
        <w:ind w:firstLine="480" w:firstLineChars="200"/>
        <w:rPr>
          <w:rFonts w:hint="eastAsia" w:ascii="宋体" w:cs="宋体"/>
          <w:sz w:val="24"/>
          <w:lang w:bidi="ar"/>
        </w:rPr>
      </w:pPr>
      <w:r>
        <w:rPr>
          <w:rFonts w:hint="eastAsia" w:ascii="宋体" w:cs="宋体"/>
          <w:sz w:val="24"/>
          <w:lang w:bidi="ar"/>
        </w:rPr>
        <w:t xml:space="preserve">    11拟投标人信用证明材料未显示异常；</w:t>
      </w:r>
    </w:p>
    <w:p w14:paraId="4BB4670A">
      <w:pPr>
        <w:widowControl/>
        <w:spacing w:line="360" w:lineRule="auto"/>
        <w:ind w:firstLine="480" w:firstLineChars="200"/>
        <w:rPr>
          <w:rFonts w:hint="eastAsia" w:ascii="宋体" w:cs="宋体"/>
          <w:sz w:val="24"/>
          <w:lang w:bidi="ar"/>
        </w:rPr>
      </w:pPr>
      <w:r>
        <w:rPr>
          <w:rFonts w:hint="eastAsia" w:ascii="宋体" w:cs="宋体"/>
          <w:sz w:val="24"/>
          <w:lang w:bidi="ar"/>
        </w:rPr>
        <w:t xml:space="preserve">    12拟投标人的直接或间接股东、法定代表人、董事、监事、高管非重汽员工及其亲属；</w:t>
      </w:r>
    </w:p>
    <w:p w14:paraId="401A2771">
      <w:pPr>
        <w:widowControl/>
        <w:spacing w:line="360" w:lineRule="auto"/>
        <w:ind w:firstLine="480" w:firstLineChars="200"/>
        <w:rPr>
          <w:rFonts w:hint="eastAsia" w:ascii="宋体" w:cs="宋体"/>
          <w:sz w:val="24"/>
          <w:lang w:bidi="ar"/>
        </w:rPr>
      </w:pPr>
      <w:r>
        <w:rPr>
          <w:rFonts w:hint="eastAsia" w:ascii="宋体" w:cs="宋体"/>
          <w:sz w:val="24"/>
          <w:lang w:bidi="ar"/>
        </w:rPr>
        <w:t xml:space="preserve">    13本项目要求品牌方直投，不接受联合体投标，拟投标人必须是最终投标单位和签订合同单位，不得以任何理由将已中标项目以任何形式分包或转包给其他单位；</w:t>
      </w:r>
    </w:p>
    <w:p w14:paraId="1E77E592">
      <w:pPr>
        <w:widowControl/>
        <w:spacing w:line="360" w:lineRule="auto"/>
        <w:ind w:firstLine="480" w:firstLineChars="200"/>
        <w:rPr>
          <w:rFonts w:hint="eastAsia" w:ascii="宋体" w:cs="宋体"/>
          <w:sz w:val="24"/>
          <w:lang w:bidi="ar"/>
        </w:rPr>
      </w:pPr>
      <w:r>
        <w:rPr>
          <w:rFonts w:hint="eastAsia" w:ascii="宋体" w:cs="宋体"/>
          <w:sz w:val="24"/>
          <w:lang w:bidi="ar"/>
        </w:rPr>
        <w:t xml:space="preserve">    14与招标人存在利害关系可能影响招标公正性的法人、其他组织或者个人，不得参加投标。</w:t>
      </w:r>
    </w:p>
    <w:p w14:paraId="3661D780">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bCs/>
          <w:sz w:val="24"/>
          <w:szCs w:val="24"/>
          <w:lang w:val="en-US" w:eastAsia="zh-CN"/>
        </w:rPr>
        <w:t>中国重汽e采通，</w:t>
      </w:r>
      <w:r>
        <w:rPr>
          <w:rFonts w:hint="eastAsia" w:asciiTheme="majorEastAsia" w:hAnsiTheme="majorEastAsia" w:eastAsiaTheme="majorEastAsia" w:cstheme="majorEastAsia"/>
          <w:sz w:val="24"/>
          <w:szCs w:val="24"/>
        </w:rPr>
        <w:t xml:space="preserve"> 在e采通应标通过后可查看招标文件。</w:t>
      </w:r>
    </w:p>
    <w:p w14:paraId="3710A1FE">
      <w:pPr>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lang w:val="en-US" w:eastAsia="zh-CN"/>
        </w:rPr>
        <w:t>应标</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截止时间：</w:t>
      </w:r>
      <w:r>
        <w:rPr>
          <w:rFonts w:hint="eastAsia" w:ascii="宋体" w:hAnsi="宋体" w:eastAsia="宋体" w:cs="宋体"/>
          <w:i w:val="0"/>
          <w:iCs w:val="0"/>
          <w:caps w:val="0"/>
          <w:color w:val="333333"/>
          <w:spacing w:val="0"/>
          <w:sz w:val="24"/>
          <w:szCs w:val="24"/>
          <w:shd w:val="clear" w:fill="FFFFFF"/>
        </w:rPr>
        <w:t>2026-03-01 17:00:00</w:t>
      </w:r>
      <w:r>
        <w:rPr>
          <w:rFonts w:hint="eastAsia" w:asciiTheme="majorEastAsia" w:hAnsiTheme="majorEastAsia" w:eastAsiaTheme="majorEastAsia" w:cstheme="majorEastAsia"/>
          <w:sz w:val="24"/>
          <w:szCs w:val="24"/>
          <w:lang w:eastAsia="zh-CN"/>
        </w:rPr>
        <w:t xml:space="preserve"> </w:t>
      </w:r>
    </w:p>
    <w:p w14:paraId="397BE769">
      <w:pPr>
        <w:keepNext w:val="0"/>
        <w:keepLines w:val="0"/>
        <w:pageBreakBefore w:val="0"/>
        <w:widowControl w:val="0"/>
        <w:kinsoku/>
        <w:wordWrap/>
        <w:overflowPunct/>
        <w:topLinePunct w:val="0"/>
        <w:autoSpaceDE/>
        <w:autoSpaceDN/>
        <w:bidi w:val="0"/>
        <w:adjustRightInd/>
        <w:snapToGrid w:val="0"/>
        <w:ind w:firstLine="482" w:firstLineChars="200"/>
        <w:textAlignment w:val="auto"/>
        <w:rPr>
          <w:rFonts w:hint="eastAsia" w:ascii="宋体" w:hAnsi="宋体" w:cs="仿宋"/>
          <w:bCs/>
          <w:sz w:val="21"/>
          <w:szCs w:val="21"/>
          <w:highlight w:val="none"/>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b/>
          <w:bCs/>
          <w:sz w:val="24"/>
          <w:szCs w:val="24"/>
          <w:lang w:val="en-US" w:eastAsia="zh-CN"/>
        </w:rPr>
        <w:t>中国重汽e采通</w:t>
      </w:r>
      <w:r>
        <w:rPr>
          <w:rFonts w:hint="eastAsia" w:ascii="宋体" w:hAnsi="宋体" w:cs="仿宋"/>
          <w:bCs/>
          <w:sz w:val="21"/>
          <w:szCs w:val="21"/>
          <w:highlight w:val="none"/>
          <w:lang w:val="en-US" w:eastAsia="zh-CN"/>
        </w:rPr>
        <w:t>。</w:t>
      </w:r>
    </w:p>
    <w:p w14:paraId="2D1EBA84">
      <w:pPr>
        <w:keepNext w:val="0"/>
        <w:keepLines w:val="0"/>
        <w:pageBreakBefore w:val="0"/>
        <w:widowControl w:val="0"/>
        <w:kinsoku/>
        <w:wordWrap/>
        <w:overflowPunct/>
        <w:topLinePunct w:val="0"/>
        <w:autoSpaceDE/>
        <w:autoSpaceDN/>
        <w:bidi w:val="0"/>
        <w:adjustRightInd/>
        <w:snapToGrid w:val="0"/>
        <w:ind w:firstLine="482" w:firstLineChars="200"/>
        <w:textAlignment w:val="auto"/>
        <w:rPr>
          <w:rFonts w:hint="eastAsia" w:asciiTheme="majorEastAsia" w:hAnsiTheme="majorEastAsia" w:eastAsiaTheme="majorEastAsia" w:cstheme="majorEastAsia"/>
          <w:b/>
          <w:bCs/>
          <w:caps w:val="0"/>
          <w:kern w:val="2"/>
          <w:sz w:val="24"/>
          <w:szCs w:val="24"/>
          <w:lang w:val="en-US" w:eastAsia="zh-CN" w:bidi="ar-SA"/>
        </w:rPr>
      </w:pPr>
      <w:r>
        <w:rPr>
          <w:rFonts w:hint="eastAsia" w:asciiTheme="majorEastAsia" w:hAnsiTheme="majorEastAsia" w:eastAsiaTheme="majorEastAsia" w:cstheme="majorEastAsia"/>
          <w:b/>
          <w:bCs/>
          <w:caps w:val="0"/>
          <w:kern w:val="2"/>
          <w:sz w:val="24"/>
          <w:szCs w:val="24"/>
          <w:lang w:val="en-US" w:eastAsia="zh-CN" w:bidi="ar-SA"/>
        </w:rPr>
        <w:t>4.应标资料要求：</w:t>
      </w:r>
    </w:p>
    <w:p w14:paraId="35E9F76E">
      <w:pPr>
        <w:widowControl/>
        <w:spacing w:line="360" w:lineRule="auto"/>
        <w:ind w:firstLine="480" w:firstLineChars="200"/>
        <w:rPr>
          <w:rFonts w:ascii="宋体" w:cs="宋体"/>
          <w:sz w:val="24"/>
          <w:lang w:bidi="ar"/>
        </w:rPr>
      </w:pPr>
      <w:r>
        <w:rPr>
          <w:rFonts w:hint="eastAsia" w:ascii="宋体" w:cs="宋体"/>
          <w:sz w:val="24"/>
          <w:lang w:bidi="ar"/>
        </w:rPr>
        <w:t>凡有意参加投标者，请于</w:t>
      </w:r>
      <w:r>
        <w:rPr>
          <w:rFonts w:hint="eastAsia" w:ascii="宋体" w:cs="宋体"/>
          <w:sz w:val="24"/>
          <w:lang w:val="en-US" w:eastAsia="zh-CN" w:bidi="ar"/>
        </w:rPr>
        <w:t>应标截止时间前</w:t>
      </w:r>
      <w:r>
        <w:rPr>
          <w:rFonts w:hint="eastAsia" w:ascii="宋体" w:hAnsi="宋体" w:cs="宋体"/>
          <w:kern w:val="0"/>
          <w:sz w:val="24"/>
          <w:lang w:bidi="en-US"/>
        </w:rPr>
        <w:t>，</w:t>
      </w:r>
      <w:r>
        <w:rPr>
          <w:rFonts w:hint="eastAsia" w:ascii="宋体" w:cs="宋体"/>
          <w:sz w:val="24"/>
          <w:lang w:bidi="ar"/>
        </w:rPr>
        <w:t>按照以下顺序及所列项相关资料的</w:t>
      </w:r>
      <w:r>
        <w:rPr>
          <w:rFonts w:hint="eastAsia" w:ascii="宋体" w:cs="宋体"/>
          <w:b/>
          <w:bCs/>
          <w:sz w:val="24"/>
          <w:lang w:bidi="ar"/>
        </w:rPr>
        <w:t>原件的扫描件</w:t>
      </w:r>
      <w:r>
        <w:rPr>
          <w:rFonts w:hint="eastAsia" w:ascii="宋体" w:cs="宋体"/>
          <w:sz w:val="24"/>
          <w:lang w:bidi="ar"/>
        </w:rPr>
        <w:t>（要求每一页原文件扫描在一页上，扫描文件必须清晰可辨否则影响报名的审核，扫描文件格式为pdf格式，禁止采用压缩文件格式或图片格式，</w:t>
      </w:r>
      <w:r>
        <w:rPr>
          <w:rFonts w:hint="eastAsia" w:ascii="宋体" w:cs="宋体"/>
          <w:b/>
          <w:bCs/>
          <w:sz w:val="24"/>
          <w:lang w:bidi="ar"/>
        </w:rPr>
        <w:t>所有扫描文件都集成到1个pdf文档</w:t>
      </w:r>
      <w:r>
        <w:rPr>
          <w:rFonts w:hint="eastAsia" w:ascii="宋体" w:cs="宋体"/>
          <w:sz w:val="24"/>
          <w:lang w:bidi="ar"/>
        </w:rPr>
        <w:t>并设置目录，</w:t>
      </w:r>
      <w:r>
        <w:rPr>
          <w:rFonts w:hint="eastAsia" w:ascii="宋体" w:cs="宋体"/>
          <w:b/>
          <w:bCs/>
          <w:sz w:val="24"/>
          <w:lang w:bidi="ar"/>
        </w:rPr>
        <w:t>所有文件要求字体向上，不允许横向扫描</w:t>
      </w:r>
      <w:r>
        <w:rPr>
          <w:rFonts w:hint="eastAsia" w:ascii="宋体" w:cs="宋体"/>
          <w:sz w:val="24"/>
          <w:lang w:bidi="ar"/>
        </w:rPr>
        <w:t>）</w:t>
      </w:r>
    </w:p>
    <w:p w14:paraId="654CDF49">
      <w:pPr>
        <w:pStyle w:val="17"/>
        <w:spacing w:line="360" w:lineRule="auto"/>
        <w:ind w:left="0" w:leftChars="0" w:firstLine="420" w:firstLineChars="0"/>
        <w:rPr>
          <w:rFonts w:ascii="宋体" w:cs="宋体"/>
          <w:sz w:val="24"/>
          <w:lang w:bidi="ar"/>
        </w:rPr>
      </w:pPr>
      <w:r>
        <w:rPr>
          <w:rFonts w:hint="eastAsia" w:ascii="宋体" w:cs="宋体"/>
          <w:sz w:val="24"/>
          <w:lang w:bidi="ar"/>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76ECC489">
      <w:pPr>
        <w:widowControl/>
        <w:spacing w:line="360" w:lineRule="auto"/>
        <w:ind w:firstLine="482" w:firstLineChars="200"/>
        <w:rPr>
          <w:rFonts w:hint="eastAsia" w:ascii="宋体" w:cs="宋体"/>
          <w:b/>
          <w:bCs/>
          <w:color w:val="FF0000"/>
          <w:sz w:val="24"/>
          <w:lang w:bidi="ar"/>
        </w:rPr>
      </w:pPr>
      <w:r>
        <w:rPr>
          <w:rFonts w:hint="eastAsia" w:ascii="宋体" w:cs="宋体"/>
          <w:b/>
          <w:bCs/>
          <w:color w:val="FF0000"/>
          <w:sz w:val="24"/>
          <w:lang w:bidi="ar"/>
        </w:rPr>
        <w:t>报名时提供的资料不合格的会在系统被驳回，请及时及时查阅并补齐资料，不能按时补充资料的视为自动放弃本次投标。</w:t>
      </w:r>
    </w:p>
    <w:p w14:paraId="5A9265FE">
      <w:pPr>
        <w:widowControl/>
        <w:spacing w:line="360" w:lineRule="auto"/>
        <w:ind w:firstLine="482" w:firstLineChars="200"/>
        <w:rPr>
          <w:rFonts w:ascii="宋体" w:cs="宋体"/>
          <w:b/>
          <w:bCs/>
          <w:color w:val="FF0000"/>
          <w:sz w:val="24"/>
          <w:lang w:bidi="ar"/>
        </w:rPr>
      </w:pPr>
      <w:r>
        <w:rPr>
          <w:rFonts w:hint="eastAsia" w:ascii="宋体" w:cs="宋体"/>
          <w:b/>
          <w:bCs/>
          <w:color w:val="FF0000"/>
          <w:sz w:val="24"/>
          <w:lang w:bidi="ar"/>
        </w:rPr>
        <w:t>请投标人确认中国重汽e采通系统中供应商信息完整、准确，因供应商信息不全或错误导致的报名不成功，由投标人自行承担。</w:t>
      </w:r>
    </w:p>
    <w:p w14:paraId="768E7FB9">
      <w:pPr>
        <w:pStyle w:val="5"/>
        <w:rPr>
          <w:rFonts w:hint="eastAsia"/>
          <w:highlight w:val="yellow"/>
        </w:rPr>
      </w:pPr>
      <w:r>
        <w:rPr>
          <w:rFonts w:hint="eastAsia"/>
          <w:highlight w:val="yellow"/>
        </w:rPr>
        <w:t>资质文件组成</w:t>
      </w:r>
    </w:p>
    <w:p w14:paraId="542660B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5F58DB0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6ED70B6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rPr>
        <w:t>被授权人</w:t>
      </w:r>
      <w:r>
        <w:rPr>
          <w:rFonts w:hint="eastAsia" w:ascii="宋体" w:hAnsi="宋体" w:eastAsia="宋体" w:cs="宋体"/>
          <w:kern w:val="0"/>
          <w:sz w:val="24"/>
          <w:szCs w:val="24"/>
          <w:lang w:bidi="en-US"/>
        </w:rPr>
        <w:t>近6个月及以上在授权单位的社保缴纳证明或者招标人认可的其他证明材料</w:t>
      </w:r>
      <w:r>
        <w:rPr>
          <w:rFonts w:hint="eastAsia" w:ascii="宋体" w:hAnsi="宋体" w:eastAsia="宋体" w:cs="宋体"/>
          <w:b/>
          <w:color w:val="000000"/>
          <w:sz w:val="24"/>
          <w:szCs w:val="24"/>
        </w:rPr>
        <w:t>；</w:t>
      </w:r>
    </w:p>
    <w:p w14:paraId="4ADE7924">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1.4经会计师事务所审计且出具无保留意见的近三年的财务审计报告，并加盖公章，包括但不限于报告页、经审计的资产负债表、利润表、现金流量表及报表附注，</w:t>
      </w:r>
      <w:r>
        <w:rPr>
          <w:rFonts w:hint="eastAsia" w:hAnsi="宋体" w:eastAsia="宋体" w:cs="宋体"/>
          <w:color w:val="000000"/>
          <w:sz w:val="24"/>
          <w:szCs w:val="24"/>
        </w:rPr>
        <w:t>（如投标人公司没有经审计的财务报告，可提供加盖公章的近三年财务报表，包括但不限于资产负债表、利润表、现金流量表或招标人认可的其他财务证明材料）</w:t>
      </w:r>
      <w:r>
        <w:rPr>
          <w:rFonts w:hint="eastAsia" w:ascii="宋体" w:hAnsi="宋体" w:eastAsia="宋体" w:cs="宋体"/>
          <w:color w:val="000000"/>
          <w:sz w:val="24"/>
          <w:szCs w:val="24"/>
        </w:rPr>
        <w:t>。必须连续，同时填写投标人基本情况及资产情况汇总表（附件3，数据必须与报告一致）；</w:t>
      </w:r>
    </w:p>
    <w:p w14:paraId="53DA2F6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745A17C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1.6投标人在国家企业信用信息公示系统中无与本项目有关的行政处罚、经营异常和失信信息的声明；（附投标当日系统内相关截图或报告）</w:t>
      </w:r>
    </w:p>
    <w:p w14:paraId="3F4FFDF2">
      <w:pPr>
        <w:spacing w:line="360" w:lineRule="auto"/>
        <w:ind w:firstLine="480" w:firstLineChars="200"/>
      </w:pPr>
      <w:r>
        <w:rPr>
          <w:rFonts w:hint="eastAsia" w:ascii="宋体" w:hAnsi="宋体" w:eastAsia="宋体" w:cs="宋体"/>
          <w:color w:val="000000"/>
          <w:sz w:val="24"/>
          <w:szCs w:val="24"/>
        </w:rPr>
        <w:t>1.7</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7ACE0B1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1.8企业信用证明材料；</w:t>
      </w:r>
    </w:p>
    <w:p w14:paraId="4D8CA44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1.9企业最近半年的完税证明，并附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sz w:val="24"/>
          <w:szCs w:val="24"/>
        </w:rPr>
        <w:t>或招标人认可的其他财务证明材料</w:t>
      </w:r>
      <w:r>
        <w:rPr>
          <w:rFonts w:hint="eastAsia" w:ascii="宋体" w:hAnsi="宋体" w:eastAsia="宋体" w:cs="宋体"/>
          <w:color w:val="000000"/>
          <w:sz w:val="24"/>
          <w:szCs w:val="24"/>
        </w:rPr>
        <w:t>；</w:t>
      </w:r>
    </w:p>
    <w:p w14:paraId="2787551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1.10保密承诺函（附件4）；</w:t>
      </w:r>
    </w:p>
    <w:p w14:paraId="0DD7512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1.11 2022年1月1日至今，企业近三年同类项目业绩证明，</w:t>
      </w:r>
      <w:r>
        <w:rPr>
          <w:rFonts w:ascii="宋体" w:hAnsi="宋体" w:eastAsia="宋体" w:cs="宋体"/>
          <w:sz w:val="24"/>
          <w:szCs w:val="24"/>
        </w:rPr>
        <w:t>须提供</w:t>
      </w:r>
      <w:r>
        <w:rPr>
          <w:rFonts w:hint="eastAsia" w:hAnsi="宋体" w:eastAsia="宋体" w:cs="宋体"/>
          <w:b/>
          <w:bCs/>
          <w:color w:val="000000"/>
          <w:kern w:val="0"/>
          <w:sz w:val="24"/>
          <w:szCs w:val="24"/>
        </w:rPr>
        <w:t>用户清单</w:t>
      </w:r>
      <w:r>
        <w:rPr>
          <w:rFonts w:hint="eastAsia" w:ascii="宋体" w:hAnsi="宋体" w:eastAsia="宋体" w:cs="宋体"/>
          <w:color w:val="000000"/>
          <w:sz w:val="24"/>
          <w:szCs w:val="24"/>
        </w:rPr>
        <w:t>；</w:t>
      </w:r>
    </w:p>
    <w:p w14:paraId="185044AB">
      <w:pPr>
        <w:spacing w:line="360" w:lineRule="auto"/>
        <w:ind w:firstLine="480" w:firstLineChars="200"/>
        <w:rPr>
          <w:rFonts w:ascii="宋体" w:hAnsi="宋体" w:eastAsia="宋体" w:cs="宋体"/>
          <w:color w:val="000000"/>
          <w:sz w:val="24"/>
          <w:szCs w:val="24"/>
        </w:rPr>
      </w:pPr>
      <w:r>
        <w:rPr>
          <w:rFonts w:hint="eastAsia" w:ascii="宋体" w:hAnsi="宋体" w:cs="宋体"/>
          <w:color w:val="000000"/>
          <w:sz w:val="24"/>
          <w:szCs w:val="24"/>
        </w:rPr>
        <w:t>1.12</w:t>
      </w:r>
      <w:r>
        <w:rPr>
          <w:rFonts w:hint="eastAsia" w:ascii="宋体" w:hAnsi="宋体" w:eastAsia="宋体" w:cs="宋体"/>
          <w:color w:val="000000"/>
          <w:sz w:val="24"/>
          <w:szCs w:val="24"/>
        </w:rPr>
        <w:t>制造商证明材料；</w:t>
      </w:r>
    </w:p>
    <w:p w14:paraId="5A671A4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1.13联系人、联系方式、电子邮箱。</w:t>
      </w:r>
    </w:p>
    <w:p w14:paraId="154923CA">
      <w:pPr>
        <w:spacing w:line="360" w:lineRule="auto"/>
        <w:ind w:firstLine="482" w:firstLineChars="200"/>
        <w:jc w:val="left"/>
        <w:rPr>
          <w:rStyle w:val="26"/>
          <w:color w:val="C00000"/>
          <w:lang w:bidi="ar"/>
        </w:rPr>
      </w:pPr>
      <w:r>
        <w:rPr>
          <w:rFonts w:hint="eastAsia" w:ascii="宋体" w:cs="宋体"/>
          <w:b/>
          <w:bCs/>
          <w:sz w:val="24"/>
          <w:lang w:bidi="ar"/>
        </w:rPr>
        <w:t>报名同时请按照本公告附件《非生产供应</w:t>
      </w:r>
      <w:r>
        <w:rPr>
          <w:rFonts w:hint="eastAsia" w:ascii="宋体" w:cs="宋体"/>
          <w:b/>
          <w:bCs/>
          <w:sz w:val="24"/>
          <w:highlight w:val="none"/>
          <w:lang w:bidi="ar"/>
        </w:rPr>
        <w:t>商注册操作手册》及e采通首页《供应商用户手册》提示完成平台注册（网址：</w:t>
      </w:r>
      <w:r>
        <w:rPr>
          <w:sz w:val="24"/>
          <w:highlight w:val="none"/>
        </w:rPr>
        <w:t>http</w:t>
      </w:r>
      <w:r>
        <w:rPr>
          <w:rFonts w:hint="eastAsia"/>
          <w:sz w:val="24"/>
          <w:highlight w:val="none"/>
        </w:rPr>
        <w:t>s</w:t>
      </w:r>
      <w:r>
        <w:rPr>
          <w:sz w:val="24"/>
          <w:highlight w:val="none"/>
        </w:rPr>
        <w:t>://ecaitong.sinotruk.com:8012/#/login），注册时，</w:t>
      </w:r>
      <w:r>
        <w:rPr>
          <w:rFonts w:hint="eastAsia"/>
          <w:sz w:val="24"/>
          <w:highlight w:val="none"/>
        </w:rPr>
        <w:t>供应商属性选择【非生产】、管理单位选择【直管单位】、意向配套单位选择【直管单位】；采购形式编号见本公告标题下方；经营概况“是否提供”原则上选择【能提供】，近三年财务数据</w:t>
      </w:r>
      <w:r>
        <w:rPr>
          <w:sz w:val="24"/>
          <w:highlight w:val="none"/>
        </w:rPr>
        <w:t>为必填项，要求如实填写</w:t>
      </w:r>
      <w:r>
        <w:rPr>
          <w:rFonts w:hint="eastAsia"/>
          <w:sz w:val="24"/>
          <w:highlight w:val="none"/>
        </w:rPr>
        <w:t>；配套能力的</w:t>
      </w:r>
      <w:r>
        <w:rPr>
          <w:sz w:val="24"/>
          <w:highlight w:val="none"/>
        </w:rPr>
        <w:t>供货类别选择“</w:t>
      </w:r>
      <w:r>
        <w:rPr>
          <w:rFonts w:hint="eastAsia"/>
          <w:sz w:val="24"/>
          <w:highlight w:val="none"/>
        </w:rPr>
        <w:t>直管单位非生产招标 / 工艺设备 / 工艺设备</w:t>
      </w:r>
      <w:r>
        <w:rPr>
          <w:sz w:val="24"/>
          <w:highlight w:val="none"/>
        </w:rPr>
        <w:t>”；账号信息</w:t>
      </w:r>
      <w:r>
        <w:rPr>
          <w:b/>
          <w:bCs/>
          <w:sz w:val="24"/>
          <w:highlight w:val="none"/>
          <w:em w:val="dot"/>
        </w:rPr>
        <w:t>不允许有任何空格</w:t>
      </w:r>
      <w:r>
        <w:rPr>
          <w:sz w:val="24"/>
          <w:highlight w:val="none"/>
        </w:rPr>
        <w:t>且</w:t>
      </w:r>
      <w:r>
        <w:rPr>
          <w:b/>
          <w:bCs/>
          <w:sz w:val="24"/>
          <w:highlight w:val="none"/>
          <w:em w:val="dot"/>
        </w:rPr>
        <w:t>必须填写对公账号</w:t>
      </w:r>
      <w:r>
        <w:rPr>
          <w:sz w:val="24"/>
          <w:highlight w:val="none"/>
        </w:rPr>
        <w:t>（不按要求填写的将影响投标保证金退还）。</w:t>
      </w:r>
    </w:p>
    <w:p w14:paraId="572395DB">
      <w:pPr>
        <w:spacing w:line="360" w:lineRule="auto"/>
        <w:ind w:firstLine="482" w:firstLineChars="200"/>
        <w:jc w:val="left"/>
        <w:rPr>
          <w:rFonts w:hint="eastAsia" w:ascii="宋体" w:cs="宋体"/>
          <w:b/>
          <w:bCs/>
          <w:sz w:val="24"/>
          <w:highlight w:val="none"/>
          <w:lang w:bidi="ar"/>
        </w:rPr>
      </w:pPr>
      <w:r>
        <w:rPr>
          <w:rFonts w:hint="eastAsia" w:ascii="宋体" w:cs="宋体"/>
          <w:b/>
          <w:bCs/>
          <w:sz w:val="24"/>
          <w:highlight w:val="none"/>
          <w:lang w:bidi="ar"/>
        </w:rPr>
        <w:t>e采通注册并</w:t>
      </w:r>
      <w:r>
        <w:rPr>
          <w:rFonts w:hint="eastAsia" w:ascii="宋体" w:cs="宋体"/>
          <w:b/>
          <w:bCs/>
          <w:sz w:val="24"/>
          <w:highlight w:val="none"/>
          <w:em w:val="dot"/>
          <w:lang w:bidi="ar"/>
        </w:rPr>
        <w:t>审核通过后</w:t>
      </w:r>
      <w:r>
        <w:rPr>
          <w:rFonts w:hint="eastAsia" w:ascii="宋体" w:cs="宋体"/>
          <w:b/>
          <w:bCs/>
          <w:sz w:val="24"/>
          <w:highlight w:val="none"/>
          <w:lang w:bidi="ar"/>
        </w:rPr>
        <w:t>方能参与本项目应标及后续投标，审核通过后请电话告知招标方联系人。</w:t>
      </w:r>
    </w:p>
    <w:p w14:paraId="41B07B8F">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.2招标文件获取：</w:t>
      </w:r>
      <w:r>
        <w:rPr>
          <w:rFonts w:hint="eastAsia" w:ascii="宋体" w:hAnsi="宋体" w:cs="宋体"/>
          <w:kern w:val="0"/>
          <w:sz w:val="24"/>
          <w:lang w:val="en-US" w:eastAsia="zh-CN" w:bidi="en-US"/>
        </w:rPr>
        <w:t>上述资格预审</w:t>
      </w:r>
      <w:r>
        <w:rPr>
          <w:rFonts w:hint="eastAsia" w:ascii="宋体" w:hAnsi="宋体" w:cs="宋体"/>
          <w:kern w:val="0"/>
          <w:sz w:val="24"/>
          <w:lang w:bidi="en-US"/>
        </w:rPr>
        <w:t>入围者通过重汽e采通平台接收电子版招标文件。</w:t>
      </w:r>
    </w:p>
    <w:p w14:paraId="578A3616">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.3招标文件工本费：无。</w:t>
      </w:r>
    </w:p>
    <w:p w14:paraId="5DBF76C1">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.4投标保证金</w:t>
      </w:r>
      <w:r>
        <w:rPr>
          <w:rFonts w:hint="eastAsia" w:ascii="宋体" w:hAnsi="宋体" w:cs="宋体"/>
          <w:kern w:val="0"/>
          <w:sz w:val="24"/>
          <w:lang w:eastAsia="zh-CN" w:bidi="en-US"/>
        </w:rPr>
        <w:t>：</w:t>
      </w:r>
      <w:r>
        <w:rPr>
          <w:rFonts w:hint="eastAsia" w:ascii="宋体" w:hAnsi="宋体" w:cs="宋体"/>
          <w:kern w:val="0"/>
          <w:sz w:val="24"/>
          <w:lang w:val="en-US" w:eastAsia="zh-CN" w:bidi="en-US"/>
        </w:rPr>
        <w:t>无</w:t>
      </w:r>
      <w:r>
        <w:rPr>
          <w:rFonts w:hint="eastAsia" w:ascii="宋体" w:hAnsi="宋体" w:cs="宋体"/>
          <w:kern w:val="0"/>
          <w:sz w:val="24"/>
          <w:lang w:bidi="en-US"/>
        </w:rPr>
        <w:t>。</w:t>
      </w:r>
    </w:p>
    <w:p w14:paraId="12D43942">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.5中标服务费：无。</w:t>
      </w:r>
    </w:p>
    <w:p w14:paraId="61DEC8C1">
      <w:pPr>
        <w:rPr>
          <w:rFonts w:hint="default"/>
          <w:lang w:val="en-US" w:eastAsia="zh-CN"/>
        </w:rPr>
      </w:pPr>
    </w:p>
    <w:p w14:paraId="7A00C32E">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lang w:val="en-US" w:eastAsia="zh-CN"/>
        </w:rPr>
        <w:t>投标文件</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 xml:space="preserve">提交 </w:t>
      </w:r>
    </w:p>
    <w:p w14:paraId="1677482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b/>
          <w:bCs/>
          <w:sz w:val="24"/>
          <w:szCs w:val="24"/>
          <w:lang w:val="en-US" w:eastAsia="zh-CN"/>
        </w:rPr>
        <w:t>纸质版线下开标时提交，电子版需在递交截止时间前上传至中国重汽e采通系统。</w:t>
      </w:r>
      <w:r>
        <w:rPr>
          <w:rFonts w:hint="eastAsia" w:asciiTheme="majorEastAsia" w:hAnsiTheme="majorEastAsia" w:eastAsiaTheme="majorEastAsia" w:cstheme="majorEastAsia"/>
          <w:sz w:val="24"/>
          <w:szCs w:val="24"/>
        </w:rPr>
        <w:t xml:space="preserve"> </w:t>
      </w:r>
    </w:p>
    <w:p w14:paraId="1BF7EE7E">
      <w:pPr>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宋体" w:hAnsi="宋体" w:eastAsia="宋体" w:cs="宋体"/>
          <w:i w:val="0"/>
          <w:iCs w:val="0"/>
          <w:caps w:val="0"/>
          <w:color w:val="333333"/>
          <w:spacing w:val="0"/>
          <w:sz w:val="24"/>
          <w:szCs w:val="24"/>
          <w:shd w:val="clear" w:fill="FFFFFF"/>
        </w:rPr>
        <w:t>2026-03-09 09:00:00</w:t>
      </w:r>
      <w:r>
        <w:rPr>
          <w:rFonts w:hint="eastAsia" w:asciiTheme="majorEastAsia" w:hAnsiTheme="majorEastAsia" w:eastAsiaTheme="majorEastAsia" w:cstheme="majorEastAsia"/>
          <w:sz w:val="24"/>
          <w:szCs w:val="24"/>
          <w:lang w:val="en-US" w:eastAsia="zh-CN"/>
        </w:rPr>
        <w:t xml:space="preserve"> </w:t>
      </w:r>
    </w:p>
    <w:p w14:paraId="1D0C1D32">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t xml:space="preserve">山东省济南市历城区华奥路777号重汽科技大厦 </w:t>
      </w:r>
    </w:p>
    <w:p w14:paraId="77F2C3A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14:paraId="28F6200F">
      <w:pPr>
        <w:ind w:firstLine="480" w:firstLineChars="20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1、开标时间：</w:t>
      </w:r>
      <w:r>
        <w:rPr>
          <w:rFonts w:hint="eastAsia" w:ascii="宋体" w:hAnsi="宋体" w:eastAsia="宋体" w:cs="宋体"/>
          <w:i w:val="0"/>
          <w:iCs w:val="0"/>
          <w:caps w:val="0"/>
          <w:color w:val="333333"/>
          <w:spacing w:val="0"/>
          <w:sz w:val="24"/>
          <w:szCs w:val="24"/>
          <w:shd w:val="clear" w:fill="FFFFFF"/>
        </w:rPr>
        <w:t>2026-03-09 09:00:00</w:t>
      </w:r>
    </w:p>
    <w:p w14:paraId="2A04B78D">
      <w:pPr>
        <w:ind w:firstLine="480" w:firstLineChars="200"/>
        <w:rPr>
          <w:rFonts w:hint="eastAsia"/>
        </w:rPr>
      </w:pPr>
      <w:r>
        <w:rPr>
          <w:rFonts w:hint="eastAsia" w:asciiTheme="majorEastAsia" w:hAnsiTheme="majorEastAsia" w:eastAsiaTheme="majorEastAsia" w:cstheme="majorEastAsia"/>
          <w:sz w:val="24"/>
          <w:szCs w:val="24"/>
          <w:lang w:val="en-US" w:eastAsia="zh-CN"/>
        </w:rPr>
        <w:t>2、开标地点：济南市高新区华奥路777号重汽科技大厦</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14:paraId="213CECB6">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bidi="en-US"/>
        </w:rPr>
        <w:t>本次公告同时在山东省阳光采购服务平台</w:t>
      </w:r>
      <w:r>
        <w:rPr>
          <w:rFonts w:hint="eastAsia" w:ascii="宋体" w:hAnsi="宋体" w:cs="宋体"/>
          <w:kern w:val="0"/>
          <w:sz w:val="24"/>
          <w:lang w:eastAsia="zh-CN" w:bidi="en-US"/>
        </w:rPr>
        <w:t>（供应商需同时在阳光采购平台进行注册，并在本公告要求的截止时间前搜索本项目报名）</w:t>
      </w:r>
      <w:r>
        <w:rPr>
          <w:rFonts w:hint="eastAsia" w:ascii="宋体" w:hAnsi="宋体" w:cs="宋体"/>
          <w:kern w:val="0"/>
          <w:sz w:val="24"/>
          <w:lang w:bidi="en-US"/>
        </w:rPr>
        <w:t>、中国招标投标公共服务平台及中国重型汽车集团有限公司网站上发布。</w:t>
      </w:r>
    </w:p>
    <w:p w14:paraId="390E6A48">
      <w:pPr>
        <w:rPr>
          <w:rFonts w:hint="default" w:asciiTheme="majorEastAsia" w:hAnsiTheme="majorEastAsia" w:eastAsiaTheme="majorEastAsia" w:cstheme="majorEastAsia"/>
          <w:sz w:val="24"/>
          <w:szCs w:val="24"/>
          <w:highlight w:val="yellow"/>
          <w:lang w:val="en-US" w:eastAsia="zh-CN"/>
        </w:rPr>
      </w:pPr>
    </w:p>
    <w:p w14:paraId="353AB26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58636FCA">
      <w:pPr>
        <w:widowControl/>
        <w:spacing w:line="500" w:lineRule="exact"/>
        <w:ind w:firstLine="480" w:firstLineChars="200"/>
        <w:jc w:val="left"/>
        <w:rPr>
          <w:rFonts w:hint="default" w:ascii="宋体" w:hAnsi="宋体" w:cs="宋体" w:eastAsiaTheme="minorEastAsia"/>
          <w:kern w:val="0"/>
          <w:sz w:val="24"/>
          <w:lang w:val="en-US" w:eastAsia="zh-CN" w:bidi="en-US"/>
        </w:rPr>
      </w:pPr>
      <w:r>
        <w:rPr>
          <w:rFonts w:hint="eastAsia" w:ascii="宋体" w:hAnsi="宋体" w:cs="宋体"/>
          <w:kern w:val="0"/>
          <w:sz w:val="24"/>
          <w:lang w:bidi="en-US"/>
        </w:rPr>
        <w:t>招 标 人：中国</w:t>
      </w:r>
      <w:r>
        <w:rPr>
          <w:rFonts w:hint="eastAsia" w:ascii="宋体" w:hAnsi="宋体" w:cs="宋体"/>
          <w:kern w:val="0"/>
          <w:sz w:val="24"/>
          <w:lang w:val="en-US" w:eastAsia="zh-CN" w:bidi="en-US"/>
        </w:rPr>
        <w:t>重型汽车集团有限公司</w:t>
      </w:r>
    </w:p>
    <w:p w14:paraId="435DA42A">
      <w:pPr>
        <w:widowControl/>
        <w:spacing w:line="500" w:lineRule="exact"/>
        <w:ind w:firstLine="480" w:firstLineChars="200"/>
        <w:jc w:val="left"/>
        <w:rPr>
          <w:rFonts w:ascii="宋体" w:hAnsi="宋体" w:cs="宋体"/>
          <w:kern w:val="0"/>
          <w:sz w:val="24"/>
          <w:lang w:bidi="en-US"/>
        </w:rPr>
      </w:pPr>
      <w:r>
        <w:rPr>
          <w:rFonts w:cs="宋体"/>
          <w:kern w:val="0"/>
          <w:sz w:val="24"/>
          <w:lang w:bidi="en-US"/>
        </w:rPr>
        <w:t xml:space="preserve">地 </w:t>
      </w:r>
      <w:r>
        <w:rPr>
          <w:rFonts w:hint="eastAsia" w:cs="宋体"/>
          <w:kern w:val="0"/>
          <w:sz w:val="24"/>
          <w:lang w:bidi="en-US"/>
        </w:rPr>
        <w:t xml:space="preserve">  </w:t>
      </w:r>
      <w:r>
        <w:rPr>
          <w:rFonts w:cs="宋体"/>
          <w:kern w:val="0"/>
          <w:sz w:val="24"/>
          <w:lang w:bidi="en-US"/>
        </w:rPr>
        <w:t xml:space="preserve"> 址：</w:t>
      </w:r>
      <w:r>
        <w:rPr>
          <w:rFonts w:hint="eastAsia" w:ascii="宋体" w:hAnsi="宋体" w:cs="宋体"/>
          <w:kern w:val="0"/>
          <w:sz w:val="24"/>
          <w:lang w:bidi="en-US"/>
        </w:rPr>
        <w:t>济南市高新区华奥路777</w:t>
      </w:r>
      <w:r>
        <w:rPr>
          <w:rFonts w:cs="宋体"/>
          <w:kern w:val="0"/>
          <w:sz w:val="24"/>
          <w:lang w:bidi="en-US"/>
        </w:rPr>
        <w:t>号</w:t>
      </w:r>
    </w:p>
    <w:p w14:paraId="121C746D">
      <w:pPr>
        <w:widowControl/>
        <w:spacing w:line="500" w:lineRule="exact"/>
        <w:ind w:firstLine="480" w:firstLineChars="200"/>
        <w:jc w:val="left"/>
        <w:rPr>
          <w:rFonts w:hint="default" w:ascii="宋体" w:hAnsi="宋体" w:eastAsia="宋体" w:cs="宋体"/>
          <w:kern w:val="0"/>
          <w:sz w:val="24"/>
          <w:highlight w:val="none"/>
          <w:lang w:val="en-US" w:eastAsia="zh-CN" w:bidi="en-US"/>
        </w:rPr>
      </w:pPr>
      <w:r>
        <w:rPr>
          <w:rFonts w:hint="eastAsia" w:ascii="宋体" w:hAnsi="宋体" w:cs="宋体"/>
          <w:kern w:val="0"/>
          <w:sz w:val="24"/>
          <w:highlight w:val="none"/>
          <w:lang w:bidi="en-US"/>
        </w:rPr>
        <w:t>联系人</w:t>
      </w:r>
      <w:r>
        <w:rPr>
          <w:rFonts w:hint="eastAsia" w:ascii="宋体" w:hAnsi="宋体" w:cs="宋体"/>
          <w:kern w:val="0"/>
          <w:sz w:val="24"/>
          <w:highlight w:val="none"/>
          <w:lang w:eastAsia="zh-CN" w:bidi="en-US"/>
        </w:rPr>
        <w:t>、</w:t>
      </w:r>
      <w:r>
        <w:rPr>
          <w:rFonts w:hint="eastAsia" w:ascii="宋体" w:hAnsi="宋体" w:cs="宋体"/>
          <w:kern w:val="0"/>
          <w:sz w:val="24"/>
          <w:highlight w:val="none"/>
          <w:lang w:val="en-US" w:eastAsia="zh-CN" w:bidi="en-US"/>
        </w:rPr>
        <w:t>联系电话</w:t>
      </w:r>
      <w:r>
        <w:rPr>
          <w:rFonts w:hint="eastAsia" w:ascii="宋体" w:hAnsi="宋体" w:cs="宋体"/>
          <w:kern w:val="0"/>
          <w:sz w:val="24"/>
          <w:highlight w:val="none"/>
          <w:lang w:bidi="en-US"/>
        </w:rPr>
        <w:t>：</w:t>
      </w:r>
      <w:r>
        <w:rPr>
          <w:rFonts w:hint="eastAsia" w:ascii="宋体" w:hAnsi="宋体" w:eastAsia="宋体" w:cs="宋体"/>
          <w:kern w:val="0"/>
          <w:sz w:val="24"/>
          <w:highlight w:val="none"/>
          <w:lang w:val="en-US" w:eastAsia="zh-CN" w:bidi="en-US"/>
        </w:rPr>
        <w:t>许世金 17860604079</w:t>
      </w:r>
    </w:p>
    <w:p w14:paraId="56083C37">
      <w:pPr>
        <w:ind w:firstLine="480"/>
        <w:rPr>
          <w:rFonts w:hint="default" w:asciiTheme="majorEastAsia" w:hAnsiTheme="majorEastAsia" w:eastAsiaTheme="majorEastAsia" w:cstheme="majorEastAsia"/>
          <w:sz w:val="24"/>
          <w:szCs w:val="24"/>
          <w:lang w:val="en-US" w:eastAsia="zh-CN"/>
        </w:rPr>
      </w:pPr>
    </w:p>
    <w:p w14:paraId="6986140B">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46950E4A">
      <w:pPr>
        <w:pStyle w:val="13"/>
        <w:rPr>
          <w:rFonts w:hint="eastAsia"/>
        </w:rPr>
      </w:pPr>
    </w:p>
    <w:p w14:paraId="6CFC776E">
      <w:pPr>
        <w:ind w:firstLine="480"/>
        <w:rPr>
          <w:rFonts w:hint="eastAsia" w:asciiTheme="majorEastAsia" w:hAnsiTheme="majorEastAsia" w:eastAsiaTheme="majorEastAsia" w:cstheme="majorEastAsia"/>
          <w:sz w:val="24"/>
          <w:szCs w:val="24"/>
        </w:rPr>
      </w:pPr>
    </w:p>
    <w:p w14:paraId="3BB268CE">
      <w:pPr>
        <w:ind w:firstLine="480"/>
        <w:rPr>
          <w:rFonts w:hint="eastAsia" w:asciiTheme="majorEastAsia" w:hAnsiTheme="majorEastAsia" w:eastAsiaTheme="majorEastAsia" w:cstheme="majorEastAsia"/>
          <w:sz w:val="24"/>
          <w:szCs w:val="24"/>
        </w:rPr>
      </w:pPr>
    </w:p>
    <w:p w14:paraId="233C8080">
      <w:pPr>
        <w:ind w:firstLine="480"/>
        <w:rPr>
          <w:rFonts w:hint="eastAsia" w:asciiTheme="majorEastAsia" w:hAnsiTheme="majorEastAsia" w:eastAsiaTheme="majorEastAsia" w:cstheme="majorEastAsia"/>
          <w:sz w:val="24"/>
          <w:szCs w:val="24"/>
        </w:rPr>
      </w:pPr>
    </w:p>
    <w:p w14:paraId="1431A22C">
      <w:pPr>
        <w:ind w:firstLine="480"/>
        <w:rPr>
          <w:rFonts w:hint="eastAsia" w:asciiTheme="majorEastAsia" w:hAnsiTheme="majorEastAsia" w:eastAsiaTheme="majorEastAsia" w:cstheme="majorEastAsia"/>
          <w:sz w:val="24"/>
          <w:szCs w:val="24"/>
        </w:rPr>
      </w:pPr>
    </w:p>
    <w:p w14:paraId="167DB504">
      <w:pPr>
        <w:ind w:firstLine="480"/>
        <w:rPr>
          <w:rFonts w:hint="eastAsia" w:asciiTheme="majorEastAsia" w:hAnsiTheme="majorEastAsia" w:eastAsiaTheme="majorEastAsia" w:cstheme="majorEastAsia"/>
          <w:sz w:val="24"/>
          <w:szCs w:val="24"/>
        </w:rPr>
      </w:pPr>
    </w:p>
    <w:p w14:paraId="369D886B">
      <w:pPr>
        <w:ind w:firstLine="480"/>
        <w:rPr>
          <w:rFonts w:hint="eastAsia" w:asciiTheme="majorEastAsia" w:hAnsiTheme="majorEastAsia" w:eastAsiaTheme="majorEastAsia" w:cstheme="majorEastAsia"/>
          <w:sz w:val="24"/>
          <w:szCs w:val="24"/>
        </w:rPr>
      </w:pPr>
    </w:p>
    <w:p w14:paraId="70239CEE">
      <w:pPr>
        <w:ind w:firstLine="480"/>
        <w:rPr>
          <w:rFonts w:hint="eastAsia" w:asciiTheme="majorEastAsia" w:hAnsiTheme="majorEastAsia" w:eastAsiaTheme="majorEastAsia" w:cstheme="majorEastAsia"/>
          <w:sz w:val="24"/>
          <w:szCs w:val="24"/>
        </w:rPr>
      </w:pPr>
    </w:p>
    <w:p w14:paraId="4AB6CD88">
      <w:pPr>
        <w:ind w:firstLine="480"/>
        <w:rPr>
          <w:rFonts w:hint="eastAsia" w:asciiTheme="majorEastAsia" w:hAnsiTheme="majorEastAsia" w:eastAsiaTheme="majorEastAsia" w:cstheme="majorEastAsia"/>
          <w:sz w:val="24"/>
          <w:szCs w:val="24"/>
        </w:rPr>
      </w:pPr>
    </w:p>
    <w:p w14:paraId="139FF02C">
      <w:pPr>
        <w:ind w:firstLine="480"/>
        <w:rPr>
          <w:rFonts w:hint="eastAsia" w:asciiTheme="majorEastAsia" w:hAnsiTheme="majorEastAsia" w:eastAsiaTheme="majorEastAsia" w:cstheme="majorEastAsia"/>
          <w:sz w:val="24"/>
          <w:szCs w:val="24"/>
        </w:rPr>
      </w:pPr>
    </w:p>
    <w:p w14:paraId="686E2AD7">
      <w:pPr>
        <w:ind w:firstLine="480"/>
        <w:rPr>
          <w:rFonts w:hint="eastAsia" w:asciiTheme="majorEastAsia" w:hAnsiTheme="majorEastAsia" w:eastAsiaTheme="majorEastAsia" w:cstheme="majorEastAsia"/>
          <w:sz w:val="24"/>
          <w:szCs w:val="24"/>
        </w:rPr>
      </w:pPr>
    </w:p>
    <w:p w14:paraId="13C6245B">
      <w:pPr>
        <w:ind w:firstLine="480"/>
        <w:rPr>
          <w:rFonts w:hint="eastAsia" w:asciiTheme="majorEastAsia" w:hAnsiTheme="majorEastAsia" w:eastAsiaTheme="majorEastAsia" w:cstheme="majorEastAsia"/>
          <w:sz w:val="24"/>
          <w:szCs w:val="24"/>
        </w:rPr>
      </w:pPr>
    </w:p>
    <w:p w14:paraId="0602F87A">
      <w:pPr>
        <w:ind w:firstLine="480"/>
        <w:rPr>
          <w:rFonts w:hint="eastAsia" w:asciiTheme="majorEastAsia" w:hAnsiTheme="majorEastAsia" w:eastAsiaTheme="majorEastAsia" w:cstheme="majorEastAsia"/>
          <w:sz w:val="24"/>
          <w:szCs w:val="24"/>
        </w:rPr>
      </w:pPr>
    </w:p>
    <w:p w14:paraId="5E350EDD">
      <w:pPr>
        <w:ind w:firstLine="480"/>
        <w:rPr>
          <w:rFonts w:hint="eastAsia" w:asciiTheme="majorEastAsia" w:hAnsiTheme="majorEastAsia" w:eastAsiaTheme="majorEastAsia" w:cstheme="majorEastAsia"/>
          <w:sz w:val="24"/>
          <w:szCs w:val="24"/>
        </w:rPr>
      </w:pPr>
    </w:p>
    <w:p w14:paraId="653807F5">
      <w:pPr>
        <w:ind w:firstLine="480"/>
        <w:rPr>
          <w:rFonts w:hint="eastAsia" w:asciiTheme="majorEastAsia" w:hAnsiTheme="majorEastAsia" w:eastAsiaTheme="majorEastAsia" w:cstheme="majorEastAsia"/>
          <w:sz w:val="24"/>
          <w:szCs w:val="24"/>
        </w:rPr>
      </w:pPr>
    </w:p>
    <w:p w14:paraId="6E8F62EE">
      <w:pPr>
        <w:ind w:firstLine="480"/>
        <w:rPr>
          <w:rFonts w:hint="eastAsia" w:asciiTheme="majorEastAsia" w:hAnsiTheme="majorEastAsia" w:eastAsiaTheme="majorEastAsia" w:cstheme="majorEastAsia"/>
          <w:sz w:val="24"/>
          <w:szCs w:val="24"/>
        </w:rPr>
      </w:pPr>
    </w:p>
    <w:p w14:paraId="2B50C5EC">
      <w:pPr>
        <w:rPr>
          <w:rFonts w:hint="eastAsia" w:eastAsia="黑体"/>
          <w:sz w:val="30"/>
          <w:szCs w:val="30"/>
          <w:highlight w:val="none"/>
        </w:rPr>
      </w:pPr>
      <w:bookmarkStart w:id="10" w:name="_GoBack"/>
      <w:bookmarkEnd w:id="10"/>
      <w:r>
        <w:rPr>
          <w:rFonts w:hint="eastAsia" w:eastAsia="黑体"/>
          <w:sz w:val="30"/>
          <w:szCs w:val="30"/>
          <w:highlight w:val="none"/>
        </w:rPr>
        <w:br w:type="page"/>
      </w:r>
    </w:p>
    <w:p w14:paraId="01898FC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 w:name="_Toc25811"/>
      <w:bookmarkStart w:id="2" w:name="_Toc353881012"/>
      <w:bookmarkStart w:id="3" w:name="_Toc212369550"/>
      <w:bookmarkStart w:id="4"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
      <w:bookmarkEnd w:id="2"/>
      <w:bookmarkEnd w:id="3"/>
      <w:bookmarkEnd w:id="4"/>
    </w:p>
    <w:p w14:paraId="155DB7D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763425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color w:val="000000"/>
          <w:sz w:val="24"/>
          <w:szCs w:val="24"/>
          <w:u w:val="single"/>
        </w:rPr>
        <w:t xml:space="preserve">                      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提交纸质投标文件：资质证明文件、商务文件和技术文件正本一份；电子版投标文件一份。</w:t>
      </w:r>
    </w:p>
    <w:p w14:paraId="45F523F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6872865C">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0C99756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638CAAC">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BC430C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30902BB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5E9FB3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1C56A6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4345EC5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C88416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42422C6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7FADCA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9451A3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7B0BF2B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联行号：                     </w:t>
      </w:r>
    </w:p>
    <w:p w14:paraId="146B59E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564E3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3A85585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899F1AC">
      <w:pPr>
        <w:rPr>
          <w:rFonts w:ascii="黑体" w:hAnsi="Calibri" w:eastAsia="黑体" w:cs="Times New Roman"/>
          <w:color w:val="000000"/>
          <w:sz w:val="24"/>
          <w:szCs w:val="24"/>
        </w:rPr>
      </w:pPr>
    </w:p>
    <w:p w14:paraId="34D90995">
      <w:pPr>
        <w:rPr>
          <w:rFonts w:ascii="黑体" w:hAnsi="Calibri" w:eastAsia="黑体" w:cs="Times New Roman"/>
          <w:color w:val="000000"/>
          <w:sz w:val="24"/>
          <w:szCs w:val="24"/>
        </w:rPr>
      </w:pPr>
    </w:p>
    <w:p w14:paraId="05517884">
      <w:pPr>
        <w:pStyle w:val="10"/>
        <w:rPr>
          <w:rFonts w:ascii="黑体" w:hAnsi="Calibri" w:eastAsia="黑体" w:cs="Times New Roman"/>
          <w:color w:val="000000"/>
          <w:sz w:val="24"/>
          <w:szCs w:val="24"/>
        </w:rPr>
      </w:pPr>
    </w:p>
    <w:p w14:paraId="21891C33">
      <w:pPr>
        <w:pStyle w:val="10"/>
        <w:rPr>
          <w:rFonts w:ascii="黑体" w:hAnsi="Calibri" w:eastAsia="黑体" w:cs="Times New Roman"/>
          <w:color w:val="000000"/>
          <w:sz w:val="24"/>
          <w:szCs w:val="24"/>
        </w:rPr>
      </w:pPr>
    </w:p>
    <w:p w14:paraId="240B8581">
      <w:pPr>
        <w:pStyle w:val="10"/>
        <w:rPr>
          <w:rFonts w:ascii="黑体" w:hAnsi="Calibri" w:eastAsia="黑体" w:cs="Times New Roman"/>
          <w:color w:val="000000"/>
          <w:sz w:val="24"/>
          <w:szCs w:val="24"/>
        </w:rPr>
      </w:pPr>
    </w:p>
    <w:p w14:paraId="690D6972">
      <w:pPr>
        <w:pStyle w:val="10"/>
        <w:rPr>
          <w:rFonts w:ascii="黑体" w:hAnsi="Calibri" w:eastAsia="黑体" w:cs="Times New Roman"/>
          <w:color w:val="000000"/>
          <w:sz w:val="24"/>
          <w:szCs w:val="24"/>
        </w:rPr>
      </w:pPr>
    </w:p>
    <w:p w14:paraId="4293347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2450DBAD">
      <w:pPr>
        <w:adjustRightInd w:val="0"/>
        <w:snapToGrid w:val="0"/>
        <w:spacing w:before="93" w:beforeLines="30" w:line="240" w:lineRule="exact"/>
        <w:jc w:val="center"/>
        <w:rPr>
          <w:rFonts w:ascii="宋体" w:hAnsi="Calibri" w:eastAsia="宋体" w:cs="Times New Roman"/>
          <w:sz w:val="24"/>
          <w:szCs w:val="20"/>
        </w:rPr>
      </w:pPr>
    </w:p>
    <w:p w14:paraId="4D084DE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Times New Roman"/>
          <w:b/>
          <w:bCs/>
          <w:color w:val="000000"/>
          <w:sz w:val="24"/>
          <w:szCs w:val="24"/>
          <w:u w:val="single"/>
        </w:rPr>
        <w:t xml:space="preserve">            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（项目编号</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2A1200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B44950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A57BF70">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6357D2F3">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1155A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44565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47B244D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D07CD2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4F559A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220857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50D3CCB">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7E20AB1">
      <w:pPr>
        <w:rPr>
          <w:rFonts w:ascii="Calibri" w:hAnsi="Calibri" w:eastAsia="黑体" w:cs="Times New Roman"/>
          <w:b/>
          <w:bCs/>
          <w:color w:val="000000"/>
          <w:sz w:val="28"/>
          <w:szCs w:val="20"/>
        </w:rPr>
      </w:pPr>
    </w:p>
    <w:p w14:paraId="15C10511">
      <w:pPr>
        <w:pStyle w:val="10"/>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8EC0BB5">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0289F0E1">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36"/>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2DA60D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0EA9E37">
            <w:pPr>
              <w:pStyle w:val="35"/>
              <w:spacing w:before="114"/>
              <w:ind w:left="720"/>
            </w:pPr>
            <w:r>
              <w:t xml:space="preserve">企业名称 </w:t>
            </w:r>
          </w:p>
        </w:tc>
        <w:tc>
          <w:tcPr>
            <w:tcW w:w="4680" w:type="dxa"/>
            <w:gridSpan w:val="4"/>
            <w:vAlign w:val="center"/>
          </w:tcPr>
          <w:p w14:paraId="43C4597B">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5EA9A8AE">
            <w:pPr>
              <w:pStyle w:val="3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2DB9029D">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B6A62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56736B4A">
            <w:pPr>
              <w:pStyle w:val="35"/>
              <w:spacing w:before="114"/>
              <w:ind w:left="720"/>
            </w:pPr>
            <w:r>
              <w:t xml:space="preserve">企业地址 </w:t>
            </w:r>
          </w:p>
        </w:tc>
        <w:tc>
          <w:tcPr>
            <w:tcW w:w="4680" w:type="dxa"/>
            <w:gridSpan w:val="4"/>
            <w:vAlign w:val="center"/>
          </w:tcPr>
          <w:p w14:paraId="24E7E18F">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6EC4DF19">
            <w:pPr>
              <w:pStyle w:val="3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11AFAC1C">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82D66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5B536D6C">
            <w:pPr>
              <w:pStyle w:val="35"/>
              <w:spacing w:before="111"/>
              <w:ind w:left="720"/>
            </w:pPr>
            <w:r>
              <w:t xml:space="preserve">企业性质 </w:t>
            </w:r>
          </w:p>
        </w:tc>
        <w:tc>
          <w:tcPr>
            <w:tcW w:w="4680" w:type="dxa"/>
            <w:gridSpan w:val="4"/>
            <w:vAlign w:val="center"/>
          </w:tcPr>
          <w:p w14:paraId="2A99BCE6">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66F09646">
            <w:pPr>
              <w:pStyle w:val="35"/>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36C1E9A6">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0EE16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0C47350">
            <w:pPr>
              <w:pStyle w:val="35"/>
              <w:spacing w:before="111"/>
              <w:ind w:left="509"/>
            </w:pPr>
            <w:r>
              <w:t xml:space="preserve">企业法人代表  </w:t>
            </w:r>
          </w:p>
        </w:tc>
        <w:tc>
          <w:tcPr>
            <w:tcW w:w="4680" w:type="dxa"/>
            <w:gridSpan w:val="4"/>
          </w:tcPr>
          <w:p w14:paraId="5B888519">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1F670366">
            <w:pPr>
              <w:pStyle w:val="35"/>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4DFA286F">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5A4B0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18CEB227">
            <w:pPr>
              <w:pStyle w:val="35"/>
              <w:spacing w:before="114"/>
              <w:ind w:left="720"/>
            </w:pPr>
            <w:r>
              <w:t xml:space="preserve">品牌区分 </w:t>
            </w:r>
          </w:p>
        </w:tc>
        <w:tc>
          <w:tcPr>
            <w:tcW w:w="7500" w:type="dxa"/>
            <w:gridSpan w:val="6"/>
          </w:tcPr>
          <w:p w14:paraId="4C9545D4">
            <w:pPr>
              <w:pStyle w:val="35"/>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427566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6A1AD4CE">
            <w:pPr>
              <w:pStyle w:val="35"/>
              <w:spacing w:before="178"/>
              <w:ind w:left="720"/>
            </w:pPr>
            <w:r>
              <w:t xml:space="preserve">品牌名称 </w:t>
            </w:r>
          </w:p>
        </w:tc>
        <w:tc>
          <w:tcPr>
            <w:tcW w:w="3583" w:type="dxa"/>
            <w:gridSpan w:val="3"/>
            <w:vAlign w:val="center"/>
          </w:tcPr>
          <w:p w14:paraId="2262DB9F">
            <w:pPr>
              <w:widowControl/>
              <w:rPr>
                <w:rFonts w:ascii="宋体" w:hAnsi="宋体" w:eastAsia="仿宋_GB2312"/>
                <w:kern w:val="0"/>
                <w:szCs w:val="21"/>
                <w:lang w:bidi="ar"/>
              </w:rPr>
            </w:pPr>
          </w:p>
        </w:tc>
        <w:tc>
          <w:tcPr>
            <w:tcW w:w="1097" w:type="dxa"/>
          </w:tcPr>
          <w:p w14:paraId="4590351C">
            <w:pPr>
              <w:pStyle w:val="35"/>
              <w:spacing w:before="15"/>
              <w:ind w:left="279"/>
            </w:pPr>
            <w:r>
              <w:rPr>
                <w:spacing w:val="-2"/>
              </w:rPr>
              <w:t>质量</w:t>
            </w:r>
            <w:r>
              <w:t xml:space="preserve"> </w:t>
            </w:r>
          </w:p>
          <w:p w14:paraId="48523E8D">
            <w:pPr>
              <w:pStyle w:val="35"/>
              <w:spacing w:before="30" w:line="277" w:lineRule="exact"/>
              <w:ind w:left="279"/>
            </w:pPr>
            <w:r>
              <w:rPr>
                <w:rFonts w:hint="eastAsia"/>
              </w:rPr>
              <w:t>体系</w:t>
            </w:r>
          </w:p>
        </w:tc>
        <w:tc>
          <w:tcPr>
            <w:tcW w:w="2820" w:type="dxa"/>
            <w:gridSpan w:val="2"/>
          </w:tcPr>
          <w:p w14:paraId="163676B9">
            <w:pPr>
              <w:pStyle w:val="35"/>
              <w:spacing w:before="158"/>
              <w:jc w:val="center"/>
              <w:rPr>
                <w:sz w:val="24"/>
              </w:rPr>
            </w:pPr>
            <w:r>
              <w:rPr>
                <w:rFonts w:hint="eastAsia"/>
                <w:kern w:val="0"/>
                <w:szCs w:val="21"/>
                <w:lang w:bidi="ar"/>
              </w:rPr>
              <w:t>/</w:t>
            </w:r>
          </w:p>
        </w:tc>
      </w:tr>
      <w:tr w14:paraId="331F04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CE39D87">
            <w:pPr>
              <w:pStyle w:val="35"/>
              <w:spacing w:before="149"/>
              <w:ind w:left="3345" w:right="3223"/>
              <w:jc w:val="center"/>
            </w:pPr>
            <w:r>
              <w:rPr>
                <w:rFonts w:hint="eastAsia"/>
                <w:szCs w:val="21"/>
              </w:rPr>
              <w:t>单位概况</w:t>
            </w:r>
          </w:p>
        </w:tc>
      </w:tr>
      <w:tr w14:paraId="25526F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480D03D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36591FBB">
            <w:pPr>
              <w:widowControl/>
              <w:textAlignment w:val="center"/>
              <w:rPr>
                <w:rFonts w:ascii="宋体" w:hAnsi="宋体" w:eastAsia="宋体" w:cs="宋体"/>
                <w:szCs w:val="21"/>
              </w:rPr>
            </w:pPr>
          </w:p>
        </w:tc>
        <w:tc>
          <w:tcPr>
            <w:tcW w:w="1530" w:type="dxa"/>
            <w:vAlign w:val="center"/>
          </w:tcPr>
          <w:p w14:paraId="14230D7F">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1FC97C55">
            <w:pPr>
              <w:widowControl/>
              <w:jc w:val="center"/>
              <w:textAlignment w:val="center"/>
              <w:rPr>
                <w:rFonts w:ascii="宋体" w:hAnsi="宋体" w:eastAsia="宋体" w:cs="宋体"/>
                <w:szCs w:val="21"/>
              </w:rPr>
            </w:pPr>
          </w:p>
        </w:tc>
        <w:tc>
          <w:tcPr>
            <w:tcW w:w="1097" w:type="dxa"/>
            <w:vAlign w:val="center"/>
          </w:tcPr>
          <w:p w14:paraId="0FB38F64">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76909FE1">
            <w:pPr>
              <w:widowControl/>
              <w:jc w:val="center"/>
              <w:textAlignment w:val="center"/>
              <w:rPr>
                <w:rFonts w:ascii="宋体" w:hAnsi="宋体" w:eastAsia="宋体" w:cs="宋体"/>
                <w:szCs w:val="21"/>
              </w:rPr>
            </w:pPr>
          </w:p>
        </w:tc>
      </w:tr>
      <w:tr w14:paraId="1A6FB5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668E54F4">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7D5E019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2546F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A8E14A4">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47BABF94">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CC034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5C370638">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45F68103">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C136A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4B62E62">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2C1E28E4">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40F56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FEF4882">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09BD73C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5E10EE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B8501C8">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58A21BCA">
            <w:pPr>
              <w:widowControl/>
              <w:jc w:val="left"/>
              <w:rPr>
                <w:rFonts w:ascii="宋体" w:hAnsi="宋体" w:eastAsia="宋体" w:cs="宋体"/>
                <w:kern w:val="0"/>
                <w:szCs w:val="21"/>
                <w:lang w:bidi="ar"/>
              </w:rPr>
            </w:pPr>
          </w:p>
        </w:tc>
      </w:tr>
    </w:tbl>
    <w:p w14:paraId="4AA6D158">
      <w:pPr>
        <w:pStyle w:val="10"/>
        <w:rPr>
          <w:rFonts w:ascii="Times New Roman" w:hAnsi="Times New Roman" w:eastAsia="宋体" w:cs="Times New Roman"/>
          <w:b/>
          <w:bCs/>
          <w:color w:val="000000"/>
          <w:sz w:val="24"/>
          <w:szCs w:val="24"/>
        </w:rPr>
      </w:pPr>
    </w:p>
    <w:p w14:paraId="7CB9FBC0">
      <w:pPr>
        <w:pStyle w:val="10"/>
        <w:rPr>
          <w:rFonts w:ascii="Times New Roman" w:hAnsi="Times New Roman" w:eastAsia="宋体" w:cs="Times New Roman"/>
          <w:b/>
          <w:bCs/>
          <w:color w:val="000000"/>
          <w:sz w:val="24"/>
          <w:szCs w:val="24"/>
        </w:rPr>
      </w:pPr>
    </w:p>
    <w:p w14:paraId="05FBEC57">
      <w:pPr>
        <w:pStyle w:val="10"/>
        <w:rPr>
          <w:rFonts w:ascii="Times New Roman" w:hAnsi="Times New Roman" w:eastAsia="宋体" w:cs="Times New Roman"/>
          <w:b/>
          <w:bCs/>
          <w:color w:val="000000"/>
          <w:sz w:val="24"/>
          <w:szCs w:val="24"/>
        </w:rPr>
      </w:pPr>
    </w:p>
    <w:p w14:paraId="2CA67530">
      <w:pPr>
        <w:pStyle w:val="10"/>
        <w:rPr>
          <w:rFonts w:ascii="Times New Roman" w:hAnsi="Times New Roman" w:eastAsia="宋体" w:cs="Times New Roman"/>
          <w:b/>
          <w:bCs/>
          <w:color w:val="000000"/>
          <w:sz w:val="24"/>
          <w:szCs w:val="24"/>
        </w:rPr>
      </w:pPr>
    </w:p>
    <w:p w14:paraId="08EA7308">
      <w:pPr>
        <w:pStyle w:val="10"/>
        <w:rPr>
          <w:rFonts w:ascii="Times New Roman" w:hAnsi="Times New Roman" w:eastAsia="宋体" w:cs="Times New Roman"/>
          <w:b/>
          <w:bCs/>
          <w:color w:val="000000"/>
          <w:sz w:val="24"/>
          <w:szCs w:val="24"/>
        </w:rPr>
      </w:pPr>
    </w:p>
    <w:p w14:paraId="254B9D0D">
      <w:pPr>
        <w:pStyle w:val="10"/>
        <w:rPr>
          <w:rFonts w:ascii="Times New Roman" w:hAnsi="Times New Roman" w:eastAsia="宋体" w:cs="Times New Roman"/>
          <w:b/>
          <w:bCs/>
          <w:color w:val="000000"/>
          <w:sz w:val="24"/>
          <w:szCs w:val="24"/>
        </w:rPr>
      </w:pPr>
    </w:p>
    <w:p w14:paraId="60D4B677">
      <w:pPr>
        <w:pStyle w:val="10"/>
        <w:rPr>
          <w:rFonts w:ascii="Times New Roman" w:hAnsi="Times New Roman" w:eastAsia="宋体" w:cs="Times New Roman"/>
          <w:b/>
          <w:bCs/>
          <w:color w:val="000000"/>
          <w:sz w:val="24"/>
          <w:szCs w:val="24"/>
        </w:rPr>
      </w:pPr>
    </w:p>
    <w:p w14:paraId="5B68DCA7">
      <w:pPr>
        <w:pStyle w:val="10"/>
        <w:rPr>
          <w:rFonts w:ascii="Times New Roman" w:hAnsi="Times New Roman" w:eastAsia="宋体" w:cs="Times New Roman"/>
          <w:b/>
          <w:bCs/>
          <w:color w:val="000000"/>
          <w:sz w:val="24"/>
          <w:szCs w:val="24"/>
        </w:rPr>
      </w:pPr>
    </w:p>
    <w:p w14:paraId="60E5E24F">
      <w:pPr>
        <w:pStyle w:val="10"/>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6E27E343">
      <w:pPr>
        <w:pStyle w:val="10"/>
        <w:rPr>
          <w:rFonts w:ascii="Times New Roman" w:hAnsi="Times New Roman" w:eastAsia="宋体" w:cs="Times New Roman"/>
          <w:b/>
          <w:bCs/>
          <w:color w:val="000000"/>
          <w:sz w:val="24"/>
          <w:szCs w:val="24"/>
        </w:rPr>
      </w:pP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54F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0B467721">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188E0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B4D6335">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22E3CF22">
            <w:pPr>
              <w:spacing w:line="440" w:lineRule="exact"/>
              <w:jc w:val="center"/>
              <w:rPr>
                <w:rFonts w:ascii="宋体" w:hAnsi="宋体"/>
                <w:color w:val="000000"/>
                <w:sz w:val="24"/>
                <w:szCs w:val="24"/>
              </w:rPr>
            </w:pPr>
          </w:p>
        </w:tc>
      </w:tr>
      <w:tr w14:paraId="4FAFC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CB7A2B2">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4BE9495A">
            <w:pPr>
              <w:spacing w:line="440" w:lineRule="exact"/>
              <w:jc w:val="center"/>
              <w:rPr>
                <w:rFonts w:ascii="宋体" w:hAnsi="宋体"/>
                <w:color w:val="000000"/>
                <w:sz w:val="24"/>
                <w:szCs w:val="24"/>
              </w:rPr>
            </w:pPr>
          </w:p>
        </w:tc>
      </w:tr>
      <w:tr w14:paraId="12FF5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691BEF2">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40571777">
            <w:pPr>
              <w:spacing w:line="440" w:lineRule="exact"/>
              <w:jc w:val="center"/>
              <w:rPr>
                <w:rFonts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682C09FE">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7C884656">
            <w:pPr>
              <w:spacing w:line="440" w:lineRule="exact"/>
              <w:jc w:val="center"/>
              <w:rPr>
                <w:rFonts w:ascii="宋体" w:hAnsi="宋体"/>
                <w:color w:val="000000"/>
                <w:sz w:val="24"/>
                <w:szCs w:val="24"/>
              </w:rPr>
            </w:pPr>
            <w:r>
              <w:rPr>
                <w:rFonts w:hint="eastAsia" w:ascii="宋体" w:hAnsi="宋体" w:eastAsia="宋体"/>
                <w:color w:val="000000"/>
                <w:sz w:val="24"/>
                <w:szCs w:val="24"/>
              </w:rPr>
              <w:t>2024年</w:t>
            </w:r>
          </w:p>
        </w:tc>
      </w:tr>
      <w:tr w14:paraId="1C98E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712DBF">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58F4EE06">
            <w:pPr>
              <w:spacing w:line="440" w:lineRule="exact"/>
              <w:jc w:val="center"/>
              <w:rPr>
                <w:rFonts w:ascii="宋体" w:hAnsi="宋体"/>
                <w:color w:val="000000"/>
                <w:sz w:val="24"/>
                <w:szCs w:val="24"/>
              </w:rPr>
            </w:pPr>
          </w:p>
        </w:tc>
        <w:tc>
          <w:tcPr>
            <w:tcW w:w="1288" w:type="dxa"/>
          </w:tcPr>
          <w:p w14:paraId="475C3CC3">
            <w:pPr>
              <w:spacing w:line="440" w:lineRule="exact"/>
              <w:jc w:val="center"/>
              <w:rPr>
                <w:rFonts w:ascii="宋体" w:hAnsi="宋体"/>
                <w:color w:val="000000"/>
                <w:sz w:val="24"/>
                <w:szCs w:val="24"/>
              </w:rPr>
            </w:pPr>
          </w:p>
        </w:tc>
        <w:tc>
          <w:tcPr>
            <w:tcW w:w="1288" w:type="dxa"/>
          </w:tcPr>
          <w:p w14:paraId="3893E3DA">
            <w:pPr>
              <w:spacing w:line="440" w:lineRule="exact"/>
              <w:jc w:val="center"/>
              <w:rPr>
                <w:rFonts w:ascii="宋体" w:hAnsi="宋体"/>
                <w:color w:val="000000"/>
                <w:sz w:val="24"/>
                <w:szCs w:val="24"/>
              </w:rPr>
            </w:pPr>
          </w:p>
        </w:tc>
      </w:tr>
      <w:tr w14:paraId="5C2EF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14:paraId="302163F3">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0C0422FE">
            <w:pPr>
              <w:spacing w:line="440" w:lineRule="exact"/>
              <w:jc w:val="center"/>
              <w:rPr>
                <w:rFonts w:ascii="宋体" w:hAnsi="宋体"/>
                <w:color w:val="000000"/>
                <w:sz w:val="24"/>
                <w:szCs w:val="24"/>
              </w:rPr>
            </w:pPr>
          </w:p>
        </w:tc>
        <w:tc>
          <w:tcPr>
            <w:tcW w:w="1288" w:type="dxa"/>
          </w:tcPr>
          <w:p w14:paraId="15BF2937">
            <w:pPr>
              <w:spacing w:line="440" w:lineRule="exact"/>
              <w:jc w:val="center"/>
              <w:rPr>
                <w:rFonts w:ascii="宋体" w:hAnsi="宋体"/>
                <w:color w:val="000000"/>
                <w:sz w:val="24"/>
                <w:szCs w:val="24"/>
              </w:rPr>
            </w:pPr>
          </w:p>
        </w:tc>
        <w:tc>
          <w:tcPr>
            <w:tcW w:w="1288" w:type="dxa"/>
          </w:tcPr>
          <w:p w14:paraId="619CECA2">
            <w:pPr>
              <w:spacing w:line="440" w:lineRule="exact"/>
              <w:jc w:val="center"/>
              <w:rPr>
                <w:rFonts w:ascii="宋体" w:hAnsi="宋体"/>
                <w:color w:val="000000"/>
                <w:sz w:val="24"/>
                <w:szCs w:val="24"/>
              </w:rPr>
            </w:pPr>
          </w:p>
        </w:tc>
      </w:tr>
      <w:tr w14:paraId="192A3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002BF60">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54748FE7">
            <w:pPr>
              <w:spacing w:line="440" w:lineRule="exact"/>
              <w:jc w:val="center"/>
              <w:rPr>
                <w:rFonts w:ascii="宋体" w:hAnsi="宋体"/>
                <w:color w:val="000000"/>
                <w:sz w:val="24"/>
                <w:szCs w:val="24"/>
              </w:rPr>
            </w:pPr>
          </w:p>
        </w:tc>
        <w:tc>
          <w:tcPr>
            <w:tcW w:w="1288" w:type="dxa"/>
          </w:tcPr>
          <w:p w14:paraId="16C17C71">
            <w:pPr>
              <w:spacing w:line="440" w:lineRule="exact"/>
              <w:jc w:val="center"/>
              <w:rPr>
                <w:rFonts w:ascii="宋体" w:hAnsi="宋体"/>
                <w:color w:val="000000"/>
                <w:sz w:val="24"/>
                <w:szCs w:val="24"/>
              </w:rPr>
            </w:pPr>
          </w:p>
        </w:tc>
        <w:tc>
          <w:tcPr>
            <w:tcW w:w="1288" w:type="dxa"/>
          </w:tcPr>
          <w:p w14:paraId="17CFC7A1">
            <w:pPr>
              <w:spacing w:line="440" w:lineRule="exact"/>
              <w:jc w:val="center"/>
              <w:rPr>
                <w:rFonts w:ascii="宋体" w:hAnsi="宋体"/>
                <w:color w:val="000000"/>
                <w:sz w:val="24"/>
                <w:szCs w:val="24"/>
              </w:rPr>
            </w:pPr>
          </w:p>
        </w:tc>
      </w:tr>
      <w:tr w14:paraId="0D333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39BD13F">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0BB7102B">
            <w:pPr>
              <w:spacing w:line="440" w:lineRule="exact"/>
              <w:jc w:val="center"/>
              <w:rPr>
                <w:rFonts w:ascii="宋体" w:hAnsi="宋体"/>
                <w:color w:val="000000"/>
                <w:sz w:val="24"/>
                <w:szCs w:val="24"/>
              </w:rPr>
            </w:pPr>
          </w:p>
        </w:tc>
        <w:tc>
          <w:tcPr>
            <w:tcW w:w="1288" w:type="dxa"/>
          </w:tcPr>
          <w:p w14:paraId="08F3F088">
            <w:pPr>
              <w:spacing w:line="440" w:lineRule="exact"/>
              <w:jc w:val="center"/>
              <w:rPr>
                <w:rFonts w:ascii="宋体" w:hAnsi="宋体"/>
                <w:color w:val="000000"/>
                <w:sz w:val="24"/>
                <w:szCs w:val="24"/>
              </w:rPr>
            </w:pPr>
          </w:p>
        </w:tc>
        <w:tc>
          <w:tcPr>
            <w:tcW w:w="1288" w:type="dxa"/>
          </w:tcPr>
          <w:p w14:paraId="115F39A5">
            <w:pPr>
              <w:spacing w:line="440" w:lineRule="exact"/>
              <w:jc w:val="center"/>
              <w:rPr>
                <w:rFonts w:ascii="宋体" w:hAnsi="宋体"/>
                <w:color w:val="000000"/>
                <w:sz w:val="24"/>
                <w:szCs w:val="24"/>
              </w:rPr>
            </w:pPr>
          </w:p>
        </w:tc>
      </w:tr>
      <w:tr w14:paraId="0B130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0D870B9">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0A69259A">
            <w:pPr>
              <w:spacing w:line="440" w:lineRule="exact"/>
              <w:jc w:val="center"/>
              <w:rPr>
                <w:rFonts w:ascii="宋体" w:hAnsi="宋体"/>
                <w:color w:val="000000"/>
                <w:sz w:val="24"/>
                <w:szCs w:val="24"/>
              </w:rPr>
            </w:pPr>
          </w:p>
        </w:tc>
        <w:tc>
          <w:tcPr>
            <w:tcW w:w="1288" w:type="dxa"/>
          </w:tcPr>
          <w:p w14:paraId="7ED447DB">
            <w:pPr>
              <w:spacing w:line="440" w:lineRule="exact"/>
              <w:jc w:val="center"/>
              <w:rPr>
                <w:rFonts w:ascii="宋体" w:hAnsi="宋体"/>
                <w:color w:val="000000"/>
                <w:sz w:val="24"/>
                <w:szCs w:val="24"/>
              </w:rPr>
            </w:pPr>
          </w:p>
        </w:tc>
        <w:tc>
          <w:tcPr>
            <w:tcW w:w="1288" w:type="dxa"/>
          </w:tcPr>
          <w:p w14:paraId="30D589C5">
            <w:pPr>
              <w:spacing w:line="440" w:lineRule="exact"/>
              <w:jc w:val="center"/>
              <w:rPr>
                <w:rFonts w:ascii="宋体" w:hAnsi="宋体"/>
                <w:color w:val="000000"/>
                <w:sz w:val="24"/>
                <w:szCs w:val="24"/>
              </w:rPr>
            </w:pPr>
          </w:p>
        </w:tc>
      </w:tr>
      <w:tr w14:paraId="06CA0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40D2DA1">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389C6CF4">
            <w:pPr>
              <w:spacing w:line="440" w:lineRule="exact"/>
              <w:jc w:val="center"/>
              <w:rPr>
                <w:rFonts w:ascii="宋体" w:hAnsi="宋体"/>
                <w:color w:val="000000"/>
                <w:sz w:val="24"/>
                <w:szCs w:val="24"/>
              </w:rPr>
            </w:pPr>
          </w:p>
        </w:tc>
        <w:tc>
          <w:tcPr>
            <w:tcW w:w="1288" w:type="dxa"/>
          </w:tcPr>
          <w:p w14:paraId="640CA308">
            <w:pPr>
              <w:spacing w:line="440" w:lineRule="exact"/>
              <w:jc w:val="center"/>
              <w:rPr>
                <w:rFonts w:ascii="宋体" w:hAnsi="宋体"/>
                <w:color w:val="000000"/>
                <w:sz w:val="24"/>
                <w:szCs w:val="24"/>
              </w:rPr>
            </w:pPr>
          </w:p>
        </w:tc>
        <w:tc>
          <w:tcPr>
            <w:tcW w:w="1288" w:type="dxa"/>
          </w:tcPr>
          <w:p w14:paraId="53D7544E">
            <w:pPr>
              <w:spacing w:line="440" w:lineRule="exact"/>
              <w:jc w:val="center"/>
              <w:rPr>
                <w:rFonts w:ascii="宋体" w:hAnsi="宋体"/>
                <w:color w:val="000000"/>
                <w:sz w:val="24"/>
                <w:szCs w:val="24"/>
              </w:rPr>
            </w:pPr>
          </w:p>
        </w:tc>
      </w:tr>
      <w:tr w14:paraId="6A08B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0272AAE">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499D0324">
            <w:pPr>
              <w:spacing w:line="440" w:lineRule="exact"/>
              <w:jc w:val="center"/>
              <w:rPr>
                <w:rFonts w:ascii="宋体" w:hAnsi="宋体"/>
                <w:color w:val="000000"/>
                <w:sz w:val="24"/>
                <w:szCs w:val="24"/>
              </w:rPr>
            </w:pPr>
          </w:p>
        </w:tc>
        <w:tc>
          <w:tcPr>
            <w:tcW w:w="1288" w:type="dxa"/>
          </w:tcPr>
          <w:p w14:paraId="278E632E">
            <w:pPr>
              <w:spacing w:line="440" w:lineRule="exact"/>
              <w:jc w:val="center"/>
              <w:rPr>
                <w:rFonts w:ascii="宋体" w:hAnsi="宋体"/>
                <w:color w:val="000000"/>
                <w:sz w:val="24"/>
                <w:szCs w:val="24"/>
              </w:rPr>
            </w:pPr>
          </w:p>
        </w:tc>
        <w:tc>
          <w:tcPr>
            <w:tcW w:w="1288" w:type="dxa"/>
          </w:tcPr>
          <w:p w14:paraId="1C7FB328">
            <w:pPr>
              <w:spacing w:line="440" w:lineRule="exact"/>
              <w:jc w:val="center"/>
              <w:rPr>
                <w:rFonts w:ascii="宋体" w:hAnsi="宋体"/>
                <w:color w:val="000000"/>
                <w:sz w:val="24"/>
                <w:szCs w:val="24"/>
              </w:rPr>
            </w:pPr>
          </w:p>
        </w:tc>
      </w:tr>
      <w:tr w14:paraId="03775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B88F514">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002EE8DF">
            <w:pPr>
              <w:spacing w:line="440" w:lineRule="exact"/>
              <w:jc w:val="center"/>
              <w:rPr>
                <w:rFonts w:ascii="宋体" w:hAnsi="宋体"/>
                <w:color w:val="000000"/>
                <w:sz w:val="24"/>
                <w:szCs w:val="24"/>
              </w:rPr>
            </w:pPr>
          </w:p>
        </w:tc>
        <w:tc>
          <w:tcPr>
            <w:tcW w:w="1288" w:type="dxa"/>
          </w:tcPr>
          <w:p w14:paraId="22A85601">
            <w:pPr>
              <w:spacing w:line="440" w:lineRule="exact"/>
              <w:jc w:val="center"/>
              <w:rPr>
                <w:rFonts w:ascii="宋体" w:hAnsi="宋体"/>
                <w:color w:val="000000"/>
                <w:sz w:val="24"/>
                <w:szCs w:val="24"/>
              </w:rPr>
            </w:pPr>
          </w:p>
        </w:tc>
        <w:tc>
          <w:tcPr>
            <w:tcW w:w="1288" w:type="dxa"/>
          </w:tcPr>
          <w:p w14:paraId="2EF83789">
            <w:pPr>
              <w:spacing w:line="440" w:lineRule="exact"/>
              <w:jc w:val="center"/>
              <w:rPr>
                <w:rFonts w:ascii="宋体" w:hAnsi="宋体"/>
                <w:color w:val="000000"/>
                <w:sz w:val="24"/>
                <w:szCs w:val="24"/>
              </w:rPr>
            </w:pPr>
          </w:p>
        </w:tc>
      </w:tr>
      <w:tr w14:paraId="38207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522DE9B">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75C29B93">
            <w:pPr>
              <w:spacing w:line="440" w:lineRule="exact"/>
              <w:jc w:val="center"/>
              <w:rPr>
                <w:rFonts w:ascii="宋体" w:hAnsi="宋体"/>
                <w:color w:val="000000"/>
                <w:sz w:val="24"/>
                <w:szCs w:val="24"/>
              </w:rPr>
            </w:pPr>
          </w:p>
        </w:tc>
        <w:tc>
          <w:tcPr>
            <w:tcW w:w="1288" w:type="dxa"/>
          </w:tcPr>
          <w:p w14:paraId="45D74A3E">
            <w:pPr>
              <w:spacing w:line="440" w:lineRule="exact"/>
              <w:jc w:val="center"/>
              <w:rPr>
                <w:rFonts w:ascii="宋体" w:hAnsi="宋体"/>
                <w:color w:val="000000"/>
                <w:sz w:val="24"/>
                <w:szCs w:val="24"/>
              </w:rPr>
            </w:pPr>
          </w:p>
        </w:tc>
        <w:tc>
          <w:tcPr>
            <w:tcW w:w="1288" w:type="dxa"/>
          </w:tcPr>
          <w:p w14:paraId="6F47FF77">
            <w:pPr>
              <w:spacing w:line="440" w:lineRule="exact"/>
              <w:jc w:val="center"/>
              <w:rPr>
                <w:rFonts w:ascii="宋体" w:hAnsi="宋体"/>
                <w:color w:val="000000"/>
                <w:sz w:val="24"/>
                <w:szCs w:val="24"/>
              </w:rPr>
            </w:pPr>
          </w:p>
        </w:tc>
      </w:tr>
      <w:tr w14:paraId="4B24D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129271A">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32CDF081">
            <w:pPr>
              <w:spacing w:line="440" w:lineRule="exact"/>
              <w:jc w:val="center"/>
              <w:rPr>
                <w:rFonts w:ascii="宋体" w:hAnsi="宋体"/>
                <w:color w:val="000000"/>
                <w:sz w:val="24"/>
                <w:szCs w:val="24"/>
              </w:rPr>
            </w:pPr>
          </w:p>
        </w:tc>
        <w:tc>
          <w:tcPr>
            <w:tcW w:w="1288" w:type="dxa"/>
          </w:tcPr>
          <w:p w14:paraId="21905976">
            <w:pPr>
              <w:spacing w:line="440" w:lineRule="exact"/>
              <w:jc w:val="center"/>
              <w:rPr>
                <w:rFonts w:ascii="宋体" w:hAnsi="宋体"/>
                <w:color w:val="000000"/>
                <w:sz w:val="24"/>
                <w:szCs w:val="24"/>
              </w:rPr>
            </w:pPr>
          </w:p>
        </w:tc>
        <w:tc>
          <w:tcPr>
            <w:tcW w:w="1288" w:type="dxa"/>
          </w:tcPr>
          <w:p w14:paraId="39C4BA1E">
            <w:pPr>
              <w:spacing w:line="440" w:lineRule="exact"/>
              <w:jc w:val="center"/>
              <w:rPr>
                <w:rFonts w:ascii="宋体" w:hAnsi="宋体"/>
                <w:color w:val="000000"/>
                <w:sz w:val="24"/>
                <w:szCs w:val="24"/>
              </w:rPr>
            </w:pPr>
          </w:p>
        </w:tc>
      </w:tr>
    </w:tbl>
    <w:p w14:paraId="5F79C6E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5DD127D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BF1863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BB5FD03">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4FB8358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68EB5DC7">
      <w:pPr>
        <w:spacing w:line="240" w:lineRule="exact"/>
        <w:jc w:val="center"/>
        <w:rPr>
          <w:rFonts w:ascii="宋体" w:hAnsi="Calibri" w:eastAsia="宋体" w:cs="Times New Roman"/>
          <w:b/>
          <w:bCs/>
          <w:sz w:val="36"/>
          <w:szCs w:val="20"/>
        </w:rPr>
      </w:pPr>
    </w:p>
    <w:p w14:paraId="2879894A">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sz w:val="24"/>
          <w:szCs w:val="20"/>
          <w:u w:val="single"/>
        </w:rPr>
        <w:t xml:space="preserve">                       项目</w:t>
      </w:r>
    </w:p>
    <w:p w14:paraId="5994A83C">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3706E329">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1E455BD0">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65DFEBB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A62AB5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653021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84FB8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DB1966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0E4922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BC8226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7DDD99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F214F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61BBCD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127A3D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8C49FD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3481A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5DA965">
      <w:pPr>
        <w:spacing w:line="360" w:lineRule="auto"/>
        <w:ind w:firstLine="480" w:firstLineChars="200"/>
        <w:rPr>
          <w:rFonts w:ascii="宋体" w:hAnsi="宋体" w:eastAsia="宋体" w:cs="Times New Roman"/>
          <w:sz w:val="24"/>
          <w:szCs w:val="20"/>
          <w:u w:val="single"/>
        </w:rPr>
      </w:pPr>
    </w:p>
    <w:p w14:paraId="3338727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178C12D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3BC03F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EF03116">
      <w:pPr>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p>
    <w:p w14:paraId="7CAAD1DC">
      <w:pPr>
        <w:jc w:val="center"/>
        <w:rPr>
          <w:b/>
          <w:bCs/>
          <w:sz w:val="30"/>
          <w:szCs w:val="30"/>
        </w:rPr>
      </w:pPr>
      <w:bookmarkStart w:id="5" w:name="_Toc25980"/>
      <w:bookmarkStart w:id="6" w:name="_Toc6557"/>
      <w:bookmarkStart w:id="7" w:name="_Toc20729"/>
      <w:bookmarkStart w:id="8" w:name="_Toc9534"/>
      <w:bookmarkStart w:id="9" w:name="_Toc3889"/>
      <w:r>
        <w:rPr>
          <w:rFonts w:hint="eastAsia"/>
          <w:b/>
          <w:bCs/>
          <w:sz w:val="30"/>
          <w:szCs w:val="30"/>
        </w:rPr>
        <w:t>非生产供应商注册操作手册</w:t>
      </w:r>
      <w:bookmarkEnd w:id="5"/>
      <w:bookmarkEnd w:id="6"/>
      <w:bookmarkEnd w:id="7"/>
      <w:bookmarkEnd w:id="8"/>
      <w:bookmarkEnd w:id="9"/>
    </w:p>
    <w:p w14:paraId="0F6F8306">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14:paraId="78E9BFC3">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07082EC3">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3CE79DFE">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467EE897">
      <w:pPr>
        <w:rPr>
          <w:rFonts w:ascii="宋体" w:cs="宋体"/>
          <w:b/>
          <w:bCs/>
          <w:color w:val="C00000"/>
          <w:lang w:bidi="ar"/>
        </w:rPr>
      </w:pPr>
    </w:p>
    <w:p w14:paraId="63885251">
      <w:pPr>
        <w:rPr>
          <w:rFonts w:ascii="宋体" w:cs="宋体"/>
          <w:b/>
          <w:bCs/>
          <w:color w:val="C00000"/>
          <w:lang w:bidi="ar"/>
        </w:rPr>
      </w:pPr>
    </w:p>
    <w:p w14:paraId="30913024">
      <w:pPr>
        <w:rPr>
          <w:rFonts w:ascii="宋体" w:cs="宋体"/>
          <w:b/>
          <w:bCs/>
          <w:sz w:val="32"/>
          <w:szCs w:val="40"/>
          <w:highlight w:val="yellow"/>
        </w:rPr>
      </w:pPr>
      <w:r>
        <w:rPr>
          <w:rFonts w:hint="eastAsia" w:ascii="宋体" w:cs="宋体"/>
          <w:b/>
          <w:bCs/>
          <w:sz w:val="32"/>
          <w:szCs w:val="40"/>
          <w:highlight w:val="yellow"/>
          <w:lang w:bidi="ar"/>
        </w:rPr>
        <w:t>供应商注册</w:t>
      </w:r>
    </w:p>
    <w:p w14:paraId="04CF790A">
      <w:pPr>
        <w:rPr>
          <w:rFonts w:ascii="宋体" w:cs="宋体"/>
          <w:b/>
          <w:bCs/>
          <w:color w:val="C00000"/>
        </w:rPr>
      </w:pPr>
      <w:r>
        <w:rPr>
          <w:rFonts w:hint="eastAsia" w:ascii="宋体" w:cs="宋体"/>
          <w:b/>
          <w:bCs/>
          <w:color w:val="C00000"/>
          <w:lang w:bidi="ar"/>
        </w:rPr>
        <w:t>归口部门选“技术改造部”</w:t>
      </w:r>
    </w:p>
    <w:p w14:paraId="314A0399">
      <w:r>
        <w:rPr>
          <w:rFonts w:hint="eastAsia" w:ascii="宋体" w:cs="宋体"/>
          <w:color w:val="000000"/>
          <w:lang w:bidi="ar"/>
        </w:rPr>
        <w:t>浏览器中输入地址</w:t>
      </w:r>
      <w:r>
        <w:rPr>
          <w:rFonts w:ascii="Calibri" w:hAnsi="Calibri" w:eastAsia="Calibri" w:cs="Calibri"/>
          <w:color w:val="000000"/>
          <w:lang w:bidi="ar"/>
        </w:rPr>
        <w:t>;</w:t>
      </w:r>
    </w:p>
    <w:p w14:paraId="79CEC016">
      <w:r>
        <w:fldChar w:fldCharType="begin"/>
      </w:r>
      <w:r>
        <w:instrText xml:space="preserve"> HYPERLINK "http://ecaitong.sinotruk.com:8012/" \l "/login normalLink /tdkey d38o9f /tdfe -10 /tdfu http:/ecaitong.sinotruk.com:8012/#/login /tdlt inline" </w:instrText>
      </w:r>
      <w:r>
        <w:fldChar w:fldCharType="separate"/>
      </w:r>
      <w:r>
        <w:rPr>
          <w:rStyle w:val="26"/>
        </w:rPr>
        <w:t>http</w:t>
      </w:r>
      <w:r>
        <w:rPr>
          <w:rStyle w:val="26"/>
          <w:rFonts w:hint="eastAsia"/>
        </w:rPr>
        <w:t>s</w:t>
      </w:r>
      <w:r>
        <w:rPr>
          <w:rStyle w:val="26"/>
        </w:rPr>
        <w:t>://ecaitong.sinotruk.com:8012/#/login</w:t>
      </w:r>
      <w:r>
        <w:rPr>
          <w:rStyle w:val="26"/>
        </w:rPr>
        <w:fldChar w:fldCharType="end"/>
      </w:r>
    </w:p>
    <w:p w14:paraId="64AD6E80">
      <w:pPr>
        <w:numPr>
          <w:ilvl w:val="0"/>
          <w:numId w:val="1"/>
        </w:numPr>
        <w:rPr>
          <w:rFonts w:ascii="宋体" w:cs="宋体"/>
          <w:color w:val="000000"/>
          <w:lang w:bidi="ar"/>
        </w:rPr>
      </w:pPr>
      <w:r>
        <w:rPr>
          <w:rFonts w:hint="eastAsia" w:ascii="宋体" w:cs="宋体"/>
          <w:color w:val="000000"/>
          <w:lang w:bidi="ar"/>
        </w:rPr>
        <w:t>点击立即注册</w:t>
      </w:r>
    </w:p>
    <w:p w14:paraId="710C4B0F">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63739DD1">
      <w:pPr>
        <w:snapToGrid w:val="0"/>
        <w:spacing w:line="312" w:lineRule="auto"/>
      </w:pPr>
      <w:r>
        <w:rPr>
          <w:rFonts w:ascii="宋体" w:hAnsi="宋体" w:cs="宋体"/>
          <w:sz w:val="24"/>
        </w:rPr>
        <w:drawing>
          <wp:inline distT="0" distB="0" distL="114300" distR="114300">
            <wp:extent cx="5605145" cy="2578735"/>
            <wp:effectExtent l="0" t="0" r="14605" b="12065"/>
            <wp:docPr id="6"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IMG_256"/>
                    <pic:cNvPicPr>
                      <a:picLocks noChangeAspect="1"/>
                    </pic:cNvPicPr>
                  </pic:nvPicPr>
                  <pic:blipFill>
                    <a:blip r:embed="rId9"/>
                    <a:stretch>
                      <a:fillRect/>
                    </a:stretch>
                  </pic:blipFill>
                  <pic:spPr>
                    <a:xfrm>
                      <a:off x="0" y="0"/>
                      <a:ext cx="5605145" cy="2578735"/>
                    </a:xfrm>
                    <a:prstGeom prst="rect">
                      <a:avLst/>
                    </a:prstGeom>
                    <a:noFill/>
                    <a:ln>
                      <a:noFill/>
                    </a:ln>
                  </pic:spPr>
                </pic:pic>
              </a:graphicData>
            </a:graphic>
          </wp:inline>
        </w:drawing>
      </w:r>
    </w:p>
    <w:p w14:paraId="5E19DC41">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2EF33416">
      <w:pPr>
        <w:snapToGrid w:val="0"/>
        <w:spacing w:line="312" w:lineRule="auto"/>
      </w:pPr>
      <w:r>
        <w:drawing>
          <wp:inline distT="0" distB="0" distL="114300" distR="114300">
            <wp:extent cx="5758180" cy="2765425"/>
            <wp:effectExtent l="0" t="0" r="13970" b="15875"/>
            <wp:docPr id="7" name="图片 17" descr="descript"/>
            <wp:cNvGraphicFramePr/>
            <a:graphic xmlns:a="http://schemas.openxmlformats.org/drawingml/2006/main">
              <a:graphicData uri="http://schemas.openxmlformats.org/drawingml/2006/picture">
                <pic:pic xmlns:pic="http://schemas.openxmlformats.org/drawingml/2006/picture">
                  <pic:nvPicPr>
                    <pic:cNvPr id="7" name="图片 17" descr="descript"/>
                    <pic:cNvPicPr/>
                  </pic:nvPicPr>
                  <pic:blipFill>
                    <a:blip r:embed="rId10"/>
                    <a:stretch>
                      <a:fillRect/>
                    </a:stretch>
                  </pic:blipFill>
                  <pic:spPr>
                    <a:xfrm>
                      <a:off x="0" y="0"/>
                      <a:ext cx="5758180" cy="2765425"/>
                    </a:xfrm>
                    <a:prstGeom prst="rect">
                      <a:avLst/>
                    </a:prstGeom>
                    <a:noFill/>
                    <a:ln>
                      <a:noFill/>
                    </a:ln>
                  </pic:spPr>
                </pic:pic>
              </a:graphicData>
            </a:graphic>
          </wp:inline>
        </w:drawing>
      </w:r>
    </w:p>
    <w:p w14:paraId="47D589B6">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3B039C4C">
      <w:pPr>
        <w:snapToGrid w:val="0"/>
        <w:spacing w:line="312" w:lineRule="auto"/>
      </w:pPr>
      <w:r>
        <w:drawing>
          <wp:inline distT="0" distB="0" distL="114300" distR="114300">
            <wp:extent cx="5760085" cy="2867025"/>
            <wp:effectExtent l="0" t="0" r="12065" b="9525"/>
            <wp:docPr id="2" name="图片 5" descr="descript"/>
            <wp:cNvGraphicFramePr/>
            <a:graphic xmlns:a="http://schemas.openxmlformats.org/drawingml/2006/main">
              <a:graphicData uri="http://schemas.openxmlformats.org/drawingml/2006/picture">
                <pic:pic xmlns:pic="http://schemas.openxmlformats.org/drawingml/2006/picture">
                  <pic:nvPicPr>
                    <pic:cNvPr id="2" name="图片 5" descr="descript"/>
                    <pic:cNvPicPr/>
                  </pic:nvPicPr>
                  <pic:blipFill>
                    <a:blip r:embed="rId11"/>
                    <a:stretch>
                      <a:fillRect/>
                    </a:stretch>
                  </pic:blipFill>
                  <pic:spPr>
                    <a:xfrm>
                      <a:off x="0" y="0"/>
                      <a:ext cx="5760085" cy="2867025"/>
                    </a:xfrm>
                    <a:prstGeom prst="rect">
                      <a:avLst/>
                    </a:prstGeom>
                    <a:noFill/>
                    <a:ln>
                      <a:noFill/>
                    </a:ln>
                  </pic:spPr>
                </pic:pic>
              </a:graphicData>
            </a:graphic>
          </wp:inline>
        </w:drawing>
      </w:r>
    </w:p>
    <w:p w14:paraId="3651AB9C">
      <w:r>
        <w:rPr>
          <w:rFonts w:ascii="Calibri" w:hAnsi="Calibri" w:eastAsia="Calibri" w:cs="Calibri"/>
          <w:color w:val="000000"/>
          <w:lang w:bidi="ar"/>
        </w:rPr>
        <w:t xml:space="preserve">4.     </w:t>
      </w:r>
      <w:r>
        <w:rPr>
          <w:rFonts w:hint="eastAsia" w:ascii="宋体" w:cs="宋体"/>
          <w:color w:val="000000"/>
          <w:lang w:bidi="ar"/>
        </w:rPr>
        <w:t>点击新增</w:t>
      </w:r>
    </w:p>
    <w:p w14:paraId="75459A32">
      <w:pPr>
        <w:snapToGrid w:val="0"/>
        <w:spacing w:line="312" w:lineRule="auto"/>
      </w:pPr>
      <w:r>
        <w:drawing>
          <wp:inline distT="0" distB="0" distL="114300" distR="114300">
            <wp:extent cx="5758180" cy="2852420"/>
            <wp:effectExtent l="0" t="0" r="13970" b="5080"/>
            <wp:docPr id="12" name="图片 4" descr="descript"/>
            <wp:cNvGraphicFramePr/>
            <a:graphic xmlns:a="http://schemas.openxmlformats.org/drawingml/2006/main">
              <a:graphicData uri="http://schemas.openxmlformats.org/drawingml/2006/picture">
                <pic:pic xmlns:pic="http://schemas.openxmlformats.org/drawingml/2006/picture">
                  <pic:nvPicPr>
                    <pic:cNvPr id="12" name="图片 4" descr="descript"/>
                    <pic:cNvPicPr/>
                  </pic:nvPicPr>
                  <pic:blipFill>
                    <a:blip r:embed="rId12"/>
                    <a:stretch>
                      <a:fillRect/>
                    </a:stretch>
                  </pic:blipFill>
                  <pic:spPr>
                    <a:xfrm>
                      <a:off x="0" y="0"/>
                      <a:ext cx="5758180" cy="2852420"/>
                    </a:xfrm>
                    <a:prstGeom prst="rect">
                      <a:avLst/>
                    </a:prstGeom>
                    <a:noFill/>
                    <a:ln>
                      <a:noFill/>
                    </a:ln>
                  </pic:spPr>
                </pic:pic>
              </a:graphicData>
            </a:graphic>
          </wp:inline>
        </w:drawing>
      </w:r>
    </w:p>
    <w:p w14:paraId="15156C58">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181C4B17">
      <w:pPr>
        <w:rPr>
          <w:rFonts w:ascii="宋体" w:cs="宋体"/>
          <w:color w:val="000000"/>
        </w:rPr>
      </w:pPr>
      <w:r>
        <w:drawing>
          <wp:inline distT="0" distB="0" distL="114300" distR="114300">
            <wp:extent cx="5760085" cy="2807335"/>
            <wp:effectExtent l="0" t="0" r="12065" b="12065"/>
            <wp:docPr id="19" name="图片 18" descr="descript"/>
            <wp:cNvGraphicFramePr/>
            <a:graphic xmlns:a="http://schemas.openxmlformats.org/drawingml/2006/main">
              <a:graphicData uri="http://schemas.openxmlformats.org/drawingml/2006/picture">
                <pic:pic xmlns:pic="http://schemas.openxmlformats.org/drawingml/2006/picture">
                  <pic:nvPicPr>
                    <pic:cNvPr id="19" name="图片 18" descr="descript"/>
                    <pic:cNvPicPr/>
                  </pic:nvPicPr>
                  <pic:blipFill>
                    <a:blip r:embed="rId13"/>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13970" b="1905"/>
            <wp:docPr id="22" name="图片 6" descr="descript"/>
            <wp:cNvGraphicFramePr/>
            <a:graphic xmlns:a="http://schemas.openxmlformats.org/drawingml/2006/main">
              <a:graphicData uri="http://schemas.openxmlformats.org/drawingml/2006/picture">
                <pic:pic xmlns:pic="http://schemas.openxmlformats.org/drawingml/2006/picture">
                  <pic:nvPicPr>
                    <pic:cNvPr id="22" name="图片 6" descr="descript"/>
                    <pic:cNvPicPr/>
                  </pic:nvPicPr>
                  <pic:blipFill>
                    <a:blip r:embed="rId14"/>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13970" b="1905"/>
            <wp:docPr id="24" name="图片 7" descr="descript"/>
            <wp:cNvGraphicFramePr/>
            <a:graphic xmlns:a="http://schemas.openxmlformats.org/drawingml/2006/main">
              <a:graphicData uri="http://schemas.openxmlformats.org/drawingml/2006/picture">
                <pic:pic xmlns:pic="http://schemas.openxmlformats.org/drawingml/2006/picture">
                  <pic:nvPicPr>
                    <pic:cNvPr id="24" name="图片 7" descr="descript"/>
                    <pic:cNvPicPr/>
                  </pic:nvPicPr>
                  <pic:blipFill>
                    <a:blip r:embed="rId14"/>
                    <a:stretch>
                      <a:fillRect/>
                    </a:stretch>
                  </pic:blipFill>
                  <pic:spPr>
                    <a:xfrm>
                      <a:off x="0" y="0"/>
                      <a:ext cx="5758180" cy="2817495"/>
                    </a:xfrm>
                    <a:prstGeom prst="rect">
                      <a:avLst/>
                    </a:prstGeom>
                    <a:noFill/>
                    <a:ln>
                      <a:noFill/>
                    </a:ln>
                  </pic:spPr>
                </pic:pic>
              </a:graphicData>
            </a:graphic>
          </wp:inline>
        </w:drawing>
      </w:r>
    </w:p>
    <w:p w14:paraId="0826AC2A"/>
    <w:p w14:paraId="2F34E498">
      <w:pPr>
        <w:snapToGrid w:val="0"/>
        <w:spacing w:line="312" w:lineRule="auto"/>
      </w:pPr>
    </w:p>
    <w:p w14:paraId="61C62865"/>
    <w:p w14:paraId="09D7FF93">
      <w:pPr>
        <w:pStyle w:val="5"/>
        <w:widowControl/>
        <w:rPr>
          <w:rFonts w:ascii="Cambria" w:hAnsi="Cambria" w:cs="Cambria"/>
          <w:highlight w:val="yellow"/>
        </w:rPr>
      </w:pPr>
      <w:r>
        <w:rPr>
          <w:rFonts w:hint="eastAsia" w:ascii="宋体" w:cs="宋体"/>
          <w:highlight w:val="yellow"/>
        </w:rPr>
        <w:t>附件-e采通登录界面</w:t>
      </w:r>
    </w:p>
    <w:p w14:paraId="0C0DB4C2">
      <w:pPr>
        <w:spacing w:line="360" w:lineRule="auto"/>
      </w:pPr>
      <w:r>
        <w:rPr>
          <w:lang w:bidi="ar"/>
        </w:rPr>
        <w:t>1</w:t>
      </w:r>
      <w:r>
        <w:rPr>
          <w:rFonts w:hint="eastAsia" w:ascii="宋体" w:cs="宋体"/>
          <w:lang w:bidi="ar"/>
        </w:rPr>
        <w:t>）功能简介</w:t>
      </w:r>
    </w:p>
    <w:p w14:paraId="4B314308">
      <w:pPr>
        <w:spacing w:line="360" w:lineRule="auto"/>
      </w:pPr>
      <w:r>
        <w:rPr>
          <w:rFonts w:hint="eastAsia" w:ascii="宋体" w:cs="宋体"/>
          <w:lang w:bidi="ar"/>
        </w:rPr>
        <w:t>此页面用于进行账号登录，找回密码。</w:t>
      </w:r>
    </w:p>
    <w:p w14:paraId="5B4D4CD9">
      <w:pPr>
        <w:numPr>
          <w:ilvl w:val="0"/>
          <w:numId w:val="2"/>
        </w:numPr>
        <w:spacing w:line="360" w:lineRule="auto"/>
      </w:pPr>
      <w:r>
        <w:rPr>
          <w:rFonts w:hint="eastAsia" w:ascii="宋体" w:cs="宋体"/>
          <w:lang w:bidi="ar"/>
        </w:rPr>
        <w:t>界面如下</w:t>
      </w:r>
    </w:p>
    <w:p w14:paraId="35DBEC94">
      <w:r>
        <w:drawing>
          <wp:inline distT="0" distB="0" distL="114300" distR="114300">
            <wp:extent cx="5278120" cy="2660650"/>
            <wp:effectExtent l="0" t="0" r="17780" b="6350"/>
            <wp:docPr id="25"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9" descr="7"/>
                    <pic:cNvPicPr>
                      <a:picLocks noChangeAspect="1"/>
                    </pic:cNvPicPr>
                  </pic:nvPicPr>
                  <pic:blipFill>
                    <a:blip r:embed="rId15"/>
                    <a:stretch>
                      <a:fillRect/>
                    </a:stretch>
                  </pic:blipFill>
                  <pic:spPr>
                    <a:xfrm>
                      <a:off x="0" y="0"/>
                      <a:ext cx="5278120" cy="2660650"/>
                    </a:xfrm>
                    <a:prstGeom prst="rect">
                      <a:avLst/>
                    </a:prstGeom>
                    <a:noFill/>
                    <a:ln>
                      <a:noFill/>
                    </a:ln>
                  </pic:spPr>
                </pic:pic>
              </a:graphicData>
            </a:graphic>
          </wp:inline>
        </w:drawing>
      </w:r>
    </w:p>
    <w:p w14:paraId="31BF30DF">
      <w:pPr>
        <w:pStyle w:val="34"/>
        <w:widowControl/>
        <w:ind w:firstLine="0" w:firstLineChars="0"/>
        <w:rPr>
          <w:kern w:val="2"/>
          <w:sz w:val="21"/>
          <w:szCs w:val="21"/>
        </w:rPr>
      </w:pPr>
      <w:r>
        <w:rPr>
          <w:kern w:val="2"/>
          <w:sz w:val="21"/>
          <w:szCs w:val="21"/>
        </w:rPr>
        <w:t>3</w:t>
      </w:r>
      <w:r>
        <w:rPr>
          <w:rFonts w:hint="eastAsia" w:ascii="宋体" w:cs="宋体"/>
          <w:kern w:val="2"/>
          <w:sz w:val="21"/>
          <w:szCs w:val="21"/>
        </w:rPr>
        <w:t>）页面规则</w:t>
      </w:r>
    </w:p>
    <w:p w14:paraId="0B74CD50">
      <w:pPr>
        <w:pStyle w:val="34"/>
        <w:widowControl/>
        <w:ind w:firstLine="0" w:firstLineChars="0"/>
        <w:rPr>
          <w:kern w:val="2"/>
          <w:sz w:val="21"/>
          <w:szCs w:val="21"/>
        </w:rPr>
      </w:pPr>
      <w:r>
        <w:rPr>
          <w:rFonts w:hint="eastAsia" w:ascii="宋体" w:cs="宋体"/>
          <w:b/>
          <w:bCs/>
          <w:kern w:val="2"/>
          <w:sz w:val="21"/>
          <w:szCs w:val="21"/>
        </w:rPr>
        <w:t>重置密码：</w:t>
      </w:r>
      <w:r>
        <w:rPr>
          <w:rFonts w:hint="eastAsia" w:ascii="宋体" w:cs="宋体"/>
          <w:kern w:val="2"/>
          <w:sz w:val="21"/>
          <w:szCs w:val="21"/>
        </w:rPr>
        <w:t>对于新注册的供应商，审批流程结束之后</w:t>
      </w:r>
      <w:r>
        <w:rPr>
          <w:kern w:val="2"/>
          <w:sz w:val="21"/>
          <w:szCs w:val="21"/>
        </w:rPr>
        <w:t>e</w:t>
      </w:r>
      <w:r>
        <w:rPr>
          <w:rFonts w:hint="eastAsia" w:ascii="宋体" w:cs="宋体"/>
          <w:kern w:val="2"/>
          <w:sz w:val="21"/>
          <w:szCs w:val="21"/>
        </w:rPr>
        <w:t>采通系统会发送短信到注册的收据号上，会告知登录账号和密码，</w:t>
      </w:r>
      <w:r>
        <w:rPr>
          <w:rFonts w:hint="eastAsia" w:ascii="宋体" w:cs="宋体"/>
          <w:b/>
          <w:bCs/>
          <w:kern w:val="2"/>
          <w:sz w:val="21"/>
          <w:szCs w:val="21"/>
        </w:rPr>
        <w:t>账号为供应商注册完成后发送到手机上的账号密码。</w:t>
      </w:r>
      <w:r>
        <w:rPr>
          <w:rFonts w:hint="eastAsia" w:ascii="宋体" w:cs="宋体"/>
          <w:kern w:val="2"/>
          <w:sz w:val="21"/>
          <w:szCs w:val="21"/>
        </w:rPr>
        <w:t>登录系统之后，立即绑定手机号，后续所有的密码重置都可以在登录界面点击忘记密码按钮，验证手机号码进行重置！</w:t>
      </w:r>
    </w:p>
    <w:p w14:paraId="7C3CAE76">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25071C56">
      <w:pPr>
        <w:pStyle w:val="5"/>
        <w:widowControl/>
        <w:spacing w:line="360" w:lineRule="auto"/>
        <w:rPr>
          <w:rFonts w:ascii="Cambria" w:hAnsi="Cambria" w:cs="Cambria"/>
          <w:highlight w:val="yellow"/>
        </w:rPr>
      </w:pPr>
      <w:r>
        <w:rPr>
          <w:rFonts w:hint="eastAsia" w:ascii="宋体" w:cs="宋体"/>
          <w:highlight w:val="yellow"/>
        </w:rPr>
        <w:t>附件-供应商注册</w:t>
      </w:r>
    </w:p>
    <w:p w14:paraId="5177E738">
      <w:pPr>
        <w:spacing w:line="360" w:lineRule="auto"/>
      </w:pPr>
      <w:r>
        <w:rPr>
          <w:lang w:bidi="ar"/>
        </w:rPr>
        <w:t>1</w:t>
      </w:r>
      <w:r>
        <w:rPr>
          <w:rFonts w:hint="eastAsia" w:ascii="宋体" w:cs="宋体"/>
          <w:lang w:bidi="ar"/>
        </w:rPr>
        <w:t>）功能简介</w:t>
      </w:r>
    </w:p>
    <w:p w14:paraId="1C7264B4">
      <w:pPr>
        <w:spacing w:line="360" w:lineRule="auto"/>
      </w:pPr>
      <w:r>
        <w:rPr>
          <w:rFonts w:hint="eastAsia" w:ascii="宋体" w:cs="宋体"/>
          <w:lang w:bidi="ar"/>
        </w:rPr>
        <w:t>此页面用于进行供应商注册</w:t>
      </w:r>
    </w:p>
    <w:p w14:paraId="67BE1358">
      <w:pPr>
        <w:pStyle w:val="34"/>
        <w:widowControl/>
        <w:ind w:firstLine="0" w:firstLineChars="0"/>
        <w:rPr>
          <w:kern w:val="2"/>
          <w:sz w:val="21"/>
          <w:szCs w:val="21"/>
        </w:rPr>
      </w:pPr>
      <w:r>
        <w:rPr>
          <w:kern w:val="2"/>
          <w:sz w:val="21"/>
          <w:szCs w:val="21"/>
        </w:rPr>
        <w:t>2</w:t>
      </w:r>
      <w:r>
        <w:rPr>
          <w:rFonts w:hint="eastAsia" w:ascii="宋体" w:cs="宋体"/>
          <w:kern w:val="2"/>
          <w:sz w:val="21"/>
          <w:szCs w:val="21"/>
        </w:rPr>
        <w:t>）界面如下</w:t>
      </w:r>
    </w:p>
    <w:p w14:paraId="27A8AE9E">
      <w:r>
        <w:drawing>
          <wp:inline distT="0" distB="0" distL="114300" distR="114300">
            <wp:extent cx="5342255" cy="2485390"/>
            <wp:effectExtent l="0" t="0" r="10795" b="10160"/>
            <wp:docPr id="26"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505033164" descr="8"/>
                    <pic:cNvPicPr>
                      <a:picLocks noChangeAspect="1"/>
                    </pic:cNvPicPr>
                  </pic:nvPicPr>
                  <pic:blipFill>
                    <a:blip r:embed="rId16"/>
                    <a:stretch>
                      <a:fillRect/>
                    </a:stretch>
                  </pic:blipFill>
                  <pic:spPr>
                    <a:xfrm>
                      <a:off x="0" y="0"/>
                      <a:ext cx="5342255" cy="2485390"/>
                    </a:xfrm>
                    <a:prstGeom prst="rect">
                      <a:avLst/>
                    </a:prstGeom>
                    <a:noFill/>
                    <a:ln>
                      <a:noFill/>
                    </a:ln>
                  </pic:spPr>
                </pic:pic>
              </a:graphicData>
            </a:graphic>
          </wp:inline>
        </w:drawing>
      </w:r>
    </w:p>
    <w:p w14:paraId="4FB98016">
      <w:pPr>
        <w:pStyle w:val="34"/>
        <w:widowControl/>
        <w:tabs>
          <w:tab w:val="left" w:pos="0"/>
        </w:tabs>
        <w:ind w:firstLine="0" w:firstLineChars="0"/>
        <w:rPr>
          <w:kern w:val="2"/>
          <w:sz w:val="21"/>
          <w:szCs w:val="21"/>
        </w:rPr>
      </w:pPr>
      <w:r>
        <w:rPr>
          <w:rFonts w:hint="eastAsia" w:ascii="宋体" w:cs="宋体"/>
          <w:kern w:val="2"/>
          <w:sz w:val="21"/>
          <w:szCs w:val="21"/>
        </w:rPr>
        <w:t>3）页面规则</w:t>
      </w:r>
    </w:p>
    <w:p w14:paraId="1902B1A6">
      <w:pPr>
        <w:pStyle w:val="34"/>
        <w:widowControl/>
        <w:ind w:firstLine="0" w:firstLineChars="0"/>
        <w:rPr>
          <w:kern w:val="2"/>
          <w:sz w:val="21"/>
          <w:szCs w:val="21"/>
        </w:rPr>
      </w:pPr>
      <w:r>
        <w:rPr>
          <w:rFonts w:hint="eastAsia" w:ascii="宋体" w:cs="宋体"/>
          <w:kern w:val="2"/>
          <w:sz w:val="21"/>
          <w:szCs w:val="21"/>
        </w:rPr>
        <w:t>点击新增按钮进入注册界面，如果点击提交，系统报错或者系统没反应请先仔细检查自己的填写数据是否完整正确。</w:t>
      </w:r>
    </w:p>
    <w:p w14:paraId="6A33EE6A">
      <w:pPr>
        <w:spacing w:line="360" w:lineRule="auto"/>
      </w:pPr>
      <w:r>
        <w:rPr>
          <w:rFonts w:hint="eastAsia" w:ascii="宋体" w:cs="宋体"/>
          <w:lang w:bidi="ar"/>
        </w:rPr>
        <w:t>注册信息的字段：尽量把所有信息都填写完整，</w:t>
      </w:r>
    </w:p>
    <w:p w14:paraId="433EE7AE">
      <w:pPr>
        <w:numPr>
          <w:ilvl w:val="0"/>
          <w:numId w:val="3"/>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2FF39F6D">
      <w:pPr>
        <w:numPr>
          <w:ilvl w:val="0"/>
          <w:numId w:val="3"/>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61C76AA5">
      <w:pPr>
        <w:numPr>
          <w:ilvl w:val="0"/>
          <w:numId w:val="3"/>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47D54D24">
      <w:pPr>
        <w:numPr>
          <w:ilvl w:val="0"/>
          <w:numId w:val="3"/>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6889C19D">
      <w:pPr>
        <w:pStyle w:val="6"/>
        <w:widowControl/>
        <w:numPr>
          <w:ilvl w:val="0"/>
          <w:numId w:val="3"/>
        </w:numPr>
        <w:adjustRightInd/>
        <w:spacing w:line="360" w:lineRule="auto"/>
        <w:jc w:val="left"/>
        <w:textAlignment w:val="auto"/>
      </w:pPr>
      <w:r>
        <w:rPr>
          <w:rFonts w:hint="eastAsia" w:ascii="宋体" w:cs="宋体"/>
          <w:kern w:val="2"/>
        </w:rPr>
        <w:t>点击“查看”按钮可以进行查看注册信息，供应商提交注册之后想查看审批进度，可以点击此按钮。</w:t>
      </w:r>
    </w:p>
    <w:p w14:paraId="0BDB22E1">
      <w:pPr>
        <w:pStyle w:val="6"/>
        <w:widowControl/>
        <w:tabs>
          <w:tab w:val="left" w:pos="312"/>
        </w:tabs>
        <w:spacing w:line="360" w:lineRule="auto"/>
        <w:ind w:firstLine="0"/>
        <w:jc w:val="left"/>
        <w:rPr>
          <w:rFonts w:ascii="宋体" w:cs="宋体"/>
          <w:kern w:val="2"/>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E87CE74">
      <w:pPr>
        <w:pStyle w:val="6"/>
        <w:widowControl/>
        <w:tabs>
          <w:tab w:val="left" w:pos="312"/>
        </w:tabs>
        <w:spacing w:line="360" w:lineRule="auto"/>
        <w:ind w:firstLine="0"/>
        <w:jc w:val="left"/>
        <w:rPr>
          <w:rFonts w:ascii="宋体" w:cs="宋体"/>
          <w:kern w:val="2"/>
        </w:rPr>
      </w:pPr>
    </w:p>
    <w:p w14:paraId="3CC2EEC8">
      <w:pPr>
        <w:pStyle w:val="5"/>
        <w:widowControl/>
        <w:rPr>
          <w:highlight w:val="yellow"/>
        </w:rPr>
      </w:pPr>
      <w:r>
        <w:rPr>
          <w:rFonts w:hint="eastAsia" w:eastAsia="黑体" w:cs="黑体"/>
          <w:highlight w:val="yellow"/>
        </w:rPr>
        <w:t>附件-供应商应标</w:t>
      </w:r>
    </w:p>
    <w:p w14:paraId="5E8A9F34">
      <w:pPr>
        <w:rPr>
          <w:rFonts w:ascii="宋体" w:hAnsi="宋体" w:cs="宋体"/>
          <w:sz w:val="28"/>
          <w:szCs w:val="28"/>
        </w:rPr>
      </w:pPr>
      <w:r>
        <w:rPr>
          <w:rFonts w:hint="eastAsia" w:ascii="宋体" w:hAnsi="宋体" w:cs="宋体"/>
          <w:sz w:val="28"/>
          <w:szCs w:val="28"/>
          <w:lang w:bidi="ar"/>
        </w:rPr>
        <w:t>路径：招投标中心-非生产类招投标-供应商应标</w:t>
      </w:r>
    </w:p>
    <w:p w14:paraId="23E953CC">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7732B28D">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405ED58F">
      <w:r>
        <w:drawing>
          <wp:inline distT="0" distB="0" distL="114300" distR="114300">
            <wp:extent cx="5393690" cy="2126615"/>
            <wp:effectExtent l="0" t="0" r="16510" b="6985"/>
            <wp:docPr id="27"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0"/>
                    <pic:cNvPicPr>
                      <a:picLocks noChangeAspect="1"/>
                    </pic:cNvPicPr>
                  </pic:nvPicPr>
                  <pic:blipFill>
                    <a:blip r:embed="rId17"/>
                    <a:stretch>
                      <a:fillRect/>
                    </a:stretch>
                  </pic:blipFill>
                  <pic:spPr>
                    <a:xfrm>
                      <a:off x="0" y="0"/>
                      <a:ext cx="5393690" cy="2126615"/>
                    </a:xfrm>
                    <a:prstGeom prst="rect">
                      <a:avLst/>
                    </a:prstGeom>
                    <a:noFill/>
                    <a:ln>
                      <a:noFill/>
                    </a:ln>
                  </pic:spPr>
                </pic:pic>
              </a:graphicData>
            </a:graphic>
          </wp:inline>
        </w:drawing>
      </w:r>
    </w:p>
    <w:p w14:paraId="09124E9A">
      <w:pPr>
        <w:rPr>
          <w:rFonts w:cs="宋体"/>
          <w:sz w:val="24"/>
          <w:lang w:bidi="ar"/>
        </w:rPr>
      </w:pPr>
      <w:r>
        <w:rPr>
          <w:rFonts w:hint="eastAsia" w:cs="宋体"/>
          <w:sz w:val="24"/>
          <w:lang w:bidi="ar"/>
        </w:rPr>
        <w:t>注意：</w:t>
      </w:r>
    </w:p>
    <w:p w14:paraId="1CEB12E7">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14:paraId="29BF4DA9">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39022900">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06CA200A">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6C445A4B">
      <w:r>
        <w:drawing>
          <wp:inline distT="0" distB="0" distL="114300" distR="114300">
            <wp:extent cx="5426075" cy="2279015"/>
            <wp:effectExtent l="0" t="0" r="3175" b="6985"/>
            <wp:docPr id="28"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32"/>
                    <pic:cNvPicPr>
                      <a:picLocks noChangeAspect="1"/>
                    </pic:cNvPicPr>
                  </pic:nvPicPr>
                  <pic:blipFill>
                    <a:blip r:embed="rId18"/>
                    <a:stretch>
                      <a:fillRect/>
                    </a:stretch>
                  </pic:blipFill>
                  <pic:spPr>
                    <a:xfrm>
                      <a:off x="0" y="0"/>
                      <a:ext cx="5426075" cy="2279015"/>
                    </a:xfrm>
                    <a:prstGeom prst="rect">
                      <a:avLst/>
                    </a:prstGeom>
                    <a:noFill/>
                    <a:ln>
                      <a:noFill/>
                    </a:ln>
                  </pic:spPr>
                </pic:pic>
              </a:graphicData>
            </a:graphic>
          </wp:inline>
        </w:drawing>
      </w:r>
    </w:p>
    <w:p w14:paraId="373E00CF">
      <w:pPr>
        <w:spacing w:line="440" w:lineRule="exact"/>
        <w:jc w:val="center"/>
        <w:rPr>
          <w:rFonts w:hint="eastAsia" w:eastAsia="黑体"/>
          <w:sz w:val="30"/>
          <w:szCs w:val="30"/>
          <w:highlight w:val="none"/>
        </w:rPr>
      </w:pPr>
      <w:r>
        <w:drawing>
          <wp:inline distT="0" distB="0" distL="114300" distR="114300">
            <wp:extent cx="5331460" cy="2324100"/>
            <wp:effectExtent l="0" t="0" r="2540" b="0"/>
            <wp:docPr id="29"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33"/>
                    <pic:cNvPicPr>
                      <a:picLocks noChangeAspect="1"/>
                    </pic:cNvPicPr>
                  </pic:nvPicPr>
                  <pic:blipFill>
                    <a:blip r:embed="rId19"/>
                    <a:stretch>
                      <a:fillRect/>
                    </a:stretch>
                  </pic:blipFill>
                  <pic:spPr>
                    <a:xfrm>
                      <a:off x="0" y="0"/>
                      <a:ext cx="5331460" cy="2324100"/>
                    </a:xfrm>
                    <a:prstGeom prst="rect">
                      <a:avLst/>
                    </a:prstGeom>
                    <a:noFill/>
                    <a:ln>
                      <a:noFill/>
                    </a:ln>
                  </pic:spPr>
                </pic:pic>
              </a:graphicData>
            </a:graphic>
          </wp:inline>
        </w:drawing>
      </w:r>
      <w:r>
        <w:rPr>
          <w:rFonts w:hint="eastAsia" w:ascii="宋体"/>
          <w:b/>
          <w:iCs/>
          <w:kern w:val="2"/>
          <w:sz w:val="36"/>
          <w:szCs w:val="20"/>
        </w:rPr>
        <w:br w:type="page"/>
      </w:r>
    </w:p>
    <w:p w14:paraId="72448FFF">
      <w:pPr>
        <w:rPr>
          <w:rFonts w:hint="eastAsia"/>
        </w:rPr>
      </w:pPr>
    </w:p>
    <w:sectPr>
      <w:footerReference r:id="rId7"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55E32">
    <w:pPr>
      <w:pStyle w:val="11"/>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2040D3">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69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0A2040D3">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69</w:t>
                    </w:r>
                    <w:r>
                      <w:rPr>
                        <w:sz w:val="18"/>
                      </w:rPr>
                      <w:fldChar w:fldCharType="end"/>
                    </w:r>
                    <w:r>
                      <w:rPr>
                        <w:sz w:val="18"/>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BD2AC">
    <w:pPr>
      <w:pStyle w:val="11"/>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B05040">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68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10B05040">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68</w:t>
                    </w:r>
                    <w:r>
                      <w:rPr>
                        <w:sz w:val="18"/>
                      </w:rPr>
                      <w:fldChar w:fldCharType="end"/>
                    </w:r>
                    <w:r>
                      <w:rPr>
                        <w:sz w:val="18"/>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B6F718">
    <w:pPr>
      <w:pStyle w:val="11"/>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859A31">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37859A31">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1F902">
    <w:pPr>
      <w:pStyle w:val="11"/>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4B3F6E">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70</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0E4B3F6E">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70</w:t>
                    </w:r>
                    <w:r>
                      <w:rPr>
                        <w:sz w:val="18"/>
                      </w:rPr>
                      <w:fldChar w:fldCharType="end"/>
                    </w:r>
                    <w:r>
                      <w:rPr>
                        <w:sz w:val="18"/>
                      </w:rP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0ADA4">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3AC1114">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33AC1114">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2">
    <w:nsid w:val="7446C7A1"/>
    <w:multiLevelType w:val="singleLevel"/>
    <w:tmpl w:val="7446C7A1"/>
    <w:lvl w:ilvl="0" w:tentative="0">
      <w:start w:val="1"/>
      <w:numFmt w:val="decimal"/>
      <w:lvlText w:val="%1."/>
      <w:lvlJc w:val="left"/>
      <w:pPr>
        <w:tabs>
          <w:tab w:val="left" w:pos="312"/>
        </w:tabs>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4D0D97"/>
    <w:rsid w:val="1B196BE1"/>
    <w:rsid w:val="1B570468"/>
    <w:rsid w:val="44907102"/>
    <w:rsid w:val="48EF075C"/>
    <w:rsid w:val="4B7E5A1A"/>
    <w:rsid w:val="544C0913"/>
    <w:rsid w:val="69E17BC6"/>
    <w:rsid w:val="6B5C5CF8"/>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tabs>
        <w:tab w:val="right" w:leader="dot" w:pos="9061"/>
      </w:tabs>
      <w:spacing w:line="360" w:lineRule="auto"/>
      <w:jc w:val="center"/>
      <w:outlineLvl w:val="0"/>
    </w:pPr>
    <w:rPr>
      <w:b/>
      <w:iCs/>
      <w:sz w:val="36"/>
      <w:szCs w:val="20"/>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0"/>
    <w:pPr>
      <w:keepNext/>
      <w:keepLines/>
      <w:widowControl w:val="0"/>
      <w:spacing w:before="260" w:after="260" w:line="415" w:lineRule="auto"/>
      <w:outlineLvl w:val="2"/>
    </w:pPr>
    <w:rPr>
      <w:b/>
      <w:bCs/>
      <w:kern w:val="0"/>
      <w:sz w:val="32"/>
      <w:szCs w:val="32"/>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9">
    <w:name w:val="Default Paragraph Font"/>
    <w:semiHidden/>
    <w:qFormat/>
    <w:uiPriority w:val="0"/>
  </w:style>
  <w:style w:type="table" w:default="1" w:styleId="18">
    <w:name w:val="Normal Table"/>
    <w:semiHidden/>
    <w:qFormat/>
    <w:uiPriority w:val="0"/>
    <w:tblPr>
      <w:tblCellMar>
        <w:top w:w="0" w:type="dxa"/>
        <w:left w:w="108" w:type="dxa"/>
        <w:bottom w:w="0" w:type="dxa"/>
        <w:right w:w="108" w:type="dxa"/>
      </w:tblCellMar>
    </w:tblPr>
  </w:style>
  <w:style w:type="paragraph" w:styleId="6">
    <w:name w:val="Normal Indent"/>
    <w:basedOn w:val="1"/>
    <w:qFormat/>
    <w:uiPriority w:val="0"/>
    <w:pPr>
      <w:ind w:firstLine="420"/>
    </w:pPr>
    <w:rPr>
      <w:sz w:val="14"/>
    </w:rPr>
  </w:style>
  <w:style w:type="paragraph" w:styleId="7">
    <w:name w:val="Body Text"/>
    <w:basedOn w:val="1"/>
    <w:next w:val="1"/>
    <w:qFormat/>
    <w:uiPriority w:val="0"/>
    <w:pPr>
      <w:spacing w:after="120"/>
    </w:pPr>
    <w:rPr>
      <w:kern w:val="0"/>
      <w:szCs w:val="21"/>
    </w:rPr>
  </w:style>
  <w:style w:type="paragraph" w:styleId="8">
    <w:name w:val="Body Text Indent"/>
    <w:basedOn w:val="1"/>
    <w:next w:val="1"/>
    <w:qFormat/>
    <w:uiPriority w:val="0"/>
    <w:pPr>
      <w:spacing w:line="500" w:lineRule="exact"/>
      <w:ind w:left="832" w:leftChars="832" w:firstLine="196" w:firstLineChars="196"/>
    </w:pPr>
    <w:rPr>
      <w:kern w:val="0"/>
    </w:rPr>
  </w:style>
  <w:style w:type="paragraph" w:styleId="9">
    <w:name w:val="index 4"/>
    <w:basedOn w:val="1"/>
    <w:next w:val="1"/>
    <w:unhideWhenUsed/>
    <w:qFormat/>
    <w:uiPriority w:val="0"/>
    <w:pPr>
      <w:ind w:left="600" w:leftChars="600"/>
    </w:pPr>
  </w:style>
  <w:style w:type="paragraph" w:styleId="10">
    <w:name w:val="Plain Text"/>
    <w:basedOn w:val="1"/>
    <w:qFormat/>
    <w:uiPriority w:val="0"/>
    <w:rPr>
      <w:rFonts w:ascii="宋体"/>
      <w:szCs w:val="20"/>
    </w:rPr>
  </w:style>
  <w:style w:type="paragraph" w:styleId="11">
    <w:name w:val="footer"/>
    <w:basedOn w:val="1"/>
    <w:unhideWhenUsed/>
    <w:qFormat/>
    <w:uiPriority w:val="99"/>
    <w:pPr>
      <w:tabs>
        <w:tab w:val="center" w:pos="4153"/>
        <w:tab w:val="right" w:pos="8306"/>
      </w:tabs>
      <w:snapToGrid w:val="0"/>
      <w:jc w:val="left"/>
    </w:pPr>
    <w:rPr>
      <w:sz w:val="18"/>
      <w:szCs w:val="18"/>
    </w:rPr>
  </w:style>
  <w:style w:type="paragraph" w:styleId="1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4">
    <w:name w:val="toc 2"/>
    <w:basedOn w:val="1"/>
    <w:next w:val="1"/>
    <w:qFormat/>
    <w:uiPriority w:val="0"/>
    <w:pPr>
      <w:spacing w:line="360" w:lineRule="auto"/>
      <w:ind w:left="210"/>
      <w:jc w:val="left"/>
    </w:pPr>
    <w:rPr>
      <w:smallCaps/>
      <w:sz w:val="24"/>
      <w:szCs w:val="20"/>
    </w:rPr>
  </w:style>
  <w:style w:type="paragraph" w:styleId="15">
    <w:name w:val="Normal (Web)"/>
    <w:basedOn w:val="1"/>
    <w:qFormat/>
    <w:uiPriority w:val="0"/>
    <w:pPr>
      <w:widowControl/>
      <w:spacing w:before="100" w:beforeAutospacing="1" w:after="100" w:afterAutospacing="1"/>
      <w:jc w:val="left"/>
    </w:pPr>
    <w:rPr>
      <w:rFonts w:ascii="宋体" w:cs="宋体"/>
      <w:kern w:val="0"/>
      <w:sz w:val="24"/>
      <w:szCs w:val="24"/>
      <w:lang w:bidi="ar-SA"/>
    </w:rPr>
  </w:style>
  <w:style w:type="paragraph" w:styleId="16">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7">
    <w:name w:val="Body Text First Indent 2"/>
    <w:basedOn w:val="8"/>
    <w:next w:val="14"/>
    <w:qFormat/>
    <w:uiPriority w:val="0"/>
    <w:pPr>
      <w:spacing w:after="120" w:line="276" w:lineRule="auto"/>
      <w:ind w:left="200" w:leftChars="200" w:firstLine="200" w:firstLineChars="200"/>
      <w:jc w:val="left"/>
    </w:pPr>
  </w:style>
  <w:style w:type="character" w:styleId="20">
    <w:name w:val="Strong"/>
    <w:basedOn w:val="19"/>
    <w:qFormat/>
    <w:uiPriority w:val="0"/>
    <w:rPr>
      <w:b/>
    </w:rPr>
  </w:style>
  <w:style w:type="character" w:styleId="21">
    <w:name w:val="FollowedHyperlink"/>
    <w:basedOn w:val="19"/>
    <w:qFormat/>
    <w:uiPriority w:val="0"/>
    <w:rPr>
      <w:color w:val="800080"/>
      <w:u w:val="none"/>
    </w:rPr>
  </w:style>
  <w:style w:type="character" w:styleId="22">
    <w:name w:val="HTML Definition"/>
    <w:basedOn w:val="19"/>
    <w:qFormat/>
    <w:uiPriority w:val="0"/>
  </w:style>
  <w:style w:type="character" w:styleId="23">
    <w:name w:val="HTML Typewriter"/>
    <w:basedOn w:val="19"/>
    <w:qFormat/>
    <w:uiPriority w:val="0"/>
    <w:rPr>
      <w:rFonts w:hint="default" w:ascii="monospace" w:hAnsi="monospace" w:eastAsia="monospace" w:cs="monospace"/>
      <w:sz w:val="20"/>
    </w:rPr>
  </w:style>
  <w:style w:type="character" w:styleId="24">
    <w:name w:val="HTML Acronym"/>
    <w:basedOn w:val="19"/>
    <w:qFormat/>
    <w:uiPriority w:val="0"/>
  </w:style>
  <w:style w:type="character" w:styleId="25">
    <w:name w:val="HTML Variable"/>
    <w:basedOn w:val="19"/>
    <w:qFormat/>
    <w:uiPriority w:val="0"/>
  </w:style>
  <w:style w:type="character" w:styleId="26">
    <w:name w:val="Hyperlink"/>
    <w:basedOn w:val="19"/>
    <w:qFormat/>
    <w:uiPriority w:val="0"/>
    <w:rPr>
      <w:color w:val="0000FF"/>
      <w:u w:val="none"/>
    </w:rPr>
  </w:style>
  <w:style w:type="character" w:styleId="27">
    <w:name w:val="HTML Code"/>
    <w:basedOn w:val="19"/>
    <w:qFormat/>
    <w:uiPriority w:val="0"/>
    <w:rPr>
      <w:rFonts w:hint="default" w:ascii="monospace" w:hAnsi="monospace" w:eastAsia="monospace" w:cs="monospace"/>
      <w:sz w:val="20"/>
    </w:rPr>
  </w:style>
  <w:style w:type="character" w:styleId="28">
    <w:name w:val="HTML Cite"/>
    <w:basedOn w:val="19"/>
    <w:qFormat/>
    <w:uiPriority w:val="0"/>
  </w:style>
  <w:style w:type="character" w:styleId="29">
    <w:name w:val="HTML Keyboard"/>
    <w:basedOn w:val="19"/>
    <w:qFormat/>
    <w:uiPriority w:val="0"/>
    <w:rPr>
      <w:rFonts w:ascii="monospace" w:hAnsi="monospace" w:eastAsia="monospace" w:cs="monospace"/>
      <w:sz w:val="20"/>
    </w:rPr>
  </w:style>
  <w:style w:type="character" w:styleId="30">
    <w:name w:val="HTML Sample"/>
    <w:basedOn w:val="19"/>
    <w:qFormat/>
    <w:uiPriority w:val="0"/>
    <w:rPr>
      <w:rFonts w:hint="default" w:ascii="monospace" w:hAnsi="monospace" w:eastAsia="monospace" w:cs="monospace"/>
    </w:rPr>
  </w:style>
  <w:style w:type="paragraph" w:customStyle="1" w:styleId="31">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styleId="32">
    <w:name w:val="List Paragraph"/>
    <w:basedOn w:val="1"/>
    <w:qFormat/>
    <w:uiPriority w:val="34"/>
    <w:pPr>
      <w:ind w:firstLine="420" w:firstLineChars="200"/>
    </w:pPr>
  </w:style>
  <w:style w:type="character" w:customStyle="1" w:styleId="33">
    <w:name w:val="NormalCharacter"/>
    <w:qFormat/>
    <w:uiPriority w:val="0"/>
  </w:style>
  <w:style w:type="paragraph" w:customStyle="1" w:styleId="34">
    <w:name w:val="列表段落1"/>
    <w:basedOn w:val="1"/>
    <w:qFormat/>
    <w:uiPriority w:val="0"/>
    <w:pPr>
      <w:ind w:firstLine="200" w:firstLineChars="200"/>
    </w:pPr>
    <w:rPr>
      <w:szCs w:val="20"/>
    </w:rPr>
  </w:style>
  <w:style w:type="paragraph" w:customStyle="1" w:styleId="35">
    <w:name w:val="Table Paragraph"/>
    <w:basedOn w:val="1"/>
    <w:qFormat/>
    <w:uiPriority w:val="1"/>
    <w:rPr>
      <w:rFonts w:ascii="宋体" w:hAnsi="宋体" w:eastAsia="宋体" w:cs="宋体"/>
    </w:rPr>
  </w:style>
  <w:style w:type="table" w:customStyle="1" w:styleId="3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3785</Words>
  <Characters>4015</Characters>
  <Lines>0</Lines>
  <Paragraphs>0</Paragraphs>
  <TotalTime>0</TotalTime>
  <ScaleCrop>false</ScaleCrop>
  <LinksUpToDate>false</LinksUpToDate>
  <CharactersWithSpaces>4549</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1</cp:lastModifiedBy>
  <dcterms:modified xsi:type="dcterms:W3CDTF">2026-02-24T08:15:00Z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KSOTemplateDocerSaveRecord">
    <vt:lpwstr>eyJoZGlkIjoiOTkzZWRkNjVmODY5NjY2ODY0ZWJmMDdhNGZiZTE3MjkiLCJ1c2VySWQiOiI1MDMyNjc5ODcifQ==</vt:lpwstr>
  </property>
  <property fmtid="{D5CDD505-2E9C-101B-9397-08002B2CF9AE}" pid="4" name="ICV">
    <vt:lpwstr>36BA767B9B1647D78DB7367FAC05A487_13</vt:lpwstr>
  </property>
</Properties>
</file>