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94"/>
        <w:rPr>
          <w:highlight w:val="none"/>
        </w:rPr>
      </w:pPr>
      <w:r>
        <w:rPr>
          <w:sz w:val="48"/>
          <w:szCs w:val="48"/>
          <w:highlight w:val="none"/>
        </w:rPr>
        <w:drawing>
          <wp:anchor distT="0" distB="0" distL="114300" distR="114300" simplePos="0" relativeHeight="251659264" behindDoc="0" locked="0" layoutInCell="1" allowOverlap="1">
            <wp:simplePos x="0" y="0"/>
            <wp:positionH relativeFrom="column">
              <wp:posOffset>10795</wp:posOffset>
            </wp:positionH>
            <wp:positionV relativeFrom="paragraph">
              <wp:posOffset>-6350</wp:posOffset>
            </wp:positionV>
            <wp:extent cx="2548890" cy="889000"/>
            <wp:effectExtent l="0" t="0" r="3810" b="6350"/>
            <wp:wrapNone/>
            <wp:docPr id="1" name="图片 1"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tim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a:xfrm>
                      <a:off x="0" y="0"/>
                      <a:ext cx="2548890" cy="889000"/>
                    </a:xfrm>
                    <a:prstGeom prst="rect">
                      <a:avLst/>
                    </a:prstGeom>
                    <a:noFill/>
                    <a:ln>
                      <a:noFill/>
                    </a:ln>
                  </pic:spPr>
                </pic:pic>
              </a:graphicData>
            </a:graphic>
          </wp:anchor>
        </w:drawing>
      </w:r>
    </w:p>
    <w:p>
      <w:pPr>
        <w:ind w:right="280"/>
        <w:jc w:val="center"/>
        <w:rPr>
          <w:rFonts w:ascii="宋体" w:hAnsi="宋体"/>
          <w:sz w:val="48"/>
          <w:szCs w:val="48"/>
          <w:highlight w:val="none"/>
        </w:rPr>
      </w:pPr>
    </w:p>
    <w:p>
      <w:pPr>
        <w:ind w:right="280"/>
        <w:jc w:val="center"/>
        <w:rPr>
          <w:rFonts w:ascii="宋体" w:hAnsi="宋体"/>
          <w:sz w:val="48"/>
          <w:szCs w:val="48"/>
          <w:highlight w:val="none"/>
        </w:rPr>
      </w:pPr>
    </w:p>
    <w:p>
      <w:pPr>
        <w:ind w:right="280"/>
        <w:jc w:val="center"/>
        <w:rPr>
          <w:rFonts w:ascii="宋体" w:hAnsi="宋体"/>
          <w:sz w:val="48"/>
          <w:szCs w:val="48"/>
          <w:highlight w:val="none"/>
        </w:rPr>
      </w:pPr>
    </w:p>
    <w:p>
      <w:pPr>
        <w:ind w:right="280"/>
        <w:jc w:val="center"/>
        <w:rPr>
          <w:rFonts w:ascii="宋体" w:hAnsi="宋体"/>
          <w:sz w:val="48"/>
          <w:szCs w:val="48"/>
          <w:highlight w:val="none"/>
        </w:rPr>
      </w:pPr>
    </w:p>
    <w:p>
      <w:pPr>
        <w:ind w:right="280"/>
        <w:jc w:val="center"/>
        <w:rPr>
          <w:rFonts w:ascii="楷体_GB2312" w:hAnsi="宋体" w:eastAsia="楷体_GB2312"/>
          <w:sz w:val="52"/>
          <w:szCs w:val="52"/>
          <w:highlight w:val="none"/>
        </w:rPr>
      </w:pPr>
    </w:p>
    <w:p>
      <w:pPr>
        <w:ind w:right="280"/>
        <w:jc w:val="center"/>
        <w:rPr>
          <w:rFonts w:ascii="楷体_GB2312" w:hAnsi="宋体" w:eastAsia="楷体_GB2312"/>
          <w:sz w:val="52"/>
          <w:szCs w:val="52"/>
          <w:highlight w:val="none"/>
        </w:rPr>
      </w:pPr>
      <w:r>
        <w:rPr>
          <w:rFonts w:hint="eastAsia" w:ascii="楷体_GB2312" w:hAnsi="宋体" w:eastAsia="楷体_GB2312"/>
          <w:sz w:val="52"/>
          <w:szCs w:val="52"/>
          <w:highlight w:val="none"/>
        </w:rPr>
        <w:t>济南轻卡制造公司皮卡产线生产轻卡驾驶室KD总成改造技改项目</w:t>
      </w:r>
    </w:p>
    <w:p>
      <w:pPr>
        <w:ind w:right="280"/>
        <w:jc w:val="center"/>
        <w:rPr>
          <w:sz w:val="28"/>
          <w:szCs w:val="28"/>
          <w:highlight w:val="none"/>
        </w:rPr>
      </w:pPr>
    </w:p>
    <w:p>
      <w:pPr>
        <w:ind w:right="280"/>
        <w:jc w:val="center"/>
        <w:rPr>
          <w:sz w:val="28"/>
          <w:szCs w:val="28"/>
          <w:highlight w:val="none"/>
        </w:rPr>
      </w:pPr>
    </w:p>
    <w:p>
      <w:pPr>
        <w:jc w:val="center"/>
        <w:rPr>
          <w:rFonts w:ascii="宋体" w:hAnsi="宋体" w:cs="宋体"/>
          <w:sz w:val="72"/>
          <w:szCs w:val="72"/>
          <w:highlight w:val="none"/>
        </w:rPr>
      </w:pPr>
      <w:r>
        <w:rPr>
          <w:rFonts w:hint="eastAsia" w:ascii="宋体" w:hAnsi="宋体" w:cs="宋体"/>
          <w:sz w:val="72"/>
          <w:szCs w:val="72"/>
          <w:highlight w:val="none"/>
        </w:rPr>
        <w:t>招标文件</w:t>
      </w:r>
    </w:p>
    <w:p>
      <w:pPr>
        <w:jc w:val="center"/>
        <w:rPr>
          <w:rFonts w:ascii="宋体" w:hAnsi="宋体"/>
          <w:sz w:val="48"/>
          <w:szCs w:val="48"/>
          <w:highlight w:val="none"/>
        </w:rPr>
      </w:pPr>
    </w:p>
    <w:p>
      <w:pPr>
        <w:jc w:val="center"/>
        <w:rPr>
          <w:rFonts w:ascii="宋体" w:hAnsi="宋体"/>
          <w:sz w:val="48"/>
          <w:szCs w:val="48"/>
          <w:highlight w:val="none"/>
        </w:rPr>
      </w:pPr>
    </w:p>
    <w:p>
      <w:pPr>
        <w:widowControl/>
        <w:spacing w:line="360" w:lineRule="auto"/>
        <w:jc w:val="center"/>
        <w:rPr>
          <w:rFonts w:ascii="宋体" w:hAnsi="宋体" w:cs="宋体"/>
          <w:b/>
          <w:bCs/>
          <w:kern w:val="0"/>
          <w:sz w:val="32"/>
          <w:szCs w:val="32"/>
          <w:highlight w:val="none"/>
          <w:u w:val="none"/>
        </w:rPr>
      </w:pPr>
      <w:r>
        <w:rPr>
          <w:rFonts w:hint="eastAsia" w:ascii="宋体" w:hAnsi="宋体" w:cs="宋体"/>
          <w:b/>
          <w:bCs/>
          <w:kern w:val="0"/>
          <w:sz w:val="32"/>
          <w:szCs w:val="32"/>
          <w:highlight w:val="none"/>
        </w:rPr>
        <w:t>项目编号：</w:t>
      </w:r>
      <w:r>
        <w:rPr>
          <w:rFonts w:hint="eastAsia" w:ascii="宋体" w:hAnsi="宋体" w:cs="宋体"/>
          <w:b/>
          <w:bCs/>
          <w:kern w:val="0"/>
          <w:sz w:val="32"/>
          <w:szCs w:val="32"/>
          <w:highlight w:val="none"/>
          <w:u w:val="single"/>
        </w:rPr>
        <w:t>ZBGL2026010248</w:t>
      </w:r>
    </w:p>
    <w:p>
      <w:pPr>
        <w:jc w:val="center"/>
        <w:rPr>
          <w:rFonts w:ascii="宋体" w:hAnsi="宋体"/>
          <w:sz w:val="48"/>
          <w:szCs w:val="48"/>
          <w:highlight w:val="none"/>
        </w:rPr>
      </w:pPr>
    </w:p>
    <w:p>
      <w:pPr>
        <w:jc w:val="center"/>
        <w:rPr>
          <w:rFonts w:ascii="宋体" w:hAnsi="宋体"/>
          <w:sz w:val="48"/>
          <w:szCs w:val="48"/>
          <w:highlight w:val="none"/>
        </w:rPr>
      </w:pPr>
    </w:p>
    <w:p>
      <w:pPr>
        <w:jc w:val="center"/>
        <w:rPr>
          <w:rFonts w:ascii="宋体" w:hAnsi="宋体"/>
          <w:sz w:val="28"/>
          <w:szCs w:val="28"/>
          <w:highlight w:val="none"/>
        </w:rPr>
      </w:pPr>
    </w:p>
    <w:p>
      <w:pPr>
        <w:jc w:val="center"/>
        <w:rPr>
          <w:rFonts w:ascii="宋体" w:hAnsi="宋体"/>
          <w:sz w:val="28"/>
          <w:szCs w:val="28"/>
          <w:highlight w:val="none"/>
        </w:rPr>
      </w:pPr>
    </w:p>
    <w:p>
      <w:pPr>
        <w:jc w:val="center"/>
        <w:rPr>
          <w:rFonts w:ascii="宋体" w:hAnsi="宋体"/>
          <w:sz w:val="28"/>
          <w:szCs w:val="28"/>
          <w:highlight w:val="none"/>
        </w:rPr>
      </w:pPr>
      <w:r>
        <w:rPr>
          <w:rFonts w:hint="eastAsia" w:ascii="宋体" w:hAnsi="宋体"/>
          <w:sz w:val="28"/>
          <w:szCs w:val="28"/>
          <w:highlight w:val="none"/>
        </w:rPr>
        <w:t>招 标 人：</w:t>
      </w:r>
      <w:r>
        <w:rPr>
          <w:rFonts w:hint="eastAsia" w:ascii="宋体" w:hAnsi="宋体"/>
          <w:sz w:val="28"/>
          <w:szCs w:val="28"/>
          <w:highlight w:val="none"/>
          <w:lang w:val="en-US" w:eastAsia="zh-CN"/>
        </w:rPr>
        <w:t>中</w:t>
      </w:r>
      <w:r>
        <w:rPr>
          <w:rFonts w:hint="eastAsia" w:ascii="宋体" w:hAnsi="宋体"/>
          <w:sz w:val="28"/>
          <w:szCs w:val="28"/>
          <w:highlight w:val="none"/>
        </w:rPr>
        <w:t>国重汽集团济南商用车有限公司轻卡制造公司</w:t>
      </w:r>
    </w:p>
    <w:p>
      <w:pPr>
        <w:jc w:val="center"/>
        <w:rPr>
          <w:rFonts w:ascii="宋体" w:hAnsi="宋体"/>
          <w:sz w:val="28"/>
          <w:szCs w:val="28"/>
          <w:highlight w:val="none"/>
          <w:u w:val="single"/>
        </w:rPr>
      </w:pPr>
      <w:r>
        <w:rPr>
          <w:rFonts w:hint="eastAsia" w:ascii="宋体" w:hAnsi="宋体"/>
          <w:sz w:val="28"/>
          <w:szCs w:val="28"/>
          <w:highlight w:val="none"/>
          <w:u w:val="single"/>
        </w:rPr>
        <w:t>20</w:t>
      </w:r>
      <w:r>
        <w:rPr>
          <w:rFonts w:hint="eastAsia" w:ascii="宋体" w:hAnsi="宋体"/>
          <w:sz w:val="28"/>
          <w:szCs w:val="28"/>
          <w:highlight w:val="none"/>
          <w:u w:val="single"/>
          <w:lang w:val="en-US" w:eastAsia="zh-CN"/>
        </w:rPr>
        <w:t>26</w:t>
      </w:r>
      <w:r>
        <w:rPr>
          <w:rFonts w:hint="eastAsia" w:ascii="宋体" w:hAnsi="宋体"/>
          <w:sz w:val="28"/>
          <w:szCs w:val="28"/>
          <w:highlight w:val="none"/>
          <w:u w:val="single"/>
        </w:rPr>
        <w:t>年</w:t>
      </w:r>
      <w:r>
        <w:rPr>
          <w:rFonts w:hint="eastAsia" w:ascii="宋体" w:hAnsi="宋体"/>
          <w:sz w:val="28"/>
          <w:szCs w:val="28"/>
          <w:highlight w:val="none"/>
          <w:u w:val="single"/>
          <w:lang w:val="en-US" w:eastAsia="zh-CN"/>
        </w:rPr>
        <w:t>2</w:t>
      </w:r>
      <w:r>
        <w:rPr>
          <w:rFonts w:hint="eastAsia" w:ascii="宋体" w:hAnsi="宋体"/>
          <w:sz w:val="28"/>
          <w:szCs w:val="28"/>
          <w:highlight w:val="none"/>
          <w:u w:val="single"/>
        </w:rPr>
        <w:t>月</w:t>
      </w:r>
    </w:p>
    <w:p>
      <w:pPr>
        <w:spacing w:line="480" w:lineRule="auto"/>
        <w:jc w:val="center"/>
        <w:rPr>
          <w:rFonts w:ascii="宋体" w:hAnsi="宋体"/>
          <w:b/>
          <w:bCs/>
          <w:sz w:val="48"/>
          <w:szCs w:val="48"/>
          <w:highlight w:val="none"/>
        </w:rPr>
        <w:sectPr>
          <w:footerReference r:id="rId6" w:type="first"/>
          <w:headerReference r:id="rId3" w:type="default"/>
          <w:footerReference r:id="rId4" w:type="default"/>
          <w:footerReference r:id="rId5" w:type="even"/>
          <w:pgSz w:w="11906" w:h="16838"/>
          <w:pgMar w:top="1701" w:right="1418" w:bottom="1134" w:left="1418" w:header="851" w:footer="992" w:gutter="0"/>
          <w:pgNumType w:fmt="numberInDash" w:start="1"/>
          <w:cols w:space="720" w:num="1"/>
          <w:titlePg/>
          <w:docGrid w:type="lines" w:linePitch="312" w:charSpace="0"/>
        </w:sectPr>
      </w:pPr>
    </w:p>
    <w:sdt>
      <w:sdtPr>
        <w:rPr>
          <w:rFonts w:ascii="Times New Roman" w:hAnsi="Times New Roman" w:eastAsia="宋体" w:cs="Times New Roman"/>
          <w:color w:val="auto"/>
          <w:kern w:val="2"/>
          <w:sz w:val="21"/>
          <w:szCs w:val="20"/>
          <w:highlight w:val="none"/>
          <w:lang w:val="zh-CN"/>
        </w:rPr>
        <w:id w:val="-629018532"/>
        <w:docPartObj>
          <w:docPartGallery w:val="Table of Contents"/>
          <w:docPartUnique/>
        </w:docPartObj>
      </w:sdtPr>
      <w:sdtEndPr>
        <w:rPr>
          <w:rFonts w:ascii="Times New Roman" w:hAnsi="Times New Roman" w:eastAsia="宋体" w:cs="Times New Roman"/>
          <w:b/>
          <w:bCs/>
          <w:color w:val="auto"/>
          <w:kern w:val="2"/>
          <w:sz w:val="21"/>
          <w:szCs w:val="20"/>
          <w:highlight w:val="none"/>
          <w:lang w:val="zh-CN"/>
        </w:rPr>
      </w:sdtEndPr>
      <w:sdtContent>
        <w:p>
          <w:pPr>
            <w:pStyle w:val="68"/>
            <w:jc w:val="center"/>
            <w:rPr>
              <w:rFonts w:ascii="黑体" w:hAnsi="黑体" w:eastAsia="黑体"/>
              <w:b/>
              <w:color w:val="auto"/>
              <w:sz w:val="44"/>
              <w:szCs w:val="44"/>
              <w:highlight w:val="none"/>
              <w:lang w:val="zh-CN"/>
            </w:rPr>
          </w:pPr>
          <w:r>
            <w:rPr>
              <w:rFonts w:ascii="黑体" w:hAnsi="黑体" w:eastAsia="黑体"/>
              <w:b/>
              <w:color w:val="auto"/>
              <w:sz w:val="44"/>
              <w:szCs w:val="44"/>
              <w:highlight w:val="none"/>
              <w:lang w:val="zh-CN"/>
            </w:rPr>
            <w:t>目</w:t>
          </w:r>
          <w:r>
            <w:rPr>
              <w:rFonts w:hint="eastAsia" w:ascii="黑体" w:hAnsi="黑体" w:eastAsia="黑体"/>
              <w:b/>
              <w:color w:val="auto"/>
              <w:sz w:val="44"/>
              <w:szCs w:val="44"/>
              <w:highlight w:val="none"/>
              <w:lang w:val="zh-CN"/>
            </w:rPr>
            <w:t xml:space="preserve"> </w:t>
          </w:r>
          <w:r>
            <w:rPr>
              <w:rFonts w:ascii="黑体" w:hAnsi="黑体" w:eastAsia="黑体"/>
              <w:b/>
              <w:color w:val="auto"/>
              <w:sz w:val="44"/>
              <w:szCs w:val="44"/>
              <w:highlight w:val="none"/>
              <w:lang w:val="zh-CN"/>
            </w:rPr>
            <w:t xml:space="preserve">    录</w:t>
          </w:r>
        </w:p>
        <w:p>
          <w:pPr>
            <w:pStyle w:val="20"/>
            <w:tabs>
              <w:tab w:val="right" w:leader="middleDot" w:pos="9070"/>
              <w:tab w:val="clear" w:pos="8729"/>
            </w:tabs>
            <w:rPr>
              <w:highlight w:val="none"/>
            </w:rPr>
          </w:pPr>
          <w:r>
            <w:rPr>
              <w:rFonts w:hint="eastAsia" w:ascii="Calibri" w:hAnsi="Calibri"/>
              <w:bCs/>
              <w:kern w:val="44"/>
              <w:sz w:val="36"/>
              <w:szCs w:val="44"/>
              <w:highlight w:val="none"/>
            </w:rPr>
            <w:fldChar w:fldCharType="begin"/>
          </w:r>
          <w:r>
            <w:rPr>
              <w:rFonts w:hint="eastAsia" w:ascii="Calibri" w:hAnsi="Calibri"/>
              <w:bCs/>
              <w:kern w:val="44"/>
              <w:sz w:val="36"/>
              <w:szCs w:val="44"/>
              <w:highlight w:val="none"/>
            </w:rPr>
            <w:instrText xml:space="preserve">TOC \o "1-1" \h \u </w:instrText>
          </w:r>
          <w:r>
            <w:rPr>
              <w:rFonts w:hint="eastAsia" w:ascii="Calibri" w:hAnsi="Calibri"/>
              <w:bCs/>
              <w:kern w:val="44"/>
              <w:sz w:val="36"/>
              <w:szCs w:val="44"/>
              <w:highlight w:val="none"/>
            </w:rPr>
            <w:fldChar w:fldCharType="separate"/>
          </w:r>
        </w:p>
        <w:p>
          <w:pPr>
            <w:pStyle w:val="20"/>
            <w:tabs>
              <w:tab w:val="right" w:leader="middleDot" w:pos="9070"/>
              <w:tab w:val="clear" w:pos="8729"/>
            </w:tabs>
            <w:rPr>
              <w:highlight w:val="none"/>
            </w:rPr>
          </w:pPr>
          <w:r>
            <w:rPr>
              <w:rFonts w:hint="eastAsia" w:ascii="Calibri" w:hAnsi="Calibri" w:eastAsia="宋体" w:cs="Times New Roman"/>
              <w:bCs/>
              <w:kern w:val="44"/>
              <w:szCs w:val="44"/>
              <w:highlight w:val="none"/>
            </w:rPr>
            <w:fldChar w:fldCharType="begin"/>
          </w:r>
          <w:r>
            <w:rPr>
              <w:rFonts w:hint="eastAsia" w:ascii="Calibri" w:hAnsi="Calibri" w:eastAsia="宋体" w:cs="Times New Roman"/>
              <w:bCs/>
              <w:kern w:val="44"/>
              <w:szCs w:val="44"/>
              <w:highlight w:val="none"/>
            </w:rPr>
            <w:instrText xml:space="preserve"> HYPERLINK \l _Toc7753 </w:instrText>
          </w:r>
          <w:r>
            <w:rPr>
              <w:rFonts w:hint="eastAsia" w:ascii="Calibri" w:hAnsi="Calibri" w:eastAsia="宋体" w:cs="Times New Roman"/>
              <w:bCs/>
              <w:kern w:val="44"/>
              <w:szCs w:val="44"/>
              <w:highlight w:val="none"/>
            </w:rPr>
            <w:fldChar w:fldCharType="separate"/>
          </w:r>
          <w:r>
            <w:rPr>
              <w:rFonts w:hint="eastAsia"/>
              <w:highlight w:val="none"/>
            </w:rPr>
            <w:t>第一部分  投标人须知</w:t>
          </w:r>
          <w:r>
            <w:rPr>
              <w:highlight w:val="none"/>
            </w:rPr>
            <w:tab/>
          </w:r>
          <w:r>
            <w:rPr>
              <w:highlight w:val="none"/>
            </w:rPr>
            <w:fldChar w:fldCharType="begin"/>
          </w:r>
          <w:r>
            <w:rPr>
              <w:highlight w:val="none"/>
            </w:rPr>
            <w:instrText xml:space="preserve"> PAGEREF _Toc7753 \h </w:instrText>
          </w:r>
          <w:r>
            <w:rPr>
              <w:highlight w:val="none"/>
            </w:rPr>
            <w:fldChar w:fldCharType="separate"/>
          </w:r>
          <w:r>
            <w:rPr>
              <w:highlight w:val="none"/>
            </w:rPr>
            <w:t>- 2 -</w:t>
          </w:r>
          <w:r>
            <w:rPr>
              <w:highlight w:val="none"/>
            </w:rPr>
            <w:fldChar w:fldCharType="end"/>
          </w:r>
          <w:r>
            <w:rPr>
              <w:rFonts w:hint="eastAsia" w:ascii="Calibri" w:hAnsi="Calibri" w:eastAsia="宋体" w:cs="Times New Roman"/>
              <w:bCs/>
              <w:kern w:val="44"/>
              <w:szCs w:val="44"/>
              <w:highlight w:val="none"/>
            </w:rPr>
            <w:fldChar w:fldCharType="end"/>
          </w:r>
        </w:p>
        <w:p>
          <w:pPr>
            <w:pStyle w:val="20"/>
            <w:tabs>
              <w:tab w:val="right" w:leader="middleDot" w:pos="9070"/>
              <w:tab w:val="clear" w:pos="8729"/>
            </w:tabs>
            <w:rPr>
              <w:highlight w:val="none"/>
            </w:rPr>
          </w:pPr>
          <w:r>
            <w:rPr>
              <w:rFonts w:hint="eastAsia" w:ascii="Calibri" w:hAnsi="Calibri" w:eastAsia="宋体" w:cs="Times New Roman"/>
              <w:bCs/>
              <w:kern w:val="44"/>
              <w:szCs w:val="44"/>
              <w:highlight w:val="none"/>
            </w:rPr>
            <w:fldChar w:fldCharType="begin"/>
          </w:r>
          <w:r>
            <w:rPr>
              <w:rFonts w:hint="eastAsia" w:ascii="Calibri" w:hAnsi="Calibri" w:eastAsia="宋体" w:cs="Times New Roman"/>
              <w:bCs/>
              <w:kern w:val="44"/>
              <w:szCs w:val="44"/>
              <w:highlight w:val="none"/>
            </w:rPr>
            <w:instrText xml:space="preserve"> HYPERLINK \l _Toc1910 </w:instrText>
          </w:r>
          <w:r>
            <w:rPr>
              <w:rFonts w:hint="eastAsia" w:ascii="Calibri" w:hAnsi="Calibri" w:eastAsia="宋体" w:cs="Times New Roman"/>
              <w:bCs/>
              <w:kern w:val="44"/>
              <w:szCs w:val="44"/>
              <w:highlight w:val="none"/>
            </w:rPr>
            <w:fldChar w:fldCharType="separate"/>
          </w:r>
          <w:r>
            <w:rPr>
              <w:rFonts w:hint="eastAsia"/>
              <w:highlight w:val="none"/>
            </w:rPr>
            <w:t>第二部分　</w:t>
          </w:r>
          <w:r>
            <w:rPr>
              <w:rFonts w:hint="eastAsia"/>
              <w:highlight w:val="none"/>
              <w:lang w:val="en-US" w:eastAsia="zh-CN"/>
            </w:rPr>
            <w:t>技术标书</w:t>
          </w:r>
          <w:r>
            <w:rPr>
              <w:highlight w:val="none"/>
            </w:rPr>
            <w:tab/>
          </w:r>
          <w:r>
            <w:rPr>
              <w:highlight w:val="none"/>
            </w:rPr>
            <w:fldChar w:fldCharType="begin"/>
          </w:r>
          <w:r>
            <w:rPr>
              <w:highlight w:val="none"/>
            </w:rPr>
            <w:instrText xml:space="preserve"> PAGEREF _Toc1910 \h </w:instrText>
          </w:r>
          <w:r>
            <w:rPr>
              <w:highlight w:val="none"/>
            </w:rPr>
            <w:fldChar w:fldCharType="separate"/>
          </w:r>
          <w:r>
            <w:rPr>
              <w:highlight w:val="none"/>
            </w:rPr>
            <w:t>- 8 -</w:t>
          </w:r>
          <w:r>
            <w:rPr>
              <w:highlight w:val="none"/>
            </w:rPr>
            <w:fldChar w:fldCharType="end"/>
          </w:r>
          <w:r>
            <w:rPr>
              <w:rFonts w:hint="eastAsia" w:ascii="Calibri" w:hAnsi="Calibri" w:eastAsia="宋体" w:cs="Times New Roman"/>
              <w:bCs/>
              <w:kern w:val="44"/>
              <w:szCs w:val="44"/>
              <w:highlight w:val="none"/>
            </w:rPr>
            <w:fldChar w:fldCharType="end"/>
          </w:r>
        </w:p>
        <w:p>
          <w:pPr>
            <w:pStyle w:val="20"/>
            <w:tabs>
              <w:tab w:val="right" w:leader="middleDot" w:pos="9070"/>
              <w:tab w:val="clear" w:pos="8729"/>
            </w:tabs>
            <w:rPr>
              <w:highlight w:val="none"/>
            </w:rPr>
          </w:pPr>
          <w:r>
            <w:rPr>
              <w:rFonts w:hint="eastAsia" w:ascii="Calibri" w:hAnsi="Calibri" w:eastAsia="宋体" w:cs="Times New Roman"/>
              <w:bCs/>
              <w:kern w:val="44"/>
              <w:szCs w:val="44"/>
              <w:highlight w:val="none"/>
            </w:rPr>
            <w:fldChar w:fldCharType="begin"/>
          </w:r>
          <w:r>
            <w:rPr>
              <w:rFonts w:hint="eastAsia" w:ascii="Calibri" w:hAnsi="Calibri" w:eastAsia="宋体" w:cs="Times New Roman"/>
              <w:bCs/>
              <w:kern w:val="44"/>
              <w:szCs w:val="44"/>
              <w:highlight w:val="none"/>
            </w:rPr>
            <w:instrText xml:space="preserve"> HYPERLINK \l _Toc20595 </w:instrText>
          </w:r>
          <w:r>
            <w:rPr>
              <w:rFonts w:hint="eastAsia" w:ascii="Calibri" w:hAnsi="Calibri" w:eastAsia="宋体" w:cs="Times New Roman"/>
              <w:bCs/>
              <w:kern w:val="44"/>
              <w:szCs w:val="44"/>
              <w:highlight w:val="none"/>
            </w:rPr>
            <w:fldChar w:fldCharType="separate"/>
          </w:r>
          <w:r>
            <w:rPr>
              <w:rFonts w:hint="eastAsia"/>
              <w:highlight w:val="none"/>
            </w:rPr>
            <w:t>第三部分　合同主要条款</w:t>
          </w:r>
          <w:r>
            <w:rPr>
              <w:highlight w:val="none"/>
            </w:rPr>
            <w:tab/>
          </w:r>
          <w:r>
            <w:rPr>
              <w:highlight w:val="none"/>
            </w:rPr>
            <w:fldChar w:fldCharType="begin"/>
          </w:r>
          <w:r>
            <w:rPr>
              <w:highlight w:val="none"/>
            </w:rPr>
            <w:instrText xml:space="preserve"> PAGEREF _Toc20595 \h </w:instrText>
          </w:r>
          <w:r>
            <w:rPr>
              <w:highlight w:val="none"/>
            </w:rPr>
            <w:fldChar w:fldCharType="separate"/>
          </w:r>
          <w:r>
            <w:rPr>
              <w:highlight w:val="none"/>
            </w:rPr>
            <w:t>- 8 -</w:t>
          </w:r>
          <w:r>
            <w:rPr>
              <w:highlight w:val="none"/>
            </w:rPr>
            <w:fldChar w:fldCharType="end"/>
          </w:r>
          <w:r>
            <w:rPr>
              <w:rFonts w:hint="eastAsia" w:ascii="Calibri" w:hAnsi="Calibri" w:eastAsia="宋体" w:cs="Times New Roman"/>
              <w:bCs/>
              <w:kern w:val="44"/>
              <w:szCs w:val="44"/>
              <w:highlight w:val="none"/>
            </w:rPr>
            <w:fldChar w:fldCharType="end"/>
          </w:r>
        </w:p>
        <w:p>
          <w:pPr>
            <w:pStyle w:val="20"/>
            <w:tabs>
              <w:tab w:val="right" w:leader="middleDot" w:pos="9070"/>
              <w:tab w:val="clear" w:pos="8729"/>
            </w:tabs>
            <w:rPr>
              <w:highlight w:val="none"/>
            </w:rPr>
          </w:pPr>
          <w:r>
            <w:rPr>
              <w:rFonts w:hint="eastAsia" w:ascii="Calibri" w:hAnsi="Calibri" w:eastAsia="宋体" w:cs="Times New Roman"/>
              <w:bCs/>
              <w:kern w:val="44"/>
              <w:szCs w:val="44"/>
              <w:highlight w:val="none"/>
            </w:rPr>
            <w:fldChar w:fldCharType="begin"/>
          </w:r>
          <w:r>
            <w:rPr>
              <w:rFonts w:hint="eastAsia" w:ascii="Calibri" w:hAnsi="Calibri" w:eastAsia="宋体" w:cs="Times New Roman"/>
              <w:bCs/>
              <w:kern w:val="44"/>
              <w:szCs w:val="44"/>
              <w:highlight w:val="none"/>
            </w:rPr>
            <w:instrText xml:space="preserve"> HYPERLINK \l _Toc5925 </w:instrText>
          </w:r>
          <w:r>
            <w:rPr>
              <w:rFonts w:hint="eastAsia" w:ascii="Calibri" w:hAnsi="Calibri" w:eastAsia="宋体" w:cs="Times New Roman"/>
              <w:bCs/>
              <w:kern w:val="44"/>
              <w:szCs w:val="44"/>
              <w:highlight w:val="none"/>
            </w:rPr>
            <w:fldChar w:fldCharType="separate"/>
          </w:r>
          <w:r>
            <w:rPr>
              <w:rFonts w:hint="eastAsia"/>
              <w:highlight w:val="none"/>
            </w:rPr>
            <w:t>第四部分　</w:t>
          </w:r>
          <w:r>
            <w:rPr>
              <w:rFonts w:hint="eastAsia"/>
              <w:highlight w:val="none"/>
              <w:lang w:val="en-US" w:eastAsia="zh-CN"/>
            </w:rPr>
            <w:t>投标文件附件</w:t>
          </w:r>
          <w:r>
            <w:rPr>
              <w:highlight w:val="none"/>
            </w:rPr>
            <w:tab/>
          </w:r>
          <w:r>
            <w:rPr>
              <w:highlight w:val="none"/>
            </w:rPr>
            <w:fldChar w:fldCharType="begin"/>
          </w:r>
          <w:r>
            <w:rPr>
              <w:highlight w:val="none"/>
            </w:rPr>
            <w:instrText xml:space="preserve"> PAGEREF _Toc5925 \h </w:instrText>
          </w:r>
          <w:r>
            <w:rPr>
              <w:highlight w:val="none"/>
            </w:rPr>
            <w:fldChar w:fldCharType="separate"/>
          </w:r>
          <w:r>
            <w:rPr>
              <w:highlight w:val="none"/>
            </w:rPr>
            <w:t>- 9 -</w:t>
          </w:r>
          <w:r>
            <w:rPr>
              <w:highlight w:val="none"/>
            </w:rPr>
            <w:fldChar w:fldCharType="end"/>
          </w:r>
          <w:r>
            <w:rPr>
              <w:rFonts w:hint="eastAsia" w:ascii="Calibri" w:hAnsi="Calibri" w:eastAsia="宋体" w:cs="Times New Roman"/>
              <w:bCs/>
              <w:kern w:val="44"/>
              <w:szCs w:val="44"/>
              <w:highlight w:val="none"/>
            </w:rPr>
            <w:fldChar w:fldCharType="end"/>
          </w:r>
        </w:p>
        <w:p>
          <w:pPr>
            <w:pStyle w:val="20"/>
            <w:rPr>
              <w:highlight w:val="none"/>
            </w:rPr>
          </w:pPr>
          <w:r>
            <w:rPr>
              <w:rFonts w:hint="eastAsia" w:ascii="Calibri" w:hAnsi="Calibri" w:eastAsia="宋体" w:cs="Times New Roman"/>
              <w:bCs/>
              <w:kern w:val="44"/>
              <w:szCs w:val="44"/>
              <w:highlight w:val="none"/>
            </w:rPr>
            <w:fldChar w:fldCharType="end"/>
          </w:r>
        </w:p>
      </w:sdtContent>
    </w:sdt>
    <w:p>
      <w:pPr>
        <w:pStyle w:val="14"/>
        <w:tabs>
          <w:tab w:val="left" w:pos="2940"/>
        </w:tabs>
        <w:spacing w:line="360" w:lineRule="auto"/>
        <w:rPr>
          <w:highlight w:val="none"/>
        </w:rPr>
      </w:pPr>
      <w:r>
        <w:rPr>
          <w:highlight w:val="none"/>
        </w:rPr>
        <w:tab/>
      </w:r>
    </w:p>
    <w:p>
      <w:pPr>
        <w:pStyle w:val="14"/>
        <w:spacing w:line="360" w:lineRule="auto"/>
        <w:jc w:val="center"/>
        <w:rPr>
          <w:highlight w:val="none"/>
        </w:rPr>
      </w:pPr>
    </w:p>
    <w:p>
      <w:pPr>
        <w:pStyle w:val="14"/>
        <w:spacing w:line="360" w:lineRule="auto"/>
        <w:jc w:val="center"/>
        <w:rPr>
          <w:highlight w:val="none"/>
        </w:rPr>
        <w:sectPr>
          <w:pgSz w:w="11906" w:h="16838"/>
          <w:pgMar w:top="1701" w:right="1418" w:bottom="1134" w:left="1418" w:header="851" w:footer="992" w:gutter="0"/>
          <w:pgNumType w:fmt="numberInDash" w:start="1"/>
          <w:cols w:space="720" w:num="1"/>
          <w:titlePg/>
          <w:docGrid w:type="lines" w:linePitch="312" w:charSpace="0"/>
        </w:sectPr>
      </w:pPr>
    </w:p>
    <w:p>
      <w:pPr>
        <w:pStyle w:val="71"/>
        <w:rPr>
          <w:highlight w:val="none"/>
        </w:rPr>
      </w:pPr>
      <w:bookmarkStart w:id="0" w:name="_Toc47976595"/>
      <w:bookmarkStart w:id="1" w:name="_Toc7753"/>
      <w:r>
        <w:rPr>
          <w:rFonts w:hint="eastAsia"/>
          <w:highlight w:val="none"/>
        </w:rPr>
        <w:t>第一部分  投标人须知</w:t>
      </w:r>
      <w:bookmarkEnd w:id="0"/>
      <w:bookmarkEnd w:id="1"/>
    </w:p>
    <w:p>
      <w:pPr>
        <w:pStyle w:val="72"/>
        <w:numPr>
          <w:ilvl w:val="0"/>
          <w:numId w:val="9"/>
        </w:numPr>
        <w:ind w:left="420"/>
        <w:jc w:val="left"/>
        <w:rPr>
          <w:highlight w:val="none"/>
        </w:rPr>
      </w:pPr>
      <w:bookmarkStart w:id="2" w:name="_Toc47976596"/>
      <w:r>
        <w:rPr>
          <w:rFonts w:hint="eastAsia"/>
          <w:highlight w:val="none"/>
        </w:rPr>
        <w:t>项目介绍</w:t>
      </w:r>
      <w:bookmarkEnd w:id="2"/>
    </w:p>
    <w:p>
      <w:pPr>
        <w:pStyle w:val="76"/>
        <w:numPr>
          <w:ilvl w:val="0"/>
          <w:numId w:val="10"/>
        </w:numPr>
        <w:ind w:left="425" w:leftChars="0" w:hanging="425" w:firstLineChars="0"/>
        <w:rPr>
          <w:highlight w:val="none"/>
        </w:rPr>
      </w:pPr>
      <w:r>
        <w:rPr>
          <w:rFonts w:hint="eastAsia"/>
          <w:highlight w:val="none"/>
        </w:rPr>
        <w:t>项目名称：</w:t>
      </w:r>
      <w:r>
        <w:rPr>
          <w:rFonts w:ascii="宋体" w:eastAsia="宋体" w:cs="Times New Roman"/>
          <w:highlight w:val="none"/>
          <w:u w:val="single"/>
        </w:rPr>
        <w:t>济南轻卡制造公司皮卡产线生产轻卡驾驶室KD总成改造技改项目</w:t>
      </w:r>
    </w:p>
    <w:p>
      <w:pPr>
        <w:pStyle w:val="76"/>
        <w:numPr>
          <w:ilvl w:val="0"/>
          <w:numId w:val="10"/>
        </w:numPr>
        <w:ind w:left="425" w:leftChars="0" w:hanging="425" w:firstLineChars="0"/>
        <w:rPr>
          <w:highlight w:val="none"/>
        </w:rPr>
      </w:pPr>
      <w:r>
        <w:rPr>
          <w:rFonts w:hint="eastAsia"/>
          <w:highlight w:val="none"/>
        </w:rPr>
        <w:t>项目编号：</w:t>
      </w:r>
      <w:r>
        <w:rPr>
          <w:rFonts w:hint="eastAsia"/>
          <w:highlight w:val="none"/>
          <w:u w:val="single"/>
        </w:rPr>
        <w:t>ZBGL2026010248</w:t>
      </w:r>
    </w:p>
    <w:p>
      <w:pPr>
        <w:pStyle w:val="76"/>
        <w:numPr>
          <w:ilvl w:val="0"/>
          <w:numId w:val="10"/>
        </w:numPr>
        <w:ind w:left="425" w:leftChars="0" w:hanging="425" w:firstLineChars="0"/>
        <w:rPr>
          <w:highlight w:val="none"/>
        </w:rPr>
      </w:pPr>
      <w:r>
        <w:rPr>
          <w:rFonts w:hint="eastAsia"/>
          <w:highlight w:val="none"/>
        </w:rPr>
        <w:t>招标形式：</w:t>
      </w:r>
      <w:bookmarkStart w:id="3" w:name="_Toc47112482"/>
      <w:r>
        <w:rPr>
          <w:rFonts w:hint="eastAsia"/>
          <w:highlight w:val="none"/>
          <w:u w:val="single"/>
          <w:lang w:val="en-US" w:eastAsia="zh-CN"/>
        </w:rPr>
        <w:t>公开招标</w:t>
      </w:r>
    </w:p>
    <w:p>
      <w:pPr>
        <w:pStyle w:val="76"/>
        <w:numPr>
          <w:ilvl w:val="0"/>
          <w:numId w:val="10"/>
        </w:numPr>
        <w:ind w:left="0" w:leftChars="0" w:firstLine="0" w:firstLineChars="0"/>
        <w:rPr>
          <w:highlight w:val="none"/>
        </w:rPr>
      </w:pPr>
      <w:r>
        <w:rPr>
          <w:rFonts w:hint="eastAsia"/>
          <w:highlight w:val="none"/>
          <w:lang w:val="en-US" w:eastAsia="zh-CN"/>
        </w:rPr>
        <w:t>项目概况：</w:t>
      </w:r>
      <w:r>
        <w:rPr>
          <w:rFonts w:hint="eastAsia"/>
          <w:highlight w:val="none"/>
          <w:u w:val="single"/>
        </w:rPr>
        <w:t>对皮卡产线进行改造，新增1套驾驶室上线吊具、10套轻卡仪表总成分装台及专用工装，改造轻卡分装后驾驶室输送线</w:t>
      </w:r>
      <w:r>
        <w:rPr>
          <w:rFonts w:hint="eastAsia"/>
          <w:highlight w:val="none"/>
          <w:u w:val="single"/>
          <w:lang w:eastAsia="zh-CN"/>
        </w:rPr>
        <w:t>。</w:t>
      </w:r>
    </w:p>
    <w:p>
      <w:pPr>
        <w:pStyle w:val="76"/>
        <w:numPr>
          <w:ilvl w:val="0"/>
          <w:numId w:val="10"/>
        </w:numPr>
        <w:ind w:left="425" w:leftChars="0" w:hanging="425" w:firstLineChars="0"/>
        <w:rPr>
          <w:rFonts w:hint="default" w:ascii="宋体" w:hAnsi="Courier New" w:eastAsia="宋体" w:cs="Times New Roman"/>
          <w:highlight w:val="none"/>
          <w:lang w:val="en-US" w:eastAsia="zh-CN"/>
        </w:rPr>
      </w:pPr>
      <w:r>
        <w:rPr>
          <w:rFonts w:hint="eastAsia" w:cs="Times New Roman"/>
          <w:highlight w:val="none"/>
          <w:lang w:val="en-US" w:eastAsia="zh-CN"/>
        </w:rPr>
        <w:t>招标内容</w:t>
      </w:r>
      <w:r>
        <w:rPr>
          <w:rFonts w:hint="eastAsia" w:ascii="宋体" w:hAnsi="Courier New" w:eastAsia="宋体" w:cs="Times New Roman"/>
          <w:highlight w:val="none"/>
          <w:lang w:val="en-US" w:eastAsia="zh-CN"/>
        </w:rPr>
        <w:t>具体要求详见《技术标书》。</w:t>
      </w:r>
    </w:p>
    <w:p>
      <w:pPr>
        <w:pStyle w:val="76"/>
        <w:numPr>
          <w:ilvl w:val="0"/>
          <w:numId w:val="10"/>
        </w:numPr>
        <w:ind w:left="425" w:leftChars="0" w:hanging="425" w:firstLineChars="0"/>
        <w:rPr>
          <w:rFonts w:hint="default" w:cs="Times New Roman"/>
          <w:highlight w:val="none"/>
          <w:u w:val="none"/>
          <w:lang w:val="en-US" w:eastAsia="zh-CN"/>
        </w:rPr>
      </w:pPr>
      <w:r>
        <w:rPr>
          <w:rFonts w:hint="eastAsia"/>
          <w:highlight w:val="none"/>
          <w:lang w:val="en-US" w:eastAsia="zh-CN"/>
        </w:rPr>
        <w:t>报价：</w:t>
      </w:r>
      <w:r>
        <w:rPr>
          <w:rFonts w:hint="eastAsia" w:cs="Times New Roman"/>
          <w:b/>
          <w:bCs/>
          <w:color w:val="FF0000"/>
          <w:highlight w:val="none"/>
          <w:u w:val="none"/>
          <w:lang w:val="en-US" w:eastAsia="zh-CN"/>
        </w:rPr>
        <w:t>报价应包含币种、不含税金额、税率及价税合计金额</w:t>
      </w:r>
    </w:p>
    <w:p>
      <w:pPr>
        <w:ind w:firstLine="420" w:firstLineChars="200"/>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招标人信息：</w:t>
      </w:r>
    </w:p>
    <w:p>
      <w:pPr>
        <w:ind w:firstLine="422" w:firstLineChars="200"/>
        <w:rPr>
          <w:rFonts w:hint="default" w:ascii="宋体" w:hAnsi="宋体" w:eastAsia="宋体" w:cs="宋体"/>
          <w:b/>
          <w:snapToGrid w:val="0"/>
          <w:kern w:val="0"/>
          <w:szCs w:val="21"/>
          <w:highlight w:val="none"/>
          <w:lang w:val="en-US" w:eastAsia="zh-CN"/>
        </w:rPr>
      </w:pPr>
      <w:r>
        <w:rPr>
          <w:rFonts w:hint="eastAsia" w:ascii="宋体" w:hAnsi="宋体" w:cs="宋体"/>
          <w:b/>
          <w:snapToGrid w:val="0"/>
          <w:kern w:val="0"/>
          <w:szCs w:val="21"/>
          <w:highlight w:val="none"/>
        </w:rPr>
        <w:t>招标人名称：</w:t>
      </w:r>
      <w:r>
        <w:rPr>
          <w:rFonts w:hint="eastAsia" w:ascii="宋体" w:hAnsi="宋体" w:cs="宋体"/>
          <w:b/>
          <w:szCs w:val="21"/>
          <w:highlight w:val="none"/>
          <w:u w:val="single"/>
          <w:lang w:val="en-US" w:eastAsia="zh-CN"/>
        </w:rPr>
        <w:t>中国重汽集团济南商用车有限公司轻卡制造公司</w:t>
      </w:r>
    </w:p>
    <w:p>
      <w:pPr>
        <w:pStyle w:val="72"/>
        <w:numPr>
          <w:ilvl w:val="0"/>
          <w:numId w:val="0"/>
        </w:numPr>
        <w:ind w:firstLine="422" w:firstLineChars="200"/>
        <w:rPr>
          <w:rFonts w:hint="eastAsia" w:ascii="宋体" w:hAnsi="宋体" w:eastAsia="宋体" w:cs="宋体"/>
          <w:bCs w:val="0"/>
          <w:sz w:val="21"/>
          <w:szCs w:val="21"/>
          <w:highlight w:val="none"/>
          <w:lang w:eastAsia="zh-CN"/>
        </w:rPr>
      </w:pPr>
      <w:r>
        <w:rPr>
          <w:rFonts w:hint="eastAsia" w:ascii="宋体" w:hAnsi="宋体" w:eastAsia="宋体" w:cs="宋体"/>
          <w:bCs w:val="0"/>
          <w:sz w:val="21"/>
          <w:szCs w:val="21"/>
          <w:highlight w:val="none"/>
        </w:rPr>
        <w:t>商务联系人：</w:t>
      </w:r>
      <w:r>
        <w:rPr>
          <w:rFonts w:hint="eastAsia" w:ascii="宋体" w:hAnsi="宋体" w:eastAsia="宋体" w:cs="宋体"/>
          <w:bCs w:val="0"/>
          <w:sz w:val="21"/>
          <w:szCs w:val="21"/>
          <w:highlight w:val="none"/>
          <w:lang w:val="en-US" w:eastAsia="zh-CN"/>
        </w:rPr>
        <w:t>赵翊旭</w:t>
      </w:r>
    </w:p>
    <w:p>
      <w:pPr>
        <w:pStyle w:val="72"/>
        <w:numPr>
          <w:ilvl w:val="0"/>
          <w:numId w:val="0"/>
        </w:numPr>
        <w:ind w:firstLine="422" w:firstLineChars="200"/>
        <w:rPr>
          <w:rFonts w:hint="eastAsia" w:ascii="宋体" w:hAnsi="宋体" w:eastAsia="宋体" w:cs="宋体"/>
          <w:bCs w:val="0"/>
          <w:sz w:val="21"/>
          <w:szCs w:val="21"/>
          <w:highlight w:val="none"/>
          <w:lang w:val="en-US" w:eastAsia="zh-CN"/>
        </w:rPr>
      </w:pPr>
      <w:r>
        <w:rPr>
          <w:rFonts w:hint="eastAsia" w:ascii="宋体" w:hAnsi="宋体" w:eastAsia="宋体" w:cs="宋体"/>
          <w:bCs w:val="0"/>
          <w:sz w:val="21"/>
          <w:szCs w:val="21"/>
          <w:highlight w:val="none"/>
        </w:rPr>
        <w:t>电话：</w:t>
      </w:r>
      <w:r>
        <w:rPr>
          <w:rFonts w:hint="eastAsia" w:ascii="宋体" w:hAnsi="宋体" w:eastAsia="宋体" w:cs="宋体"/>
          <w:bCs w:val="0"/>
          <w:sz w:val="21"/>
          <w:szCs w:val="21"/>
          <w:highlight w:val="none"/>
          <w:lang w:val="en-US" w:eastAsia="zh-CN"/>
        </w:rPr>
        <w:t>15165052573</w:t>
      </w:r>
    </w:p>
    <w:p>
      <w:pPr>
        <w:pStyle w:val="72"/>
        <w:numPr>
          <w:ilvl w:val="0"/>
          <w:numId w:val="0"/>
        </w:numPr>
        <w:ind w:firstLine="422" w:firstLineChars="200"/>
        <w:rPr>
          <w:rFonts w:ascii="宋体" w:hAnsi="宋体" w:eastAsia="宋体" w:cs="宋体"/>
          <w:bCs w:val="0"/>
          <w:sz w:val="21"/>
          <w:szCs w:val="21"/>
          <w:highlight w:val="none"/>
        </w:rPr>
      </w:pPr>
      <w:r>
        <w:rPr>
          <w:rFonts w:hint="eastAsia" w:ascii="宋体" w:hAnsi="宋体" w:eastAsia="宋体" w:cs="宋体"/>
          <w:bCs w:val="0"/>
          <w:sz w:val="21"/>
          <w:szCs w:val="21"/>
          <w:highlight w:val="none"/>
        </w:rPr>
        <w:t>邮箱：zhaoyixu@sinotruk.com</w:t>
      </w:r>
    </w:p>
    <w:p>
      <w:pPr>
        <w:pStyle w:val="72"/>
        <w:numPr>
          <w:ilvl w:val="0"/>
          <w:numId w:val="0"/>
        </w:numPr>
        <w:ind w:firstLine="422" w:firstLineChars="200"/>
        <w:rPr>
          <w:rFonts w:hint="eastAsia" w:ascii="宋体" w:hAnsi="宋体" w:eastAsia="宋体" w:cs="宋体"/>
          <w:bCs w:val="0"/>
          <w:sz w:val="21"/>
          <w:szCs w:val="21"/>
          <w:highlight w:val="none"/>
          <w:lang w:val="en-US" w:eastAsia="zh-CN"/>
        </w:rPr>
      </w:pPr>
      <w:r>
        <w:rPr>
          <w:rFonts w:hint="eastAsia" w:ascii="宋体" w:hAnsi="宋体" w:eastAsia="宋体" w:cs="宋体"/>
          <w:bCs w:val="0"/>
          <w:sz w:val="21"/>
          <w:szCs w:val="21"/>
          <w:highlight w:val="none"/>
        </w:rPr>
        <w:t>技术联系人：</w:t>
      </w:r>
      <w:r>
        <w:rPr>
          <w:rFonts w:hint="eastAsia" w:ascii="宋体" w:hAnsi="宋体" w:eastAsia="宋体" w:cs="宋体"/>
          <w:bCs w:val="0"/>
          <w:sz w:val="21"/>
          <w:szCs w:val="21"/>
          <w:highlight w:val="none"/>
          <w:lang w:val="en-US" w:eastAsia="zh-CN"/>
        </w:rPr>
        <w:t>董阳</w:t>
      </w:r>
    </w:p>
    <w:p>
      <w:pPr>
        <w:pStyle w:val="72"/>
        <w:numPr>
          <w:ilvl w:val="0"/>
          <w:numId w:val="0"/>
        </w:numPr>
        <w:ind w:firstLine="422" w:firstLineChars="200"/>
        <w:rPr>
          <w:rFonts w:hint="eastAsia" w:ascii="宋体" w:hAnsi="宋体" w:eastAsia="宋体" w:cs="宋体"/>
          <w:bCs w:val="0"/>
          <w:sz w:val="21"/>
          <w:szCs w:val="21"/>
          <w:highlight w:val="none"/>
          <w:lang w:val="en-US" w:eastAsia="zh-CN"/>
        </w:rPr>
      </w:pPr>
      <w:r>
        <w:rPr>
          <w:rFonts w:hint="eastAsia" w:ascii="宋体" w:hAnsi="宋体" w:eastAsia="宋体" w:cs="宋体"/>
          <w:bCs w:val="0"/>
          <w:sz w:val="21"/>
          <w:szCs w:val="21"/>
          <w:highlight w:val="none"/>
        </w:rPr>
        <w:t>电话：</w:t>
      </w:r>
      <w:r>
        <w:rPr>
          <w:rFonts w:hint="eastAsia" w:ascii="宋体" w:hAnsi="宋体" w:eastAsia="宋体" w:cs="宋体"/>
          <w:bCs w:val="0"/>
          <w:sz w:val="21"/>
          <w:szCs w:val="21"/>
          <w:highlight w:val="none"/>
          <w:lang w:val="en-US" w:eastAsia="zh-CN"/>
        </w:rPr>
        <w:t>16653177520</w:t>
      </w:r>
    </w:p>
    <w:p>
      <w:pPr>
        <w:pStyle w:val="76"/>
        <w:numPr>
          <w:ilvl w:val="0"/>
          <w:numId w:val="0"/>
        </w:numPr>
        <w:ind w:leftChars="0" w:firstLine="422" w:firstLineChars="200"/>
        <w:rPr>
          <w:rFonts w:hint="eastAsia" w:cs="Times New Roman"/>
          <w:highlight w:val="none"/>
          <w:lang w:val="en-US" w:eastAsia="zh-CN"/>
        </w:rPr>
      </w:pPr>
      <w:r>
        <w:rPr>
          <w:rFonts w:hint="eastAsia" w:ascii="宋体" w:hAnsi="宋体" w:eastAsia="宋体" w:cs="宋体"/>
          <w:b/>
          <w:bCs w:val="0"/>
          <w:kern w:val="2"/>
          <w:sz w:val="21"/>
          <w:szCs w:val="21"/>
          <w:highlight w:val="none"/>
          <w:lang w:val="en-US" w:eastAsia="zh-CN" w:bidi="ar-SA"/>
        </w:rPr>
        <w:t>邮箱：dongyang@sinotruk.com</w:t>
      </w:r>
    </w:p>
    <w:bookmarkEnd w:id="3"/>
    <w:p>
      <w:pPr>
        <w:pStyle w:val="72"/>
        <w:rPr>
          <w:highlight w:val="none"/>
        </w:rPr>
      </w:pPr>
      <w:bookmarkStart w:id="4" w:name="_Toc47976598"/>
      <w:r>
        <w:rPr>
          <w:rFonts w:hint="eastAsia"/>
          <w:highlight w:val="none"/>
        </w:rPr>
        <w:t>合格的投标人。</w:t>
      </w:r>
      <w:bookmarkEnd w:id="4"/>
    </w:p>
    <w:p>
      <w:pPr>
        <w:pStyle w:val="73"/>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投标人须遵守《中华人民共和国招标投标法》及其它有关的法律和法规；为中华人民共和国境内注册的独立法人机构，具有独立承担民事责任能力；</w:t>
      </w:r>
    </w:p>
    <w:p>
      <w:pPr>
        <w:pStyle w:val="73"/>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textAlignment w:val="auto"/>
        <w:rPr>
          <w:rFonts w:hint="eastAsia" w:ascii="宋体" w:hAnsi="Courier New" w:eastAsia="宋体" w:cs="Times New Roman"/>
          <w:b w:val="0"/>
          <w:bCs/>
          <w:strike w:val="0"/>
          <w:dstrike w:val="0"/>
          <w:highlight w:val="none"/>
        </w:rPr>
      </w:pPr>
      <w:r>
        <w:rPr>
          <w:rFonts w:hint="eastAsia" w:ascii="宋体" w:hAnsi="Courier New" w:eastAsia="宋体" w:cs="Times New Roman"/>
          <w:b w:val="0"/>
          <w:bCs/>
          <w:strike w:val="0"/>
          <w:dstrike w:val="0"/>
          <w:highlight w:val="none"/>
        </w:rPr>
        <w:t>拟标投人必须是在中华人民共和国境内注册的独立法人机构，具有独立承担民事责任能力；注册资金不少于</w:t>
      </w:r>
      <w:r>
        <w:rPr>
          <w:rFonts w:hint="eastAsia" w:cs="Times New Roman"/>
          <w:b w:val="0"/>
          <w:bCs/>
          <w:strike w:val="0"/>
          <w:dstrike w:val="0"/>
          <w:highlight w:val="none"/>
          <w:u w:val="single"/>
          <w:lang w:val="en-US" w:eastAsia="zh-CN"/>
        </w:rPr>
        <w:t>500</w:t>
      </w:r>
      <w:r>
        <w:rPr>
          <w:rFonts w:hint="eastAsia" w:ascii="宋体" w:hAnsi="Courier New" w:eastAsia="宋体" w:cs="Times New Roman"/>
          <w:b w:val="0"/>
          <w:bCs/>
          <w:strike w:val="0"/>
          <w:dstrike w:val="0"/>
          <w:highlight w:val="none"/>
        </w:rPr>
        <w:t>万人民币（或等值其他货币）；公司成立</w:t>
      </w:r>
      <w:r>
        <w:rPr>
          <w:rFonts w:hint="eastAsia" w:cs="Times New Roman"/>
          <w:b w:val="0"/>
          <w:bCs/>
          <w:strike w:val="0"/>
          <w:dstrike w:val="0"/>
          <w:highlight w:val="none"/>
          <w:u w:val="single"/>
          <w:lang w:val="en-US" w:eastAsia="zh-CN"/>
        </w:rPr>
        <w:t>三</w:t>
      </w:r>
      <w:r>
        <w:rPr>
          <w:rFonts w:hint="eastAsia" w:ascii="宋体" w:hAnsi="Courier New" w:eastAsia="宋体" w:cs="Times New Roman"/>
          <w:b w:val="0"/>
          <w:bCs/>
          <w:strike w:val="0"/>
          <w:dstrike w:val="0"/>
          <w:highlight w:val="none"/>
        </w:rPr>
        <w:t>年以上（以营业执照成立日期到开标当日满</w:t>
      </w:r>
      <w:r>
        <w:rPr>
          <w:rFonts w:hint="eastAsia" w:cs="Times New Roman"/>
          <w:b w:val="0"/>
          <w:bCs/>
          <w:strike w:val="0"/>
          <w:dstrike w:val="0"/>
          <w:highlight w:val="none"/>
          <w:u w:val="single"/>
          <w:lang w:val="en-US" w:eastAsia="zh-CN"/>
        </w:rPr>
        <w:t>三</w:t>
      </w:r>
      <w:r>
        <w:rPr>
          <w:rFonts w:hint="eastAsia" w:ascii="宋体" w:hAnsi="Courier New" w:eastAsia="宋体" w:cs="Times New Roman"/>
          <w:b w:val="0"/>
          <w:bCs/>
          <w:strike w:val="0"/>
          <w:dstrike w:val="0"/>
          <w:highlight w:val="none"/>
        </w:rPr>
        <w:t>年为准），且经营范围满足招标人需求；并在人员、设备、资金等方面具有承担本项目的能力；</w:t>
      </w:r>
    </w:p>
    <w:p>
      <w:pPr>
        <w:pStyle w:val="73"/>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投标人须具有良好的商业信誉和健全的财务会计制度，财务状况和市场行为良好。没有处于被有权机关吊销营业执照、吊销资质、停业整顿、取消投标资格以及财产被接管、冻结或进入破产程序等；</w:t>
      </w:r>
    </w:p>
    <w:p>
      <w:pPr>
        <w:pStyle w:val="73"/>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投标人在“信用中国”中未列入联合惩戒失信人名单，且工商行政管理局的《国家企业信用信息公示系统》中查询不存在不良记录；</w:t>
      </w:r>
    </w:p>
    <w:p>
      <w:pPr>
        <w:pStyle w:val="73"/>
        <w:numPr>
          <w:ilvl w:val="0"/>
          <w:numId w:val="11"/>
        </w:numPr>
        <w:ind w:left="0" w:firstLine="0"/>
        <w:rPr>
          <w:b w:val="0"/>
          <w:bCs/>
          <w:highlight w:val="none"/>
        </w:rPr>
      </w:pPr>
      <w:r>
        <w:rPr>
          <w:rFonts w:hint="eastAsia" w:ascii="宋体" w:hAnsi="Courier New" w:eastAsia="宋体" w:cs="Times New Roman"/>
          <w:b w:val="0"/>
          <w:bCs/>
          <w:strike w:val="0"/>
          <w:dstrike w:val="0"/>
          <w:highlight w:val="none"/>
        </w:rPr>
        <w:t>无招标违规、谎报年度报告信息、提供虚假资质资料等行为或其他行政处罚记录；</w:t>
      </w:r>
    </w:p>
    <w:p>
      <w:pPr>
        <w:pStyle w:val="73"/>
        <w:numPr>
          <w:ilvl w:val="0"/>
          <w:numId w:val="11"/>
        </w:numPr>
        <w:ind w:left="0" w:firstLine="0"/>
        <w:rPr>
          <w:rFonts w:hint="eastAsia" w:ascii="宋体" w:hAnsi="Courier New" w:eastAsia="宋体" w:cs="Times New Roman"/>
          <w:b w:val="0"/>
          <w:bCs/>
          <w:strike w:val="0"/>
          <w:dstrike w:val="0"/>
          <w:highlight w:val="none"/>
        </w:rPr>
      </w:pPr>
      <w:r>
        <w:rPr>
          <w:rFonts w:hint="eastAsia"/>
          <w:b w:val="0"/>
          <w:bCs/>
          <w:highlight w:val="none"/>
        </w:rPr>
        <w:t>近三年内在经营活动中无与本项目有关的违法及重大违规情况</w:t>
      </w:r>
      <w:r>
        <w:rPr>
          <w:rFonts w:hint="eastAsia"/>
          <w:b w:val="0"/>
          <w:bCs/>
          <w:highlight w:val="none"/>
          <w:lang w:eastAsia="zh-CN"/>
        </w:rPr>
        <w:t>；</w:t>
      </w:r>
    </w:p>
    <w:p>
      <w:pPr>
        <w:pStyle w:val="73"/>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投标人没有被列入招标人处《黑名单》（《黑名单》指投标人与招标人在以往或正在进行的合作中，存在招标人认为的违反合同约定或违反法律法规等的失信行为）的；</w:t>
      </w:r>
    </w:p>
    <w:p>
      <w:pPr>
        <w:pStyle w:val="73"/>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公司经营范围满足招标项目需求；</w:t>
      </w:r>
    </w:p>
    <w:p>
      <w:pPr>
        <w:pStyle w:val="73"/>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投标人须具有履行招标文件所有设备、专业技术等要求的能力；</w:t>
      </w:r>
    </w:p>
    <w:p>
      <w:pPr>
        <w:pStyle w:val="73"/>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投标人须有依法缴纳税收和社会保障资金的良好记录；</w:t>
      </w:r>
    </w:p>
    <w:p>
      <w:pPr>
        <w:pStyle w:val="73"/>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具有本次招标货物的供货、安装、售后服务等的相应资质；</w:t>
      </w:r>
    </w:p>
    <w:p>
      <w:pPr>
        <w:pStyle w:val="73"/>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投标人须负责提供合理的便于运输的包装物，并承担相关费用</w:t>
      </w:r>
      <w:r>
        <w:rPr>
          <w:rFonts w:hint="eastAsia"/>
          <w:b w:val="0"/>
          <w:bCs/>
          <w:strike w:val="0"/>
          <w:dstrike w:val="0"/>
          <w:highlight w:val="none"/>
          <w:lang w:eastAsia="zh-CN"/>
        </w:rPr>
        <w:t>；</w:t>
      </w:r>
    </w:p>
    <w:p>
      <w:pPr>
        <w:pStyle w:val="73"/>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投标人须认可招标人的工作指令，包括节、假日能正常开展工作的要求。</w:t>
      </w:r>
    </w:p>
    <w:p>
      <w:pPr>
        <w:pStyle w:val="73"/>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ascii="宋体" w:hAnsi="Courier New" w:eastAsia="宋体" w:cs="Times New Roman"/>
          <w:b w:val="0"/>
          <w:bCs/>
          <w:strike w:val="0"/>
          <w:dstrike w:val="0"/>
          <w:highlight w:val="none"/>
          <w:lang w:val="en-US" w:eastAsia="zh-CN"/>
        </w:rPr>
        <w:t>拟投标人的直接或间接股东、法定代表人、董事、监事、高管非重汽员工及其亲属；</w:t>
      </w:r>
    </w:p>
    <w:p>
      <w:pPr>
        <w:pStyle w:val="73"/>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投标人必须是最终投标、签订合同的单位，不得以任何理由将已中标项目以任何形式转包或者分包给其他单位</w:t>
      </w:r>
      <w:r>
        <w:rPr>
          <w:rFonts w:hint="eastAsia"/>
          <w:b w:val="0"/>
          <w:bCs/>
          <w:strike w:val="0"/>
          <w:dstrike w:val="0"/>
          <w:highlight w:val="none"/>
          <w:lang w:eastAsia="zh-CN"/>
        </w:rPr>
        <w:t>；</w:t>
      </w:r>
    </w:p>
    <w:p>
      <w:pPr>
        <w:pStyle w:val="73"/>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本次招标项目</w:t>
      </w:r>
      <w:r>
        <w:rPr>
          <w:rFonts w:hint="eastAsia"/>
          <w:b w:val="0"/>
          <w:bCs/>
          <w:strike w:val="0"/>
          <w:dstrike w:val="0"/>
          <w:highlight w:val="none"/>
          <w:u w:val="none"/>
        </w:rPr>
        <w:t>不接受</w:t>
      </w:r>
      <w:r>
        <w:rPr>
          <w:rFonts w:hint="eastAsia"/>
          <w:b w:val="0"/>
          <w:bCs/>
          <w:strike w:val="0"/>
          <w:dstrike w:val="0"/>
          <w:highlight w:val="none"/>
        </w:rPr>
        <w:t>联合体投标</w:t>
      </w:r>
      <w:r>
        <w:rPr>
          <w:rFonts w:hint="eastAsia"/>
          <w:b w:val="0"/>
          <w:bCs/>
          <w:strike w:val="0"/>
          <w:dstrike w:val="0"/>
          <w:highlight w:val="none"/>
          <w:lang w:eastAsia="zh-CN"/>
        </w:rPr>
        <w:t>；</w:t>
      </w:r>
    </w:p>
    <w:p>
      <w:pPr>
        <w:pStyle w:val="73"/>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textAlignment w:val="auto"/>
        <w:rPr>
          <w:b w:val="0"/>
          <w:bCs/>
          <w:strike w:val="0"/>
          <w:dstrike w:val="0"/>
          <w:highlight w:val="none"/>
        </w:rPr>
      </w:pPr>
      <w:r>
        <w:rPr>
          <w:rFonts w:hint="eastAsia"/>
          <w:b w:val="0"/>
          <w:bCs/>
          <w:strike w:val="0"/>
          <w:dstrike w:val="0"/>
          <w:highlight w:val="none"/>
        </w:rPr>
        <w:t>法律、行政法规规定的其他条件</w:t>
      </w:r>
      <w:r>
        <w:rPr>
          <w:rFonts w:hint="eastAsia"/>
          <w:b w:val="0"/>
          <w:bCs/>
          <w:strike w:val="0"/>
          <w:dstrike w:val="0"/>
          <w:highlight w:val="none"/>
          <w:lang w:eastAsia="zh-CN"/>
        </w:rPr>
        <w:t>；</w:t>
      </w:r>
    </w:p>
    <w:p>
      <w:pPr>
        <w:pStyle w:val="73"/>
        <w:keepNext w:val="0"/>
        <w:keepLines w:val="0"/>
        <w:pageBreakBefore w:val="0"/>
        <w:widowControl w:val="0"/>
        <w:numPr>
          <w:ilvl w:val="0"/>
          <w:numId w:val="11"/>
        </w:numPr>
        <w:kinsoku/>
        <w:wordWrap/>
        <w:overflowPunct/>
        <w:topLinePunct w:val="0"/>
        <w:autoSpaceDE/>
        <w:autoSpaceDN/>
        <w:bidi w:val="0"/>
        <w:adjustRightInd/>
        <w:snapToGrid/>
        <w:ind w:left="0" w:leftChars="0" w:firstLine="0" w:firstLineChars="0"/>
        <w:textAlignment w:val="auto"/>
        <w:rPr>
          <w:rFonts w:hint="eastAsia" w:cs="Times New Roman"/>
          <w:b/>
          <w:bCs w:val="0"/>
          <w:strike w:val="0"/>
          <w:dstrike w:val="0"/>
          <w:color w:val="FF0000"/>
          <w:highlight w:val="none"/>
          <w:lang w:val="en-US" w:eastAsia="zh-CN"/>
        </w:rPr>
      </w:pPr>
      <w:r>
        <w:rPr>
          <w:rFonts w:hint="eastAsia"/>
          <w:b w:val="0"/>
          <w:bCs/>
          <w:strike w:val="0"/>
          <w:dstrike w:val="0"/>
          <w:highlight w:val="none"/>
          <w:lang w:val="en-US" w:eastAsia="zh-CN"/>
        </w:rPr>
        <w:t>投标人</w:t>
      </w:r>
      <w:r>
        <w:rPr>
          <w:rFonts w:hint="eastAsia"/>
          <w:b w:val="0"/>
          <w:bCs/>
          <w:strike w:val="0"/>
          <w:dstrike w:val="0"/>
          <w:highlight w:val="none"/>
        </w:rPr>
        <w:t>是招标货物的制造商或制造商授权的经销商；一个制造商对同一品牌同一型号的货物,仅能委托一个代理商参加投标</w:t>
      </w:r>
      <w:r>
        <w:rPr>
          <w:rFonts w:hint="eastAsia"/>
          <w:b w:val="0"/>
          <w:bCs/>
          <w:strike w:val="0"/>
          <w:dstrike w:val="0"/>
          <w:highlight w:val="none"/>
          <w:lang w:eastAsia="zh-CN"/>
        </w:rPr>
        <w:t>。</w:t>
      </w:r>
      <w:r>
        <w:rPr>
          <w:rFonts w:hint="eastAsia"/>
          <w:b w:val="0"/>
          <w:bCs/>
          <w:highlight w:val="none"/>
        </w:rPr>
        <w:t>如为代理商投标，需获得生产厂家正式授权，提供授权书原件，保证提供原厂售后服务并提供原厂售后服务承诺书原件</w:t>
      </w:r>
      <w:r>
        <w:rPr>
          <w:rFonts w:hint="eastAsia"/>
          <w:b w:val="0"/>
          <w:bCs/>
          <w:highlight w:val="none"/>
          <w:lang w:eastAsia="zh-CN"/>
        </w:rPr>
        <w:t>。</w:t>
      </w:r>
    </w:p>
    <w:p>
      <w:pPr>
        <w:pStyle w:val="72"/>
        <w:rPr>
          <w:rFonts w:hint="eastAsia" w:hAnsi="Courier New" w:cs="Times New Roman"/>
          <w:highlight w:val="none"/>
        </w:rPr>
      </w:pPr>
      <w:r>
        <w:rPr>
          <w:rFonts w:hint="eastAsia" w:hAnsi="Courier New" w:cs="Times New Roman"/>
          <w:highlight w:val="none"/>
        </w:rPr>
        <w:t>招标文件的</w:t>
      </w:r>
      <w:r>
        <w:rPr>
          <w:rFonts w:hint="eastAsia" w:hAnsi="Courier New" w:cs="Times New Roman"/>
          <w:highlight w:val="none"/>
          <w:lang w:val="en-US" w:eastAsia="zh-CN"/>
        </w:rPr>
        <w:t>领取、</w:t>
      </w:r>
      <w:r>
        <w:rPr>
          <w:rFonts w:hint="eastAsia" w:hAnsi="Courier New" w:cs="Times New Roman"/>
          <w:highlight w:val="none"/>
        </w:rPr>
        <w:t>答疑、</w:t>
      </w:r>
      <w:r>
        <w:rPr>
          <w:rFonts w:hint="eastAsia" w:hAnsi="Courier New" w:cs="Times New Roman"/>
          <w:highlight w:val="none"/>
          <w:lang w:val="en-US" w:eastAsia="zh-CN"/>
        </w:rPr>
        <w:t>应标</w:t>
      </w:r>
      <w:r>
        <w:rPr>
          <w:rFonts w:hint="eastAsia" w:hAnsi="Courier New" w:cs="Times New Roman"/>
          <w:highlight w:val="none"/>
        </w:rPr>
        <w:t>及投标报名</w:t>
      </w:r>
    </w:p>
    <w:p>
      <w:pPr>
        <w:pStyle w:val="76"/>
        <w:numPr>
          <w:ilvl w:val="0"/>
          <w:numId w:val="12"/>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发标时间：20</w:t>
      </w:r>
      <w:r>
        <w:rPr>
          <w:rFonts w:hint="eastAsia" w:cs="Times New Roman"/>
          <w:highlight w:val="none"/>
          <w:lang w:val="en-US" w:eastAsia="zh-CN"/>
        </w:rPr>
        <w:t>26</w:t>
      </w:r>
      <w:r>
        <w:rPr>
          <w:rFonts w:hint="eastAsia" w:ascii="宋体" w:hAnsi="Courier New" w:eastAsia="宋体" w:cs="Times New Roman"/>
          <w:highlight w:val="none"/>
          <w:lang w:val="en-US" w:eastAsia="zh-CN"/>
        </w:rPr>
        <w:t>年</w:t>
      </w:r>
      <w:r>
        <w:rPr>
          <w:rFonts w:hint="eastAsia" w:cs="Times New Roman"/>
          <w:highlight w:val="none"/>
          <w:lang w:val="en-US" w:eastAsia="zh-CN"/>
        </w:rPr>
        <w:t>2</w:t>
      </w:r>
      <w:r>
        <w:rPr>
          <w:rFonts w:hint="eastAsia" w:ascii="宋体" w:hAnsi="Courier New" w:eastAsia="宋体" w:cs="Times New Roman"/>
          <w:highlight w:val="none"/>
          <w:lang w:val="en-US" w:eastAsia="zh-CN"/>
        </w:rPr>
        <w:t>月</w:t>
      </w:r>
      <w:r>
        <w:rPr>
          <w:rFonts w:hint="eastAsia" w:cs="Times New Roman"/>
          <w:highlight w:val="none"/>
          <w:u w:val="none"/>
          <w:lang w:val="en-US" w:eastAsia="zh-CN"/>
        </w:rPr>
        <w:t>24</w:t>
      </w:r>
      <w:r>
        <w:rPr>
          <w:rFonts w:hint="eastAsia" w:ascii="宋体" w:hAnsi="Courier New" w:eastAsia="宋体" w:cs="Times New Roman"/>
          <w:highlight w:val="none"/>
          <w:lang w:val="en-US" w:eastAsia="zh-CN"/>
        </w:rPr>
        <w:t>日</w:t>
      </w:r>
    </w:p>
    <w:p>
      <w:pPr>
        <w:pStyle w:val="76"/>
        <w:numPr>
          <w:ilvl w:val="0"/>
          <w:numId w:val="12"/>
        </w:numPr>
        <w:jc w:val="both"/>
        <w:rPr>
          <w:highlight w:val="none"/>
        </w:rPr>
      </w:pPr>
      <w:r>
        <w:rPr>
          <w:rFonts w:hint="eastAsia"/>
          <w:highlight w:val="none"/>
        </w:rPr>
        <w:t>招标文件领取方式：线上</w:t>
      </w:r>
    </w:p>
    <w:p>
      <w:pPr>
        <w:pStyle w:val="76"/>
        <w:ind w:firstLine="210" w:firstLineChars="100"/>
        <w:jc w:val="both"/>
        <w:rPr>
          <w:highlight w:val="none"/>
        </w:rPr>
      </w:pPr>
      <w:r>
        <w:rPr>
          <w:rFonts w:hint="eastAsia"/>
          <w:highlight w:val="none"/>
        </w:rPr>
        <w:t>地点：中国重汽e采通平台</w:t>
      </w:r>
    </w:p>
    <w:p>
      <w:pPr>
        <w:pStyle w:val="76"/>
        <w:ind w:firstLine="210" w:firstLineChars="100"/>
        <w:jc w:val="both"/>
        <w:rPr>
          <w:highlight w:val="none"/>
        </w:rPr>
      </w:pPr>
      <w:r>
        <w:rPr>
          <w:rFonts w:hint="eastAsia"/>
          <w:highlight w:val="none"/>
        </w:rPr>
        <w:t>领取截止时间：202</w:t>
      </w:r>
      <w:r>
        <w:rPr>
          <w:rFonts w:hint="eastAsia"/>
          <w:highlight w:val="none"/>
          <w:lang w:val="en-US" w:eastAsia="zh-CN"/>
        </w:rPr>
        <w:t>6</w:t>
      </w:r>
      <w:r>
        <w:rPr>
          <w:rFonts w:hint="eastAsia"/>
          <w:highlight w:val="none"/>
        </w:rPr>
        <w:t>年</w:t>
      </w:r>
      <w:r>
        <w:rPr>
          <w:rFonts w:hint="eastAsia"/>
          <w:highlight w:val="none"/>
          <w:lang w:val="en-US" w:eastAsia="zh-CN"/>
        </w:rPr>
        <w:t>3</w:t>
      </w:r>
      <w:r>
        <w:rPr>
          <w:rFonts w:hint="eastAsia"/>
          <w:highlight w:val="none"/>
        </w:rPr>
        <w:t>月</w:t>
      </w:r>
      <w:r>
        <w:rPr>
          <w:rFonts w:hint="eastAsia"/>
          <w:highlight w:val="none"/>
          <w:lang w:val="en-US" w:eastAsia="zh-CN"/>
        </w:rPr>
        <w:t>3</w:t>
      </w:r>
      <w:r>
        <w:rPr>
          <w:rFonts w:hint="eastAsia"/>
          <w:highlight w:val="none"/>
        </w:rPr>
        <w:t>日</w:t>
      </w:r>
    </w:p>
    <w:p>
      <w:pPr>
        <w:pStyle w:val="76"/>
        <w:numPr>
          <w:ilvl w:val="0"/>
          <w:numId w:val="12"/>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答疑时间：20</w:t>
      </w:r>
      <w:r>
        <w:rPr>
          <w:rFonts w:hint="eastAsia" w:cs="Times New Roman"/>
          <w:highlight w:val="none"/>
          <w:lang w:val="en-US" w:eastAsia="zh-CN"/>
        </w:rPr>
        <w:t>26</w:t>
      </w:r>
      <w:r>
        <w:rPr>
          <w:rFonts w:hint="eastAsia" w:ascii="宋体" w:hAnsi="Courier New" w:eastAsia="宋体" w:cs="Times New Roman"/>
          <w:highlight w:val="none"/>
          <w:lang w:val="en-US" w:eastAsia="zh-CN"/>
        </w:rPr>
        <w:t>年</w:t>
      </w:r>
      <w:r>
        <w:rPr>
          <w:rFonts w:hint="eastAsia" w:cs="Times New Roman"/>
          <w:highlight w:val="none"/>
          <w:lang w:val="en-US" w:eastAsia="zh-CN"/>
        </w:rPr>
        <w:t>2</w:t>
      </w:r>
      <w:r>
        <w:rPr>
          <w:rFonts w:hint="eastAsia" w:ascii="宋体" w:hAnsi="Courier New" w:eastAsia="宋体" w:cs="Times New Roman"/>
          <w:highlight w:val="none"/>
          <w:lang w:val="en-US" w:eastAsia="zh-CN"/>
        </w:rPr>
        <w:t>月</w:t>
      </w:r>
      <w:r>
        <w:rPr>
          <w:rFonts w:hint="eastAsia" w:cs="Times New Roman"/>
          <w:highlight w:val="none"/>
          <w:lang w:val="en-US" w:eastAsia="zh-CN"/>
        </w:rPr>
        <w:t>28</w:t>
      </w:r>
      <w:r>
        <w:rPr>
          <w:rFonts w:hint="eastAsia" w:ascii="宋体" w:hAnsi="Courier New" w:eastAsia="宋体" w:cs="Times New Roman"/>
          <w:highlight w:val="none"/>
          <w:lang w:val="en-US" w:eastAsia="zh-CN"/>
        </w:rPr>
        <w:t>日前</w:t>
      </w:r>
    </w:p>
    <w:p>
      <w:pPr>
        <w:pStyle w:val="76"/>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jc w:val="both"/>
        <w:textAlignment w:val="auto"/>
        <w:rPr>
          <w:rFonts w:hint="eastAsia" w:cs="Times New Roman"/>
          <w:highlight w:val="none"/>
          <w:lang w:val="en-US" w:eastAsia="zh-CN"/>
        </w:rPr>
      </w:pPr>
      <w:r>
        <w:rPr>
          <w:rFonts w:hint="eastAsia" w:cs="Times New Roman"/>
          <w:highlight w:val="none"/>
          <w:lang w:val="en-US" w:eastAsia="zh-CN"/>
        </w:rPr>
        <w:t>提交疑问</w:t>
      </w:r>
      <w:r>
        <w:rPr>
          <w:rFonts w:hint="eastAsia" w:ascii="宋体" w:hAnsi="Courier New" w:eastAsia="宋体" w:cs="Times New Roman"/>
          <w:highlight w:val="none"/>
          <w:lang w:val="en-US" w:eastAsia="zh-CN"/>
        </w:rPr>
        <w:t>方式</w:t>
      </w:r>
      <w:r>
        <w:rPr>
          <w:rFonts w:hint="eastAsia" w:cs="Times New Roman"/>
          <w:highlight w:val="none"/>
          <w:lang w:val="en-US" w:eastAsia="zh-CN"/>
        </w:rPr>
        <w:t>：将答疑问题以word文件格式发送至联系人邮件内，并电话联系工作人员查收，</w:t>
      </w:r>
      <w:r>
        <w:rPr>
          <w:rFonts w:hint="eastAsia" w:cs="Times New Roman"/>
          <w:b/>
          <w:bCs/>
          <w:highlight w:val="none"/>
          <w:lang w:val="en-US" w:eastAsia="zh-CN"/>
        </w:rPr>
        <w:t>邮件名格式为：XXX公司（五个字以内公司简称）XX项目答疑文件。同时必须在邮件中以文字方式提供投标人全称、投标授权人姓名、联系方式（固定电话、手机、电子邮箱），并提供附件2法定代表人授权委托书。</w:t>
      </w:r>
    </w:p>
    <w:p>
      <w:pPr>
        <w:pStyle w:val="76"/>
        <w:numPr>
          <w:ilvl w:val="0"/>
          <w:numId w:val="12"/>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领取答疑、澄清和修改文件时间：20</w:t>
      </w:r>
      <w:r>
        <w:rPr>
          <w:rFonts w:hint="eastAsia" w:cs="Times New Roman"/>
          <w:highlight w:val="none"/>
          <w:lang w:val="en-US" w:eastAsia="zh-CN"/>
        </w:rPr>
        <w:t>26</w:t>
      </w:r>
      <w:r>
        <w:rPr>
          <w:rFonts w:hint="eastAsia" w:ascii="宋体" w:hAnsi="Courier New" w:eastAsia="宋体" w:cs="Times New Roman"/>
          <w:highlight w:val="none"/>
          <w:lang w:val="en-US" w:eastAsia="zh-CN"/>
        </w:rPr>
        <w:t>年</w:t>
      </w:r>
      <w:r>
        <w:rPr>
          <w:rFonts w:hint="eastAsia" w:cs="Times New Roman"/>
          <w:highlight w:val="none"/>
          <w:lang w:val="en-US" w:eastAsia="zh-CN"/>
        </w:rPr>
        <w:t>2</w:t>
      </w:r>
      <w:r>
        <w:rPr>
          <w:rFonts w:hint="eastAsia" w:ascii="宋体" w:hAnsi="Courier New" w:eastAsia="宋体" w:cs="Times New Roman"/>
          <w:highlight w:val="none"/>
          <w:lang w:val="en-US" w:eastAsia="zh-CN"/>
        </w:rPr>
        <w:t>月</w:t>
      </w:r>
      <w:r>
        <w:rPr>
          <w:rFonts w:hint="eastAsia" w:cs="Times New Roman"/>
          <w:highlight w:val="none"/>
          <w:lang w:val="en-US" w:eastAsia="zh-CN"/>
        </w:rPr>
        <w:t>28</w:t>
      </w:r>
      <w:r>
        <w:rPr>
          <w:rFonts w:hint="eastAsia" w:ascii="宋体" w:hAnsi="Courier New" w:eastAsia="宋体" w:cs="Times New Roman"/>
          <w:highlight w:val="none"/>
          <w:lang w:val="en-US" w:eastAsia="zh-CN"/>
        </w:rPr>
        <w:t>日</w:t>
      </w:r>
      <w:r>
        <w:rPr>
          <w:rFonts w:hint="eastAsia" w:hAnsi="宋体" w:cs="宋体"/>
          <w:bCs/>
          <w:szCs w:val="21"/>
          <w:highlight w:val="none"/>
        </w:rPr>
        <w:t>17:00:00</w:t>
      </w:r>
      <w:r>
        <w:rPr>
          <w:rFonts w:hint="eastAsia"/>
          <w:highlight w:val="none"/>
        </w:rPr>
        <w:t>前</w:t>
      </w:r>
      <w:r>
        <w:rPr>
          <w:rFonts w:hint="eastAsia" w:ascii="宋体" w:hAnsi="Courier New" w:eastAsia="宋体" w:cs="Times New Roman"/>
          <w:highlight w:val="none"/>
          <w:lang w:val="en-US" w:eastAsia="zh-CN"/>
        </w:rPr>
        <w:t>：</w:t>
      </w:r>
    </w:p>
    <w:p>
      <w:pPr>
        <w:pStyle w:val="76"/>
        <w:keepNext w:val="0"/>
        <w:keepLines w:val="0"/>
        <w:pageBreakBefore w:val="0"/>
        <w:widowControl w:val="0"/>
        <w:numPr>
          <w:ilvl w:val="0"/>
          <w:numId w:val="12"/>
        </w:numPr>
        <w:kinsoku/>
        <w:wordWrap/>
        <w:overflowPunct/>
        <w:topLinePunct w:val="0"/>
        <w:autoSpaceDE/>
        <w:autoSpaceDN/>
        <w:bidi w:val="0"/>
        <w:adjustRightInd/>
        <w:snapToGrid/>
        <w:ind w:left="0" w:leftChars="0" w:firstLine="0" w:firstLineChars="0"/>
        <w:jc w:val="both"/>
        <w:textAlignment w:val="auto"/>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答疑、澄清和修改文件方式：招标人将以电子邮件的方式将招标文件的答疑澄清文件发送至答疑文件提交时登记的电子邮箱。</w:t>
      </w:r>
    </w:p>
    <w:p>
      <w:pPr>
        <w:pStyle w:val="76"/>
        <w:numPr>
          <w:ilvl w:val="0"/>
          <w:numId w:val="12"/>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报名方式</w:t>
      </w:r>
      <w:r>
        <w:rPr>
          <w:rFonts w:hint="eastAsia" w:cs="Times New Roman"/>
          <w:highlight w:val="none"/>
          <w:lang w:val="en-US" w:eastAsia="zh-CN"/>
        </w:rPr>
        <w:t>：</w:t>
      </w:r>
      <w:r>
        <w:rPr>
          <w:rFonts w:hint="eastAsia"/>
          <w:highlight w:val="none"/>
        </w:rPr>
        <w:t>在“中国重汽e采通”平台报名</w:t>
      </w:r>
    </w:p>
    <w:p>
      <w:pPr>
        <w:pStyle w:val="76"/>
        <w:numPr>
          <w:ilvl w:val="0"/>
          <w:numId w:val="12"/>
        </w:numPr>
        <w:ind w:left="425" w:leftChars="0" w:hanging="425" w:firstLineChars="0"/>
        <w:jc w:val="both"/>
        <w:rPr>
          <w:rFonts w:hint="eastAsia" w:ascii="宋体" w:hAnsi="Courier New" w:eastAsia="宋体" w:cs="Times New Roman"/>
          <w:highlight w:val="none"/>
          <w:lang w:val="en-US" w:eastAsia="zh-CN"/>
        </w:rPr>
      </w:pPr>
      <w:r>
        <w:rPr>
          <w:rFonts w:hint="eastAsia" w:ascii="宋体" w:hAnsi="Courier New" w:eastAsia="宋体" w:cs="Times New Roman"/>
          <w:highlight w:val="none"/>
          <w:lang w:val="en-US" w:eastAsia="zh-CN"/>
        </w:rPr>
        <w:t>应标截止时间</w:t>
      </w:r>
      <w:r>
        <w:rPr>
          <w:rFonts w:hint="eastAsia"/>
          <w:highlight w:val="none"/>
        </w:rPr>
        <w:t>202</w:t>
      </w:r>
      <w:r>
        <w:rPr>
          <w:rFonts w:hint="eastAsia"/>
          <w:highlight w:val="none"/>
          <w:lang w:val="en-US" w:eastAsia="zh-CN"/>
        </w:rPr>
        <w:t>6</w:t>
      </w:r>
      <w:r>
        <w:rPr>
          <w:rFonts w:hint="eastAsia"/>
          <w:highlight w:val="none"/>
        </w:rPr>
        <w:t>年</w:t>
      </w:r>
      <w:r>
        <w:rPr>
          <w:rFonts w:hint="eastAsia"/>
          <w:highlight w:val="none"/>
          <w:lang w:val="en-US" w:eastAsia="zh-CN"/>
        </w:rPr>
        <w:t>3</w:t>
      </w:r>
      <w:r>
        <w:rPr>
          <w:rFonts w:hint="eastAsia"/>
          <w:highlight w:val="none"/>
        </w:rPr>
        <w:t>月</w:t>
      </w:r>
      <w:r>
        <w:rPr>
          <w:rFonts w:hint="eastAsia"/>
          <w:highlight w:val="none"/>
          <w:lang w:val="en-US" w:eastAsia="zh-CN"/>
        </w:rPr>
        <w:t>3</w:t>
      </w:r>
      <w:r>
        <w:rPr>
          <w:rFonts w:hint="eastAsia"/>
          <w:highlight w:val="none"/>
        </w:rPr>
        <w:t>日</w:t>
      </w:r>
      <w:r>
        <w:rPr>
          <w:rFonts w:hint="eastAsia" w:hAnsi="宋体" w:cs="宋体"/>
          <w:bCs/>
          <w:sz w:val="24"/>
          <w:szCs w:val="24"/>
          <w:highlight w:val="none"/>
        </w:rPr>
        <w:t>17:00:00</w:t>
      </w:r>
      <w:r>
        <w:rPr>
          <w:rFonts w:hint="eastAsia" w:cs="宋体"/>
          <w:bCs/>
          <w:highlight w:val="none"/>
        </w:rPr>
        <w:t>前</w:t>
      </w:r>
    </w:p>
    <w:p>
      <w:pPr>
        <w:pStyle w:val="72"/>
        <w:rPr>
          <w:rFonts w:hint="eastAsia" w:ascii="宋体" w:hAnsi="Courier New" w:eastAsia="宋体" w:cs="Times New Roman"/>
          <w:highlight w:val="none"/>
          <w:lang w:val="en-US" w:eastAsia="zh-CN"/>
        </w:rPr>
      </w:pPr>
      <w:r>
        <w:rPr>
          <w:rFonts w:hint="eastAsia" w:hAnsi="Courier New" w:cs="Times New Roman"/>
          <w:highlight w:val="none"/>
        </w:rPr>
        <w:t>投标文件</w:t>
      </w:r>
      <w:r>
        <w:rPr>
          <w:rFonts w:hint="eastAsia" w:cs="Times New Roman"/>
          <w:highlight w:val="none"/>
          <w:lang w:val="en-US" w:eastAsia="zh-CN"/>
        </w:rPr>
        <w:t>编制</w:t>
      </w:r>
    </w:p>
    <w:p>
      <w:pPr>
        <w:pStyle w:val="73"/>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b w:val="0"/>
          <w:highlight w:val="none"/>
        </w:rPr>
      </w:pPr>
      <w:r>
        <w:rPr>
          <w:rFonts w:hint="eastAsia"/>
          <w:b w:val="0"/>
          <w:highlight w:val="none"/>
          <w:lang w:val="en-US" w:eastAsia="zh-CN"/>
        </w:rPr>
        <w:t>投标文件的组成</w:t>
      </w:r>
    </w:p>
    <w:p>
      <w:pPr>
        <w:pStyle w:val="73"/>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Courier New" w:eastAsia="宋体" w:cs="Times New Roman"/>
          <w:b w:val="0"/>
          <w:bCs/>
          <w:highlight w:val="none"/>
          <w:lang w:val="en-US" w:eastAsia="zh-CN"/>
        </w:rPr>
      </w:pPr>
      <w:r>
        <w:rPr>
          <w:rFonts w:hint="eastAsia" w:ascii="宋体" w:hAnsi="Courier New" w:eastAsia="宋体" w:cs="Times New Roman"/>
          <w:b w:val="0"/>
          <w:bCs/>
          <w:highlight w:val="none"/>
          <w:lang w:val="en-US" w:eastAsia="zh-CN"/>
        </w:rPr>
        <w:t>投标人编写的投标文件由《投标文件（资质标）》、《投标文件（技术标）》(若有）、《投标文件（商务标）》（开标一览表）文件组成，共计</w:t>
      </w:r>
      <w:bookmarkStart w:id="81" w:name="_GoBack"/>
      <w:r>
        <w:rPr>
          <w:rFonts w:hint="eastAsia" w:cs="Times New Roman"/>
          <w:b w:val="0"/>
          <w:bCs/>
          <w:highlight w:val="none"/>
          <w:u w:val="single"/>
          <w:lang w:val="en-US" w:eastAsia="zh-CN"/>
        </w:rPr>
        <w:t>3</w:t>
      </w:r>
      <w:bookmarkEnd w:id="81"/>
      <w:r>
        <w:rPr>
          <w:rFonts w:hint="eastAsia" w:ascii="宋体" w:hAnsi="Courier New" w:eastAsia="宋体" w:cs="Times New Roman"/>
          <w:b w:val="0"/>
          <w:bCs/>
          <w:highlight w:val="none"/>
          <w:lang w:val="en-US" w:eastAsia="zh-CN"/>
        </w:rPr>
        <w:t>个文件。</w:t>
      </w:r>
    </w:p>
    <w:p>
      <w:pPr>
        <w:pStyle w:val="74"/>
        <w:numPr>
          <w:ilvl w:val="0"/>
          <w:numId w:val="14"/>
        </w:numPr>
        <w:ind w:left="425" w:leftChars="0" w:hanging="425" w:firstLineChars="0"/>
        <w:rPr>
          <w:b w:val="0"/>
          <w:bCs/>
          <w:highlight w:val="none"/>
        </w:rPr>
      </w:pPr>
      <w:r>
        <w:rPr>
          <w:rFonts w:hint="eastAsia"/>
          <w:b w:val="0"/>
          <w:bCs/>
          <w:highlight w:val="none"/>
        </w:rPr>
        <w:t>资质文件：</w:t>
      </w:r>
    </w:p>
    <w:p>
      <w:pPr>
        <w:pStyle w:val="75"/>
        <w:numPr>
          <w:ilvl w:val="0"/>
          <w:numId w:val="15"/>
        </w:numPr>
        <w:ind w:left="425" w:leftChars="0" w:hanging="425" w:firstLineChars="0"/>
        <w:rPr>
          <w:b w:val="0"/>
          <w:bCs/>
          <w:highlight w:val="none"/>
        </w:rPr>
      </w:pPr>
      <w:r>
        <w:rPr>
          <w:rFonts w:hint="eastAsia"/>
          <w:b w:val="0"/>
          <w:bCs/>
          <w:highlight w:val="none"/>
        </w:rPr>
        <w:t>法定代表人身份证明；</w:t>
      </w:r>
    </w:p>
    <w:p>
      <w:pPr>
        <w:pStyle w:val="75"/>
        <w:numPr>
          <w:ilvl w:val="0"/>
          <w:numId w:val="15"/>
        </w:numPr>
        <w:ind w:left="425" w:leftChars="0" w:hanging="425" w:firstLineChars="0"/>
        <w:rPr>
          <w:b w:val="0"/>
          <w:bCs/>
          <w:highlight w:val="none"/>
        </w:rPr>
      </w:pPr>
      <w:r>
        <w:rPr>
          <w:rFonts w:hint="eastAsia"/>
          <w:b w:val="0"/>
          <w:bCs/>
          <w:highlight w:val="none"/>
        </w:rPr>
        <w:t>法定代表人授权委托书（授权人需带身份证原件）；</w:t>
      </w:r>
    </w:p>
    <w:p>
      <w:pPr>
        <w:pStyle w:val="75"/>
        <w:numPr>
          <w:ilvl w:val="0"/>
          <w:numId w:val="15"/>
        </w:numPr>
        <w:ind w:left="425" w:leftChars="0" w:hanging="425" w:firstLineChars="0"/>
        <w:rPr>
          <w:b w:val="0"/>
          <w:bCs/>
          <w:highlight w:val="none"/>
        </w:rPr>
      </w:pPr>
      <w:r>
        <w:rPr>
          <w:rFonts w:hint="eastAsia"/>
          <w:b w:val="0"/>
          <w:bCs/>
          <w:highlight w:val="none"/>
        </w:rPr>
        <w:t>营业执照副本原件</w:t>
      </w:r>
      <w:r>
        <w:rPr>
          <w:rFonts w:hint="eastAsia"/>
          <w:b w:val="0"/>
          <w:bCs/>
          <w:highlight w:val="none"/>
          <w:lang w:val="en-US" w:eastAsia="zh-CN"/>
        </w:rPr>
        <w:t>或复印件并加盖公章</w:t>
      </w:r>
      <w:r>
        <w:rPr>
          <w:rFonts w:hint="eastAsia"/>
          <w:b w:val="0"/>
          <w:bCs/>
          <w:highlight w:val="none"/>
        </w:rPr>
        <w:t>；</w:t>
      </w:r>
    </w:p>
    <w:p>
      <w:pPr>
        <w:pStyle w:val="75"/>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投标人应具有相应生产证明，若</w:t>
      </w:r>
      <w:r>
        <w:rPr>
          <w:rFonts w:hint="eastAsia"/>
          <w:b w:val="0"/>
          <w:bCs/>
          <w:highlight w:val="none"/>
          <w:lang w:val="en-US" w:eastAsia="zh-CN"/>
        </w:rPr>
        <w:t>非原厂商</w:t>
      </w:r>
      <w:r>
        <w:rPr>
          <w:rFonts w:hint="eastAsia"/>
          <w:b w:val="0"/>
          <w:bCs/>
          <w:highlight w:val="none"/>
        </w:rPr>
        <w:t>需提供</w:t>
      </w:r>
      <w:r>
        <w:rPr>
          <w:rFonts w:hint="eastAsia"/>
          <w:b w:val="0"/>
          <w:bCs/>
          <w:highlight w:val="none"/>
          <w:lang w:val="en-US" w:eastAsia="zh-CN"/>
        </w:rPr>
        <w:t>原厂商</w:t>
      </w:r>
      <w:r>
        <w:rPr>
          <w:rFonts w:hint="eastAsia"/>
          <w:b w:val="0"/>
          <w:bCs/>
          <w:highlight w:val="none"/>
        </w:rPr>
        <w:t>授权书（原件或加盖投标单位公章的彩色打印件）；</w:t>
      </w:r>
    </w:p>
    <w:p>
      <w:pPr>
        <w:pStyle w:val="75"/>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b w:val="0"/>
          <w:bCs/>
          <w:highlight w:val="none"/>
        </w:rPr>
        <w:t>证明投标人满足投标资料表中列出的业绩要求的文件</w:t>
      </w:r>
      <w:r>
        <w:rPr>
          <w:rFonts w:hint="eastAsia"/>
          <w:b w:val="0"/>
          <w:bCs/>
          <w:highlight w:val="none"/>
          <w:lang w:eastAsia="zh-CN"/>
        </w:rPr>
        <w:t>；</w:t>
      </w:r>
    </w:p>
    <w:p>
      <w:pPr>
        <w:pStyle w:val="75"/>
        <w:keepNext w:val="0"/>
        <w:keepLines w:val="0"/>
        <w:pageBreakBefore w:val="0"/>
        <w:widowControl w:val="0"/>
        <w:numPr>
          <w:ilvl w:val="0"/>
          <w:numId w:val="15"/>
        </w:numPr>
        <w:kinsoku/>
        <w:wordWrap/>
        <w:overflowPunct/>
        <w:topLinePunct w:val="0"/>
        <w:autoSpaceDE/>
        <w:autoSpaceDN/>
        <w:bidi w:val="0"/>
        <w:adjustRightInd/>
        <w:snapToGrid/>
        <w:ind w:left="0" w:leftChars="0" w:firstLine="0" w:firstLineChars="0"/>
        <w:textAlignment w:val="auto"/>
        <w:rPr>
          <w:b w:val="0"/>
          <w:bCs/>
          <w:highlight w:val="none"/>
        </w:rPr>
      </w:pPr>
      <w:r>
        <w:rPr>
          <w:rFonts w:hint="eastAsia" w:hAnsi="Courier New"/>
          <w:b w:val="0"/>
          <w:bCs/>
          <w:highlight w:val="none"/>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pPr>
        <w:pStyle w:val="75"/>
        <w:numPr>
          <w:ilvl w:val="0"/>
          <w:numId w:val="15"/>
        </w:numPr>
        <w:ind w:left="425" w:leftChars="0" w:hanging="425" w:firstLineChars="0"/>
        <w:rPr>
          <w:rFonts w:hint="eastAsia" w:hAnsi="Courier New"/>
          <w:b w:val="0"/>
          <w:bCs/>
          <w:highlight w:val="none"/>
        </w:rPr>
      </w:pPr>
      <w:r>
        <w:rPr>
          <w:rFonts w:hint="eastAsia" w:hAnsi="Courier New"/>
          <w:b w:val="0"/>
          <w:bCs/>
          <w:highlight w:val="none"/>
        </w:rPr>
        <w:t>企业最近半年完税证明、信用证明材料（征信报告）；</w:t>
      </w:r>
    </w:p>
    <w:p>
      <w:pPr>
        <w:pStyle w:val="75"/>
        <w:numPr>
          <w:ilvl w:val="0"/>
          <w:numId w:val="15"/>
        </w:numPr>
        <w:ind w:left="425" w:leftChars="0" w:hanging="425" w:firstLineChars="0"/>
        <w:rPr>
          <w:rFonts w:hint="eastAsia" w:hAnsi="Courier New"/>
          <w:b w:val="0"/>
          <w:bCs/>
          <w:highlight w:val="none"/>
        </w:rPr>
      </w:pPr>
      <w:r>
        <w:rPr>
          <w:rFonts w:hint="eastAsia" w:hAnsi="Courier New"/>
          <w:b w:val="0"/>
          <w:bCs/>
          <w:highlight w:val="none"/>
        </w:rPr>
        <w:t>年度纳税信用评价信息（可从电子税务局查询截图，需加盖公章）；</w:t>
      </w:r>
    </w:p>
    <w:p>
      <w:pPr>
        <w:pStyle w:val="75"/>
        <w:numPr>
          <w:ilvl w:val="0"/>
          <w:numId w:val="15"/>
        </w:numPr>
        <w:ind w:left="425" w:leftChars="0" w:hanging="425" w:firstLineChars="0"/>
        <w:rPr>
          <w:rFonts w:hint="eastAsia" w:hAnsi="Courier New"/>
          <w:b w:val="0"/>
          <w:bCs/>
          <w:highlight w:val="none"/>
        </w:rPr>
      </w:pPr>
      <w:r>
        <w:rPr>
          <w:rFonts w:hint="eastAsia" w:hAnsi="Courier New"/>
          <w:b w:val="0"/>
          <w:bCs/>
          <w:highlight w:val="none"/>
        </w:rPr>
        <w:t>企业对外担保说明（写明贵单位对外有无对外担保和质押业务，需加盖公章）。</w:t>
      </w:r>
    </w:p>
    <w:p>
      <w:pPr>
        <w:pStyle w:val="75"/>
        <w:numPr>
          <w:ilvl w:val="0"/>
          <w:numId w:val="15"/>
        </w:numPr>
        <w:ind w:left="425" w:leftChars="0" w:hanging="425" w:firstLineChars="0"/>
        <w:rPr>
          <w:b w:val="0"/>
          <w:bCs/>
          <w:highlight w:val="none"/>
        </w:rPr>
      </w:pPr>
      <w:r>
        <w:rPr>
          <w:rFonts w:hint="eastAsia"/>
          <w:b w:val="0"/>
          <w:bCs/>
          <w:highlight w:val="none"/>
        </w:rPr>
        <w:t>信用中国截图或国家企业信用信息公示系统截图；</w:t>
      </w:r>
    </w:p>
    <w:p>
      <w:pPr>
        <w:pStyle w:val="75"/>
        <w:numPr>
          <w:ilvl w:val="0"/>
          <w:numId w:val="15"/>
        </w:numPr>
        <w:ind w:left="425" w:leftChars="0" w:hanging="425" w:firstLineChars="0"/>
        <w:rPr>
          <w:b w:val="0"/>
          <w:bCs/>
          <w:highlight w:val="none"/>
        </w:rPr>
      </w:pPr>
      <w:r>
        <w:rPr>
          <w:rFonts w:hint="eastAsia" w:ascii="宋体" w:hAnsi="宋体" w:cs="宋体"/>
          <w:kern w:val="2"/>
          <w:sz w:val="21"/>
          <w:szCs w:val="21"/>
          <w:highlight w:val="none"/>
          <w:lang w:bidi="ar"/>
        </w:rPr>
        <w:t>投标保证金银行转账凭证</w:t>
      </w:r>
      <w:r>
        <w:rPr>
          <w:rFonts w:hint="eastAsia" w:ascii="宋体" w:hAnsi="宋体" w:cs="宋体"/>
          <w:kern w:val="2"/>
          <w:sz w:val="21"/>
          <w:szCs w:val="21"/>
          <w:highlight w:val="none"/>
          <w:lang w:eastAsia="zh-CN" w:bidi="ar"/>
        </w:rPr>
        <w:t>；</w:t>
      </w:r>
    </w:p>
    <w:p>
      <w:pPr>
        <w:pStyle w:val="75"/>
        <w:numPr>
          <w:ilvl w:val="0"/>
          <w:numId w:val="15"/>
        </w:numPr>
        <w:ind w:left="425" w:leftChars="0" w:hanging="425" w:firstLineChars="0"/>
        <w:rPr>
          <w:b w:val="0"/>
          <w:bCs/>
          <w:highlight w:val="none"/>
        </w:rPr>
      </w:pPr>
      <w:r>
        <w:rPr>
          <w:rFonts w:hint="eastAsia"/>
          <w:b w:val="0"/>
          <w:bCs/>
          <w:highlight w:val="none"/>
        </w:rPr>
        <w:t>招标文件中要求的其它资格证明文件。</w:t>
      </w:r>
    </w:p>
    <w:p>
      <w:pPr>
        <w:pStyle w:val="75"/>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b w:val="0"/>
          <w:bCs/>
          <w:highlight w:val="none"/>
        </w:rPr>
      </w:pPr>
      <w:r>
        <w:rPr>
          <w:rFonts w:hint="eastAsia"/>
          <w:b w:val="0"/>
          <w:bCs/>
          <w:highlight w:val="none"/>
        </w:rPr>
        <w:t>对于投标人资质审核不通过的，招标人有权拒绝其投标。</w:t>
      </w:r>
    </w:p>
    <w:p>
      <w:pPr>
        <w:pStyle w:val="74"/>
        <w:numPr>
          <w:ilvl w:val="0"/>
          <w:numId w:val="14"/>
        </w:numPr>
        <w:ind w:left="425" w:leftChars="0" w:hanging="425" w:firstLineChars="0"/>
        <w:rPr>
          <w:rFonts w:hint="eastAsia" w:cs="Times New Roman"/>
          <w:b w:val="0"/>
          <w:bCs/>
          <w:highlight w:val="none"/>
        </w:rPr>
      </w:pPr>
      <w:r>
        <w:rPr>
          <w:rFonts w:hint="eastAsia" w:cs="Times New Roman"/>
          <w:b w:val="0"/>
          <w:bCs/>
          <w:highlight w:val="none"/>
        </w:rPr>
        <w:t>技术标：</w:t>
      </w:r>
    </w:p>
    <w:p>
      <w:pPr>
        <w:pStyle w:val="75"/>
        <w:numPr>
          <w:ilvl w:val="0"/>
          <w:numId w:val="17"/>
        </w:numPr>
        <w:ind w:left="425" w:leftChars="0" w:hanging="425" w:firstLineChars="0"/>
        <w:rPr>
          <w:b w:val="0"/>
          <w:bCs/>
          <w:highlight w:val="none"/>
        </w:rPr>
      </w:pPr>
      <w:r>
        <w:rPr>
          <w:rFonts w:hint="eastAsia"/>
          <w:b w:val="0"/>
          <w:bCs/>
          <w:highlight w:val="none"/>
        </w:rPr>
        <w:t>技术配置对比表。</w:t>
      </w:r>
    </w:p>
    <w:p>
      <w:pPr>
        <w:pStyle w:val="75"/>
        <w:numPr>
          <w:ilvl w:val="0"/>
          <w:numId w:val="17"/>
        </w:numPr>
        <w:ind w:left="425" w:leftChars="0" w:hanging="425" w:firstLineChars="0"/>
        <w:rPr>
          <w:b w:val="0"/>
          <w:bCs/>
          <w:highlight w:val="none"/>
        </w:rPr>
      </w:pPr>
      <w:r>
        <w:rPr>
          <w:rFonts w:hint="eastAsia"/>
          <w:b w:val="0"/>
          <w:bCs/>
          <w:highlight w:val="none"/>
        </w:rPr>
        <w:t>投标设备配置明细表；</w:t>
      </w:r>
    </w:p>
    <w:p>
      <w:pPr>
        <w:pStyle w:val="75"/>
        <w:numPr>
          <w:ilvl w:val="0"/>
          <w:numId w:val="17"/>
        </w:numPr>
        <w:ind w:left="425" w:leftChars="0" w:hanging="425" w:firstLineChars="0"/>
        <w:rPr>
          <w:b w:val="0"/>
          <w:bCs/>
          <w:highlight w:val="none"/>
        </w:rPr>
      </w:pPr>
      <w:r>
        <w:rPr>
          <w:rFonts w:hint="eastAsia"/>
          <w:b w:val="0"/>
          <w:bCs/>
          <w:highlight w:val="none"/>
        </w:rPr>
        <w:t>技术规格偏离表；</w:t>
      </w:r>
    </w:p>
    <w:p>
      <w:pPr>
        <w:pStyle w:val="75"/>
        <w:numPr>
          <w:ilvl w:val="0"/>
          <w:numId w:val="17"/>
        </w:numPr>
        <w:ind w:left="425" w:leftChars="0" w:hanging="425" w:firstLineChars="0"/>
        <w:rPr>
          <w:b w:val="0"/>
          <w:bCs/>
          <w:highlight w:val="none"/>
        </w:rPr>
      </w:pPr>
      <w:r>
        <w:rPr>
          <w:rFonts w:hint="eastAsia"/>
          <w:b w:val="0"/>
          <w:bCs/>
          <w:highlight w:val="none"/>
        </w:rPr>
        <w:t>技术性能、参数的描述；</w:t>
      </w:r>
      <w:r>
        <w:rPr>
          <w:b w:val="0"/>
          <w:bCs/>
          <w:highlight w:val="none"/>
        </w:rPr>
        <w:t xml:space="preserve"> </w:t>
      </w:r>
    </w:p>
    <w:p>
      <w:pPr>
        <w:pStyle w:val="75"/>
        <w:numPr>
          <w:ilvl w:val="0"/>
          <w:numId w:val="17"/>
        </w:numPr>
        <w:ind w:left="425" w:leftChars="0" w:hanging="425" w:firstLineChars="0"/>
        <w:rPr>
          <w:b w:val="0"/>
          <w:bCs/>
          <w:highlight w:val="none"/>
        </w:rPr>
      </w:pPr>
      <w:r>
        <w:rPr>
          <w:rFonts w:hint="eastAsia"/>
          <w:b w:val="0"/>
          <w:bCs/>
          <w:highlight w:val="none"/>
        </w:rPr>
        <w:t>备品备件工具材料明细表；</w:t>
      </w:r>
      <w:r>
        <w:rPr>
          <w:b w:val="0"/>
          <w:bCs/>
          <w:highlight w:val="none"/>
        </w:rPr>
        <w:t xml:space="preserve"> </w:t>
      </w:r>
    </w:p>
    <w:p>
      <w:pPr>
        <w:pStyle w:val="74"/>
        <w:numPr>
          <w:ilvl w:val="0"/>
          <w:numId w:val="14"/>
        </w:numPr>
        <w:ind w:left="425" w:leftChars="0" w:hanging="425" w:firstLineChars="0"/>
        <w:rPr>
          <w:rFonts w:hint="eastAsia" w:cs="Times New Roman"/>
          <w:b w:val="0"/>
          <w:bCs/>
          <w:highlight w:val="none"/>
        </w:rPr>
      </w:pPr>
      <w:r>
        <w:rPr>
          <w:rFonts w:hint="eastAsia" w:cs="Times New Roman"/>
          <w:b w:val="0"/>
          <w:bCs/>
          <w:highlight w:val="none"/>
        </w:rPr>
        <w:t>商务标：</w:t>
      </w:r>
    </w:p>
    <w:p>
      <w:pPr>
        <w:pStyle w:val="75"/>
        <w:keepNext w:val="0"/>
        <w:keepLines w:val="0"/>
        <w:pageBreakBefore w:val="0"/>
        <w:widowControl w:val="0"/>
        <w:numPr>
          <w:ilvl w:val="0"/>
          <w:numId w:val="18"/>
        </w:numPr>
        <w:kinsoku/>
        <w:wordWrap/>
        <w:overflowPunct/>
        <w:topLinePunct w:val="0"/>
        <w:autoSpaceDE/>
        <w:autoSpaceDN/>
        <w:bidi w:val="0"/>
        <w:adjustRightInd/>
        <w:snapToGrid/>
        <w:ind w:left="425" w:leftChars="0" w:hanging="425" w:firstLineChars="0"/>
        <w:textAlignment w:val="auto"/>
        <w:rPr>
          <w:b w:val="0"/>
          <w:bCs/>
          <w:highlight w:val="none"/>
        </w:rPr>
      </w:pPr>
      <w:r>
        <w:rPr>
          <w:rFonts w:hint="eastAsia"/>
          <w:b w:val="0"/>
          <w:bCs/>
          <w:highlight w:val="none"/>
          <w:lang w:val="en-US" w:eastAsia="zh-CN"/>
        </w:rPr>
        <w:t>开标一览表</w:t>
      </w:r>
    </w:p>
    <w:p>
      <w:pPr>
        <w:pStyle w:val="75"/>
        <w:numPr>
          <w:ilvl w:val="0"/>
          <w:numId w:val="18"/>
        </w:numPr>
        <w:ind w:left="425" w:leftChars="0" w:hanging="425" w:firstLineChars="0"/>
        <w:rPr>
          <w:b w:val="0"/>
          <w:bCs/>
          <w:highlight w:val="none"/>
        </w:rPr>
      </w:pPr>
      <w:r>
        <w:rPr>
          <w:rFonts w:hint="eastAsia"/>
          <w:b w:val="0"/>
          <w:bCs/>
          <w:highlight w:val="none"/>
        </w:rPr>
        <w:t>投标函（格式见附件）;</w:t>
      </w:r>
    </w:p>
    <w:p>
      <w:pPr>
        <w:pStyle w:val="75"/>
        <w:numPr>
          <w:ilvl w:val="0"/>
          <w:numId w:val="18"/>
        </w:numPr>
        <w:ind w:left="425" w:leftChars="0" w:hanging="425" w:firstLineChars="0"/>
        <w:rPr>
          <w:b w:val="0"/>
          <w:bCs/>
          <w:highlight w:val="none"/>
        </w:rPr>
      </w:pPr>
      <w:r>
        <w:rPr>
          <w:rFonts w:hint="eastAsia"/>
          <w:b w:val="0"/>
          <w:bCs/>
          <w:highlight w:val="none"/>
        </w:rPr>
        <w:t>商务条款偏离表；</w:t>
      </w:r>
    </w:p>
    <w:p>
      <w:pPr>
        <w:pStyle w:val="75"/>
        <w:numPr>
          <w:ilvl w:val="0"/>
          <w:numId w:val="18"/>
        </w:numPr>
        <w:ind w:left="425" w:leftChars="0" w:hanging="425" w:firstLineChars="0"/>
        <w:rPr>
          <w:b w:val="0"/>
          <w:bCs/>
          <w:highlight w:val="none"/>
        </w:rPr>
      </w:pPr>
      <w:r>
        <w:rPr>
          <w:rFonts w:hint="eastAsia"/>
          <w:b w:val="0"/>
          <w:bCs/>
          <w:highlight w:val="none"/>
        </w:rPr>
        <w:t>投标货物分项报价表；</w:t>
      </w:r>
    </w:p>
    <w:p>
      <w:pPr>
        <w:pStyle w:val="75"/>
        <w:numPr>
          <w:ilvl w:val="0"/>
          <w:numId w:val="18"/>
        </w:numPr>
        <w:ind w:left="425" w:leftChars="0" w:hanging="425" w:firstLineChars="0"/>
        <w:rPr>
          <w:rFonts w:hint="eastAsia" w:ascii="宋体" w:hAnsi="Courier New" w:eastAsia="宋体" w:cs="Times New Roman"/>
          <w:b w:val="0"/>
          <w:bCs/>
          <w:highlight w:val="none"/>
          <w:lang w:val="en-US" w:eastAsia="zh-CN"/>
        </w:rPr>
      </w:pPr>
      <w:r>
        <w:rPr>
          <w:rFonts w:hint="eastAsia"/>
          <w:b w:val="0"/>
          <w:bCs/>
          <w:highlight w:val="none"/>
        </w:rPr>
        <w:t>备配件目录价格及折扣报价表</w:t>
      </w:r>
    </w:p>
    <w:p>
      <w:pPr>
        <w:pStyle w:val="75"/>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default" w:cs="Times New Roman"/>
          <w:b w:val="0"/>
          <w:bCs/>
          <w:highlight w:val="none"/>
          <w:lang w:val="en-US" w:eastAsia="zh-CN"/>
        </w:rPr>
      </w:pPr>
      <w:r>
        <w:rPr>
          <w:rFonts w:hint="eastAsia" w:cs="Times New Roman"/>
          <w:b w:val="0"/>
          <w:bCs/>
          <w:highlight w:val="none"/>
          <w:lang w:val="en-US" w:eastAsia="zh-CN"/>
        </w:rPr>
        <w:t>商务报价注意内容：</w:t>
      </w:r>
      <w:r>
        <w:rPr>
          <w:rFonts w:hint="eastAsia" w:cs="Times New Roman"/>
          <w:b w:val="0"/>
          <w:bCs/>
          <w:highlight w:val="none"/>
        </w:rPr>
        <w:t>最高投标限价（招标控制价）：人民币</w:t>
      </w:r>
      <w:r>
        <w:rPr>
          <w:rFonts w:hint="eastAsia" w:cs="Times New Roman"/>
          <w:b w:val="0"/>
          <w:bCs/>
          <w:highlight w:val="none"/>
          <w:u w:val="single"/>
          <w:lang w:val="en-US" w:eastAsia="zh-CN"/>
        </w:rPr>
        <w:t>48.5</w:t>
      </w:r>
      <w:r>
        <w:rPr>
          <w:rFonts w:hint="eastAsia" w:cs="Times New Roman"/>
          <w:b w:val="0"/>
          <w:bCs/>
          <w:highlight w:val="none"/>
        </w:rPr>
        <w:t>万元（含</w:t>
      </w:r>
      <w:r>
        <w:rPr>
          <w:rFonts w:hint="eastAsia" w:cs="Times New Roman"/>
          <w:b w:val="0"/>
          <w:bCs/>
          <w:highlight w:val="none"/>
          <w:u w:val="single"/>
          <w:lang w:val="en-US" w:eastAsia="zh-CN"/>
        </w:rPr>
        <w:t>13</w:t>
      </w:r>
      <w:r>
        <w:rPr>
          <w:rFonts w:hint="eastAsia" w:cs="Times New Roman"/>
          <w:b w:val="0"/>
          <w:bCs/>
          <w:highlight w:val="none"/>
        </w:rPr>
        <w:t>%增值税），超过投标限价无法投标。</w:t>
      </w:r>
    </w:p>
    <w:p>
      <w:pPr>
        <w:pStyle w:val="73"/>
        <w:keepNext w:val="0"/>
        <w:keepLines w:val="0"/>
        <w:pageBreakBefore w:val="0"/>
        <w:widowControl w:val="0"/>
        <w:numPr>
          <w:ilvl w:val="0"/>
          <w:numId w:val="13"/>
        </w:numPr>
        <w:kinsoku/>
        <w:wordWrap/>
        <w:overflowPunct/>
        <w:topLinePunct w:val="0"/>
        <w:autoSpaceDE/>
        <w:autoSpaceDN/>
        <w:bidi w:val="0"/>
        <w:adjustRightInd/>
        <w:snapToGrid/>
        <w:ind w:left="0" w:leftChars="0" w:firstLine="0" w:firstLineChars="0"/>
        <w:textAlignment w:val="auto"/>
        <w:rPr>
          <w:rFonts w:hint="eastAsia" w:cs="Times New Roman"/>
          <w:b/>
          <w:bCs/>
          <w:highlight w:val="none"/>
          <w:lang w:val="en-US" w:eastAsia="zh-CN"/>
        </w:rPr>
      </w:pPr>
      <w:r>
        <w:rPr>
          <w:rFonts w:hint="eastAsia" w:cs="Times New Roman"/>
          <w:b/>
          <w:bCs/>
          <w:highlight w:val="none"/>
          <w:lang w:val="en-US" w:eastAsia="zh-CN"/>
        </w:rPr>
        <w:t>投标文件的投递</w:t>
      </w:r>
    </w:p>
    <w:p>
      <w:pPr>
        <w:pStyle w:val="75"/>
        <w:numPr>
          <w:ilvl w:val="0"/>
          <w:numId w:val="19"/>
        </w:numPr>
        <w:ind w:left="285" w:leftChars="0" w:hanging="285" w:hangingChars="136"/>
        <w:rPr>
          <w:rFonts w:hint="eastAsia"/>
          <w:bCs/>
          <w:highlight w:val="none"/>
        </w:rPr>
      </w:pPr>
      <w:r>
        <w:rPr>
          <w:rFonts w:hint="eastAsia" w:ascii="宋体" w:hAnsi="Courier New" w:eastAsia="宋体" w:cs="Times New Roman"/>
          <w:b w:val="0"/>
          <w:bCs/>
          <w:highlight w:val="none"/>
          <w:lang w:val="en-US" w:eastAsia="zh-CN"/>
        </w:rPr>
        <w:t>投标方式：</w:t>
      </w:r>
      <w:r>
        <w:rPr>
          <w:rFonts w:hint="eastAsia"/>
          <w:highlight w:val="none"/>
        </w:rPr>
        <w:t>在“中国重汽e采通”平台</w:t>
      </w:r>
      <w:r>
        <w:rPr>
          <w:rFonts w:hint="eastAsia"/>
          <w:bCs/>
          <w:highlight w:val="none"/>
        </w:rPr>
        <w:t>线上投标</w:t>
      </w:r>
      <w:r>
        <w:rPr>
          <w:rFonts w:hint="eastAsia"/>
          <w:bCs/>
          <w:highlight w:val="none"/>
          <w:lang w:eastAsia="zh-CN"/>
        </w:rPr>
        <w:t>；若逾期未在中国重汽e采通平台上传电子标书，即便递交了纸版投标文件，一律视为无效投标。</w:t>
      </w:r>
    </w:p>
    <w:p>
      <w:pPr>
        <w:pStyle w:val="75"/>
        <w:numPr>
          <w:ilvl w:val="0"/>
          <w:numId w:val="0"/>
        </w:numPr>
        <w:ind w:left="0" w:leftChars="0" w:firstLine="285" w:firstLineChars="136"/>
        <w:rPr>
          <w:rFonts w:hint="eastAsia"/>
          <w:bCs/>
          <w:highlight w:val="none"/>
          <w:lang w:val="en-US" w:eastAsia="zh-CN"/>
        </w:rPr>
      </w:pPr>
      <w:r>
        <w:rPr>
          <w:rFonts w:hint="eastAsia"/>
          <w:bCs/>
          <w:highlight w:val="none"/>
          <w:lang w:val="en-US" w:eastAsia="zh-CN"/>
        </w:rPr>
        <w:t>纸质版投标文件的份数要求为正本一份，副本四份，资质投标书、技术投标书及商务投标书的同类文件封装在一个包封里，包封表面按照附件13标注文件信息;共计三个包封。”</w:t>
      </w:r>
    </w:p>
    <w:p>
      <w:pPr>
        <w:pStyle w:val="75"/>
        <w:numPr>
          <w:ilvl w:val="0"/>
          <w:numId w:val="0"/>
        </w:numPr>
        <w:ind w:left="0" w:leftChars="0" w:firstLine="420" w:firstLineChars="200"/>
        <w:rPr>
          <w:rFonts w:hint="eastAsia"/>
          <w:bCs/>
          <w:highlight w:val="none"/>
          <w:lang w:val="en-US" w:eastAsia="zh-CN"/>
        </w:rPr>
      </w:pPr>
      <w:r>
        <w:rPr>
          <w:rFonts w:hint="eastAsia"/>
          <w:bCs/>
          <w:highlight w:val="none"/>
          <w:lang w:val="en-US" w:eastAsia="zh-CN"/>
        </w:rPr>
        <w:t>如选择到场参与开标，自行携带纸质投标文件于开标前至开标地点即可。</w:t>
      </w:r>
    </w:p>
    <w:p>
      <w:pPr>
        <w:pStyle w:val="75"/>
        <w:numPr>
          <w:ilvl w:val="0"/>
          <w:numId w:val="0"/>
        </w:numPr>
        <w:ind w:left="0" w:leftChars="0" w:firstLine="420" w:firstLineChars="200"/>
        <w:rPr>
          <w:rFonts w:hint="eastAsia"/>
          <w:bCs/>
          <w:highlight w:val="none"/>
          <w:lang w:val="en-US" w:eastAsia="zh-CN"/>
        </w:rPr>
      </w:pPr>
      <w:r>
        <w:rPr>
          <w:rFonts w:hint="eastAsia"/>
          <w:bCs/>
          <w:highlight w:val="none"/>
          <w:lang w:val="en-US" w:eastAsia="zh-CN"/>
        </w:rPr>
        <w:t>如选择线上参与开标，纸质投标文件需在开标日前两天，邮寄到指定地址。</w:t>
      </w:r>
    </w:p>
    <w:p>
      <w:pPr>
        <w:pStyle w:val="72"/>
        <w:keepNext w:val="0"/>
        <w:keepLines w:val="0"/>
        <w:pageBreakBefore w:val="0"/>
        <w:widowControl w:val="0"/>
        <w:numPr>
          <w:ilvl w:val="0"/>
          <w:numId w:val="0"/>
        </w:numPr>
        <w:kinsoku/>
        <w:wordWrap/>
        <w:overflowPunct/>
        <w:topLinePunct w:val="0"/>
        <w:autoSpaceDE/>
        <w:autoSpaceDN/>
        <w:bidi w:val="0"/>
        <w:adjustRightInd/>
        <w:snapToGrid/>
        <w:ind w:leftChars="0"/>
        <w:textAlignment w:val="auto"/>
        <w:rPr>
          <w:rFonts w:hint="eastAsia" w:ascii="宋体" w:hAnsi="Courier New" w:eastAsia="宋体" w:cs="Times New Roman"/>
          <w:b w:val="0"/>
          <w:bCs/>
          <w:highlight w:val="none"/>
        </w:rPr>
      </w:pPr>
      <w:r>
        <w:rPr>
          <w:rFonts w:hint="eastAsia" w:ascii="宋体" w:eastAsia="宋体" w:cs="Times New Roman"/>
          <w:b w:val="0"/>
          <w:bCs w:val="0"/>
          <w:kern w:val="2"/>
          <w:sz w:val="21"/>
          <w:highlight w:val="none"/>
          <w:lang w:val="en-US" w:eastAsia="zh-CN" w:bidi="ar-SA"/>
        </w:rPr>
        <w:t>2.</w:t>
      </w:r>
      <w:r>
        <w:rPr>
          <w:rFonts w:hint="eastAsia" w:ascii="宋体" w:hAnsi="Courier New" w:eastAsia="宋体" w:cs="Times New Roman"/>
          <w:b w:val="0"/>
          <w:bCs w:val="0"/>
          <w:kern w:val="2"/>
          <w:sz w:val="21"/>
          <w:highlight w:val="none"/>
          <w:lang w:val="en-US" w:eastAsia="zh-CN" w:bidi="ar-SA"/>
        </w:rPr>
        <w:t>邮寄地址：济南市章丘区潘王路11号中国重汽集团济南商用车有限公司轻卡</w:t>
      </w:r>
      <w:r>
        <w:rPr>
          <w:rFonts w:hint="eastAsia" w:ascii="宋体" w:hAnsi="宋体" w:eastAsia="宋体" w:cs="宋体"/>
          <w:b w:val="0"/>
          <w:bCs w:val="0"/>
          <w:sz w:val="21"/>
          <w:szCs w:val="21"/>
          <w:highlight w:val="none"/>
          <w:lang w:val="en-US" w:eastAsia="zh-CN"/>
        </w:rPr>
        <w:t>制造公司</w:t>
      </w:r>
    </w:p>
    <w:p>
      <w:pPr>
        <w:pStyle w:val="75"/>
        <w:numPr>
          <w:ilvl w:val="0"/>
          <w:numId w:val="0"/>
        </w:numPr>
        <w:ind w:leftChars="0"/>
        <w:rPr>
          <w:rFonts w:hint="eastAsia" w:ascii="宋体" w:hAnsi="Courier New" w:eastAsia="宋体" w:cs="Times New Roman"/>
          <w:b w:val="0"/>
          <w:bCs/>
          <w:highlight w:val="none"/>
          <w:lang w:val="en-US" w:eastAsia="zh-CN"/>
        </w:rPr>
      </w:pPr>
      <w:r>
        <w:rPr>
          <w:rFonts w:hint="eastAsia" w:cs="Times New Roman"/>
          <w:b w:val="0"/>
          <w:bCs/>
          <w:highlight w:val="none"/>
          <w:lang w:val="en-US" w:eastAsia="zh-CN"/>
        </w:rPr>
        <w:t>3.</w:t>
      </w:r>
      <w:r>
        <w:rPr>
          <w:rFonts w:hint="eastAsia" w:ascii="宋体" w:hAnsi="Courier New" w:eastAsia="宋体" w:cs="Times New Roman"/>
          <w:b w:val="0"/>
          <w:bCs/>
          <w:highlight w:val="none"/>
          <w:lang w:val="en-US" w:eastAsia="zh-CN"/>
        </w:rPr>
        <w:t>联系人及联系方式：</w:t>
      </w:r>
      <w:r>
        <w:rPr>
          <w:rFonts w:hint="eastAsia" w:cs="Times New Roman"/>
          <w:b w:val="0"/>
          <w:bCs/>
          <w:highlight w:val="none"/>
          <w:lang w:val="en-US" w:eastAsia="zh-CN"/>
        </w:rPr>
        <w:t>赵翊旭/15165052573</w:t>
      </w:r>
    </w:p>
    <w:p>
      <w:pPr>
        <w:pStyle w:val="75"/>
        <w:numPr>
          <w:ilvl w:val="0"/>
          <w:numId w:val="0"/>
        </w:numPr>
        <w:ind w:leftChars="0"/>
        <w:rPr>
          <w:rFonts w:hint="default" w:cs="Times New Roman"/>
          <w:b w:val="0"/>
          <w:highlight w:val="none"/>
          <w:lang w:val="en-US" w:eastAsia="zh-CN"/>
        </w:rPr>
      </w:pPr>
      <w:r>
        <w:rPr>
          <w:rFonts w:hint="eastAsia" w:cs="Times New Roman"/>
          <w:b w:val="0"/>
          <w:bCs/>
          <w:highlight w:val="none"/>
          <w:lang w:val="en-US" w:eastAsia="zh-CN"/>
        </w:rPr>
        <w:t>4.</w:t>
      </w:r>
      <w:r>
        <w:rPr>
          <w:rFonts w:hint="eastAsia" w:ascii="宋体" w:hAnsi="Courier New" w:eastAsia="宋体" w:cs="Times New Roman"/>
          <w:b w:val="0"/>
          <w:bCs/>
          <w:highlight w:val="none"/>
          <w:lang w:val="en-US" w:eastAsia="zh-CN"/>
        </w:rPr>
        <w:t>投标文件递交截止时间：20</w:t>
      </w:r>
      <w:r>
        <w:rPr>
          <w:rFonts w:hint="eastAsia" w:cs="Times New Roman"/>
          <w:b w:val="0"/>
          <w:bCs/>
          <w:highlight w:val="none"/>
          <w:lang w:val="en-US" w:eastAsia="zh-CN"/>
        </w:rPr>
        <w:t>26</w:t>
      </w:r>
      <w:r>
        <w:rPr>
          <w:rFonts w:hint="eastAsia" w:ascii="宋体" w:hAnsi="Courier New" w:eastAsia="宋体" w:cs="Times New Roman"/>
          <w:b w:val="0"/>
          <w:bCs/>
          <w:highlight w:val="none"/>
          <w:lang w:val="en-US" w:eastAsia="zh-CN"/>
        </w:rPr>
        <w:t>年</w:t>
      </w:r>
      <w:r>
        <w:rPr>
          <w:rFonts w:hint="eastAsia" w:cs="Times New Roman"/>
          <w:b w:val="0"/>
          <w:bCs/>
          <w:highlight w:val="none"/>
          <w:lang w:val="en-US" w:eastAsia="zh-CN"/>
        </w:rPr>
        <w:t>3</w:t>
      </w:r>
      <w:r>
        <w:rPr>
          <w:rFonts w:hint="eastAsia" w:ascii="宋体" w:hAnsi="Courier New" w:eastAsia="宋体" w:cs="Times New Roman"/>
          <w:b w:val="0"/>
          <w:bCs/>
          <w:highlight w:val="none"/>
          <w:lang w:val="en-US" w:eastAsia="zh-CN"/>
        </w:rPr>
        <w:t>月</w:t>
      </w:r>
      <w:r>
        <w:rPr>
          <w:rFonts w:hint="eastAsia" w:cs="Times New Roman"/>
          <w:b w:val="0"/>
          <w:bCs/>
          <w:highlight w:val="none"/>
          <w:lang w:val="en-US" w:eastAsia="zh-CN"/>
        </w:rPr>
        <w:t>5</w:t>
      </w:r>
      <w:r>
        <w:rPr>
          <w:rFonts w:hint="eastAsia" w:ascii="宋体" w:hAnsi="Courier New" w:eastAsia="宋体" w:cs="Times New Roman"/>
          <w:b w:val="0"/>
          <w:bCs/>
          <w:highlight w:val="none"/>
          <w:lang w:val="en-US" w:eastAsia="zh-CN"/>
        </w:rPr>
        <w:t>日</w:t>
      </w:r>
      <w:r>
        <w:rPr>
          <w:rFonts w:hint="eastAsia" w:cs="Times New Roman"/>
          <w:b w:val="0"/>
          <w:bCs/>
          <w:highlight w:val="none"/>
          <w:lang w:val="en-US" w:eastAsia="zh-CN"/>
        </w:rPr>
        <w:t>9</w:t>
      </w:r>
      <w:r>
        <w:rPr>
          <w:rFonts w:hint="eastAsia" w:ascii="宋体" w:hAnsi="Courier New" w:eastAsia="宋体" w:cs="Times New Roman"/>
          <w:b w:val="0"/>
          <w:bCs/>
          <w:highlight w:val="none"/>
          <w:lang w:val="en-US" w:eastAsia="zh-CN"/>
        </w:rPr>
        <w:t>:</w:t>
      </w:r>
      <w:r>
        <w:rPr>
          <w:rFonts w:hint="eastAsia" w:cs="Times New Roman"/>
          <w:b w:val="0"/>
          <w:bCs/>
          <w:highlight w:val="none"/>
          <w:lang w:val="en-US" w:eastAsia="zh-CN"/>
        </w:rPr>
        <w:t>00</w:t>
      </w:r>
      <w:r>
        <w:rPr>
          <w:rFonts w:hint="eastAsia" w:ascii="宋体" w:hAnsi="Courier New" w:eastAsia="宋体" w:cs="Times New Roman"/>
          <w:b w:val="0"/>
          <w:bCs/>
          <w:highlight w:val="none"/>
          <w:lang w:val="en-US" w:eastAsia="zh-CN"/>
        </w:rPr>
        <w:t>:</w:t>
      </w:r>
      <w:r>
        <w:rPr>
          <w:rFonts w:hint="eastAsia" w:cs="Times New Roman"/>
          <w:b w:val="0"/>
          <w:bCs/>
          <w:highlight w:val="none"/>
          <w:lang w:val="en-US" w:eastAsia="zh-CN"/>
        </w:rPr>
        <w:t>00</w:t>
      </w:r>
    </w:p>
    <w:p>
      <w:pPr>
        <w:pStyle w:val="72"/>
        <w:rPr>
          <w:rFonts w:hint="eastAsia" w:hAnsi="Courier New" w:cs="Times New Roman"/>
          <w:highlight w:val="none"/>
        </w:rPr>
      </w:pPr>
      <w:bookmarkStart w:id="5" w:name="_Toc47976601"/>
      <w:r>
        <w:rPr>
          <w:rFonts w:hint="eastAsia" w:hAnsi="Courier New" w:cs="Times New Roman"/>
          <w:highlight w:val="none"/>
        </w:rPr>
        <w:t>投标保证金</w:t>
      </w:r>
      <w:r>
        <w:rPr>
          <w:rFonts w:hint="eastAsia" w:hAnsi="Courier New" w:cs="Times New Roman"/>
          <w:highlight w:val="none"/>
          <w:lang w:val="en-US" w:eastAsia="zh-CN"/>
        </w:rPr>
        <w:t>收取</w:t>
      </w:r>
      <w:r>
        <w:rPr>
          <w:rFonts w:hint="eastAsia" w:hAnsi="Courier New" w:cs="Times New Roman"/>
          <w:highlight w:val="none"/>
          <w:lang w:eastAsia="zh-CN"/>
        </w:rPr>
        <w:t>、</w:t>
      </w:r>
      <w:r>
        <w:rPr>
          <w:rFonts w:hint="eastAsia" w:hAnsi="Courier New" w:cs="Times New Roman"/>
          <w:highlight w:val="none"/>
          <w:lang w:val="en-US" w:eastAsia="zh-CN"/>
        </w:rPr>
        <w:t>缴纳</w:t>
      </w:r>
      <w:r>
        <w:rPr>
          <w:rFonts w:hint="eastAsia" w:hAnsi="Courier New" w:cs="Times New Roman"/>
          <w:highlight w:val="none"/>
        </w:rPr>
        <w:t>有效期</w:t>
      </w:r>
      <w:r>
        <w:rPr>
          <w:rFonts w:hint="eastAsia" w:hAnsi="Courier New" w:cs="Times New Roman"/>
          <w:highlight w:val="none"/>
          <w:lang w:val="en-US" w:eastAsia="zh-CN"/>
        </w:rPr>
        <w:t>及罚没</w:t>
      </w:r>
    </w:p>
    <w:p>
      <w:pPr>
        <w:pStyle w:val="72"/>
        <w:numPr>
          <w:ilvl w:val="0"/>
          <w:numId w:val="20"/>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投标保证金的缴纳</w:t>
      </w:r>
    </w:p>
    <w:p>
      <w:pPr>
        <w:pStyle w:val="72"/>
        <w:numPr>
          <w:ilvl w:val="0"/>
          <w:numId w:val="21"/>
        </w:numPr>
        <w:ind w:left="425" w:leftChars="0" w:hanging="425" w:firstLine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w:t>
      </w:r>
      <w:r>
        <w:rPr>
          <w:rFonts w:hint="eastAsia" w:ascii="宋体" w:hAnsi="宋体" w:eastAsia="宋体" w:cs="宋体"/>
          <w:b w:val="0"/>
          <w:bCs w:val="0"/>
          <w:sz w:val="21"/>
          <w:szCs w:val="21"/>
          <w:highlight w:val="none"/>
          <w:lang w:val="en-US" w:eastAsia="zh-CN"/>
        </w:rPr>
        <w:t>的缴纳</w:t>
      </w:r>
      <w:r>
        <w:rPr>
          <w:rFonts w:hint="eastAsia" w:ascii="宋体" w:hAnsi="宋体" w:eastAsia="宋体" w:cs="宋体"/>
          <w:b w:val="0"/>
          <w:bCs w:val="0"/>
          <w:sz w:val="21"/>
          <w:szCs w:val="21"/>
          <w:highlight w:val="none"/>
        </w:rPr>
        <w:t>形式：</w:t>
      </w:r>
      <w:r>
        <w:rPr>
          <w:rFonts w:hint="eastAsia" w:ascii="宋体" w:hAnsi="宋体" w:eastAsia="宋体" w:cs="宋体"/>
          <w:b w:val="0"/>
          <w:bCs w:val="0"/>
          <w:sz w:val="21"/>
          <w:szCs w:val="21"/>
          <w:highlight w:val="none"/>
          <w:u w:val="single"/>
          <w:lang w:val="en-US" w:eastAsia="zh-CN"/>
        </w:rPr>
        <w:t>提交银行投标保函或从银行基本账户转账</w:t>
      </w:r>
    </w:p>
    <w:p>
      <w:pPr>
        <w:pStyle w:val="72"/>
        <w:numPr>
          <w:ilvl w:val="0"/>
          <w:numId w:val="21"/>
        </w:numPr>
        <w:ind w:left="425" w:leftChars="0" w:hanging="425" w:firstLineChars="0"/>
        <w:rPr>
          <w:rFonts w:hint="default"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投标保证金的金额：人民币</w:t>
      </w:r>
      <w:r>
        <w:rPr>
          <w:rFonts w:hint="eastAsia" w:ascii="宋体" w:hAnsi="宋体" w:eastAsia="宋体" w:cs="宋体"/>
          <w:b w:val="0"/>
          <w:bCs w:val="0"/>
          <w:sz w:val="21"/>
          <w:szCs w:val="21"/>
          <w:highlight w:val="none"/>
          <w:u w:val="single"/>
          <w:lang w:val="en-US" w:eastAsia="zh-CN"/>
        </w:rPr>
        <w:t xml:space="preserve"> 5000 </w:t>
      </w:r>
      <w:r>
        <w:rPr>
          <w:rFonts w:hint="eastAsia" w:ascii="宋体" w:hAnsi="宋体" w:eastAsia="宋体" w:cs="宋体"/>
          <w:b w:val="0"/>
          <w:bCs w:val="0"/>
          <w:sz w:val="21"/>
          <w:szCs w:val="21"/>
          <w:highlight w:val="none"/>
        </w:rPr>
        <w:t>元</w:t>
      </w:r>
    </w:p>
    <w:p>
      <w:pPr>
        <w:pStyle w:val="72"/>
        <w:numPr>
          <w:ilvl w:val="0"/>
          <w:numId w:val="21"/>
        </w:numPr>
        <w:ind w:left="425" w:leftChars="0" w:hanging="425" w:firstLineChars="0"/>
        <w:rPr>
          <w:rFonts w:hint="default"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开户名称：</w:t>
      </w:r>
      <w:r>
        <w:rPr>
          <w:rFonts w:ascii="宋体" w:hAnsi="宋体" w:eastAsia="宋体" w:cs="宋体"/>
          <w:sz w:val="24"/>
          <w:szCs w:val="24"/>
          <w:highlight w:val="none"/>
        </w:rPr>
        <w:t>中国重汽集团济南商用车有限公司</w:t>
      </w:r>
    </w:p>
    <w:p>
      <w:pPr>
        <w:pStyle w:val="72"/>
        <w:numPr>
          <w:ilvl w:val="0"/>
          <w:numId w:val="0"/>
        </w:numPr>
        <w:ind w:leftChars="0"/>
        <w:rPr>
          <w:rFonts w:hint="eastAsia" w:ascii="宋体" w:hAnsi="宋体" w:eastAsia="宋体" w:cs="宋体"/>
          <w:b w:val="0"/>
          <w:bCs w:val="0"/>
          <w:sz w:val="21"/>
          <w:szCs w:val="21"/>
          <w:highlight w:val="none"/>
        </w:rPr>
      </w:pPr>
      <w:r>
        <w:rPr>
          <w:rFonts w:hint="eastAsia" w:ascii="宋体" w:hAnsi="宋体" w:eastAsia="宋体" w:cs="宋体"/>
          <w:b w:val="0"/>
          <w:bCs w:val="0"/>
          <w:sz w:val="21"/>
          <w:szCs w:val="21"/>
          <w:highlight w:val="none"/>
        </w:rPr>
        <w:t>开户银行：</w:t>
      </w:r>
      <w:r>
        <w:rPr>
          <w:rFonts w:ascii="宋体" w:hAnsi="宋体" w:eastAsia="宋体" w:cs="宋体"/>
          <w:sz w:val="24"/>
          <w:szCs w:val="24"/>
          <w:highlight w:val="none"/>
        </w:rPr>
        <w:t>中国银行股份有限公司济南分行</w:t>
      </w:r>
    </w:p>
    <w:p>
      <w:pPr>
        <w:pStyle w:val="72"/>
        <w:numPr>
          <w:ilvl w:val="0"/>
          <w:numId w:val="0"/>
        </w:numPr>
        <w:ind w:leftChars="0"/>
        <w:rPr>
          <w:rFonts w:hint="eastAsia" w:ascii="宋体" w:hAnsi="宋体" w:eastAsia="宋体" w:cs="宋体"/>
          <w:b w:val="0"/>
          <w:bCs w:val="0"/>
          <w:sz w:val="21"/>
          <w:szCs w:val="21"/>
          <w:highlight w:val="none"/>
          <w:u w:val="single"/>
          <w:lang w:val="en-US" w:eastAsia="zh-CN"/>
        </w:rPr>
      </w:pPr>
      <w:r>
        <w:rPr>
          <w:rFonts w:hint="eastAsia" w:ascii="宋体" w:hAnsi="宋体" w:eastAsia="宋体" w:cs="宋体"/>
          <w:b w:val="0"/>
          <w:bCs w:val="0"/>
          <w:sz w:val="21"/>
          <w:szCs w:val="21"/>
          <w:highlight w:val="none"/>
        </w:rPr>
        <w:t>银行帐号：</w:t>
      </w:r>
      <w:r>
        <w:rPr>
          <w:rFonts w:ascii="宋体" w:hAnsi="宋体" w:eastAsia="宋体" w:cs="宋体"/>
          <w:sz w:val="24"/>
          <w:szCs w:val="24"/>
          <w:highlight w:val="none"/>
        </w:rPr>
        <w:t>237744219844</w:t>
      </w:r>
    </w:p>
    <w:p>
      <w:pPr>
        <w:pStyle w:val="75"/>
        <w:keepNext w:val="0"/>
        <w:keepLines w:val="0"/>
        <w:pageBreakBefore w:val="0"/>
        <w:widowControl w:val="0"/>
        <w:numPr>
          <w:ilvl w:val="0"/>
          <w:numId w:val="0"/>
        </w:numPr>
        <w:kinsoku/>
        <w:wordWrap/>
        <w:overflowPunct/>
        <w:topLinePunct w:val="0"/>
        <w:autoSpaceDE/>
        <w:autoSpaceDN/>
        <w:bidi w:val="0"/>
        <w:adjustRightInd/>
        <w:snapToGrid/>
        <w:ind w:left="10" w:leftChars="0"/>
        <w:textAlignment w:val="auto"/>
        <w:rPr>
          <w:rFonts w:hint="eastAsia" w:ascii="宋体" w:hAnsi="宋体" w:eastAsia="宋体" w:cs="宋体"/>
          <w:b/>
          <w:bCs/>
          <w:kern w:val="2"/>
          <w:sz w:val="24"/>
          <w:szCs w:val="24"/>
          <w:highlight w:val="none"/>
          <w:lang w:val="en-US" w:eastAsia="zh-CN" w:bidi="ar-SA"/>
        </w:rPr>
      </w:pPr>
      <w:r>
        <w:rPr>
          <w:rFonts w:hint="eastAsia" w:ascii="宋体" w:hAnsi="宋体" w:eastAsia="宋体" w:cs="宋体"/>
          <w:b w:val="0"/>
          <w:bCs w:val="0"/>
          <w:sz w:val="21"/>
          <w:szCs w:val="21"/>
          <w:highlight w:val="none"/>
        </w:rPr>
        <w:t>开户行联号：</w:t>
      </w:r>
      <w:r>
        <w:rPr>
          <w:rFonts w:ascii="宋体" w:hAnsi="宋体" w:eastAsia="宋体" w:cs="宋体"/>
          <w:b/>
          <w:bCs/>
          <w:kern w:val="2"/>
          <w:sz w:val="24"/>
          <w:szCs w:val="24"/>
          <w:highlight w:val="none"/>
          <w:lang w:val="en-US" w:eastAsia="zh-CN" w:bidi="ar-SA"/>
        </w:rPr>
        <w:t>104451039687</w:t>
      </w:r>
    </w:p>
    <w:p>
      <w:pPr>
        <w:pStyle w:val="75"/>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转账附言：公司名称+项目名称+投标保证金。</w:t>
      </w:r>
    </w:p>
    <w:p>
      <w:pPr>
        <w:pStyle w:val="72"/>
        <w:numPr>
          <w:ilvl w:val="0"/>
          <w:numId w:val="0"/>
        </w:numPr>
        <w:ind w:left="425" w:leftChars="0" w:hanging="425" w:firstLineChars="0"/>
        <w:rPr>
          <w:rFonts w:hint="eastAsia" w:ascii="宋体" w:hAnsi="宋体" w:eastAsia="宋体" w:cs="宋体"/>
          <w:b w:val="0"/>
          <w:bCs w:val="0"/>
          <w:sz w:val="21"/>
          <w:szCs w:val="21"/>
          <w:highlight w:val="none"/>
        </w:rPr>
      </w:pPr>
      <w:r>
        <w:rPr>
          <w:rFonts w:hint="default" w:ascii="宋体" w:hAnsi="宋体" w:eastAsia="宋体" w:cs="宋体"/>
          <w:b w:val="0"/>
          <w:bCs w:val="0"/>
          <w:kern w:val="2"/>
          <w:sz w:val="21"/>
          <w:szCs w:val="21"/>
          <w:highlight w:val="none"/>
          <w:lang w:val="en-US" w:eastAsia="zh-CN" w:bidi="ar-SA"/>
        </w:rPr>
        <w:t>(</w:t>
      </w:r>
      <w:r>
        <w:rPr>
          <w:rFonts w:hint="eastAsia" w:ascii="宋体" w:hAnsi="宋体" w:eastAsia="宋体" w:cs="宋体"/>
          <w:b w:val="0"/>
          <w:bCs w:val="0"/>
          <w:kern w:val="2"/>
          <w:sz w:val="21"/>
          <w:szCs w:val="21"/>
          <w:highlight w:val="none"/>
          <w:lang w:val="en-US" w:eastAsia="zh-CN" w:bidi="ar-SA"/>
        </w:rPr>
        <w:t>4</w:t>
      </w:r>
      <w:r>
        <w:rPr>
          <w:rFonts w:hint="default" w:ascii="宋体" w:hAnsi="宋体" w:eastAsia="宋体" w:cs="宋体"/>
          <w:b w:val="0"/>
          <w:bCs w:val="0"/>
          <w:kern w:val="2"/>
          <w:sz w:val="21"/>
          <w:szCs w:val="21"/>
          <w:highlight w:val="none"/>
          <w:lang w:val="en-US" w:eastAsia="zh-CN" w:bidi="ar-SA"/>
        </w:rPr>
        <w:t>)</w:t>
      </w:r>
      <w:r>
        <w:rPr>
          <w:rFonts w:hint="eastAsia" w:ascii="宋体" w:hAnsi="宋体" w:eastAsia="宋体" w:cs="宋体"/>
          <w:b w:val="0"/>
          <w:bCs w:val="0"/>
          <w:sz w:val="21"/>
          <w:szCs w:val="21"/>
          <w:highlight w:val="none"/>
        </w:rPr>
        <w:t>保证金缴纳截止时间：202</w:t>
      </w:r>
      <w:r>
        <w:rPr>
          <w:rFonts w:hint="eastAsia" w:ascii="宋体" w:hAnsi="宋体" w:eastAsia="宋体" w:cs="宋体"/>
          <w:b w:val="0"/>
          <w:bCs w:val="0"/>
          <w:sz w:val="21"/>
          <w:szCs w:val="21"/>
          <w:highlight w:val="none"/>
          <w:lang w:val="en-US" w:eastAsia="zh-CN"/>
        </w:rPr>
        <w:t>6</w:t>
      </w:r>
      <w:r>
        <w:rPr>
          <w:rFonts w:hint="eastAsia" w:ascii="宋体" w:hAnsi="宋体" w:eastAsia="宋体" w:cs="宋体"/>
          <w:b w:val="0"/>
          <w:bCs w:val="0"/>
          <w:sz w:val="21"/>
          <w:szCs w:val="21"/>
          <w:highlight w:val="none"/>
        </w:rPr>
        <w:t>年</w:t>
      </w:r>
      <w:r>
        <w:rPr>
          <w:rFonts w:hint="eastAsia" w:ascii="宋体" w:hAnsi="宋体" w:eastAsia="宋体" w:cs="宋体"/>
          <w:b w:val="0"/>
          <w:bCs w:val="0"/>
          <w:sz w:val="21"/>
          <w:szCs w:val="21"/>
          <w:highlight w:val="none"/>
          <w:lang w:val="en-US" w:eastAsia="zh-CN"/>
        </w:rPr>
        <w:t>3</w:t>
      </w:r>
      <w:r>
        <w:rPr>
          <w:rFonts w:hint="eastAsia" w:ascii="宋体" w:hAnsi="宋体" w:eastAsia="宋体" w:cs="宋体"/>
          <w:b w:val="0"/>
          <w:bCs w:val="0"/>
          <w:sz w:val="21"/>
          <w:szCs w:val="21"/>
          <w:highlight w:val="none"/>
        </w:rPr>
        <w:t>月</w:t>
      </w:r>
      <w:r>
        <w:rPr>
          <w:rFonts w:hint="eastAsia" w:ascii="宋体" w:hAnsi="宋体" w:eastAsia="宋体" w:cs="宋体"/>
          <w:b w:val="0"/>
          <w:bCs w:val="0"/>
          <w:sz w:val="21"/>
          <w:szCs w:val="21"/>
          <w:highlight w:val="none"/>
          <w:lang w:val="en-US" w:eastAsia="zh-CN"/>
        </w:rPr>
        <w:t>5</w:t>
      </w:r>
      <w:r>
        <w:rPr>
          <w:rFonts w:hint="eastAsia" w:ascii="宋体" w:hAnsi="宋体" w:eastAsia="宋体" w:cs="宋体"/>
          <w:b w:val="0"/>
          <w:bCs w:val="0"/>
          <w:sz w:val="21"/>
          <w:szCs w:val="21"/>
          <w:highlight w:val="none"/>
        </w:rPr>
        <w:t>日</w:t>
      </w:r>
      <w:r>
        <w:rPr>
          <w:rFonts w:hint="eastAsia" w:ascii="宋体" w:hAnsi="宋体" w:eastAsia="宋体" w:cs="宋体"/>
          <w:b w:val="0"/>
          <w:bCs w:val="0"/>
          <w:sz w:val="21"/>
          <w:szCs w:val="21"/>
          <w:highlight w:val="none"/>
          <w:lang w:val="en-US" w:eastAsia="zh-CN"/>
        </w:rPr>
        <w:t>9</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00</w:t>
      </w:r>
      <w:r>
        <w:rPr>
          <w:rFonts w:hint="eastAsia" w:ascii="宋体" w:hAnsi="宋体" w:eastAsia="宋体" w:cs="宋体"/>
          <w:b w:val="0"/>
          <w:bCs w:val="0"/>
          <w:sz w:val="21"/>
          <w:szCs w:val="21"/>
          <w:highlight w:val="none"/>
        </w:rPr>
        <w:t>前</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同投标文件递交截止时间</w:t>
      </w:r>
      <w:r>
        <w:rPr>
          <w:rFonts w:hint="eastAsia" w:ascii="宋体" w:hAnsi="宋体" w:eastAsia="宋体" w:cs="宋体"/>
          <w:b w:val="0"/>
          <w:bCs w:val="0"/>
          <w:sz w:val="21"/>
          <w:szCs w:val="21"/>
          <w:highlight w:val="none"/>
          <w:lang w:eastAsia="zh-CN"/>
        </w:rPr>
        <w:t>）</w:t>
      </w:r>
    </w:p>
    <w:p>
      <w:pPr>
        <w:pStyle w:val="72"/>
        <w:keepNext w:val="0"/>
        <w:keepLines w:val="0"/>
        <w:pageBreakBefore w:val="0"/>
        <w:widowControl w:val="0"/>
        <w:numPr>
          <w:ilvl w:val="0"/>
          <w:numId w:val="20"/>
        </w:numPr>
        <w:kinsoku/>
        <w:wordWrap/>
        <w:overflowPunct/>
        <w:topLinePunct w:val="0"/>
        <w:autoSpaceDE/>
        <w:autoSpaceDN/>
        <w:bidi w:val="0"/>
        <w:adjustRightInd/>
        <w:snapToGrid/>
        <w:ind w:left="0" w:leftChars="0" w:firstLine="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选择</w:t>
      </w:r>
      <w:r>
        <w:rPr>
          <w:rFonts w:hint="eastAsia" w:ascii="宋体" w:hAnsi="宋体" w:eastAsia="宋体" w:cs="宋体"/>
          <w:b w:val="0"/>
          <w:bCs w:val="0"/>
          <w:sz w:val="21"/>
          <w:szCs w:val="21"/>
          <w:highlight w:val="none"/>
        </w:rPr>
        <w:t>提交银行投标保函的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投标人，应在开标时提交投标保函正本，作为《投标文件》的一部分，该投标保函应是不可撤销的“见索即付”保函，保函有效期应满足投标有效期要求，</w:t>
      </w:r>
      <w:r>
        <w:rPr>
          <w:rFonts w:hint="eastAsia" w:ascii="宋体" w:hAnsi="宋体" w:eastAsia="宋体" w:cs="宋体"/>
          <w:b w:val="0"/>
          <w:bCs w:val="0"/>
          <w:sz w:val="21"/>
          <w:szCs w:val="21"/>
          <w:highlight w:val="none"/>
          <w:lang w:val="en-US" w:eastAsia="zh-CN"/>
        </w:rPr>
        <w:t>由招标人</w:t>
      </w:r>
      <w:r>
        <w:rPr>
          <w:rFonts w:hint="eastAsia" w:ascii="宋体" w:hAnsi="宋体" w:eastAsia="宋体" w:cs="宋体"/>
          <w:b w:val="0"/>
          <w:bCs w:val="0"/>
          <w:sz w:val="21"/>
          <w:szCs w:val="21"/>
          <w:highlight w:val="none"/>
        </w:rPr>
        <w:t>留存保函正本</w:t>
      </w:r>
      <w:r>
        <w:rPr>
          <w:rFonts w:hint="eastAsia" w:ascii="宋体" w:hAnsi="宋体" w:eastAsia="宋体" w:cs="宋体"/>
          <w:b w:val="0"/>
          <w:bCs w:val="0"/>
          <w:sz w:val="21"/>
          <w:szCs w:val="21"/>
          <w:highlight w:val="none"/>
          <w:lang w:eastAsia="zh-CN"/>
        </w:rPr>
        <w:t>。</w:t>
      </w:r>
    </w:p>
    <w:p>
      <w:pPr>
        <w:pStyle w:val="72"/>
        <w:keepNext w:val="0"/>
        <w:keepLines w:val="0"/>
        <w:pageBreakBefore w:val="0"/>
        <w:widowControl w:val="0"/>
        <w:numPr>
          <w:ilvl w:val="0"/>
          <w:numId w:val="20"/>
        </w:numPr>
        <w:kinsoku/>
        <w:wordWrap/>
        <w:overflowPunct/>
        <w:topLinePunct w:val="0"/>
        <w:autoSpaceDE/>
        <w:autoSpaceDN/>
        <w:bidi w:val="0"/>
        <w:adjustRightInd/>
        <w:snapToGrid/>
        <w:ind w:left="0" w:leftChars="0" w:firstLine="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lang w:val="en-US" w:eastAsia="zh-CN"/>
        </w:rPr>
        <w:t>选择从银行基本账户转账</w:t>
      </w:r>
      <w:r>
        <w:rPr>
          <w:rFonts w:hint="eastAsia" w:ascii="宋体" w:hAnsi="宋体" w:eastAsia="宋体" w:cs="宋体"/>
          <w:b w:val="0"/>
          <w:bCs w:val="0"/>
          <w:sz w:val="21"/>
          <w:szCs w:val="21"/>
          <w:highlight w:val="none"/>
        </w:rPr>
        <w:t>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w:t>
      </w:r>
      <w:r>
        <w:rPr>
          <w:rFonts w:hint="eastAsia" w:ascii="宋体" w:hAnsi="宋体" w:eastAsia="宋体" w:cs="宋体"/>
          <w:b w:val="0"/>
          <w:bCs w:val="0"/>
          <w:sz w:val="21"/>
          <w:szCs w:val="21"/>
          <w:highlight w:val="none"/>
          <w:lang w:eastAsia="zh-CN"/>
        </w:rPr>
        <w:t>，</w:t>
      </w:r>
      <w:r>
        <w:rPr>
          <w:rFonts w:hint="eastAsia" w:ascii="宋体" w:hAnsi="宋体" w:eastAsia="宋体" w:cs="宋体"/>
          <w:b w:val="0"/>
          <w:bCs w:val="0"/>
          <w:sz w:val="21"/>
          <w:szCs w:val="21"/>
          <w:highlight w:val="none"/>
          <w:lang w:val="en-US" w:eastAsia="zh-CN"/>
        </w:rPr>
        <w:t>须在规定的时间之前</w:t>
      </w:r>
      <w:r>
        <w:rPr>
          <w:rFonts w:hint="eastAsia" w:ascii="宋体" w:hAnsi="宋体" w:eastAsia="宋体" w:cs="宋体"/>
          <w:b w:val="0"/>
          <w:bCs w:val="0"/>
          <w:sz w:val="21"/>
          <w:szCs w:val="21"/>
          <w:highlight w:val="none"/>
        </w:rPr>
        <w:t>将投标保证金从</w:t>
      </w:r>
      <w:r>
        <w:rPr>
          <w:rFonts w:hint="eastAsia" w:ascii="宋体" w:hAnsi="宋体" w:eastAsia="宋体" w:cs="宋体"/>
          <w:b w:val="0"/>
          <w:bCs w:val="0"/>
          <w:sz w:val="21"/>
          <w:szCs w:val="21"/>
          <w:highlight w:val="none"/>
          <w:lang w:val="en-US" w:eastAsia="zh-CN"/>
        </w:rPr>
        <w:t>其</w:t>
      </w:r>
      <w:r>
        <w:rPr>
          <w:rFonts w:hint="eastAsia" w:ascii="宋体" w:hAnsi="宋体" w:eastAsia="宋体" w:cs="宋体"/>
          <w:b w:val="0"/>
          <w:bCs w:val="0"/>
          <w:sz w:val="21"/>
          <w:szCs w:val="21"/>
          <w:highlight w:val="none"/>
        </w:rPr>
        <w:t>单位基本帐户转出并到账，否则</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；未按规定提交保证金的</w:t>
      </w:r>
      <w:r>
        <w:rPr>
          <w:rFonts w:hint="eastAsia" w:ascii="宋体" w:hAnsi="宋体" w:eastAsia="宋体" w:cs="宋体"/>
          <w:b w:val="0"/>
          <w:bCs w:val="0"/>
          <w:sz w:val="21"/>
          <w:szCs w:val="21"/>
          <w:highlight w:val="none"/>
          <w:lang w:val="en-US" w:eastAsia="zh-CN"/>
        </w:rPr>
        <w:t>拟</w:t>
      </w:r>
      <w:r>
        <w:rPr>
          <w:rFonts w:hint="eastAsia" w:ascii="宋体" w:hAnsi="宋体" w:eastAsia="宋体" w:cs="宋体"/>
          <w:b w:val="0"/>
          <w:bCs w:val="0"/>
          <w:sz w:val="21"/>
          <w:szCs w:val="21"/>
          <w:highlight w:val="none"/>
        </w:rPr>
        <w:t>投标人，其投标文件</w:t>
      </w:r>
      <w:r>
        <w:rPr>
          <w:rFonts w:hint="eastAsia" w:ascii="宋体" w:hAnsi="宋体" w:eastAsia="宋体" w:cs="宋体"/>
          <w:b w:val="0"/>
          <w:bCs w:val="0"/>
          <w:sz w:val="21"/>
          <w:szCs w:val="21"/>
          <w:highlight w:val="none"/>
          <w:lang w:val="en-US" w:eastAsia="zh-CN"/>
        </w:rPr>
        <w:t>视为无效投标</w:t>
      </w:r>
      <w:r>
        <w:rPr>
          <w:rFonts w:hint="eastAsia" w:ascii="宋体" w:hAnsi="宋体" w:eastAsia="宋体" w:cs="宋体"/>
          <w:b w:val="0"/>
          <w:bCs w:val="0"/>
          <w:sz w:val="21"/>
          <w:szCs w:val="21"/>
          <w:highlight w:val="none"/>
        </w:rPr>
        <w:t>。</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应充分考虑银行信息交换时间，由此带来的保证金不能按时到帐的责任由</w:t>
      </w:r>
      <w:r>
        <w:rPr>
          <w:rFonts w:hint="eastAsia" w:ascii="宋体" w:hAnsi="宋体" w:eastAsia="宋体" w:cs="宋体"/>
          <w:b w:val="0"/>
          <w:bCs w:val="0"/>
          <w:sz w:val="21"/>
          <w:szCs w:val="21"/>
          <w:highlight w:val="none"/>
          <w:lang w:val="en-US" w:eastAsia="zh-CN"/>
        </w:rPr>
        <w:t>拟投标人</w:t>
      </w:r>
      <w:r>
        <w:rPr>
          <w:rFonts w:hint="eastAsia" w:ascii="宋体" w:hAnsi="宋体" w:eastAsia="宋体" w:cs="宋体"/>
          <w:b w:val="0"/>
          <w:bCs w:val="0"/>
          <w:sz w:val="21"/>
          <w:szCs w:val="21"/>
          <w:highlight w:val="none"/>
        </w:rPr>
        <w:t>自行承担。</w:t>
      </w:r>
    </w:p>
    <w:p>
      <w:pPr>
        <w:pStyle w:val="72"/>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对于没有中标的</w:t>
      </w:r>
      <w:r>
        <w:rPr>
          <w:rFonts w:hint="eastAsia" w:ascii="宋体" w:hAnsi="宋体" w:eastAsia="宋体" w:cs="宋体"/>
          <w:b w:val="0"/>
          <w:bCs w:val="0"/>
          <w:sz w:val="21"/>
          <w:szCs w:val="21"/>
          <w:highlight w:val="none"/>
          <w:lang w:eastAsia="zh-CN"/>
        </w:rPr>
        <w:t>投标人</w:t>
      </w:r>
      <w:r>
        <w:rPr>
          <w:rFonts w:hint="eastAsia" w:ascii="宋体" w:hAnsi="宋体" w:eastAsia="宋体" w:cs="宋体"/>
          <w:b w:val="0"/>
          <w:bCs w:val="0"/>
          <w:sz w:val="21"/>
          <w:szCs w:val="21"/>
          <w:highlight w:val="none"/>
        </w:rPr>
        <w:t>，投标保证金将于招标人内部完成中标人评审并确认最终中标人后在</w:t>
      </w:r>
      <w:r>
        <w:rPr>
          <w:rFonts w:hint="eastAsia" w:ascii="宋体" w:hAnsi="宋体" w:eastAsia="宋体" w:cs="宋体"/>
          <w:b w:val="0"/>
          <w:bCs w:val="0"/>
          <w:sz w:val="21"/>
          <w:szCs w:val="21"/>
          <w:highlight w:val="none"/>
          <w:u w:val="single"/>
          <w:lang w:val="en-US" w:eastAsia="zh-CN"/>
        </w:rPr>
        <w:t>一个付款周期</w:t>
      </w:r>
      <w:r>
        <w:rPr>
          <w:rFonts w:hint="eastAsia" w:ascii="宋体" w:hAnsi="宋体" w:eastAsia="宋体" w:cs="宋体"/>
          <w:b w:val="0"/>
          <w:bCs w:val="0"/>
          <w:sz w:val="21"/>
          <w:szCs w:val="21"/>
          <w:highlight w:val="none"/>
        </w:rPr>
        <w:t>工作日内予以原路返还（无息）；对于中标方，投标保证金将在签订合同后</w:t>
      </w:r>
      <w:r>
        <w:rPr>
          <w:rFonts w:hint="eastAsia" w:ascii="宋体" w:hAnsi="宋体" w:eastAsia="宋体" w:cs="宋体"/>
          <w:b w:val="0"/>
          <w:bCs w:val="0"/>
          <w:sz w:val="21"/>
          <w:szCs w:val="21"/>
          <w:highlight w:val="none"/>
          <w:u w:val="single"/>
          <w:lang w:val="en-US" w:eastAsia="zh-CN"/>
        </w:rPr>
        <w:t>一个付款周期</w:t>
      </w:r>
      <w:r>
        <w:rPr>
          <w:rFonts w:hint="eastAsia" w:ascii="宋体" w:hAnsi="宋体" w:eastAsia="宋体" w:cs="宋体"/>
          <w:b w:val="0"/>
          <w:bCs w:val="0"/>
          <w:sz w:val="21"/>
          <w:szCs w:val="21"/>
          <w:highlight w:val="none"/>
          <w:lang w:val="en-US" w:eastAsia="zh-CN"/>
        </w:rPr>
        <w:t>个</w:t>
      </w:r>
      <w:r>
        <w:rPr>
          <w:rFonts w:hint="eastAsia" w:ascii="宋体" w:hAnsi="宋体" w:eastAsia="宋体" w:cs="宋体"/>
          <w:b w:val="0"/>
          <w:bCs w:val="0"/>
          <w:sz w:val="21"/>
          <w:szCs w:val="21"/>
          <w:highlight w:val="none"/>
        </w:rPr>
        <w:t>工作日内原路返还（无息）。</w:t>
      </w:r>
    </w:p>
    <w:p>
      <w:pPr>
        <w:pStyle w:val="72"/>
        <w:keepNext w:val="0"/>
        <w:keepLines w:val="0"/>
        <w:pageBreakBefore w:val="0"/>
        <w:widowControl w:val="0"/>
        <w:numPr>
          <w:ilvl w:val="0"/>
          <w:numId w:val="20"/>
        </w:numPr>
        <w:kinsoku/>
        <w:wordWrap/>
        <w:overflowPunct/>
        <w:topLinePunct w:val="0"/>
        <w:autoSpaceDE/>
        <w:autoSpaceDN/>
        <w:bidi w:val="0"/>
        <w:adjustRightInd/>
        <w:snapToGrid/>
        <w:ind w:left="0" w:leftChars="0" w:firstLine="0" w:firstLineChars="0"/>
        <w:textAlignment w:val="auto"/>
        <w:rPr>
          <w:rFonts w:hint="eastAsia" w:ascii="宋体" w:hAnsi="宋体" w:eastAsia="仿宋_GB2312" w:cs="宋体"/>
          <w:b w:val="0"/>
          <w:bCs w:val="0"/>
          <w:sz w:val="24"/>
          <w:szCs w:val="24"/>
          <w:highlight w:val="none"/>
          <w:lang w:val="en-US" w:eastAsia="zh-CN"/>
        </w:rPr>
      </w:pPr>
      <w:r>
        <w:rPr>
          <w:rFonts w:hint="eastAsia" w:ascii="宋体" w:hAnsi="宋体" w:eastAsia="宋体" w:cs="宋体"/>
          <w:b w:val="0"/>
          <w:bCs w:val="0"/>
          <w:sz w:val="21"/>
          <w:szCs w:val="21"/>
          <w:highlight w:val="none"/>
        </w:rPr>
        <w:t>发生以下情况时，有权没收保证金：</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①供应商在提交响应文件截止时间后撤回响应文件的；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②供应商在响应文件中提供虚假材料的；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③除因不可抗力或谈判文件、询价通知书认可的情形以外，成交供应商不与采购人签订合同的；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④供应商与采购人、其他供应商或者采购代理机构恶意串通、围标、陪标的；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⑤供应商有违约违规行为或被投诉、举报的，在调查处理期间，保证金暂不退还，待调查处理结束后按有关规定处理。</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⑥截至开标前3天，投标人无正当理由、未以书面形式向招标人递交说明而在投标截止日不来投标的。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⑦自中标通知书发出之日起30日内，中标人无正当理由投标人无正当签订合同的；</w:t>
      </w:r>
      <w:r>
        <w:rPr>
          <w:rFonts w:hint="eastAsia" w:ascii="宋体" w:hAnsi="宋体" w:eastAsia="宋体" w:cs="宋体"/>
          <w:b w:val="0"/>
          <w:bCs w:val="0"/>
          <w:sz w:val="21"/>
          <w:szCs w:val="21"/>
          <w:highlight w:val="none"/>
        </w:rPr>
        <w:br w:type="textWrapping"/>
      </w:r>
      <w:r>
        <w:rPr>
          <w:rFonts w:hint="eastAsia" w:ascii="宋体" w:hAnsi="宋体" w:eastAsia="宋体" w:cs="宋体"/>
          <w:b w:val="0"/>
          <w:bCs w:val="0"/>
          <w:sz w:val="21"/>
          <w:szCs w:val="21"/>
          <w:highlight w:val="none"/>
        </w:rPr>
        <w:t>⑧采购文件规定的其他情形</w:t>
      </w:r>
      <w:r>
        <w:rPr>
          <w:rFonts w:hint="eastAsia" w:ascii="宋体" w:hAnsi="宋体" w:eastAsia="宋体" w:cs="宋体"/>
          <w:b w:val="0"/>
          <w:bCs w:val="0"/>
          <w:sz w:val="21"/>
          <w:szCs w:val="21"/>
          <w:highlight w:val="none"/>
          <w:lang w:eastAsia="zh-CN"/>
        </w:rPr>
        <w:t>。</w:t>
      </w:r>
    </w:p>
    <w:bookmarkEnd w:id="5"/>
    <w:p>
      <w:pPr>
        <w:pStyle w:val="72"/>
        <w:rPr>
          <w:highlight w:val="none"/>
        </w:rPr>
      </w:pPr>
      <w:r>
        <w:rPr>
          <w:rFonts w:hint="eastAsia"/>
          <w:highlight w:val="none"/>
          <w:lang w:val="en-US" w:eastAsia="zh-CN"/>
        </w:rPr>
        <w:t>开评标</w:t>
      </w:r>
    </w:p>
    <w:p>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开标时间：</w:t>
      </w:r>
      <w:r>
        <w:rPr>
          <w:rFonts w:hint="eastAsia" w:ascii="宋体" w:hAnsi="宋体" w:eastAsia="宋体" w:cs="宋体"/>
          <w:b w:val="0"/>
          <w:bCs w:val="0"/>
          <w:sz w:val="21"/>
          <w:szCs w:val="21"/>
          <w:highlight w:val="none"/>
        </w:rPr>
        <w:t>202</w:t>
      </w:r>
      <w:r>
        <w:rPr>
          <w:rFonts w:hint="eastAsia" w:ascii="宋体" w:hAnsi="宋体" w:eastAsia="宋体" w:cs="宋体"/>
          <w:b w:val="0"/>
          <w:bCs w:val="0"/>
          <w:sz w:val="21"/>
          <w:szCs w:val="21"/>
          <w:highlight w:val="none"/>
          <w:lang w:val="en-US" w:eastAsia="zh-CN"/>
        </w:rPr>
        <w:t>6</w:t>
      </w:r>
      <w:r>
        <w:rPr>
          <w:rFonts w:hint="eastAsia" w:ascii="宋体" w:hAnsi="宋体" w:eastAsia="宋体" w:cs="宋体"/>
          <w:b w:val="0"/>
          <w:bCs w:val="0"/>
          <w:sz w:val="21"/>
          <w:szCs w:val="21"/>
          <w:highlight w:val="none"/>
        </w:rPr>
        <w:t>年</w:t>
      </w:r>
      <w:r>
        <w:rPr>
          <w:rFonts w:hint="eastAsia" w:ascii="宋体" w:hAnsi="宋体" w:eastAsia="宋体" w:cs="宋体"/>
          <w:b w:val="0"/>
          <w:bCs w:val="0"/>
          <w:sz w:val="21"/>
          <w:szCs w:val="21"/>
          <w:highlight w:val="none"/>
          <w:lang w:val="en-US" w:eastAsia="zh-CN"/>
        </w:rPr>
        <w:t>3</w:t>
      </w:r>
      <w:r>
        <w:rPr>
          <w:rFonts w:hint="eastAsia" w:ascii="宋体" w:hAnsi="宋体" w:eastAsia="宋体" w:cs="宋体"/>
          <w:b w:val="0"/>
          <w:bCs w:val="0"/>
          <w:sz w:val="21"/>
          <w:szCs w:val="21"/>
          <w:highlight w:val="none"/>
        </w:rPr>
        <w:t>月</w:t>
      </w:r>
      <w:r>
        <w:rPr>
          <w:rFonts w:hint="eastAsia" w:ascii="宋体" w:hAnsi="宋体" w:eastAsia="宋体" w:cs="宋体"/>
          <w:b w:val="0"/>
          <w:bCs w:val="0"/>
          <w:sz w:val="21"/>
          <w:szCs w:val="21"/>
          <w:highlight w:val="none"/>
          <w:lang w:val="en-US" w:eastAsia="zh-CN"/>
        </w:rPr>
        <w:t>5</w:t>
      </w:r>
      <w:r>
        <w:rPr>
          <w:rFonts w:hint="eastAsia" w:ascii="宋体" w:hAnsi="宋体" w:eastAsia="宋体" w:cs="宋体"/>
          <w:b w:val="0"/>
          <w:bCs w:val="0"/>
          <w:sz w:val="21"/>
          <w:szCs w:val="21"/>
          <w:highlight w:val="none"/>
        </w:rPr>
        <w:t>日9:00:00</w:t>
      </w:r>
      <w:r>
        <w:rPr>
          <w:rFonts w:hint="eastAsia" w:ascii="宋体" w:hAnsi="宋体" w:eastAsia="宋体" w:cs="宋体"/>
          <w:b w:val="0"/>
          <w:bCs w:val="0"/>
          <w:sz w:val="21"/>
          <w:szCs w:val="21"/>
          <w:highlight w:val="none"/>
          <w:lang w:eastAsia="zh-CN"/>
        </w:rPr>
        <w:t>（暂定，以实际通知为准）</w:t>
      </w:r>
    </w:p>
    <w:p>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开标地点：济南市章丘区潘王路11号中国重汽集团济南商用车有限公司轻卡制造公司</w:t>
      </w:r>
    </w:p>
    <w:p>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开标方式：</w:t>
      </w:r>
    </w:p>
    <w:p>
      <w:pPr>
        <w:keepNext w:val="0"/>
        <w:keepLines w:val="0"/>
        <w:pageBreakBefore w:val="0"/>
        <w:widowControl w:val="0"/>
        <w:numPr>
          <w:ilvl w:val="0"/>
          <w:numId w:val="23"/>
        </w:numPr>
        <w:kinsoku/>
        <w:wordWrap/>
        <w:overflowPunct/>
        <w:topLinePunct w:val="0"/>
        <w:autoSpaceDE/>
        <w:autoSpaceDN/>
        <w:bidi w:val="0"/>
        <w:adjustRightInd/>
        <w:snapToGrid/>
        <w:spacing w:line="360" w:lineRule="auto"/>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现场招</w:t>
      </w:r>
      <w:r>
        <w:rPr>
          <w:rFonts w:hint="eastAsia" w:ascii="宋体" w:hAnsi="宋体" w:eastAsia="宋体" w:cs="宋体"/>
          <w:b w:val="0"/>
          <w:bCs w:val="0"/>
          <w:sz w:val="21"/>
          <w:szCs w:val="21"/>
          <w:highlight w:val="none"/>
          <w:lang w:val="en-US" w:eastAsia="zh-CN"/>
        </w:rPr>
        <w:t>标：</w:t>
      </w:r>
      <w:r>
        <w:rPr>
          <w:rFonts w:hint="eastAsia" w:ascii="宋体" w:hAnsi="宋体" w:eastAsia="宋体" w:cs="宋体"/>
          <w:color w:val="000000"/>
          <w:sz w:val="21"/>
          <w:szCs w:val="21"/>
          <w:highlight w:val="none"/>
        </w:rPr>
        <w:t>原则上来现场参与开标。如因特殊情况无法现场参与，需在开标前三日，通知招标人，由招标人创建视频链接，并在报名结束后统一通知。</w:t>
      </w:r>
    </w:p>
    <w:p>
      <w:pPr>
        <w:pStyle w:val="72"/>
        <w:keepNext w:val="0"/>
        <w:keepLines w:val="0"/>
        <w:pageBreakBefore w:val="0"/>
        <w:widowControl w:val="0"/>
        <w:numPr>
          <w:ilvl w:val="0"/>
          <w:numId w:val="23"/>
        </w:numPr>
        <w:kinsoku/>
        <w:wordWrap/>
        <w:overflowPunct/>
        <w:topLinePunct w:val="0"/>
        <w:autoSpaceDE/>
        <w:autoSpaceDN/>
        <w:bidi w:val="0"/>
        <w:adjustRightInd/>
        <w:snapToGrid/>
        <w:ind w:left="11" w:leftChars="0" w:firstLine="0" w:firstLineChars="0"/>
        <w:textAlignment w:val="auto"/>
        <w:rPr>
          <w:rFonts w:hint="eastAsia" w:ascii="宋体" w:hAnsi="宋体" w:eastAsia="宋体" w:cs="宋体"/>
          <w:color w:val="000000"/>
          <w:sz w:val="21"/>
          <w:szCs w:val="21"/>
          <w:highlight w:val="none"/>
        </w:rPr>
      </w:pPr>
      <w:r>
        <w:rPr>
          <w:rFonts w:hint="eastAsia" w:ascii="宋体" w:hAnsi="Courier New" w:eastAsia="宋体" w:cs="Times New Roman"/>
          <w:b w:val="0"/>
          <w:bCs/>
          <w:kern w:val="2"/>
          <w:sz w:val="21"/>
          <w:highlight w:val="none"/>
          <w:lang w:val="en-US" w:eastAsia="zh-CN" w:bidi="ar-SA"/>
        </w:rPr>
        <w:t>线上招标：</w:t>
      </w:r>
      <w:r>
        <w:rPr>
          <w:rFonts w:hint="eastAsia" w:ascii="宋体" w:hAnsi="宋体" w:eastAsia="宋体" w:cs="宋体"/>
          <w:b w:val="0"/>
          <w:bCs w:val="0"/>
          <w:sz w:val="21"/>
          <w:szCs w:val="21"/>
          <w:highlight w:val="none"/>
          <w:lang w:val="en-US" w:eastAsia="zh-CN"/>
        </w:rPr>
        <w:t>因招标人原因，允许各投标方通过视频会议等形式线上招标，所需过程资料均通过e采通进行提报，由</w:t>
      </w:r>
      <w:r>
        <w:rPr>
          <w:rFonts w:hint="eastAsia" w:ascii="宋体" w:hAnsi="宋体" w:eastAsia="宋体" w:cs="宋体"/>
          <w:color w:val="000000"/>
          <w:sz w:val="21"/>
          <w:szCs w:val="21"/>
          <w:highlight w:val="none"/>
        </w:rPr>
        <w:t>招标人创建视频链接</w:t>
      </w:r>
      <w:r>
        <w:rPr>
          <w:rFonts w:hint="eastAsia" w:ascii="宋体" w:hAnsi="宋体" w:eastAsia="宋体" w:cs="宋体"/>
          <w:color w:val="000000"/>
          <w:sz w:val="21"/>
          <w:szCs w:val="21"/>
          <w:highlight w:val="none"/>
          <w:lang w:eastAsia="zh-CN"/>
        </w:rPr>
        <w:t>，</w:t>
      </w:r>
      <w:r>
        <w:rPr>
          <w:rFonts w:hint="eastAsia" w:ascii="宋体" w:hAnsi="宋体" w:eastAsia="宋体" w:cs="宋体"/>
          <w:color w:val="000000"/>
          <w:sz w:val="21"/>
          <w:szCs w:val="21"/>
          <w:highlight w:val="none"/>
        </w:rPr>
        <w:t>并在报名结束后统一通知。</w:t>
      </w:r>
    </w:p>
    <w:p>
      <w:pPr>
        <w:pStyle w:val="72"/>
        <w:keepNext w:val="0"/>
        <w:keepLines w:val="0"/>
        <w:pageBreakBefore w:val="0"/>
        <w:widowControl w:val="0"/>
        <w:numPr>
          <w:ilvl w:val="0"/>
          <w:numId w:val="22"/>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w:t>
      </w:r>
    </w:p>
    <w:p>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评标方法</w:t>
      </w:r>
    </w:p>
    <w:p>
      <w:pPr>
        <w:pStyle w:val="75"/>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val="0"/>
          <w:bCs/>
          <w:highlight w:val="none"/>
          <w:lang w:val="en-US" w:eastAsia="zh-CN"/>
        </w:rPr>
      </w:pPr>
      <w:r>
        <w:rPr>
          <w:rFonts w:hint="eastAsia" w:cs="Times New Roman"/>
          <w:b w:val="0"/>
          <w:bCs/>
          <w:highlight w:val="none"/>
          <w:lang w:val="en-US" w:eastAsia="zh-CN"/>
        </w:rPr>
        <w:t>评标方法（综合评分法）</w:t>
      </w:r>
    </w:p>
    <w:p>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本次招标采用综合评分法评标，即在最大限度地满足招标文件实质性要求的前提下，按照评分标准中规定的评分因素和评分细则进行综合评价、评分。</w:t>
      </w:r>
    </w:p>
    <w:p>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评标委员会各成员独立对每一份有效投标文件进行评价并对除报价以外的评分项目进行评分，报价得分由工作人员通过计算得出。</w:t>
      </w:r>
    </w:p>
    <w:p>
      <w:pPr>
        <w:pStyle w:val="72"/>
        <w:keepNext w:val="0"/>
        <w:keepLines w:val="0"/>
        <w:pageBreakBefore w:val="0"/>
        <w:widowControl w:val="0"/>
        <w:numPr>
          <w:ilvl w:val="0"/>
          <w:numId w:val="0"/>
        </w:numPr>
        <w:kinsoku/>
        <w:wordWrap/>
        <w:overflowPunct/>
        <w:topLinePunct w:val="0"/>
        <w:autoSpaceDE/>
        <w:autoSpaceDN/>
        <w:bidi w:val="0"/>
        <w:adjustRightInd/>
        <w:snapToGrid/>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投标人得分＝∑评委评价得分/评委人数＋商务标得分</w:t>
      </w:r>
    </w:p>
    <w:p>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评标流程</w:t>
      </w:r>
    </w:p>
    <w:p>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color w:val="000000"/>
          <w:sz w:val="21"/>
          <w:szCs w:val="21"/>
          <w:highlight w:val="none"/>
        </w:rPr>
      </w:pPr>
      <w:r>
        <w:rPr>
          <w:rFonts w:hint="eastAsia" w:ascii="宋体" w:hAnsi="宋体" w:eastAsia="宋体" w:cs="宋体"/>
          <w:b/>
          <w:color w:val="000000"/>
          <w:sz w:val="21"/>
          <w:szCs w:val="21"/>
          <w:highlight w:val="none"/>
        </w:rPr>
        <w:t>应标资格审查：在“中国重汽e采通”应标报名时，</w:t>
      </w:r>
      <w:r>
        <w:rPr>
          <w:rFonts w:hint="eastAsia" w:ascii="宋体" w:hAnsi="宋体" w:eastAsia="宋体" w:cs="宋体"/>
          <w:b/>
          <w:bCs/>
          <w:color w:val="000000"/>
          <w:sz w:val="21"/>
          <w:szCs w:val="21"/>
          <w:highlight w:val="none"/>
        </w:rPr>
        <w:t>按照第</w:t>
      </w:r>
      <w:r>
        <w:rPr>
          <w:rFonts w:hint="eastAsia" w:ascii="宋体" w:hAnsi="宋体" w:eastAsia="宋体" w:cs="宋体"/>
          <w:b/>
          <w:bCs/>
          <w:color w:val="000000"/>
          <w:sz w:val="21"/>
          <w:szCs w:val="21"/>
          <w:highlight w:val="none"/>
          <w:lang w:val="en-US" w:eastAsia="zh-CN"/>
        </w:rPr>
        <w:t>一</w:t>
      </w:r>
      <w:r>
        <w:rPr>
          <w:rFonts w:hint="eastAsia" w:ascii="宋体" w:hAnsi="宋体" w:eastAsia="宋体" w:cs="宋体"/>
          <w:b/>
          <w:bCs/>
          <w:color w:val="000000"/>
          <w:sz w:val="21"/>
          <w:szCs w:val="21"/>
          <w:highlight w:val="none"/>
        </w:rPr>
        <w:t>部分第</w:t>
      </w:r>
      <w:r>
        <w:rPr>
          <w:rFonts w:hint="eastAsia" w:ascii="宋体" w:hAnsi="宋体" w:eastAsia="宋体" w:cs="宋体"/>
          <w:b/>
          <w:bCs/>
          <w:color w:val="000000"/>
          <w:sz w:val="21"/>
          <w:szCs w:val="21"/>
          <w:highlight w:val="none"/>
          <w:lang w:val="en-US" w:eastAsia="zh-CN"/>
        </w:rPr>
        <w:t>四</w:t>
      </w:r>
      <w:r>
        <w:rPr>
          <w:rFonts w:hint="eastAsia" w:ascii="宋体" w:hAnsi="宋体" w:eastAsia="宋体" w:cs="宋体"/>
          <w:b/>
          <w:bCs/>
          <w:color w:val="000000"/>
          <w:sz w:val="21"/>
          <w:szCs w:val="21"/>
          <w:highlight w:val="none"/>
        </w:rPr>
        <w:t>条投标文件</w:t>
      </w:r>
      <w:r>
        <w:rPr>
          <w:rFonts w:hint="eastAsia" w:ascii="宋体" w:hAnsi="宋体" w:eastAsia="宋体" w:cs="宋体"/>
          <w:b/>
          <w:bCs/>
          <w:color w:val="000000"/>
          <w:sz w:val="21"/>
          <w:szCs w:val="21"/>
          <w:highlight w:val="none"/>
          <w:lang w:val="en-US" w:eastAsia="zh-CN"/>
        </w:rPr>
        <w:t>编制</w:t>
      </w:r>
      <w:r>
        <w:rPr>
          <w:rFonts w:hint="eastAsia" w:ascii="宋体" w:hAnsi="宋体" w:eastAsia="宋体" w:cs="宋体"/>
          <w:b/>
          <w:bCs/>
          <w:color w:val="000000"/>
          <w:sz w:val="21"/>
          <w:szCs w:val="21"/>
          <w:highlight w:val="none"/>
        </w:rPr>
        <w:t>资格证明文件中的1.1-1.1</w:t>
      </w:r>
      <w:r>
        <w:rPr>
          <w:rFonts w:hint="eastAsia" w:ascii="宋体" w:hAnsi="宋体" w:eastAsia="宋体" w:cs="宋体"/>
          <w:b/>
          <w:bCs/>
          <w:color w:val="000000"/>
          <w:sz w:val="21"/>
          <w:szCs w:val="21"/>
          <w:highlight w:val="none"/>
          <w:lang w:val="en-US" w:eastAsia="zh-CN"/>
        </w:rPr>
        <w:t>1</w:t>
      </w:r>
      <w:r>
        <w:rPr>
          <w:rFonts w:hint="eastAsia" w:ascii="宋体" w:hAnsi="宋体" w:eastAsia="宋体" w:cs="宋体"/>
          <w:b/>
          <w:bCs/>
          <w:color w:val="000000"/>
          <w:sz w:val="21"/>
          <w:szCs w:val="21"/>
          <w:highlight w:val="none"/>
        </w:rPr>
        <w:t>准备资料，上传完毕后，等待审核</w:t>
      </w:r>
      <w:r>
        <w:rPr>
          <w:rFonts w:hint="eastAsia" w:ascii="宋体" w:hAnsi="宋体" w:eastAsia="宋体" w:cs="宋体"/>
          <w:b/>
          <w:color w:val="000000"/>
          <w:sz w:val="21"/>
          <w:szCs w:val="21"/>
          <w:highlight w:val="none"/>
        </w:rPr>
        <w:t>；</w:t>
      </w:r>
      <w:r>
        <w:rPr>
          <w:rFonts w:hint="eastAsia" w:ascii="宋体" w:hAnsi="宋体" w:cs="宋体"/>
          <w:b/>
          <w:color w:val="000000"/>
          <w:sz w:val="21"/>
          <w:szCs w:val="21"/>
          <w:highlight w:val="none"/>
          <w:lang w:val="en-US" w:eastAsia="zh-CN"/>
        </w:rPr>
        <w:t>供应商需在系统上完成财务数据的填写，如因未在系统上提供财务数据，导致应标不通过，所造成的后果由供应商自行承担。</w:t>
      </w:r>
    </w:p>
    <w:p>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通过应标资格审查的单位进入投标环节，按照“SRM系统供应商用户手册”，在重汽e采通平台投递电子标书（包含资质标、技术标、商务标）；没有通过应标资质审查的单位不能进入投标环节；</w:t>
      </w:r>
    </w:p>
    <w:p>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资质标评审：资质标审核通过的单位，可以进入公开唱标环节；</w:t>
      </w:r>
    </w:p>
    <w:p>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公开唱标：公示资质标入围单位的开标价格及商务条款响应情况；</w:t>
      </w:r>
    </w:p>
    <w:p>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技术标评审：技术标评标专家组，通过重汽e采通，对各投标人的《投标文件（技术标）》进行综合评审；评审期间产生的技术澄清均由投标人在重汽e采通平台内完成提交；评审合格的单位进入商务标评审环节，评审不合格的单位被淘汰；具体</w:t>
      </w:r>
      <w:r>
        <w:rPr>
          <w:rFonts w:hint="eastAsia" w:ascii="宋体" w:hAnsi="宋体" w:eastAsia="宋体" w:cs="宋体"/>
          <w:b/>
          <w:bCs/>
          <w:color w:val="000000"/>
          <w:sz w:val="21"/>
          <w:szCs w:val="21"/>
          <w:highlight w:val="none"/>
          <w:lang w:val="en-US" w:eastAsia="zh-CN"/>
        </w:rPr>
        <w:t>评分详见</w:t>
      </w:r>
      <w:r>
        <w:rPr>
          <w:rFonts w:hint="eastAsia" w:ascii="宋体" w:hAnsi="宋体" w:eastAsia="宋体" w:cs="宋体"/>
          <w:b/>
          <w:bCs/>
          <w:color w:val="000000"/>
          <w:sz w:val="21"/>
          <w:szCs w:val="21"/>
          <w:highlight w:val="none"/>
        </w:rPr>
        <w:t>评分标准；</w:t>
      </w:r>
    </w:p>
    <w:p>
      <w:pPr>
        <w:keepNext w:val="0"/>
        <w:keepLines w:val="0"/>
        <w:pageBreakBefore w:val="0"/>
        <w:widowControl w:val="0"/>
        <w:numPr>
          <w:ilvl w:val="0"/>
          <w:numId w:val="25"/>
        </w:numPr>
        <w:kinsoku/>
        <w:wordWrap/>
        <w:overflowPunct/>
        <w:topLinePunct w:val="0"/>
        <w:autoSpaceDE/>
        <w:autoSpaceDN/>
        <w:bidi w:val="0"/>
        <w:adjustRightInd/>
        <w:snapToGrid/>
        <w:spacing w:line="360" w:lineRule="auto"/>
        <w:ind w:left="0" w:leftChars="0" w:firstLine="0" w:firstLineChars="0"/>
        <w:textAlignment w:val="auto"/>
        <w:rPr>
          <w:rFonts w:hint="eastAsia" w:ascii="宋体" w:hAnsi="宋体" w:eastAsia="宋体" w:cs="宋体"/>
          <w:b/>
          <w:bCs/>
          <w:color w:val="000000"/>
          <w:sz w:val="21"/>
          <w:szCs w:val="21"/>
          <w:highlight w:val="none"/>
        </w:rPr>
      </w:pPr>
      <w:r>
        <w:rPr>
          <w:rFonts w:hint="eastAsia" w:ascii="宋体" w:hAnsi="宋体" w:eastAsia="宋体" w:cs="宋体"/>
          <w:b/>
          <w:bCs/>
          <w:color w:val="000000"/>
          <w:sz w:val="21"/>
          <w:szCs w:val="21"/>
          <w:highlight w:val="none"/>
        </w:rPr>
        <w:t>商务标评审：商务条款相应确认→价格澄清→商务标评审；评审期间产生的商务价格澄清均由投标人在重汽e采通平台限时内完成提交；</w:t>
      </w:r>
    </w:p>
    <w:p>
      <w:pPr>
        <w:pStyle w:val="75"/>
        <w:keepNext w:val="0"/>
        <w:keepLines w:val="0"/>
        <w:pageBreakBefore w:val="0"/>
        <w:widowControl w:val="0"/>
        <w:numPr>
          <w:ilvl w:val="0"/>
          <w:numId w:val="16"/>
        </w:numPr>
        <w:kinsoku/>
        <w:wordWrap/>
        <w:overflowPunct/>
        <w:topLinePunct w:val="0"/>
        <w:autoSpaceDE/>
        <w:autoSpaceDN/>
        <w:bidi w:val="0"/>
        <w:adjustRightInd/>
        <w:snapToGrid/>
        <w:ind w:left="10" w:leftChars="0" w:firstLine="0"/>
        <w:textAlignment w:val="auto"/>
        <w:rPr>
          <w:rFonts w:hint="eastAsia" w:cs="Times New Roman"/>
          <w:b/>
          <w:bCs w:val="0"/>
          <w:highlight w:val="none"/>
        </w:rPr>
      </w:pPr>
      <w:r>
        <w:rPr>
          <w:rFonts w:hint="eastAsia" w:cs="Times New Roman"/>
          <w:b/>
          <w:bCs w:val="0"/>
          <w:highlight w:val="none"/>
        </w:rPr>
        <w:t>注意：投标人均需要自带笔记本电脑在重汽e采通进行自主投标和提交澄清函；投标和提交澄清函均有时间限制，超时未提交的按无效处理。</w:t>
      </w:r>
    </w:p>
    <w:p>
      <w:pPr>
        <w:pStyle w:val="72"/>
        <w:keepNext w:val="0"/>
        <w:keepLines w:val="0"/>
        <w:pageBreakBefore w:val="0"/>
        <w:widowControl w:val="0"/>
        <w:numPr>
          <w:ilvl w:val="0"/>
          <w:numId w:val="24"/>
        </w:numPr>
        <w:kinsoku/>
        <w:wordWrap/>
        <w:overflowPunct/>
        <w:topLinePunct w:val="0"/>
        <w:autoSpaceDE/>
        <w:autoSpaceDN/>
        <w:bidi w:val="0"/>
        <w:adjustRightInd/>
        <w:snapToGrid/>
        <w:ind w:left="0" w:leftChars="0" w:firstLine="0"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评分标准</w:t>
      </w:r>
    </w:p>
    <w:p>
      <w:pPr>
        <w:pStyle w:val="72"/>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outlineLvl w:val="1"/>
        <w:rPr>
          <w:rFonts w:hint="eastAsia" w:ascii="宋体" w:hAnsi="宋体" w:eastAsia="宋体" w:cs="宋体"/>
          <w:b w:val="0"/>
          <w:bCs w:val="0"/>
          <w:sz w:val="21"/>
          <w:szCs w:val="21"/>
          <w:highlight w:val="none"/>
          <w:lang w:val="en-US" w:eastAsia="zh-CN"/>
        </w:rPr>
      </w:pPr>
    </w:p>
    <w:p>
      <w:pPr>
        <w:pStyle w:val="72"/>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outlineLvl w:val="1"/>
        <w:rPr>
          <w:rFonts w:hint="eastAsia" w:ascii="宋体" w:hAnsi="宋体" w:eastAsia="宋体" w:cs="宋体"/>
          <w:b w:val="0"/>
          <w:bCs w:val="0"/>
          <w:sz w:val="21"/>
          <w:szCs w:val="21"/>
          <w:highlight w:val="none"/>
          <w:lang w:val="en-US" w:eastAsia="zh-CN"/>
        </w:rPr>
      </w:pPr>
    </w:p>
    <w:p>
      <w:pPr>
        <w:pStyle w:val="72"/>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outlineLvl w:val="1"/>
        <w:rPr>
          <w:rFonts w:hint="eastAsia" w:ascii="宋体" w:hAnsi="宋体" w:eastAsia="宋体" w:cs="宋体"/>
          <w:b w:val="0"/>
          <w:bCs w:val="0"/>
          <w:sz w:val="21"/>
          <w:szCs w:val="21"/>
          <w:highlight w:val="none"/>
          <w:lang w:val="en-US" w:eastAsia="zh-CN"/>
        </w:rPr>
      </w:pPr>
    </w:p>
    <w:p>
      <w:pPr>
        <w:pStyle w:val="72"/>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outlineLvl w:val="1"/>
        <w:rPr>
          <w:rFonts w:hint="eastAsia" w:ascii="宋体" w:hAnsi="宋体" w:eastAsia="宋体" w:cs="宋体"/>
          <w:b w:val="0"/>
          <w:bCs w:val="0"/>
          <w:sz w:val="21"/>
          <w:szCs w:val="21"/>
          <w:highlight w:val="none"/>
          <w:lang w:val="en-US" w:eastAsia="zh-CN"/>
        </w:rPr>
      </w:pPr>
    </w:p>
    <w:p>
      <w:pPr>
        <w:pStyle w:val="72"/>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outlineLvl w:val="1"/>
        <w:rPr>
          <w:rFonts w:hint="eastAsia" w:ascii="宋体" w:hAnsi="宋体" w:eastAsia="宋体" w:cs="宋体"/>
          <w:b w:val="0"/>
          <w:bCs w:val="0"/>
          <w:sz w:val="21"/>
          <w:szCs w:val="21"/>
          <w:highlight w:val="none"/>
          <w:lang w:val="en-US" w:eastAsia="zh-CN"/>
        </w:rPr>
      </w:pPr>
    </w:p>
    <w:p>
      <w:pPr>
        <w:pStyle w:val="72"/>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outlineLvl w:val="1"/>
        <w:rPr>
          <w:rFonts w:hint="eastAsia" w:ascii="宋体" w:hAnsi="宋体" w:eastAsia="宋体" w:cs="宋体"/>
          <w:b w:val="0"/>
          <w:bCs w:val="0"/>
          <w:sz w:val="21"/>
          <w:szCs w:val="21"/>
          <w:highlight w:val="none"/>
          <w:lang w:val="en-US" w:eastAsia="zh-CN"/>
        </w:rPr>
      </w:pPr>
    </w:p>
    <w:p>
      <w:pPr>
        <w:pStyle w:val="72"/>
        <w:keepNext w:val="0"/>
        <w:keepLines w:val="0"/>
        <w:pageBreakBefore w:val="0"/>
        <w:widowControl w:val="0"/>
        <w:numPr>
          <w:ilvl w:val="0"/>
          <w:numId w:val="0"/>
        </w:numPr>
        <w:kinsoku/>
        <w:wordWrap/>
        <w:overflowPunct/>
        <w:topLinePunct w:val="0"/>
        <w:autoSpaceDE/>
        <w:autoSpaceDN/>
        <w:bidi w:val="0"/>
        <w:adjustRightInd/>
        <w:snapToGrid/>
        <w:spacing w:line="360" w:lineRule="auto"/>
        <w:jc w:val="both"/>
        <w:textAlignment w:val="auto"/>
        <w:outlineLvl w:val="1"/>
        <w:rPr>
          <w:rFonts w:hint="eastAsia" w:ascii="宋体" w:hAnsi="宋体" w:eastAsia="宋体" w:cs="宋体"/>
          <w:b w:val="0"/>
          <w:bCs w:val="0"/>
          <w:sz w:val="21"/>
          <w:szCs w:val="21"/>
          <w:highlight w:val="none"/>
          <w:lang w:val="en-US" w:eastAsia="zh-CN"/>
        </w:rPr>
      </w:pPr>
    </w:p>
    <w:tbl>
      <w:tblPr>
        <w:tblStyle w:val="30"/>
        <w:tblW w:w="9623"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 w:type="dxa"/>
          <w:bottom w:w="0" w:type="dxa"/>
          <w:right w:w="10" w:type="dxa"/>
        </w:tblCellMar>
      </w:tblPr>
      <w:tblGrid>
        <w:gridCol w:w="976"/>
        <w:gridCol w:w="700"/>
        <w:gridCol w:w="1175"/>
        <w:gridCol w:w="938"/>
        <w:gridCol w:w="5834"/>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43" w:hRule="atLeast"/>
          <w:jc w:val="center"/>
        </w:trPr>
        <w:tc>
          <w:tcPr>
            <w:tcW w:w="976"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highlight w:val="none"/>
              </w:rPr>
            </w:pPr>
            <w:r>
              <w:rPr>
                <w:rFonts w:hint="eastAsia"/>
                <w:b/>
                <w:highlight w:val="none"/>
              </w:rPr>
              <w:t>评标因素</w:t>
            </w:r>
          </w:p>
        </w:tc>
        <w:tc>
          <w:tcPr>
            <w:tcW w:w="700"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rFonts w:hint="eastAsia" w:eastAsia="宋体"/>
                <w:b/>
                <w:szCs w:val="21"/>
                <w:highlight w:val="none"/>
                <w:lang w:eastAsia="zh-CN"/>
              </w:rPr>
            </w:pPr>
            <w:r>
              <w:rPr>
                <w:rFonts w:hint="eastAsia"/>
                <w:b/>
                <w:highlight w:val="none"/>
              </w:rPr>
              <w:t>总分</w:t>
            </w:r>
            <w:r>
              <w:rPr>
                <w:rFonts w:hint="eastAsia"/>
                <w:b/>
                <w:highlight w:val="none"/>
                <w:lang w:eastAsia="zh-CN"/>
              </w:rPr>
              <w:t>（</w:t>
            </w:r>
            <w:r>
              <w:rPr>
                <w:rFonts w:hint="eastAsia"/>
                <w:b/>
                <w:highlight w:val="none"/>
                <w:lang w:val="en-US" w:eastAsia="zh-CN"/>
              </w:rPr>
              <w:t>100</w:t>
            </w:r>
            <w:r>
              <w:rPr>
                <w:rFonts w:hint="eastAsia"/>
                <w:b/>
                <w:highlight w:val="none"/>
                <w:lang w:eastAsia="zh-CN"/>
              </w:rPr>
              <w:t>）</w:t>
            </w:r>
          </w:p>
        </w:tc>
        <w:tc>
          <w:tcPr>
            <w:tcW w:w="1175"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rFonts w:hint="eastAsia" w:eastAsia="宋体"/>
                <w:b/>
                <w:szCs w:val="21"/>
                <w:highlight w:val="none"/>
                <w:lang w:eastAsia="zh-CN"/>
              </w:rPr>
            </w:pPr>
            <w:r>
              <w:rPr>
                <w:rFonts w:hint="eastAsia"/>
                <w:b/>
                <w:highlight w:val="none"/>
              </w:rPr>
              <w:t>评审内容</w:t>
            </w:r>
          </w:p>
        </w:tc>
        <w:tc>
          <w:tcPr>
            <w:tcW w:w="938"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highlight w:val="none"/>
              </w:rPr>
            </w:pPr>
            <w:r>
              <w:rPr>
                <w:rFonts w:hint="eastAsia"/>
                <w:b/>
                <w:highlight w:val="none"/>
              </w:rPr>
              <w:t>最高得分</w:t>
            </w:r>
          </w:p>
        </w:tc>
        <w:tc>
          <w:tcPr>
            <w:tcW w:w="5834" w:type="dxa"/>
            <w:tcBorders>
              <w:top w:val="single" w:color="auto" w:sz="4" w:space="0"/>
              <w:left w:val="single" w:color="auto" w:sz="4" w:space="0"/>
              <w:bottom w:val="single" w:color="auto" w:sz="4" w:space="0"/>
              <w:right w:val="single" w:color="auto" w:sz="4" w:space="0"/>
            </w:tcBorders>
            <w:vAlign w:val="center"/>
          </w:tcPr>
          <w:p>
            <w:pPr>
              <w:spacing w:line="320" w:lineRule="exact"/>
              <w:ind w:right="34" w:rightChars="16"/>
              <w:jc w:val="center"/>
              <w:rPr>
                <w:b/>
                <w:szCs w:val="21"/>
                <w:highlight w:val="none"/>
              </w:rPr>
            </w:pPr>
            <w:r>
              <w:rPr>
                <w:rFonts w:hint="eastAsia"/>
                <w:b/>
                <w:highlight w:val="none"/>
              </w:rPr>
              <w:t>评分标准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853" w:hRule="atLeast"/>
          <w:jc w:val="center"/>
        </w:trPr>
        <w:tc>
          <w:tcPr>
            <w:tcW w:w="976" w:type="dxa"/>
            <w:vMerge w:val="restart"/>
            <w:tcBorders>
              <w:top w:val="single" w:color="auto" w:sz="4" w:space="0"/>
              <w:left w:val="single" w:color="auto" w:sz="4" w:space="0"/>
              <w:right w:val="single" w:color="auto" w:sz="4" w:space="0"/>
            </w:tcBorders>
            <w:vAlign w:val="center"/>
          </w:tcPr>
          <w:p>
            <w:pPr>
              <w:jc w:val="center"/>
              <w:rPr>
                <w:rFonts w:hint="eastAsia" w:ascii="宋体" w:hAnsi="宋体"/>
                <w:highlight w:val="none"/>
                <w:lang w:eastAsia="zh-CN"/>
              </w:rPr>
            </w:pPr>
            <w:r>
              <w:rPr>
                <w:rFonts w:hint="eastAsia" w:ascii="宋体" w:hAnsi="宋体"/>
                <w:highlight w:val="none"/>
              </w:rPr>
              <w:t>技术标</w:t>
            </w:r>
          </w:p>
        </w:tc>
        <w:tc>
          <w:tcPr>
            <w:tcW w:w="700" w:type="dxa"/>
            <w:vMerge w:val="restart"/>
            <w:tcBorders>
              <w:top w:val="single" w:color="auto" w:sz="4" w:space="0"/>
              <w:left w:val="single" w:color="auto" w:sz="4" w:space="0"/>
              <w:right w:val="single" w:color="auto" w:sz="4" w:space="0"/>
            </w:tcBorders>
            <w:vAlign w:val="center"/>
          </w:tcPr>
          <w:p>
            <w:pPr>
              <w:jc w:val="center"/>
              <w:rPr>
                <w:rFonts w:hint="eastAsia" w:ascii="宋体" w:hAnsi="宋体"/>
                <w:highlight w:val="none"/>
                <w:lang w:val="en-US" w:eastAsia="zh-CN"/>
              </w:rPr>
            </w:pPr>
            <w:r>
              <w:rPr>
                <w:rFonts w:hint="eastAsia" w:ascii="宋体" w:hAnsi="宋体"/>
                <w:highlight w:val="none"/>
                <w:lang w:val="en-US" w:eastAsia="zh-CN"/>
              </w:rPr>
              <w:t>100*</w:t>
            </w:r>
          </w:p>
          <w:p>
            <w:pPr>
              <w:jc w:val="center"/>
              <w:rPr>
                <w:rFonts w:hint="default" w:ascii="宋体" w:hAnsi="宋体"/>
                <w:highlight w:val="none"/>
                <w:lang w:val="en-US" w:eastAsia="zh-CN"/>
              </w:rPr>
            </w:pPr>
            <w:r>
              <w:rPr>
                <w:rFonts w:hint="eastAsia" w:ascii="宋体" w:hAnsi="宋体"/>
                <w:highlight w:val="none"/>
                <w:lang w:val="en-US" w:eastAsia="zh-CN"/>
              </w:rPr>
              <w:t>70%</w:t>
            </w:r>
          </w:p>
        </w:tc>
        <w:tc>
          <w:tcPr>
            <w:tcW w:w="1175" w:type="dxa"/>
            <w:tcBorders>
              <w:top w:val="single" w:color="auto" w:sz="4" w:space="0"/>
              <w:left w:val="single" w:color="auto" w:sz="4" w:space="0"/>
              <w:right w:val="single" w:color="auto" w:sz="4" w:space="0"/>
            </w:tcBorders>
            <w:vAlign w:val="center"/>
          </w:tcPr>
          <w:p>
            <w:pPr>
              <w:jc w:val="center"/>
              <w:rPr>
                <w:rFonts w:hint="eastAsia" w:ascii="宋体" w:hAnsi="宋体"/>
                <w:highlight w:val="none"/>
              </w:rPr>
            </w:pPr>
            <w:r>
              <w:rPr>
                <w:rFonts w:hint="eastAsia" w:ascii="宋体" w:hAnsi="宋体"/>
                <w:highlight w:val="none"/>
              </w:rPr>
              <w:t>技术参数</w:t>
            </w:r>
          </w:p>
        </w:tc>
        <w:tc>
          <w:tcPr>
            <w:tcW w:w="938" w:type="dxa"/>
            <w:tcBorders>
              <w:top w:val="single" w:color="auto" w:sz="4" w:space="0"/>
              <w:left w:val="single" w:color="auto" w:sz="4" w:space="0"/>
              <w:bottom w:val="single" w:color="auto" w:sz="4" w:space="0"/>
              <w:right w:val="single" w:color="auto" w:sz="4" w:space="0"/>
            </w:tcBorders>
            <w:vAlign w:val="center"/>
          </w:tcPr>
          <w:p>
            <w:pPr>
              <w:jc w:val="center"/>
              <w:rPr>
                <w:rFonts w:hint="default" w:ascii="宋体" w:hAnsi="宋体"/>
                <w:highlight w:val="none"/>
                <w:lang w:val="en-US" w:eastAsia="zh-CN"/>
              </w:rPr>
            </w:pPr>
            <w:r>
              <w:rPr>
                <w:rFonts w:hint="eastAsia" w:ascii="宋体" w:hAnsi="宋体"/>
                <w:highlight w:val="none"/>
              </w:rPr>
              <w:t>40</w:t>
            </w:r>
          </w:p>
        </w:tc>
        <w:tc>
          <w:tcPr>
            <w:tcW w:w="5834"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highlight w:val="none"/>
              </w:rPr>
            </w:pPr>
            <w:r>
              <w:rPr>
                <w:rFonts w:hint="eastAsia" w:ascii="宋体" w:hAnsi="宋体"/>
                <w:highlight w:val="none"/>
              </w:rPr>
              <w:t>投标文件中技术参数符合招标文件的要求</w:t>
            </w:r>
            <w:r>
              <w:rPr>
                <w:rFonts w:hint="eastAsia" w:ascii="宋体" w:hAnsi="宋体"/>
                <w:highlight w:val="none"/>
                <w:lang w:eastAsia="zh-CN"/>
              </w:rPr>
              <w:t>，</w:t>
            </w:r>
            <w:r>
              <w:rPr>
                <w:rFonts w:hint="eastAsia" w:ascii="宋体" w:hAnsi="宋体"/>
                <w:highlight w:val="none"/>
                <w:lang w:val="en-US" w:eastAsia="zh-CN"/>
              </w:rPr>
              <w:t>无偏离</w:t>
            </w:r>
            <w:r>
              <w:rPr>
                <w:rFonts w:hint="eastAsia" w:ascii="宋体" w:hAnsi="宋体"/>
                <w:highlight w:val="none"/>
              </w:rPr>
              <w:t>赋</w:t>
            </w:r>
            <w:r>
              <w:rPr>
                <w:rFonts w:hint="eastAsia" w:ascii="宋体" w:hAnsi="宋体"/>
                <w:highlight w:val="none"/>
                <w:lang w:val="en-US" w:eastAsia="zh-CN"/>
              </w:rPr>
              <w:t>3</w:t>
            </w:r>
            <w:r>
              <w:rPr>
                <w:rFonts w:hint="eastAsia" w:ascii="宋体" w:hAnsi="宋体"/>
                <w:highlight w:val="none"/>
              </w:rPr>
              <w:t>0分</w:t>
            </w:r>
            <w:r>
              <w:rPr>
                <w:rFonts w:hint="eastAsia" w:ascii="宋体" w:hAnsi="宋体"/>
                <w:highlight w:val="none"/>
                <w:lang w:eastAsia="zh-CN"/>
              </w:rPr>
              <w:t>。</w:t>
            </w:r>
            <w:r>
              <w:rPr>
                <w:rFonts w:hint="eastAsia" w:ascii="宋体" w:hAnsi="宋体"/>
                <w:highlight w:val="none"/>
                <w:lang w:val="en-US" w:eastAsia="zh-CN"/>
              </w:rPr>
              <w:t>其方案中有优于技术标书中标注具体参数内容，每项加2分，</w:t>
            </w:r>
            <w:r>
              <w:rPr>
                <w:rFonts w:hint="eastAsia" w:ascii="宋体" w:hAnsi="宋体"/>
                <w:highlight w:val="none"/>
                <w:lang w:eastAsia="zh-CN"/>
              </w:rPr>
              <w:t>本项</w:t>
            </w:r>
            <w:r>
              <w:rPr>
                <w:rFonts w:hint="eastAsia" w:ascii="宋体" w:hAnsi="宋体"/>
                <w:highlight w:val="none"/>
              </w:rPr>
              <w:t>得分上限</w:t>
            </w:r>
            <w:r>
              <w:rPr>
                <w:rFonts w:hint="eastAsia" w:ascii="宋体" w:hAnsi="宋体"/>
                <w:highlight w:val="none"/>
                <w:lang w:val="en-US" w:eastAsia="zh-CN"/>
              </w:rPr>
              <w:t>40</w:t>
            </w:r>
            <w:r>
              <w:rPr>
                <w:rFonts w:hint="eastAsia" w:ascii="宋体" w:hAnsi="宋体"/>
                <w:highlight w:val="none"/>
              </w:rPr>
              <w:t>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445" w:hRule="atLeast"/>
          <w:jc w:val="center"/>
        </w:trPr>
        <w:tc>
          <w:tcPr>
            <w:tcW w:w="976" w:type="dxa"/>
            <w:vMerge w:val="continue"/>
            <w:tcBorders>
              <w:left w:val="single" w:color="auto" w:sz="4" w:space="0"/>
              <w:right w:val="single" w:color="auto" w:sz="4" w:space="0"/>
            </w:tcBorders>
            <w:vAlign w:val="center"/>
          </w:tcPr>
          <w:p>
            <w:pPr>
              <w:jc w:val="center"/>
              <w:rPr>
                <w:rFonts w:hint="eastAsia" w:ascii="宋体" w:hAnsi="宋体"/>
                <w:highlight w:val="none"/>
              </w:rPr>
            </w:pPr>
          </w:p>
        </w:tc>
        <w:tc>
          <w:tcPr>
            <w:tcW w:w="700" w:type="dxa"/>
            <w:vMerge w:val="continue"/>
            <w:tcBorders>
              <w:left w:val="single" w:color="auto" w:sz="4" w:space="0"/>
              <w:right w:val="single" w:color="auto" w:sz="4" w:space="0"/>
            </w:tcBorders>
            <w:vAlign w:val="center"/>
          </w:tcPr>
          <w:p>
            <w:pPr>
              <w:jc w:val="center"/>
              <w:rPr>
                <w:rFonts w:hint="eastAsia" w:ascii="宋体" w:hAnsi="宋体"/>
                <w:highlight w:val="none"/>
              </w:rPr>
            </w:pPr>
          </w:p>
        </w:tc>
        <w:tc>
          <w:tcPr>
            <w:tcW w:w="1175"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highlight w:val="none"/>
              </w:rPr>
            </w:pPr>
            <w:r>
              <w:rPr>
                <w:rFonts w:hint="default" w:ascii="宋体" w:hAnsi="宋体"/>
                <w:highlight w:val="none"/>
              </w:rPr>
              <w:t>设备制造商装备制造能力、生产设备、加工工艺、完善程度</w:t>
            </w:r>
          </w:p>
        </w:tc>
        <w:tc>
          <w:tcPr>
            <w:tcW w:w="938" w:type="dxa"/>
            <w:tcBorders>
              <w:top w:val="single" w:color="auto" w:sz="4" w:space="0"/>
              <w:left w:val="single" w:color="auto" w:sz="4" w:space="0"/>
              <w:bottom w:val="nil"/>
              <w:right w:val="single" w:color="auto" w:sz="4" w:space="0"/>
            </w:tcBorders>
            <w:vAlign w:val="center"/>
          </w:tcPr>
          <w:p>
            <w:pPr>
              <w:jc w:val="center"/>
              <w:rPr>
                <w:rFonts w:hint="eastAsia" w:ascii="宋体" w:hAnsi="宋体"/>
                <w:highlight w:val="none"/>
              </w:rPr>
            </w:pPr>
            <w:r>
              <w:rPr>
                <w:rFonts w:hint="eastAsia" w:ascii="宋体" w:hAnsi="宋体"/>
                <w:highlight w:val="none"/>
              </w:rPr>
              <w:t>10</w:t>
            </w:r>
          </w:p>
        </w:tc>
        <w:tc>
          <w:tcPr>
            <w:tcW w:w="5834" w:type="dxa"/>
            <w:tcBorders>
              <w:top w:val="single" w:color="auto" w:sz="4" w:space="0"/>
              <w:left w:val="single" w:color="auto" w:sz="4" w:space="0"/>
              <w:bottom w:val="nil"/>
              <w:right w:val="single" w:color="auto" w:sz="4" w:space="0"/>
            </w:tcBorders>
            <w:vAlign w:val="center"/>
          </w:tcPr>
          <w:p>
            <w:pPr>
              <w:jc w:val="center"/>
              <w:rPr>
                <w:rFonts w:hint="eastAsia" w:ascii="宋体" w:hAnsi="宋体"/>
                <w:highlight w:val="none"/>
              </w:rPr>
            </w:pPr>
            <w:r>
              <w:rPr>
                <w:rFonts w:hint="eastAsia" w:ascii="宋体" w:hAnsi="宋体"/>
                <w:highlight w:val="none"/>
              </w:rPr>
              <w:t>对</w:t>
            </w:r>
            <w:r>
              <w:rPr>
                <w:rFonts w:hint="eastAsia" w:ascii="宋体" w:hAnsi="宋体"/>
                <w:highlight w:val="none"/>
                <w:lang w:val="en-US" w:eastAsia="zh-CN"/>
              </w:rPr>
              <w:t>设备制造商企业规模，业绩表现进行评价</w:t>
            </w:r>
            <w:r>
              <w:rPr>
                <w:rFonts w:hint="eastAsia" w:ascii="宋体" w:hAnsi="宋体"/>
                <w:highlight w:val="none"/>
              </w:rPr>
              <w:t>。</w:t>
            </w:r>
            <w:r>
              <w:rPr>
                <w:rFonts w:hint="eastAsia" w:ascii="宋体" w:hAnsi="宋体"/>
                <w:highlight w:val="none"/>
                <w:lang w:val="en-US" w:eastAsia="zh-CN"/>
              </w:rPr>
              <w:t>视情况赋0-10分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628" w:hRule="atLeast"/>
          <w:jc w:val="center"/>
        </w:trPr>
        <w:tc>
          <w:tcPr>
            <w:tcW w:w="976" w:type="dxa"/>
            <w:vMerge w:val="continue"/>
            <w:tcBorders>
              <w:left w:val="single" w:color="auto" w:sz="4" w:space="0"/>
              <w:right w:val="single" w:color="auto" w:sz="4" w:space="0"/>
            </w:tcBorders>
            <w:vAlign w:val="center"/>
          </w:tcPr>
          <w:p>
            <w:pPr>
              <w:jc w:val="center"/>
              <w:rPr>
                <w:rFonts w:hint="eastAsia" w:ascii="宋体" w:hAnsi="宋体"/>
                <w:highlight w:val="none"/>
              </w:rPr>
            </w:pPr>
          </w:p>
        </w:tc>
        <w:tc>
          <w:tcPr>
            <w:tcW w:w="700" w:type="dxa"/>
            <w:vMerge w:val="continue"/>
            <w:tcBorders>
              <w:left w:val="single" w:color="auto" w:sz="4" w:space="0"/>
              <w:right w:val="single" w:color="auto" w:sz="4" w:space="0"/>
            </w:tcBorders>
            <w:vAlign w:val="center"/>
          </w:tcPr>
          <w:p>
            <w:pPr>
              <w:jc w:val="center"/>
              <w:rPr>
                <w:rFonts w:hint="eastAsia" w:ascii="宋体" w:hAnsi="宋体"/>
                <w:highlight w:val="none"/>
              </w:rPr>
            </w:pPr>
          </w:p>
        </w:tc>
        <w:tc>
          <w:tcPr>
            <w:tcW w:w="1175"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highlight w:val="none"/>
              </w:rPr>
            </w:pPr>
            <w:r>
              <w:rPr>
                <w:rFonts w:hint="eastAsia" w:ascii="宋体" w:hAnsi="宋体"/>
                <w:highlight w:val="none"/>
                <w:lang w:val="en-US" w:eastAsia="zh-CN"/>
              </w:rPr>
              <w:t>产品寿命、易耗品数量</w:t>
            </w:r>
          </w:p>
        </w:tc>
        <w:tc>
          <w:tcPr>
            <w:tcW w:w="938" w:type="dxa"/>
            <w:tcBorders>
              <w:top w:val="single" w:color="auto" w:sz="4" w:space="0"/>
              <w:left w:val="single" w:color="auto" w:sz="4" w:space="0"/>
              <w:bottom w:val="nil"/>
              <w:right w:val="single" w:color="auto" w:sz="4" w:space="0"/>
            </w:tcBorders>
            <w:vAlign w:val="center"/>
          </w:tcPr>
          <w:p>
            <w:pPr>
              <w:jc w:val="center"/>
              <w:rPr>
                <w:rFonts w:hint="eastAsia" w:ascii="宋体" w:hAnsi="宋体"/>
                <w:highlight w:val="none"/>
              </w:rPr>
            </w:pPr>
            <w:r>
              <w:rPr>
                <w:rFonts w:hint="eastAsia" w:ascii="宋体" w:hAnsi="宋体"/>
                <w:highlight w:val="none"/>
                <w:lang w:val="en-US" w:eastAsia="zh-CN"/>
              </w:rPr>
              <w:t>5</w:t>
            </w:r>
          </w:p>
        </w:tc>
        <w:tc>
          <w:tcPr>
            <w:tcW w:w="5834" w:type="dxa"/>
            <w:tcBorders>
              <w:top w:val="single" w:color="auto" w:sz="4" w:space="0"/>
              <w:left w:val="single" w:color="auto" w:sz="4" w:space="0"/>
              <w:bottom w:val="nil"/>
              <w:right w:val="single" w:color="auto" w:sz="4" w:space="0"/>
            </w:tcBorders>
            <w:vAlign w:val="center"/>
          </w:tcPr>
          <w:p>
            <w:pPr>
              <w:jc w:val="center"/>
              <w:rPr>
                <w:rFonts w:hint="eastAsia" w:ascii="宋体" w:hAnsi="宋体"/>
                <w:highlight w:val="none"/>
              </w:rPr>
            </w:pPr>
            <w:r>
              <w:rPr>
                <w:rFonts w:hint="eastAsia" w:ascii="宋体" w:hAnsi="宋体"/>
                <w:highlight w:val="none"/>
                <w:lang w:val="en-US" w:eastAsia="zh-CN"/>
              </w:rPr>
              <w:t>考查供应商对产品寿命保证及提供易耗品清单数量，视情况赋0-5分</w:t>
            </w:r>
            <w:r>
              <w:rPr>
                <w:rFonts w:hint="eastAsia" w:ascii="宋体" w:hAnsi="宋体"/>
                <w:highlight w:val="none"/>
              </w:rPr>
              <w:t>。</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976" w:type="dxa"/>
            <w:vMerge w:val="continue"/>
            <w:tcBorders>
              <w:left w:val="single" w:color="auto" w:sz="4" w:space="0"/>
              <w:right w:val="single" w:color="auto" w:sz="4" w:space="0"/>
            </w:tcBorders>
            <w:vAlign w:val="center"/>
          </w:tcPr>
          <w:p>
            <w:pPr>
              <w:jc w:val="center"/>
              <w:rPr>
                <w:rFonts w:hint="eastAsia" w:ascii="宋体" w:hAnsi="宋体"/>
                <w:highlight w:val="none"/>
              </w:rPr>
            </w:pPr>
          </w:p>
        </w:tc>
        <w:tc>
          <w:tcPr>
            <w:tcW w:w="700" w:type="dxa"/>
            <w:vMerge w:val="continue"/>
            <w:tcBorders>
              <w:left w:val="single" w:color="auto" w:sz="4" w:space="0"/>
              <w:right w:val="single" w:color="auto" w:sz="4" w:space="0"/>
            </w:tcBorders>
            <w:vAlign w:val="center"/>
          </w:tcPr>
          <w:p>
            <w:pPr>
              <w:jc w:val="center"/>
              <w:rPr>
                <w:rFonts w:hint="eastAsia" w:ascii="宋体" w:hAnsi="宋体"/>
                <w:highlight w:val="none"/>
              </w:rPr>
            </w:pPr>
          </w:p>
        </w:tc>
        <w:tc>
          <w:tcPr>
            <w:tcW w:w="1175"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highlight w:val="none"/>
              </w:rPr>
            </w:pPr>
            <w:r>
              <w:rPr>
                <w:rFonts w:hint="eastAsia" w:ascii="宋体" w:hAnsi="宋体"/>
                <w:highlight w:val="none"/>
                <w:lang w:val="en-US" w:eastAsia="zh-CN"/>
              </w:rPr>
              <w:t>对项目了解情况</w:t>
            </w:r>
          </w:p>
        </w:tc>
        <w:tc>
          <w:tcPr>
            <w:tcW w:w="938" w:type="dxa"/>
            <w:tcBorders>
              <w:top w:val="single" w:color="auto" w:sz="4" w:space="0"/>
              <w:left w:val="single" w:color="auto" w:sz="4" w:space="0"/>
              <w:bottom w:val="nil"/>
              <w:right w:val="single" w:color="auto" w:sz="4" w:space="0"/>
            </w:tcBorders>
            <w:vAlign w:val="center"/>
          </w:tcPr>
          <w:p>
            <w:pPr>
              <w:jc w:val="center"/>
              <w:rPr>
                <w:rFonts w:hint="eastAsia" w:ascii="宋体" w:hAnsi="宋体"/>
                <w:highlight w:val="none"/>
                <w:lang w:val="en-US" w:eastAsia="zh-CN"/>
              </w:rPr>
            </w:pPr>
            <w:r>
              <w:rPr>
                <w:rFonts w:hint="eastAsia" w:ascii="宋体" w:hAnsi="宋体"/>
                <w:highlight w:val="none"/>
              </w:rPr>
              <w:t>10</w:t>
            </w:r>
          </w:p>
        </w:tc>
        <w:tc>
          <w:tcPr>
            <w:tcW w:w="5834" w:type="dxa"/>
            <w:tcBorders>
              <w:top w:val="single" w:color="auto" w:sz="4" w:space="0"/>
              <w:left w:val="single" w:color="auto" w:sz="4" w:space="0"/>
              <w:bottom w:val="nil"/>
              <w:right w:val="single" w:color="auto" w:sz="4" w:space="0"/>
            </w:tcBorders>
            <w:vAlign w:val="center"/>
          </w:tcPr>
          <w:p>
            <w:pPr>
              <w:jc w:val="center"/>
              <w:rPr>
                <w:rFonts w:hint="eastAsia" w:ascii="宋体" w:hAnsi="宋体"/>
                <w:highlight w:val="none"/>
              </w:rPr>
            </w:pPr>
            <w:r>
              <w:rPr>
                <w:rFonts w:hint="eastAsia" w:ascii="宋体" w:hAnsi="宋体"/>
                <w:highlight w:val="none"/>
                <w:lang w:val="en-US" w:eastAsia="zh-CN"/>
              </w:rPr>
              <w:t>根据供应商现场技术方案讲解过程中对本项目了解程度，视情况赋0-10分。</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976" w:type="dxa"/>
            <w:vMerge w:val="continue"/>
            <w:tcBorders>
              <w:left w:val="single" w:color="auto" w:sz="4" w:space="0"/>
              <w:right w:val="single" w:color="auto" w:sz="4" w:space="0"/>
            </w:tcBorders>
            <w:vAlign w:val="center"/>
          </w:tcPr>
          <w:p>
            <w:pPr>
              <w:jc w:val="center"/>
              <w:rPr>
                <w:rFonts w:hint="eastAsia" w:ascii="宋体" w:hAnsi="宋体"/>
                <w:highlight w:val="none"/>
              </w:rPr>
            </w:pPr>
          </w:p>
        </w:tc>
        <w:tc>
          <w:tcPr>
            <w:tcW w:w="700" w:type="dxa"/>
            <w:vMerge w:val="continue"/>
            <w:tcBorders>
              <w:left w:val="single" w:color="auto" w:sz="4" w:space="0"/>
              <w:right w:val="single" w:color="auto" w:sz="4" w:space="0"/>
            </w:tcBorders>
            <w:vAlign w:val="center"/>
          </w:tcPr>
          <w:p>
            <w:pPr>
              <w:jc w:val="center"/>
              <w:rPr>
                <w:rFonts w:hint="eastAsia" w:ascii="宋体" w:hAnsi="宋体"/>
                <w:highlight w:val="none"/>
              </w:rPr>
            </w:pPr>
          </w:p>
        </w:tc>
        <w:tc>
          <w:tcPr>
            <w:tcW w:w="1175"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highlight w:val="none"/>
              </w:rPr>
            </w:pPr>
            <w:r>
              <w:rPr>
                <w:rFonts w:hint="eastAsia" w:ascii="宋体" w:hAnsi="宋体"/>
                <w:highlight w:val="none"/>
                <w:lang w:val="en-US" w:eastAsia="zh-CN"/>
              </w:rPr>
              <w:t>售后服务及质保</w:t>
            </w:r>
          </w:p>
        </w:tc>
        <w:tc>
          <w:tcPr>
            <w:tcW w:w="938" w:type="dxa"/>
            <w:tcBorders>
              <w:top w:val="single" w:color="auto" w:sz="4" w:space="0"/>
              <w:left w:val="single" w:color="auto" w:sz="4" w:space="0"/>
              <w:bottom w:val="nil"/>
              <w:right w:val="single" w:color="auto" w:sz="4" w:space="0"/>
            </w:tcBorders>
            <w:vAlign w:val="center"/>
          </w:tcPr>
          <w:p>
            <w:pPr>
              <w:jc w:val="center"/>
              <w:rPr>
                <w:rFonts w:hint="eastAsia" w:ascii="宋体" w:hAnsi="宋体"/>
                <w:highlight w:val="none"/>
                <w:lang w:val="en-US" w:eastAsia="zh-CN"/>
              </w:rPr>
            </w:pPr>
            <w:r>
              <w:rPr>
                <w:rFonts w:hint="eastAsia" w:ascii="宋体" w:hAnsi="宋体"/>
                <w:highlight w:val="none"/>
                <w:lang w:val="en-US" w:eastAsia="zh-CN"/>
              </w:rPr>
              <w:t>15</w:t>
            </w:r>
          </w:p>
        </w:tc>
        <w:tc>
          <w:tcPr>
            <w:tcW w:w="5834" w:type="dxa"/>
            <w:tcBorders>
              <w:top w:val="single" w:color="auto" w:sz="4" w:space="0"/>
              <w:left w:val="single" w:color="auto" w:sz="4" w:space="0"/>
              <w:bottom w:val="nil"/>
              <w:right w:val="single" w:color="auto" w:sz="4" w:space="0"/>
            </w:tcBorders>
            <w:vAlign w:val="center"/>
          </w:tcPr>
          <w:p>
            <w:pPr>
              <w:jc w:val="center"/>
              <w:rPr>
                <w:rFonts w:hint="eastAsia" w:ascii="宋体" w:hAnsi="宋体"/>
                <w:highlight w:val="none"/>
              </w:rPr>
            </w:pPr>
            <w:r>
              <w:rPr>
                <w:rFonts w:hint="eastAsia" w:ascii="宋体" w:hAnsi="宋体"/>
                <w:highlight w:val="none"/>
                <w:lang w:val="en-US" w:eastAsia="zh-CN"/>
              </w:rPr>
              <w:t>根据供应商提供售后服务期限及条款，质保期限长短，情况赋0-15分</w:t>
            </w:r>
            <w:r>
              <w:rPr>
                <w:rFonts w:hint="eastAsia" w:ascii="宋体" w:hAnsi="宋体"/>
                <w:highlight w:val="none"/>
              </w:rPr>
              <w:t>。</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976" w:type="dxa"/>
            <w:vMerge w:val="continue"/>
            <w:tcBorders>
              <w:left w:val="single" w:color="auto" w:sz="4" w:space="0"/>
              <w:right w:val="single" w:color="auto" w:sz="4" w:space="0"/>
            </w:tcBorders>
            <w:vAlign w:val="center"/>
          </w:tcPr>
          <w:p>
            <w:pPr>
              <w:jc w:val="center"/>
              <w:rPr>
                <w:rFonts w:hint="eastAsia" w:ascii="宋体" w:hAnsi="宋体"/>
                <w:highlight w:val="none"/>
              </w:rPr>
            </w:pPr>
          </w:p>
        </w:tc>
        <w:tc>
          <w:tcPr>
            <w:tcW w:w="700" w:type="dxa"/>
            <w:vMerge w:val="continue"/>
            <w:tcBorders>
              <w:left w:val="single" w:color="auto" w:sz="4" w:space="0"/>
              <w:right w:val="single" w:color="auto" w:sz="4" w:space="0"/>
            </w:tcBorders>
            <w:vAlign w:val="center"/>
          </w:tcPr>
          <w:p>
            <w:pPr>
              <w:jc w:val="center"/>
              <w:rPr>
                <w:rFonts w:hint="eastAsia" w:ascii="宋体" w:hAnsi="宋体"/>
                <w:highlight w:val="none"/>
              </w:rPr>
            </w:pPr>
          </w:p>
        </w:tc>
        <w:tc>
          <w:tcPr>
            <w:tcW w:w="1175"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highlight w:val="none"/>
              </w:rPr>
            </w:pPr>
            <w:r>
              <w:rPr>
                <w:rFonts w:hint="eastAsia" w:ascii="宋体" w:hAnsi="宋体"/>
                <w:highlight w:val="none"/>
              </w:rPr>
              <w:t>技术培训方案</w:t>
            </w:r>
          </w:p>
        </w:tc>
        <w:tc>
          <w:tcPr>
            <w:tcW w:w="938" w:type="dxa"/>
            <w:tcBorders>
              <w:top w:val="single" w:color="auto" w:sz="4" w:space="0"/>
              <w:left w:val="single" w:color="auto" w:sz="4" w:space="0"/>
              <w:bottom w:val="nil"/>
              <w:right w:val="single" w:color="auto" w:sz="4" w:space="0"/>
            </w:tcBorders>
            <w:vAlign w:val="center"/>
          </w:tcPr>
          <w:p>
            <w:pPr>
              <w:jc w:val="center"/>
              <w:rPr>
                <w:rFonts w:hint="eastAsia" w:ascii="宋体" w:hAnsi="宋体"/>
                <w:highlight w:val="none"/>
              </w:rPr>
            </w:pPr>
            <w:r>
              <w:rPr>
                <w:rFonts w:hint="eastAsia" w:ascii="宋体" w:hAnsi="宋体"/>
                <w:highlight w:val="none"/>
                <w:lang w:val="en-US" w:eastAsia="zh-CN"/>
              </w:rPr>
              <w:t>10</w:t>
            </w:r>
          </w:p>
        </w:tc>
        <w:tc>
          <w:tcPr>
            <w:tcW w:w="5834" w:type="dxa"/>
            <w:tcBorders>
              <w:top w:val="single" w:color="auto" w:sz="4" w:space="0"/>
              <w:left w:val="single" w:color="auto" w:sz="4" w:space="0"/>
              <w:bottom w:val="nil"/>
              <w:right w:val="single" w:color="auto" w:sz="4" w:space="0"/>
            </w:tcBorders>
            <w:vAlign w:val="center"/>
          </w:tcPr>
          <w:p>
            <w:pPr>
              <w:jc w:val="center"/>
              <w:rPr>
                <w:rFonts w:hint="eastAsia" w:ascii="宋体" w:hAnsi="宋体"/>
                <w:highlight w:val="none"/>
              </w:rPr>
            </w:pPr>
            <w:r>
              <w:rPr>
                <w:rFonts w:hint="eastAsia" w:ascii="宋体" w:hAnsi="宋体"/>
                <w:highlight w:val="none"/>
                <w:lang w:val="en-US" w:eastAsia="zh-CN"/>
              </w:rPr>
              <w:t>根据供应商提供技术服务及培训期限，视情况赋0-10分</w:t>
            </w:r>
            <w:r>
              <w:rPr>
                <w:rFonts w:hint="eastAsia" w:ascii="宋体" w:hAnsi="宋体"/>
                <w:highlight w:val="none"/>
              </w:rPr>
              <w:t>。</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319" w:hRule="atLeast"/>
          <w:jc w:val="center"/>
        </w:trPr>
        <w:tc>
          <w:tcPr>
            <w:tcW w:w="976" w:type="dxa"/>
            <w:vMerge w:val="continue"/>
            <w:tcBorders>
              <w:left w:val="single" w:color="auto" w:sz="4" w:space="0"/>
              <w:bottom w:val="single" w:color="auto" w:sz="4" w:space="0"/>
              <w:right w:val="single" w:color="auto" w:sz="4" w:space="0"/>
            </w:tcBorders>
            <w:vAlign w:val="center"/>
          </w:tcPr>
          <w:p>
            <w:pPr>
              <w:jc w:val="center"/>
              <w:rPr>
                <w:rFonts w:hint="eastAsia" w:ascii="宋体" w:hAnsi="宋体"/>
                <w:highlight w:val="none"/>
              </w:rPr>
            </w:pPr>
          </w:p>
        </w:tc>
        <w:tc>
          <w:tcPr>
            <w:tcW w:w="700" w:type="dxa"/>
            <w:vMerge w:val="continue"/>
            <w:tcBorders>
              <w:left w:val="single" w:color="auto" w:sz="4" w:space="0"/>
              <w:bottom w:val="single" w:color="auto" w:sz="4" w:space="0"/>
              <w:right w:val="single" w:color="auto" w:sz="4" w:space="0"/>
            </w:tcBorders>
            <w:vAlign w:val="center"/>
          </w:tcPr>
          <w:p>
            <w:pPr>
              <w:jc w:val="center"/>
              <w:rPr>
                <w:rFonts w:hint="eastAsia" w:ascii="宋体" w:hAnsi="宋体"/>
                <w:highlight w:val="none"/>
              </w:rPr>
            </w:pPr>
          </w:p>
        </w:tc>
        <w:tc>
          <w:tcPr>
            <w:tcW w:w="1175" w:type="dxa"/>
            <w:tcBorders>
              <w:top w:val="single" w:color="auto" w:sz="4" w:space="0"/>
              <w:left w:val="single" w:color="auto" w:sz="4" w:space="0"/>
              <w:bottom w:val="single" w:color="auto" w:sz="4" w:space="0"/>
              <w:right w:val="single" w:color="auto" w:sz="4" w:space="0"/>
            </w:tcBorders>
            <w:vAlign w:val="center"/>
          </w:tcPr>
          <w:p>
            <w:pPr>
              <w:jc w:val="center"/>
              <w:rPr>
                <w:rFonts w:hint="default" w:ascii="宋体" w:hAnsi="宋体"/>
                <w:highlight w:val="none"/>
                <w:lang w:val="en-US" w:eastAsia="zh-CN"/>
              </w:rPr>
            </w:pPr>
            <w:r>
              <w:rPr>
                <w:rFonts w:hint="eastAsia" w:ascii="宋体" w:hAnsi="宋体"/>
                <w:highlight w:val="none"/>
                <w:lang w:val="en-US" w:eastAsia="zh-CN"/>
              </w:rPr>
              <w:t>供货时间</w:t>
            </w:r>
          </w:p>
        </w:tc>
        <w:tc>
          <w:tcPr>
            <w:tcW w:w="938" w:type="dxa"/>
            <w:tcBorders>
              <w:top w:val="single" w:color="auto" w:sz="4" w:space="0"/>
              <w:left w:val="single" w:color="auto" w:sz="4" w:space="0"/>
              <w:bottom w:val="nil"/>
              <w:right w:val="single" w:color="auto" w:sz="4" w:space="0"/>
            </w:tcBorders>
            <w:vAlign w:val="center"/>
          </w:tcPr>
          <w:p>
            <w:pPr>
              <w:jc w:val="center"/>
              <w:rPr>
                <w:rFonts w:hint="eastAsia" w:ascii="宋体" w:hAnsi="宋体"/>
                <w:highlight w:val="none"/>
                <w:lang w:val="en-US" w:eastAsia="zh-CN"/>
              </w:rPr>
            </w:pPr>
            <w:r>
              <w:rPr>
                <w:rFonts w:hint="eastAsia" w:ascii="宋体" w:hAnsi="宋体"/>
                <w:highlight w:val="none"/>
                <w:lang w:val="en-US" w:eastAsia="zh-CN"/>
              </w:rPr>
              <w:t>10</w:t>
            </w:r>
          </w:p>
        </w:tc>
        <w:tc>
          <w:tcPr>
            <w:tcW w:w="5834" w:type="dxa"/>
            <w:tcBorders>
              <w:top w:val="single" w:color="auto" w:sz="4" w:space="0"/>
              <w:left w:val="single" w:color="auto" w:sz="4" w:space="0"/>
              <w:bottom w:val="nil"/>
              <w:right w:val="single" w:color="auto" w:sz="4" w:space="0"/>
            </w:tcBorders>
            <w:vAlign w:val="center"/>
          </w:tcPr>
          <w:p>
            <w:pPr>
              <w:jc w:val="center"/>
              <w:rPr>
                <w:rFonts w:hint="eastAsia" w:ascii="宋体" w:hAnsi="宋体"/>
                <w:highlight w:val="none"/>
              </w:rPr>
            </w:pPr>
            <w:r>
              <w:rPr>
                <w:rFonts w:hint="eastAsia" w:ascii="宋体" w:hAnsi="宋体"/>
                <w:highlight w:val="none"/>
                <w:lang w:val="en-US" w:eastAsia="zh-CN"/>
              </w:rPr>
              <w:t>根据供货时间长短，视情况赋0-10分</w:t>
            </w:r>
            <w:r>
              <w:rPr>
                <w:rFonts w:hint="eastAsia" w:ascii="宋体" w:hAnsi="宋体"/>
                <w:highlight w:val="none"/>
              </w:rPr>
              <w:t>。</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1110" w:hRule="atLeast"/>
          <w:jc w:val="center"/>
        </w:trPr>
        <w:tc>
          <w:tcPr>
            <w:tcW w:w="976"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highlight w:val="none"/>
                <w:lang w:eastAsia="zh-CN"/>
              </w:rPr>
            </w:pPr>
            <w:r>
              <w:rPr>
                <w:rFonts w:hint="eastAsia" w:ascii="宋体" w:hAnsi="宋体"/>
                <w:highlight w:val="none"/>
              </w:rPr>
              <w:t>商务标</w:t>
            </w:r>
          </w:p>
        </w:tc>
        <w:tc>
          <w:tcPr>
            <w:tcW w:w="700"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highlight w:val="none"/>
                <w:lang w:val="en-US" w:eastAsia="zh-CN"/>
              </w:rPr>
            </w:pPr>
            <w:r>
              <w:rPr>
                <w:rFonts w:hint="eastAsia" w:ascii="宋体" w:hAnsi="宋体"/>
                <w:highlight w:val="none"/>
                <w:lang w:val="en-US" w:eastAsia="zh-CN"/>
              </w:rPr>
              <w:t>100*</w:t>
            </w:r>
          </w:p>
          <w:p>
            <w:pPr>
              <w:jc w:val="center"/>
              <w:rPr>
                <w:rFonts w:hint="default" w:ascii="宋体" w:hAnsi="宋体"/>
                <w:highlight w:val="none"/>
                <w:lang w:val="en-US"/>
              </w:rPr>
            </w:pPr>
            <w:r>
              <w:rPr>
                <w:rFonts w:hint="eastAsia" w:ascii="宋体" w:hAnsi="宋体"/>
                <w:highlight w:val="none"/>
                <w:lang w:val="en-US" w:eastAsia="zh-CN"/>
              </w:rPr>
              <w:t>30%</w:t>
            </w:r>
          </w:p>
        </w:tc>
        <w:tc>
          <w:tcPr>
            <w:tcW w:w="1175" w:type="dxa"/>
            <w:tcBorders>
              <w:top w:val="single" w:color="auto" w:sz="4" w:space="0"/>
              <w:left w:val="single" w:color="auto" w:sz="4" w:space="0"/>
              <w:bottom w:val="single" w:color="auto" w:sz="4" w:space="0"/>
              <w:right w:val="single" w:color="auto" w:sz="4" w:space="0"/>
            </w:tcBorders>
            <w:vAlign w:val="center"/>
          </w:tcPr>
          <w:p>
            <w:pPr>
              <w:jc w:val="center"/>
              <w:rPr>
                <w:rFonts w:hint="eastAsia" w:ascii="宋体" w:hAnsi="宋体"/>
                <w:highlight w:val="none"/>
              </w:rPr>
            </w:pPr>
            <w:r>
              <w:rPr>
                <w:rFonts w:hint="eastAsia" w:ascii="宋体" w:hAnsi="宋体"/>
                <w:highlight w:val="none"/>
              </w:rPr>
              <w:t>投标报价</w:t>
            </w:r>
          </w:p>
        </w:tc>
        <w:tc>
          <w:tcPr>
            <w:tcW w:w="938" w:type="dxa"/>
            <w:tcBorders>
              <w:top w:val="single" w:color="auto" w:sz="4" w:space="0"/>
              <w:left w:val="single" w:color="auto" w:sz="4" w:space="0"/>
              <w:bottom w:val="nil"/>
              <w:right w:val="single" w:color="auto" w:sz="4" w:space="0"/>
            </w:tcBorders>
            <w:vAlign w:val="center"/>
          </w:tcPr>
          <w:p>
            <w:pPr>
              <w:jc w:val="center"/>
              <w:rPr>
                <w:rFonts w:hint="default" w:ascii="宋体" w:hAnsi="宋体"/>
                <w:highlight w:val="none"/>
                <w:lang w:val="en-US" w:eastAsia="zh-CN"/>
              </w:rPr>
            </w:pPr>
            <w:r>
              <w:rPr>
                <w:rFonts w:hint="eastAsia" w:ascii="宋体" w:hAnsi="宋体"/>
                <w:highlight w:val="none"/>
                <w:lang w:val="en-US" w:eastAsia="zh-CN"/>
              </w:rPr>
              <w:t>100</w:t>
            </w:r>
          </w:p>
        </w:tc>
        <w:tc>
          <w:tcPr>
            <w:tcW w:w="5834" w:type="dxa"/>
            <w:tcBorders>
              <w:top w:val="single" w:color="auto" w:sz="4" w:space="0"/>
              <w:left w:val="single" w:color="auto" w:sz="4" w:space="0"/>
              <w:bottom w:val="nil"/>
              <w:right w:val="single" w:color="auto" w:sz="4" w:space="0"/>
            </w:tcBorders>
            <w:vAlign w:val="center"/>
          </w:tcPr>
          <w:p>
            <w:pPr>
              <w:jc w:val="center"/>
              <w:rPr>
                <w:rFonts w:hint="eastAsia" w:ascii="宋体" w:hAnsi="宋体"/>
                <w:highlight w:val="none"/>
              </w:rPr>
            </w:pPr>
            <w:r>
              <w:rPr>
                <w:rFonts w:hint="eastAsia" w:ascii="宋体" w:hAnsi="宋体"/>
                <w:highlight w:val="none"/>
              </w:rPr>
              <w:t>1.商务标得分=当前轮次最低价/供方投标价X商务标总分。</w:t>
            </w:r>
          </w:p>
          <w:p>
            <w:pPr>
              <w:jc w:val="center"/>
              <w:rPr>
                <w:rFonts w:hint="eastAsia" w:ascii="宋体" w:hAnsi="宋体"/>
                <w:highlight w:val="none"/>
              </w:rPr>
            </w:pPr>
            <w:r>
              <w:rPr>
                <w:rFonts w:hint="eastAsia" w:ascii="宋体" w:hAnsi="宋体"/>
                <w:highlight w:val="none"/>
              </w:rPr>
              <w:t>2.评标价格均以元（RMB）为单位计算，百分率、得分值小数点后保留二位，第三位四舍五入。</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 w:type="dxa"/>
            <w:bottom w:w="0" w:type="dxa"/>
            <w:right w:w="10" w:type="dxa"/>
          </w:tblCellMar>
        </w:tblPrEx>
        <w:trPr>
          <w:trHeight w:val="2797" w:hRule="atLeast"/>
          <w:jc w:val="center"/>
        </w:trPr>
        <w:tc>
          <w:tcPr>
            <w:tcW w:w="9623" w:type="dxa"/>
            <w:gridSpan w:val="5"/>
            <w:tcBorders>
              <w:top w:val="single" w:color="auto" w:sz="4" w:space="0"/>
              <w:left w:val="single" w:color="auto" w:sz="4" w:space="0"/>
              <w:bottom w:val="single" w:color="auto" w:sz="4" w:space="0"/>
              <w:right w:val="single" w:color="auto" w:sz="4" w:space="0"/>
            </w:tcBorders>
            <w:vAlign w:val="center"/>
          </w:tcPr>
          <w:p>
            <w:pPr>
              <w:rPr>
                <w:rFonts w:ascii="宋体"/>
                <w:szCs w:val="21"/>
                <w:highlight w:val="none"/>
              </w:rPr>
            </w:pPr>
            <w:r>
              <w:rPr>
                <w:rFonts w:hint="eastAsia" w:ascii="宋体" w:hAnsi="宋体"/>
                <w:highlight w:val="none"/>
              </w:rPr>
              <w:t>备注：</w:t>
            </w:r>
          </w:p>
          <w:p>
            <w:pPr>
              <w:rPr>
                <w:rFonts w:ascii="宋体"/>
                <w:highlight w:val="none"/>
              </w:rPr>
            </w:pPr>
            <w:r>
              <w:rPr>
                <w:rFonts w:hint="eastAsia" w:ascii="宋体" w:hAnsi="宋体"/>
                <w:highlight w:val="none"/>
              </w:rPr>
              <w:t>1、通过初审者为有效投标。</w:t>
            </w:r>
          </w:p>
          <w:p>
            <w:pPr>
              <w:rPr>
                <w:rFonts w:hint="eastAsia" w:ascii="宋体" w:hAnsi="宋体"/>
                <w:highlight w:val="none"/>
              </w:rPr>
            </w:pPr>
            <w:r>
              <w:rPr>
                <w:rFonts w:hint="eastAsia" w:ascii="宋体" w:hAnsi="宋体"/>
                <w:highlight w:val="none"/>
              </w:rPr>
              <w:t>2、</w:t>
            </w:r>
            <w:r>
              <w:rPr>
                <w:rFonts w:hint="eastAsia" w:ascii="??" w:hAnsi="??"/>
                <w:highlight w:val="none"/>
              </w:rPr>
              <w:t>综合评价值相同的，依照价格、技术、商务、服务及其他评价内容的优先次序，根据分项评价值进行排名。</w:t>
            </w:r>
            <w:r>
              <w:rPr>
                <w:rFonts w:hint="eastAsia" w:ascii="宋体" w:hAnsi="宋体"/>
                <w:highlight w:val="none"/>
              </w:rPr>
              <w:t>若上述排名皆相同的，则由全体评委成员无记名投票，得票高者排序在前。</w:t>
            </w:r>
          </w:p>
          <w:p>
            <w:pPr>
              <w:rPr>
                <w:rFonts w:hint="eastAsia" w:ascii="宋体" w:hAnsi="宋体"/>
                <w:highlight w:val="none"/>
              </w:rPr>
            </w:pPr>
            <w:r>
              <w:rPr>
                <w:rFonts w:hint="eastAsia" w:ascii="宋体" w:hAnsi="宋体"/>
                <w:highlight w:val="none"/>
              </w:rPr>
              <w:t>3、评委打分超过得分界限或未按本方法赋分时，该评委的打分按废票处理。</w:t>
            </w:r>
          </w:p>
          <w:p>
            <w:pPr>
              <w:rPr>
                <w:rFonts w:ascii="宋体"/>
                <w:szCs w:val="21"/>
                <w:highlight w:val="none"/>
              </w:rPr>
            </w:pPr>
            <w:r>
              <w:rPr>
                <w:rFonts w:hint="eastAsia" w:ascii="宋体" w:hAnsi="宋体"/>
                <w:highlight w:val="none"/>
              </w:rPr>
              <w:t>4、投标人提交的投标文件和资料必须真实有效。合同签订前，招标人有权组织联合小组（财务、技术、设备、质量等）到中标候选人实地审核，如发现投标文件和资料有弄虚作假，招标人有权取消其中标候选人资格，同时招标人有权扣留其投标保证金。</w:t>
            </w:r>
          </w:p>
        </w:tc>
      </w:tr>
    </w:tbl>
    <w:p>
      <w:pPr>
        <w:pStyle w:val="72"/>
        <w:numPr>
          <w:ilvl w:val="0"/>
          <w:numId w:val="0"/>
        </w:numPr>
        <w:rPr>
          <w:rFonts w:hint="default" w:ascii="宋体" w:hAnsi="宋体" w:eastAsia="宋体" w:cs="宋体"/>
          <w:b w:val="0"/>
          <w:bCs w:val="0"/>
          <w:sz w:val="24"/>
          <w:szCs w:val="24"/>
          <w:highlight w:val="none"/>
          <w:lang w:val="en-US" w:eastAsia="zh-CN"/>
        </w:rPr>
      </w:pPr>
    </w:p>
    <w:p>
      <w:pPr>
        <w:pStyle w:val="72"/>
        <w:numPr>
          <w:ilvl w:val="0"/>
          <w:numId w:val="0"/>
        </w:numPr>
        <w:rPr>
          <w:rFonts w:hint="default" w:ascii="宋体" w:hAnsi="宋体" w:eastAsia="宋体" w:cs="宋体"/>
          <w:b w:val="0"/>
          <w:bCs w:val="0"/>
          <w:sz w:val="24"/>
          <w:szCs w:val="24"/>
          <w:highlight w:val="none"/>
          <w:lang w:val="en-US" w:eastAsia="zh-CN"/>
        </w:rPr>
      </w:pPr>
    </w:p>
    <w:p>
      <w:pPr>
        <w:pStyle w:val="72"/>
        <w:numPr>
          <w:ilvl w:val="0"/>
          <w:numId w:val="0"/>
        </w:numPr>
        <w:rPr>
          <w:rFonts w:hint="default" w:ascii="宋体" w:hAnsi="宋体" w:eastAsia="宋体" w:cs="宋体"/>
          <w:b w:val="0"/>
          <w:bCs w:val="0"/>
          <w:sz w:val="24"/>
          <w:szCs w:val="24"/>
          <w:highlight w:val="none"/>
          <w:lang w:val="en-US" w:eastAsia="zh-CN"/>
        </w:rPr>
      </w:pPr>
    </w:p>
    <w:p>
      <w:pPr>
        <w:pStyle w:val="72"/>
        <w:numPr>
          <w:ilvl w:val="0"/>
          <w:numId w:val="0"/>
        </w:numPr>
        <w:rPr>
          <w:rFonts w:hint="default" w:ascii="宋体" w:hAnsi="宋体" w:eastAsia="宋体" w:cs="宋体"/>
          <w:b w:val="0"/>
          <w:bCs w:val="0"/>
          <w:sz w:val="24"/>
          <w:szCs w:val="24"/>
          <w:highlight w:val="none"/>
          <w:lang w:val="en-US" w:eastAsia="zh-CN"/>
        </w:rPr>
      </w:pPr>
    </w:p>
    <w:p>
      <w:pPr>
        <w:pStyle w:val="72"/>
        <w:numPr>
          <w:ilvl w:val="0"/>
          <w:numId w:val="0"/>
        </w:numPr>
        <w:rPr>
          <w:rFonts w:hint="default" w:ascii="宋体" w:hAnsi="宋体" w:eastAsia="宋体" w:cs="宋体"/>
          <w:b w:val="0"/>
          <w:bCs w:val="0"/>
          <w:sz w:val="24"/>
          <w:szCs w:val="24"/>
          <w:highlight w:val="none"/>
          <w:lang w:val="en-US" w:eastAsia="zh-CN"/>
        </w:rPr>
      </w:pPr>
    </w:p>
    <w:p>
      <w:pPr>
        <w:pStyle w:val="72"/>
        <w:numPr>
          <w:ilvl w:val="0"/>
          <w:numId w:val="0"/>
        </w:numPr>
        <w:rPr>
          <w:rFonts w:hint="default" w:ascii="宋体" w:hAnsi="宋体" w:eastAsia="宋体" w:cs="宋体"/>
          <w:b w:val="0"/>
          <w:bCs w:val="0"/>
          <w:sz w:val="24"/>
          <w:szCs w:val="24"/>
          <w:highlight w:val="none"/>
          <w:lang w:val="en-US" w:eastAsia="zh-CN"/>
        </w:rPr>
      </w:pPr>
    </w:p>
    <w:p>
      <w:pPr>
        <w:pStyle w:val="72"/>
        <w:numPr>
          <w:ilvl w:val="0"/>
          <w:numId w:val="0"/>
        </w:numPr>
        <w:rPr>
          <w:rFonts w:hint="default" w:ascii="宋体" w:hAnsi="宋体" w:eastAsia="宋体" w:cs="宋体"/>
          <w:b w:val="0"/>
          <w:bCs w:val="0"/>
          <w:sz w:val="24"/>
          <w:szCs w:val="24"/>
          <w:highlight w:val="none"/>
          <w:lang w:val="en-US" w:eastAsia="zh-CN"/>
        </w:rPr>
      </w:pPr>
    </w:p>
    <w:p>
      <w:pPr>
        <w:pStyle w:val="72"/>
        <w:numPr>
          <w:ilvl w:val="0"/>
          <w:numId w:val="0"/>
        </w:numPr>
        <w:rPr>
          <w:rFonts w:hint="default" w:ascii="宋体" w:hAnsi="宋体" w:eastAsia="宋体" w:cs="宋体"/>
          <w:b w:val="0"/>
          <w:bCs w:val="0"/>
          <w:sz w:val="24"/>
          <w:szCs w:val="24"/>
          <w:highlight w:val="none"/>
          <w:lang w:val="en-US" w:eastAsia="zh-CN"/>
        </w:rPr>
      </w:pPr>
    </w:p>
    <w:p>
      <w:pPr>
        <w:pStyle w:val="72"/>
        <w:rPr>
          <w:highlight w:val="none"/>
        </w:rPr>
      </w:pPr>
      <w:r>
        <w:rPr>
          <w:rFonts w:hint="eastAsia"/>
          <w:highlight w:val="none"/>
          <w:lang w:val="en-US" w:eastAsia="zh-CN"/>
        </w:rPr>
        <w:t>定标</w:t>
      </w:r>
    </w:p>
    <w:p>
      <w:pPr>
        <w:pStyle w:val="72"/>
        <w:keepNext w:val="0"/>
        <w:keepLines w:val="0"/>
        <w:pageBreakBefore w:val="0"/>
        <w:widowControl w:val="0"/>
        <w:numPr>
          <w:ilvl w:val="0"/>
          <w:numId w:val="0"/>
        </w:numPr>
        <w:kinsoku/>
        <w:wordWrap/>
        <w:overflowPunct/>
        <w:topLinePunct w:val="0"/>
        <w:autoSpaceDE/>
        <w:autoSpaceDN/>
        <w:bidi w:val="0"/>
        <w:adjustRightInd/>
        <w:snapToGrid/>
        <w:ind w:leftChars="0" w:firstLine="0" w:firstLineChars="0"/>
        <w:textAlignment w:val="auto"/>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本项目只产生</w:t>
      </w:r>
      <w:r>
        <w:rPr>
          <w:rFonts w:hint="eastAsia" w:ascii="宋体" w:hAnsi="宋体" w:eastAsia="宋体" w:cs="宋体"/>
          <w:b w:val="0"/>
          <w:bCs w:val="0"/>
          <w:sz w:val="21"/>
          <w:szCs w:val="21"/>
          <w:highlight w:val="none"/>
          <w:u w:val="single"/>
          <w:lang w:val="en-US" w:eastAsia="zh-CN"/>
        </w:rPr>
        <w:t>1</w:t>
      </w:r>
      <w:r>
        <w:rPr>
          <w:rFonts w:hint="eastAsia" w:ascii="宋体" w:hAnsi="宋体" w:eastAsia="宋体" w:cs="宋体"/>
          <w:b w:val="0"/>
          <w:bCs w:val="0"/>
          <w:sz w:val="21"/>
          <w:szCs w:val="21"/>
          <w:highlight w:val="none"/>
        </w:rPr>
        <w:t>个中标人。中标人签订合同前须进行最终审查。最终审查的对象</w:t>
      </w:r>
      <w:r>
        <w:rPr>
          <w:rFonts w:hint="eastAsia" w:ascii="宋体" w:hAnsi="宋体" w:eastAsia="宋体" w:cs="宋体"/>
          <w:b w:val="0"/>
          <w:bCs w:val="0"/>
          <w:sz w:val="21"/>
          <w:szCs w:val="21"/>
          <w:highlight w:val="none"/>
          <w:lang w:val="en-US" w:eastAsia="zh-CN"/>
        </w:rPr>
        <w:t>是</w:t>
      </w:r>
      <w:r>
        <w:rPr>
          <w:rFonts w:hint="eastAsia" w:ascii="宋体" w:hAnsi="宋体" w:eastAsia="宋体" w:cs="宋体"/>
          <w:b w:val="0"/>
          <w:bCs w:val="0"/>
          <w:sz w:val="21"/>
          <w:szCs w:val="21"/>
          <w:highlight w:val="none"/>
        </w:rPr>
        <w:t>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b w:val="0"/>
          <w:bCs w:val="0"/>
          <w:sz w:val="21"/>
          <w:szCs w:val="21"/>
          <w:highlight w:val="none"/>
          <w:lang w:val="en-US" w:eastAsia="zh-CN"/>
        </w:rPr>
        <w:t>的</w:t>
      </w:r>
      <w:r>
        <w:rPr>
          <w:rFonts w:hint="eastAsia" w:ascii="宋体" w:hAnsi="宋体" w:eastAsia="宋体" w:cs="宋体"/>
          <w:b w:val="0"/>
          <w:bCs w:val="0"/>
          <w:sz w:val="21"/>
          <w:szCs w:val="21"/>
          <w:highlight w:val="none"/>
        </w:rPr>
        <w:t>，则本次评标作废</w:t>
      </w:r>
      <w:r>
        <w:rPr>
          <w:rFonts w:hint="eastAsia" w:ascii="宋体" w:hAnsi="宋体" w:eastAsia="宋体" w:cs="宋体"/>
          <w:b w:val="0"/>
          <w:bCs w:val="0"/>
          <w:sz w:val="21"/>
          <w:szCs w:val="21"/>
          <w:highlight w:val="none"/>
          <w:lang w:val="en-US" w:eastAsia="zh-CN"/>
        </w:rPr>
        <w:t>或变更意向中标人</w:t>
      </w:r>
      <w:r>
        <w:rPr>
          <w:rFonts w:hint="eastAsia" w:ascii="宋体" w:hAnsi="宋体" w:eastAsia="宋体" w:cs="宋体"/>
          <w:b w:val="0"/>
          <w:bCs w:val="0"/>
          <w:sz w:val="21"/>
          <w:szCs w:val="21"/>
          <w:highlight w:val="none"/>
          <w:lang w:eastAsia="zh-CN"/>
        </w:rPr>
        <w:t>。</w:t>
      </w:r>
    </w:p>
    <w:p>
      <w:pPr>
        <w:pStyle w:val="72"/>
        <w:rPr>
          <w:highlight w:val="none"/>
        </w:rPr>
      </w:pPr>
      <w:r>
        <w:rPr>
          <w:rFonts w:hint="eastAsia"/>
          <w:highlight w:val="none"/>
          <w:lang w:val="en-US" w:eastAsia="zh-CN"/>
        </w:rPr>
        <w:t>废标及终止招标</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1.</w:t>
      </w:r>
      <w:r>
        <w:rPr>
          <w:rFonts w:hint="eastAsia" w:ascii="宋体" w:hAnsi="宋体" w:eastAsia="宋体" w:cs="宋体"/>
          <w:color w:val="000000"/>
          <w:sz w:val="21"/>
          <w:szCs w:val="21"/>
          <w:highlight w:val="none"/>
        </w:rPr>
        <w:t>投标人有下列情形之一，其投标将被视为废标，招标人将严格按照《中华人民共和国招标投标法》及相关法律、法规及规章制度的规定行使权利。投标人给招标人造成损失的，招标人有索赔的权利，投标人应予以赔偿。</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(1)</w:t>
      </w:r>
      <w:r>
        <w:rPr>
          <w:rFonts w:hint="eastAsia" w:ascii="宋体" w:hAnsi="宋体" w:eastAsia="宋体" w:cs="宋体"/>
          <w:color w:val="000000"/>
          <w:sz w:val="21"/>
          <w:szCs w:val="21"/>
          <w:highlight w:val="none"/>
        </w:rPr>
        <w:t>投标人提供的有关资格、资质证明文件不合格、不真实或提供虚假投标材料；</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(2)</w:t>
      </w:r>
      <w:r>
        <w:rPr>
          <w:rFonts w:hint="eastAsia" w:ascii="宋体" w:hAnsi="宋体" w:eastAsia="宋体" w:cs="宋体"/>
          <w:color w:val="000000"/>
          <w:sz w:val="21"/>
          <w:szCs w:val="21"/>
          <w:highlight w:val="none"/>
        </w:rPr>
        <w:t>投标人在报价有效期内撤回投标；</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(3)</w:t>
      </w:r>
      <w:r>
        <w:rPr>
          <w:rFonts w:hint="eastAsia" w:ascii="宋体" w:hAnsi="宋体" w:eastAsia="宋体" w:cs="宋体"/>
          <w:color w:val="000000"/>
          <w:sz w:val="21"/>
          <w:szCs w:val="21"/>
          <w:highlight w:val="none"/>
        </w:rPr>
        <w:t>在整个评标过程中，投标人有企图影响评标结果公正性的任何活动；</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(4)</w:t>
      </w:r>
      <w:r>
        <w:rPr>
          <w:rFonts w:hint="eastAsia" w:ascii="宋体" w:hAnsi="宋体" w:eastAsia="宋体" w:cs="宋体"/>
          <w:color w:val="000000"/>
          <w:sz w:val="21"/>
          <w:szCs w:val="21"/>
          <w:highlight w:val="none"/>
        </w:rPr>
        <w:t>投标人以任何方式诋毁其他投标人；</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(5)</w:t>
      </w:r>
      <w:r>
        <w:rPr>
          <w:rFonts w:hint="eastAsia" w:ascii="宋体" w:hAnsi="宋体" w:eastAsia="宋体" w:cs="宋体"/>
          <w:color w:val="000000"/>
          <w:sz w:val="21"/>
          <w:szCs w:val="21"/>
          <w:highlight w:val="none"/>
        </w:rPr>
        <w:t>投标人串通投标；</w:t>
      </w:r>
    </w:p>
    <w:p>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highlight w:val="none"/>
          <w:lang w:val="en-US" w:eastAsia="zh-CN" w:bidi="ar-SA"/>
        </w:rPr>
        <w:t>(6)</w:t>
      </w:r>
      <w:r>
        <w:rPr>
          <w:rFonts w:hint="eastAsia" w:ascii="宋体" w:hAnsi="宋体" w:eastAsia="宋体" w:cs="宋体"/>
          <w:color w:val="000000"/>
          <w:sz w:val="21"/>
          <w:szCs w:val="21"/>
          <w:highlight w:val="none"/>
        </w:rPr>
        <w:t>投标人被举报、检举，并经招标人查实无误的；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(7)</w:t>
      </w:r>
      <w:r>
        <w:rPr>
          <w:rFonts w:hint="eastAsia" w:ascii="宋体" w:hAnsi="宋体" w:eastAsia="宋体" w:cs="宋体"/>
          <w:color w:val="000000"/>
          <w:sz w:val="21"/>
          <w:szCs w:val="21"/>
          <w:highlight w:val="none"/>
        </w:rPr>
        <w:t>以他人名义投标或者以其他方式弄虚作假，骗取中标的；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highlight w:val="none"/>
          <w:lang w:val="en-US" w:eastAsia="zh-CN" w:bidi="ar-SA"/>
        </w:rPr>
        <w:t>(8)</w:t>
      </w:r>
      <w:r>
        <w:rPr>
          <w:rFonts w:hint="eastAsia" w:ascii="宋体" w:hAnsi="宋体" w:eastAsia="宋体" w:cs="宋体"/>
          <w:sz w:val="21"/>
          <w:szCs w:val="21"/>
          <w:highlight w:val="none"/>
        </w:rPr>
        <w:t>投标人负责人为同一人或者存在控股、管理关系的不同单位；</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highlight w:val="none"/>
          <w:lang w:val="en-US" w:eastAsia="zh-CN" w:bidi="ar-SA"/>
        </w:rPr>
        <w:t>(9)</w:t>
      </w:r>
      <w:r>
        <w:rPr>
          <w:rFonts w:hint="eastAsia" w:ascii="宋体" w:hAnsi="宋体" w:eastAsia="宋体" w:cs="宋体"/>
          <w:sz w:val="21"/>
          <w:szCs w:val="21"/>
          <w:highlight w:val="none"/>
        </w:rPr>
        <w:t>有效投标不足三家；</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highlight w:val="none"/>
          <w:lang w:val="en-US" w:eastAsia="zh-CN" w:bidi="ar-SA"/>
        </w:rPr>
        <w:t>(10)</w:t>
      </w:r>
      <w:r>
        <w:rPr>
          <w:rFonts w:hint="eastAsia" w:ascii="宋体" w:hAnsi="宋体" w:eastAsia="宋体" w:cs="宋体"/>
          <w:sz w:val="21"/>
          <w:szCs w:val="21"/>
          <w:highlight w:val="none"/>
        </w:rPr>
        <w:t>不同投标人的投标文件异常一致或者投标报价呈规律性差异的；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highlight w:val="none"/>
          <w:lang w:val="en-US" w:eastAsia="zh-CN" w:bidi="ar-SA"/>
        </w:rPr>
        <w:t>(11)</w:t>
      </w:r>
      <w:r>
        <w:rPr>
          <w:rFonts w:hint="eastAsia" w:ascii="宋体" w:hAnsi="宋体" w:eastAsia="宋体" w:cs="宋体"/>
          <w:sz w:val="21"/>
          <w:szCs w:val="21"/>
          <w:highlight w:val="none"/>
        </w:rPr>
        <w:t>投标人报价均超过</w:t>
      </w:r>
      <w:r>
        <w:rPr>
          <w:rFonts w:hint="eastAsia" w:ascii="宋体" w:hAnsi="宋体" w:cs="宋体"/>
          <w:sz w:val="21"/>
          <w:szCs w:val="21"/>
          <w:highlight w:val="none"/>
          <w:lang w:val="en-US" w:eastAsia="zh-CN"/>
        </w:rPr>
        <w:t>最高限价</w:t>
      </w:r>
      <w:r>
        <w:rPr>
          <w:rFonts w:hint="eastAsia" w:ascii="宋体" w:hAnsi="宋体" w:eastAsia="宋体" w:cs="宋体"/>
          <w:sz w:val="21"/>
          <w:szCs w:val="21"/>
          <w:highlight w:val="none"/>
        </w:rPr>
        <w:t>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(12)</w:t>
      </w:r>
      <w:r>
        <w:rPr>
          <w:rFonts w:hint="eastAsia" w:ascii="宋体" w:hAnsi="宋体" w:eastAsia="宋体" w:cs="宋体"/>
          <w:color w:val="000000"/>
          <w:sz w:val="21"/>
          <w:szCs w:val="21"/>
          <w:highlight w:val="none"/>
        </w:rPr>
        <w:t>未按要求填报商务报价资料，对招标开展造成较大影响；</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(13)</w:t>
      </w:r>
      <w:r>
        <w:rPr>
          <w:rFonts w:hint="eastAsia" w:ascii="宋体" w:hAnsi="宋体" w:eastAsia="宋体" w:cs="宋体"/>
          <w:b w:val="0"/>
          <w:bCs w:val="0"/>
          <w:spacing w:val="0"/>
          <w:sz w:val="21"/>
          <w:szCs w:val="21"/>
          <w:highlight w:val="none"/>
          <w:lang w:val="en-US" w:eastAsia="zh-CN"/>
        </w:rPr>
        <w:t>未按照招标人规定的时间内在中国重汽e采通完成投标的；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color w:val="000000"/>
          <w:sz w:val="21"/>
          <w:szCs w:val="21"/>
          <w:highlight w:val="none"/>
        </w:rPr>
      </w:pPr>
      <w:r>
        <w:rPr>
          <w:rFonts w:hint="default" w:ascii="宋体" w:hAnsi="宋体" w:eastAsia="宋体" w:cs="宋体"/>
          <w:color w:val="000000"/>
          <w:kern w:val="2"/>
          <w:sz w:val="21"/>
          <w:szCs w:val="21"/>
          <w:highlight w:val="none"/>
          <w:lang w:val="en-US" w:eastAsia="zh-CN" w:bidi="ar-SA"/>
        </w:rPr>
        <w:t>(14)</w:t>
      </w:r>
      <w:r>
        <w:rPr>
          <w:rFonts w:hint="eastAsia" w:ascii="宋体" w:hAnsi="宋体" w:eastAsia="宋体" w:cs="宋体"/>
          <w:color w:val="000000"/>
          <w:sz w:val="21"/>
          <w:szCs w:val="21"/>
          <w:highlight w:val="none"/>
        </w:rPr>
        <w:t>法律、法规规定的其他情况。</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eastAsia" w:ascii="宋体" w:hAnsi="宋体" w:cs="宋体"/>
          <w:kern w:val="2"/>
          <w:sz w:val="21"/>
          <w:szCs w:val="21"/>
          <w:highlight w:val="none"/>
          <w:lang w:val="en-US" w:eastAsia="zh-CN" w:bidi="ar-SA"/>
        </w:rPr>
        <w:t>2</w:t>
      </w:r>
      <w:r>
        <w:rPr>
          <w:rFonts w:hint="default" w:ascii="宋体" w:hAnsi="宋体" w:eastAsia="宋体" w:cs="宋体"/>
          <w:kern w:val="2"/>
          <w:sz w:val="21"/>
          <w:szCs w:val="21"/>
          <w:highlight w:val="none"/>
          <w:lang w:val="en-US" w:eastAsia="zh-CN" w:bidi="ar-SA"/>
        </w:rPr>
        <w:t>.</w:t>
      </w:r>
      <w:r>
        <w:rPr>
          <w:rFonts w:hint="eastAsia" w:ascii="宋体" w:hAnsi="宋体" w:eastAsia="宋体" w:cs="宋体"/>
          <w:sz w:val="21"/>
          <w:szCs w:val="21"/>
          <w:highlight w:val="none"/>
        </w:rPr>
        <w:t>出现下列情形之一，招标人有权否决所有投标人的投标，并终止招标。</w:t>
      </w:r>
    </w:p>
    <w:p>
      <w:pPr>
        <w:keepNext w:val="0"/>
        <w:keepLines w:val="0"/>
        <w:pageBreakBefore w:val="0"/>
        <w:widowControl w:val="0"/>
        <w:numPr>
          <w:ilvl w:val="0"/>
          <w:numId w:val="0"/>
        </w:numPr>
        <w:kinsoku/>
        <w:wordWrap/>
        <w:overflowPunct/>
        <w:topLinePunct w:val="0"/>
        <w:autoSpaceDE/>
        <w:autoSpaceDN/>
        <w:bidi w:val="0"/>
        <w:adjustRightInd/>
        <w:snapToGrid/>
        <w:spacing w:line="240" w:lineRule="auto"/>
        <w:ind w:left="0" w:leftChars="0" w:right="0" w:rightChars="0" w:firstLine="0" w:firstLineChars="0"/>
        <w:textAlignment w:val="auto"/>
        <w:rPr>
          <w:rFonts w:hint="eastAsia" w:ascii="宋体" w:hAnsi="宋体" w:eastAsia="宋体" w:cs="宋体"/>
          <w:b/>
          <w:bCs/>
          <w:color w:val="FF0000"/>
          <w:sz w:val="18"/>
          <w:szCs w:val="18"/>
          <w:highlight w:val="none"/>
          <w:lang w:eastAsia="zh-CN"/>
        </w:rPr>
      </w:pPr>
      <w:r>
        <w:rPr>
          <w:rFonts w:hint="default" w:ascii="宋体" w:hAnsi="宋体" w:eastAsia="宋体" w:cs="宋体"/>
          <w:b w:val="0"/>
          <w:bCs w:val="0"/>
          <w:color w:val="auto"/>
          <w:kern w:val="2"/>
          <w:sz w:val="21"/>
          <w:szCs w:val="21"/>
          <w:highlight w:val="none"/>
          <w:lang w:val="en-US" w:eastAsia="zh-CN" w:bidi="ar-SA"/>
        </w:rPr>
        <w:t>(</w:t>
      </w:r>
      <w:r>
        <w:rPr>
          <w:rFonts w:hint="eastAsia" w:ascii="宋体" w:hAnsi="宋体" w:cs="宋体"/>
          <w:b w:val="0"/>
          <w:bCs w:val="0"/>
          <w:color w:val="auto"/>
          <w:kern w:val="2"/>
          <w:sz w:val="21"/>
          <w:szCs w:val="21"/>
          <w:highlight w:val="none"/>
          <w:lang w:val="en-US" w:eastAsia="zh-CN" w:bidi="ar-SA"/>
        </w:rPr>
        <w:t>1</w:t>
      </w:r>
      <w:r>
        <w:rPr>
          <w:rFonts w:hint="default" w:ascii="宋体" w:hAnsi="宋体" w:eastAsia="宋体" w:cs="宋体"/>
          <w:b w:val="0"/>
          <w:bCs w:val="0"/>
          <w:color w:val="auto"/>
          <w:kern w:val="2"/>
          <w:sz w:val="21"/>
          <w:szCs w:val="21"/>
          <w:highlight w:val="none"/>
          <w:lang w:val="en-US" w:eastAsia="zh-CN" w:bidi="ar-SA"/>
        </w:rPr>
        <w:t>)</w:t>
      </w:r>
      <w:r>
        <w:rPr>
          <w:rFonts w:hint="eastAsia" w:ascii="宋体" w:hAnsi="宋体" w:eastAsia="宋体" w:cs="宋体"/>
          <w:sz w:val="21"/>
          <w:szCs w:val="21"/>
          <w:highlight w:val="none"/>
        </w:rPr>
        <w:t>符合条件的投标人或者对招标文件做实质响应的投标人不足三家的；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sz w:val="21"/>
          <w:szCs w:val="21"/>
          <w:highlight w:val="none"/>
        </w:rPr>
      </w:pPr>
      <w:r>
        <w:rPr>
          <w:rFonts w:hint="default" w:ascii="宋体" w:hAnsi="宋体" w:eastAsia="宋体" w:cs="宋体"/>
          <w:kern w:val="2"/>
          <w:sz w:val="21"/>
          <w:szCs w:val="21"/>
          <w:highlight w:val="none"/>
          <w:lang w:val="en-US" w:eastAsia="zh-CN" w:bidi="ar-SA"/>
        </w:rPr>
        <w:t>(</w:t>
      </w:r>
      <w:r>
        <w:rPr>
          <w:rFonts w:hint="eastAsia" w:ascii="宋体" w:hAnsi="宋体" w:cs="宋体"/>
          <w:kern w:val="2"/>
          <w:sz w:val="21"/>
          <w:szCs w:val="21"/>
          <w:highlight w:val="none"/>
          <w:lang w:val="en-US" w:eastAsia="zh-CN" w:bidi="ar-SA"/>
        </w:rPr>
        <w:t>2</w:t>
      </w:r>
      <w:r>
        <w:rPr>
          <w:rFonts w:hint="default" w:ascii="宋体" w:hAnsi="宋体" w:eastAsia="宋体" w:cs="宋体"/>
          <w:kern w:val="2"/>
          <w:sz w:val="21"/>
          <w:szCs w:val="21"/>
          <w:highlight w:val="none"/>
          <w:lang w:val="en-US" w:eastAsia="zh-CN" w:bidi="ar-SA"/>
        </w:rPr>
        <w:t>)</w:t>
      </w:r>
      <w:r>
        <w:rPr>
          <w:rFonts w:hint="eastAsia" w:ascii="宋体" w:hAnsi="宋体" w:eastAsia="宋体" w:cs="宋体"/>
          <w:sz w:val="21"/>
          <w:szCs w:val="21"/>
          <w:highlight w:val="none"/>
        </w:rPr>
        <w:t>出现影响采购公正的违法、违规行为的；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highlight w:val="none"/>
          <w:lang w:val="en-US" w:eastAsia="zh-CN" w:bidi="ar-SA"/>
        </w:rPr>
        <w:t>(</w:t>
      </w:r>
      <w:r>
        <w:rPr>
          <w:rFonts w:hint="eastAsia" w:ascii="宋体" w:hAnsi="宋体" w:cs="宋体"/>
          <w:bCs/>
          <w:kern w:val="2"/>
          <w:sz w:val="21"/>
          <w:szCs w:val="21"/>
          <w:highlight w:val="none"/>
          <w:lang w:val="en-US" w:eastAsia="zh-CN" w:bidi="ar-SA"/>
        </w:rPr>
        <w:t>3</w:t>
      </w:r>
      <w:r>
        <w:rPr>
          <w:rFonts w:hint="default" w:ascii="宋体" w:hAnsi="宋体" w:eastAsia="宋体" w:cs="宋体"/>
          <w:bCs/>
          <w:kern w:val="2"/>
          <w:sz w:val="21"/>
          <w:szCs w:val="21"/>
          <w:highlight w:val="none"/>
          <w:lang w:val="en-US" w:eastAsia="zh-CN" w:bidi="ar-SA"/>
        </w:rPr>
        <w:t>)</w:t>
      </w:r>
      <w:r>
        <w:rPr>
          <w:rFonts w:hint="eastAsia" w:ascii="宋体" w:hAnsi="宋体" w:eastAsia="宋体" w:cs="宋体"/>
          <w:bCs/>
          <w:sz w:val="21"/>
          <w:szCs w:val="21"/>
          <w:highlight w:val="none"/>
        </w:rPr>
        <w:t>评标委员会经评审，认为所有投标都不符合招标文件要求的；</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right="2" w:righ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highlight w:val="none"/>
          <w:lang w:val="en-US" w:eastAsia="zh-CN" w:bidi="ar-SA"/>
        </w:rPr>
        <w:t>(</w:t>
      </w:r>
      <w:r>
        <w:rPr>
          <w:rFonts w:hint="eastAsia" w:ascii="宋体" w:hAnsi="宋体" w:cs="宋体"/>
          <w:bCs/>
          <w:kern w:val="2"/>
          <w:sz w:val="21"/>
          <w:szCs w:val="21"/>
          <w:highlight w:val="none"/>
          <w:lang w:val="en-US" w:eastAsia="zh-CN" w:bidi="ar-SA"/>
        </w:rPr>
        <w:t>4</w:t>
      </w:r>
      <w:r>
        <w:rPr>
          <w:rFonts w:hint="default" w:ascii="宋体" w:hAnsi="宋体" w:eastAsia="宋体" w:cs="宋体"/>
          <w:bCs/>
          <w:kern w:val="2"/>
          <w:sz w:val="21"/>
          <w:szCs w:val="21"/>
          <w:highlight w:val="none"/>
          <w:lang w:val="en-US" w:eastAsia="zh-CN" w:bidi="ar-SA"/>
        </w:rPr>
        <w:t>)</w:t>
      </w:r>
      <w:r>
        <w:rPr>
          <w:rFonts w:hint="eastAsia" w:ascii="宋体" w:hAnsi="宋体" w:eastAsia="宋体" w:cs="宋体"/>
          <w:bCs/>
          <w:sz w:val="21"/>
          <w:szCs w:val="21"/>
          <w:highlight w:val="none"/>
        </w:rPr>
        <w:t>因重大变故，采购任务取消的</w:t>
      </w:r>
      <w:bookmarkStart w:id="6" w:name="OLE_LINK26"/>
      <w:bookmarkStart w:id="7" w:name="OLE_LINK25"/>
      <w:bookmarkStart w:id="8" w:name="OLE_LINK28"/>
      <w:bookmarkStart w:id="9" w:name="OLE_LINK29"/>
      <w:bookmarkStart w:id="10" w:name="OLE_LINK27"/>
      <w:r>
        <w:rPr>
          <w:rFonts w:hint="eastAsia" w:ascii="宋体" w:hAnsi="宋体" w:eastAsia="宋体" w:cs="宋体"/>
          <w:bCs/>
          <w:sz w:val="21"/>
          <w:szCs w:val="21"/>
          <w:highlight w:val="none"/>
        </w:rPr>
        <w:t>；</w:t>
      </w:r>
      <w:bookmarkEnd w:id="6"/>
      <w:bookmarkEnd w:id="7"/>
      <w:bookmarkEnd w:id="8"/>
      <w:bookmarkEnd w:id="9"/>
      <w:bookmarkEnd w:id="10"/>
    </w:p>
    <w:p>
      <w:pPr>
        <w:pStyle w:val="14"/>
        <w:keepNext w:val="0"/>
        <w:keepLines w:val="0"/>
        <w:pageBreakBefore w:val="0"/>
        <w:widowControl w:val="0"/>
        <w:numPr>
          <w:ilvl w:val="0"/>
          <w:numId w:val="0"/>
        </w:numPr>
        <w:kinsoku/>
        <w:wordWrap/>
        <w:overflowPunct/>
        <w:topLinePunct w:val="0"/>
        <w:autoSpaceDE/>
        <w:autoSpaceDN/>
        <w:bidi w:val="0"/>
        <w:adjustRightInd/>
        <w:snapToGrid/>
        <w:spacing w:line="360" w:lineRule="auto"/>
        <w:ind w:left="425" w:leftChars="0" w:hanging="425" w:firstLineChars="0"/>
        <w:textAlignment w:val="auto"/>
        <w:rPr>
          <w:rFonts w:hint="eastAsia" w:ascii="宋体" w:hAnsi="宋体" w:eastAsia="宋体" w:cs="宋体"/>
          <w:bCs/>
          <w:sz w:val="21"/>
          <w:szCs w:val="21"/>
          <w:highlight w:val="none"/>
        </w:rPr>
      </w:pPr>
      <w:r>
        <w:rPr>
          <w:rFonts w:hint="default" w:ascii="宋体" w:hAnsi="宋体" w:eastAsia="宋体" w:cs="宋体"/>
          <w:bCs/>
          <w:kern w:val="2"/>
          <w:sz w:val="21"/>
          <w:szCs w:val="21"/>
          <w:highlight w:val="none"/>
          <w:lang w:val="en-US" w:eastAsia="zh-CN" w:bidi="ar-SA"/>
        </w:rPr>
        <w:t>(</w:t>
      </w:r>
      <w:r>
        <w:rPr>
          <w:rFonts w:hint="eastAsia" w:hAnsi="宋体" w:cs="宋体"/>
          <w:bCs/>
          <w:kern w:val="2"/>
          <w:sz w:val="21"/>
          <w:szCs w:val="21"/>
          <w:highlight w:val="none"/>
          <w:lang w:val="en-US" w:eastAsia="zh-CN" w:bidi="ar-SA"/>
        </w:rPr>
        <w:t>5</w:t>
      </w:r>
      <w:r>
        <w:rPr>
          <w:rFonts w:hint="default" w:ascii="宋体" w:hAnsi="宋体" w:eastAsia="宋体" w:cs="宋体"/>
          <w:bCs/>
          <w:kern w:val="2"/>
          <w:sz w:val="21"/>
          <w:szCs w:val="21"/>
          <w:highlight w:val="none"/>
          <w:lang w:val="en-US" w:eastAsia="zh-CN" w:bidi="ar-SA"/>
        </w:rPr>
        <w:t>)</w:t>
      </w:r>
      <w:r>
        <w:rPr>
          <w:rFonts w:hint="eastAsia" w:ascii="宋体" w:hAnsi="宋体" w:eastAsia="宋体" w:cs="宋体"/>
          <w:bCs/>
          <w:sz w:val="21"/>
          <w:szCs w:val="21"/>
          <w:highlight w:val="none"/>
        </w:rPr>
        <w:t>招标人认为其他应终止招标的情形。</w:t>
      </w:r>
    </w:p>
    <w:p>
      <w:pPr>
        <w:keepNext w:val="0"/>
        <w:keepLines w:val="0"/>
        <w:pageBreakBefore w:val="0"/>
        <w:widowControl w:val="0"/>
        <w:numPr>
          <w:ilvl w:val="0"/>
          <w:numId w:val="0"/>
        </w:numPr>
        <w:kinsoku/>
        <w:wordWrap/>
        <w:overflowPunct/>
        <w:topLinePunct w:val="0"/>
        <w:autoSpaceDE/>
        <w:autoSpaceDN/>
        <w:bidi w:val="0"/>
        <w:adjustRightInd/>
        <w:snapToGrid/>
        <w:spacing w:line="360" w:lineRule="auto"/>
        <w:ind w:left="0" w:leftChars="0" w:right="0" w:rightChars="0" w:firstLine="0" w:firstLineChars="0"/>
        <w:textAlignment w:val="auto"/>
        <w:rPr>
          <w:sz w:val="21"/>
          <w:szCs w:val="21"/>
          <w:highlight w:val="none"/>
        </w:rPr>
      </w:pPr>
      <w:r>
        <w:rPr>
          <w:rFonts w:hint="eastAsia" w:ascii="宋体" w:hAnsi="宋体" w:eastAsia="宋体" w:cs="宋体"/>
          <w:kern w:val="2"/>
          <w:sz w:val="21"/>
          <w:szCs w:val="21"/>
          <w:highlight w:val="none"/>
          <w:lang w:val="en-US" w:eastAsia="zh-CN" w:bidi="ar-SA"/>
        </w:rPr>
        <w:t>3</w:t>
      </w:r>
      <w:r>
        <w:rPr>
          <w:rFonts w:hint="default" w:ascii="Times New Roman" w:hAnsi="Times New Roman" w:eastAsia="宋体" w:cs="Times New Roman"/>
          <w:kern w:val="2"/>
          <w:sz w:val="21"/>
          <w:szCs w:val="21"/>
          <w:highlight w:val="none"/>
          <w:lang w:val="en-US" w:eastAsia="zh-CN" w:bidi="ar-SA"/>
        </w:rPr>
        <w:t>.</w:t>
      </w:r>
      <w:r>
        <w:rPr>
          <w:rFonts w:hint="eastAsia" w:ascii="宋体" w:hAnsi="宋体" w:eastAsia="宋体" w:cs="宋体"/>
          <w:color w:val="000000"/>
          <w:sz w:val="21"/>
          <w:szCs w:val="21"/>
          <w:highlight w:val="none"/>
        </w:rPr>
        <w:t>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72"/>
        <w:rPr>
          <w:highlight w:val="none"/>
        </w:rPr>
      </w:pPr>
      <w:r>
        <w:rPr>
          <w:rFonts w:hint="eastAsia"/>
          <w:highlight w:val="none"/>
          <w:lang w:val="en-US" w:eastAsia="zh-CN"/>
        </w:rPr>
        <w:t>合同签订</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highlight w:val="none"/>
        </w:rPr>
      </w:pPr>
      <w:r>
        <w:rPr>
          <w:rFonts w:hint="eastAsia" w:ascii="宋体" w:hAnsi="宋体" w:cs="宋体"/>
          <w:color w:val="000000"/>
          <w:sz w:val="21"/>
          <w:szCs w:val="21"/>
          <w:highlight w:val="none"/>
        </w:rPr>
        <w:t>1.招标人根据评标工作小组的评标结果确定中标人，在重汽e采通平台公布中标结果，并发送中标通知。</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highlight w:val="none"/>
        </w:rPr>
      </w:pPr>
      <w:r>
        <w:rPr>
          <w:rFonts w:hint="eastAsia" w:ascii="宋体" w:hAnsi="宋体" w:cs="宋体"/>
          <w:color w:val="000000"/>
          <w:sz w:val="21"/>
          <w:szCs w:val="21"/>
          <w:highlight w:val="none"/>
        </w:rPr>
        <w:t>2.中标人应该在中标通知书规定的时间、地点与招标人签订采购合同，否则按照开标后撤回投标处理。</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color w:val="000000"/>
          <w:sz w:val="21"/>
          <w:szCs w:val="21"/>
          <w:highlight w:val="none"/>
        </w:rPr>
      </w:pPr>
      <w:r>
        <w:rPr>
          <w:rFonts w:hint="eastAsia" w:ascii="宋体" w:hAnsi="宋体" w:cs="宋体"/>
          <w:color w:val="000000"/>
          <w:sz w:val="21"/>
          <w:szCs w:val="21"/>
          <w:highlight w:val="none"/>
        </w:rPr>
        <w:t>3.中标人应当按照合同约定的履约责任，在保证质量的前提下完成中标项目，不得将中标项目转包或分包给他人，否则视为违约，招标人有权解除合同。</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ascii="宋体" w:hAnsi="宋体" w:cs="宋体"/>
          <w:b/>
          <w:sz w:val="21"/>
          <w:szCs w:val="21"/>
          <w:highlight w:val="none"/>
        </w:rPr>
      </w:pPr>
      <w:r>
        <w:rPr>
          <w:rFonts w:hint="eastAsia" w:ascii="宋体" w:hAnsi="宋体" w:cs="宋体"/>
          <w:b/>
          <w:sz w:val="21"/>
          <w:szCs w:val="21"/>
          <w:highlight w:val="none"/>
        </w:rPr>
        <w:t>4.中标人由于履行义务的能力或信用有严重缺陷，招标人有权取消其中标资格，招标人将从中标候选单位中依序重新确定中标人，或重新组织招标；</w:t>
      </w:r>
    </w:p>
    <w:p>
      <w:pPr>
        <w:keepNext w:val="0"/>
        <w:keepLines w:val="0"/>
        <w:pageBreakBefore w:val="0"/>
        <w:widowControl w:val="0"/>
        <w:kinsoku/>
        <w:wordWrap/>
        <w:overflowPunct/>
        <w:topLinePunct w:val="0"/>
        <w:autoSpaceDE/>
        <w:autoSpaceDN/>
        <w:bidi w:val="0"/>
        <w:adjustRightInd/>
        <w:snapToGrid/>
        <w:spacing w:line="360" w:lineRule="auto"/>
        <w:ind w:firstLine="0" w:firstLineChars="0"/>
        <w:textAlignment w:val="auto"/>
        <w:rPr>
          <w:rFonts w:hint="eastAsia" w:ascii="宋体" w:hAnsi="宋体" w:eastAsia="宋体" w:cs="宋体"/>
          <w:color w:val="000000"/>
          <w:sz w:val="21"/>
          <w:szCs w:val="21"/>
          <w:highlight w:val="none"/>
        </w:rPr>
      </w:pPr>
      <w:r>
        <w:rPr>
          <w:rFonts w:hint="eastAsia" w:ascii="宋体" w:hAnsi="宋体" w:cs="宋体"/>
          <w:b/>
          <w:sz w:val="21"/>
          <w:szCs w:val="21"/>
          <w:highlight w:val="none"/>
        </w:rPr>
        <w:t>5.合同以双方最终签署的版本为准。</w:t>
      </w:r>
    </w:p>
    <w:p>
      <w:pPr>
        <w:pStyle w:val="72"/>
        <w:rPr>
          <w:highlight w:val="none"/>
        </w:rPr>
      </w:pPr>
      <w:r>
        <w:rPr>
          <w:rFonts w:hint="eastAsia"/>
          <w:highlight w:val="none"/>
          <w:lang w:val="en-US" w:eastAsia="zh-CN"/>
        </w:rPr>
        <w:t>交货及付款</w:t>
      </w:r>
    </w:p>
    <w:p>
      <w:pPr>
        <w:pStyle w:val="72"/>
        <w:numPr>
          <w:ilvl w:val="0"/>
          <w:numId w:val="26"/>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交货期：</w:t>
      </w:r>
    </w:p>
    <w:p>
      <w:pPr>
        <w:pStyle w:val="72"/>
        <w:numPr>
          <w:ilvl w:val="0"/>
          <w:numId w:val="0"/>
        </w:numPr>
        <w:ind w:leftChars="0"/>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1.1.自中标通知发出之日起，50个日历日之内交货至供货地点。</w:t>
      </w:r>
    </w:p>
    <w:p>
      <w:pPr>
        <w:pStyle w:val="72"/>
        <w:numPr>
          <w:ilvl w:val="0"/>
          <w:numId w:val="0"/>
        </w:numPr>
        <w:ind w:leftChars="0"/>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1.2.自中标通知发出之日起，70个日历日之内安装调试完毕。</w:t>
      </w:r>
    </w:p>
    <w:p>
      <w:pPr>
        <w:pStyle w:val="72"/>
        <w:numPr>
          <w:ilvl w:val="0"/>
          <w:numId w:val="26"/>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交货地点：济南市章丘区潘王路11号济南轻卡制造公司皮卡总装车间</w:t>
      </w:r>
    </w:p>
    <w:p>
      <w:pPr>
        <w:pStyle w:val="72"/>
        <w:numPr>
          <w:ilvl w:val="0"/>
          <w:numId w:val="26"/>
        </w:numPr>
        <w:ind w:left="425" w:leftChars="0" w:hanging="425" w:firstLineChars="0"/>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sz w:val="21"/>
          <w:szCs w:val="21"/>
          <w:highlight w:val="none"/>
          <w:lang w:val="en-US" w:eastAsia="zh-CN"/>
        </w:rPr>
        <w:t>交货方式：交钥匙方式</w:t>
      </w:r>
    </w:p>
    <w:p>
      <w:pPr>
        <w:pStyle w:val="72"/>
        <w:numPr>
          <w:ilvl w:val="0"/>
          <w:numId w:val="26"/>
        </w:numPr>
        <w:ind w:left="425" w:leftChars="0" w:hanging="425" w:firstLineChars="0"/>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rPr>
        <w:t>付款方式</w:t>
      </w:r>
      <w:r>
        <w:rPr>
          <w:rFonts w:hint="eastAsia" w:ascii="宋体" w:hAnsi="宋体" w:eastAsia="宋体" w:cs="宋体"/>
          <w:b w:val="0"/>
          <w:bCs w:val="0"/>
          <w:sz w:val="21"/>
          <w:szCs w:val="21"/>
          <w:highlight w:val="none"/>
          <w:lang w:eastAsia="zh-CN"/>
        </w:rPr>
        <w:t>：</w:t>
      </w:r>
    </w:p>
    <w:p>
      <w:pPr>
        <w:pStyle w:val="72"/>
        <w:numPr>
          <w:ilvl w:val="0"/>
          <w:numId w:val="0"/>
        </w:numPr>
        <w:rPr>
          <w:rFonts w:hint="eastAsia" w:ascii="宋体" w:hAnsi="宋体" w:eastAsia="宋体" w:cs="宋体"/>
          <w:b w:val="0"/>
          <w:bCs w:val="0"/>
          <w:sz w:val="21"/>
          <w:szCs w:val="21"/>
          <w:highlight w:val="none"/>
          <w:lang w:eastAsia="zh-CN"/>
        </w:rPr>
      </w:pPr>
      <w:r>
        <w:rPr>
          <w:rFonts w:hint="eastAsia" w:ascii="宋体" w:hAnsi="宋体" w:eastAsia="宋体" w:cs="宋体"/>
          <w:b w:val="0"/>
          <w:bCs w:val="0"/>
          <w:sz w:val="21"/>
          <w:szCs w:val="21"/>
          <w:highlight w:val="none"/>
          <w:lang w:eastAsia="zh-CN"/>
        </w:rPr>
        <w:t>半年期商业汇票（包括银行承兑汇票和商业承兑汇票）；</w:t>
      </w:r>
    </w:p>
    <w:p>
      <w:pPr>
        <w:pStyle w:val="72"/>
        <w:keepNext w:val="0"/>
        <w:keepLines w:val="0"/>
        <w:pageBreakBefore w:val="0"/>
        <w:widowControl w:val="0"/>
        <w:numPr>
          <w:ilvl w:val="0"/>
          <w:numId w:val="0"/>
        </w:numPr>
        <w:kinsoku/>
        <w:wordWrap/>
        <w:overflowPunct/>
        <w:topLinePunct w:val="0"/>
        <w:autoSpaceDE/>
        <w:autoSpaceDN/>
        <w:bidi w:val="0"/>
        <w:adjustRightInd/>
        <w:spacing w:line="360" w:lineRule="auto"/>
        <w:ind w:left="425" w:leftChars="0" w:hanging="425" w:firstLineChars="0"/>
        <w:textAlignment w:val="auto"/>
        <w:rPr>
          <w:rFonts w:hint="eastAsia" w:ascii="宋体" w:hAnsi="宋体" w:eastAsia="宋体" w:cs="宋体"/>
          <w:b w:val="0"/>
          <w:bCs w:val="0"/>
          <w:sz w:val="21"/>
          <w:szCs w:val="21"/>
          <w:highlight w:val="none"/>
          <w:lang w:val="en-US" w:eastAsia="zh-CN"/>
        </w:rPr>
      </w:pPr>
      <w:r>
        <w:rPr>
          <w:rFonts w:hint="eastAsia" w:ascii="宋体" w:hAnsi="宋体" w:eastAsia="宋体" w:cs="宋体"/>
          <w:b w:val="0"/>
          <w:bCs w:val="0"/>
          <w:kern w:val="2"/>
          <w:sz w:val="21"/>
          <w:szCs w:val="21"/>
          <w:highlight w:val="none"/>
          <w:lang w:val="en-US" w:eastAsia="zh-CN" w:bidi="ar-SA"/>
        </w:rPr>
        <w:t>5</w:t>
      </w:r>
      <w:r>
        <w:rPr>
          <w:rFonts w:hint="default" w:ascii="宋体" w:hAnsi="宋体" w:eastAsia="宋体" w:cs="宋体"/>
          <w:b w:val="0"/>
          <w:bCs w:val="0"/>
          <w:kern w:val="2"/>
          <w:sz w:val="21"/>
          <w:szCs w:val="21"/>
          <w:highlight w:val="none"/>
          <w:lang w:val="en-US" w:eastAsia="zh-CN" w:bidi="ar-SA"/>
        </w:rPr>
        <w:t>.</w:t>
      </w:r>
      <w:r>
        <w:rPr>
          <w:rFonts w:hint="eastAsia" w:ascii="宋体" w:hAnsi="宋体" w:eastAsia="宋体" w:cs="宋体"/>
          <w:b w:val="0"/>
          <w:bCs w:val="0"/>
          <w:sz w:val="21"/>
          <w:szCs w:val="21"/>
          <w:highlight w:val="none"/>
          <w:lang w:val="en-US" w:eastAsia="zh-CN"/>
        </w:rPr>
        <w:t>付款节点：</w:t>
      </w:r>
    </w:p>
    <w:p>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3:6:1 ：</w:t>
      </w:r>
    </w:p>
    <w:p>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A.设备全部到货后，中标人提交金额为合同价款30%的收据并提供合同价款30%的增值税专用发票（含复印件二份），经招标人依照财务制度审核通过后30日支付；</w:t>
      </w:r>
    </w:p>
    <w:p>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B.设备验收合格后，中标人提交金额为合同价款60%的收据并提供合同价款70%的增值税专用发票（含复印件二份），经招标人依照财务制度审核通过后30日支付；</w:t>
      </w:r>
    </w:p>
    <w:p>
      <w:pPr>
        <w:pStyle w:val="62"/>
        <w:keepNext w:val="0"/>
        <w:keepLines w:val="0"/>
        <w:pageBreakBefore w:val="0"/>
        <w:widowControl w:val="0"/>
        <w:kinsoku/>
        <w:wordWrap/>
        <w:overflowPunct/>
        <w:topLinePunct w:val="0"/>
        <w:autoSpaceDE/>
        <w:autoSpaceDN/>
        <w:bidi w:val="0"/>
        <w:adjustRightInd/>
        <w:snapToGrid w:val="0"/>
        <w:spacing w:line="360" w:lineRule="auto"/>
        <w:ind w:left="0" w:leftChars="0" w:firstLine="0" w:firstLineChars="0"/>
        <w:jc w:val="left"/>
        <w:textAlignment w:val="auto"/>
        <w:rPr>
          <w:rFonts w:hint="eastAsia" w:ascii="宋体" w:hAnsi="宋体" w:eastAsia="宋体" w:cs="宋体"/>
          <w:sz w:val="21"/>
          <w:szCs w:val="21"/>
          <w:highlight w:val="none"/>
        </w:rPr>
      </w:pPr>
      <w:r>
        <w:rPr>
          <w:rFonts w:hint="eastAsia" w:ascii="宋体" w:hAnsi="宋体" w:eastAsia="宋体" w:cs="宋体"/>
          <w:sz w:val="21"/>
          <w:szCs w:val="21"/>
          <w:highlight w:val="none"/>
        </w:rPr>
        <w:t>C.合同总价款的10%作为本合同约定设备的质量保证金，质量保证金在质量保证期内不计利息。质保期届满后支付。</w:t>
      </w:r>
    </w:p>
    <w:p>
      <w:pPr>
        <w:pStyle w:val="72"/>
        <w:rPr>
          <w:rFonts w:hint="eastAsia"/>
          <w:highlight w:val="none"/>
          <w:lang w:val="en-US" w:eastAsia="zh-CN"/>
        </w:rPr>
      </w:pPr>
      <w:r>
        <w:rPr>
          <w:rFonts w:hint="eastAsia"/>
          <w:highlight w:val="none"/>
          <w:lang w:val="en-US" w:eastAsia="zh-CN"/>
        </w:rPr>
        <w:t>质保金</w:t>
      </w:r>
    </w:p>
    <w:p>
      <w:pPr>
        <w:pStyle w:val="72"/>
        <w:rPr>
          <w:rFonts w:hint="eastAsia"/>
          <w:highlight w:val="none"/>
          <w:lang w:val="en-US" w:eastAsia="zh-CN"/>
        </w:rPr>
      </w:pPr>
      <w:r>
        <w:rPr>
          <w:rFonts w:hint="eastAsia"/>
          <w:highlight w:val="none"/>
          <w:lang w:val="en-US" w:eastAsia="zh-CN"/>
        </w:rPr>
        <w:t>本次招标最终解释权归重汽集团济南商用车有限公司轻卡制造公司。</w:t>
      </w:r>
    </w:p>
    <w:p>
      <w:pPr>
        <w:pStyle w:val="76"/>
        <w:rPr>
          <w:highlight w:val="none"/>
        </w:rPr>
      </w:pPr>
    </w:p>
    <w:p>
      <w:pPr>
        <w:pStyle w:val="71"/>
        <w:jc w:val="both"/>
        <w:rPr>
          <w:rFonts w:hint="eastAsia"/>
          <w:highlight w:val="none"/>
        </w:rPr>
      </w:pPr>
      <w:bookmarkStart w:id="11" w:name="_Toc47976607"/>
    </w:p>
    <w:p>
      <w:pPr>
        <w:pStyle w:val="71"/>
        <w:jc w:val="both"/>
        <w:rPr>
          <w:rFonts w:hint="eastAsia"/>
          <w:highlight w:val="none"/>
        </w:rPr>
      </w:pPr>
    </w:p>
    <w:p>
      <w:pPr>
        <w:pStyle w:val="71"/>
        <w:jc w:val="both"/>
        <w:rPr>
          <w:rFonts w:hint="eastAsia"/>
          <w:highlight w:val="none"/>
        </w:rPr>
      </w:pPr>
    </w:p>
    <w:p>
      <w:pPr>
        <w:pStyle w:val="71"/>
        <w:jc w:val="both"/>
        <w:rPr>
          <w:rFonts w:hint="eastAsia"/>
          <w:highlight w:val="none"/>
        </w:rPr>
      </w:pPr>
    </w:p>
    <w:p>
      <w:pPr>
        <w:pStyle w:val="71"/>
        <w:jc w:val="both"/>
        <w:rPr>
          <w:rFonts w:hint="eastAsia"/>
          <w:highlight w:val="none"/>
        </w:rPr>
      </w:pPr>
    </w:p>
    <w:p>
      <w:pPr>
        <w:pStyle w:val="71"/>
        <w:jc w:val="both"/>
        <w:rPr>
          <w:rFonts w:hint="eastAsia"/>
          <w:highlight w:val="none"/>
        </w:rPr>
      </w:pPr>
    </w:p>
    <w:p>
      <w:pPr>
        <w:pStyle w:val="71"/>
        <w:jc w:val="both"/>
        <w:rPr>
          <w:rFonts w:hint="eastAsia"/>
          <w:highlight w:val="none"/>
        </w:rPr>
      </w:pPr>
    </w:p>
    <w:p>
      <w:pPr>
        <w:pStyle w:val="71"/>
        <w:jc w:val="both"/>
        <w:rPr>
          <w:rFonts w:hint="eastAsia"/>
          <w:highlight w:val="none"/>
        </w:rPr>
      </w:pPr>
    </w:p>
    <w:p>
      <w:pPr>
        <w:pStyle w:val="71"/>
        <w:jc w:val="both"/>
        <w:rPr>
          <w:rFonts w:hint="eastAsia"/>
          <w:highlight w:val="none"/>
        </w:rPr>
      </w:pPr>
    </w:p>
    <w:p>
      <w:pPr>
        <w:pStyle w:val="71"/>
        <w:jc w:val="both"/>
        <w:rPr>
          <w:rFonts w:hint="eastAsia"/>
          <w:highlight w:val="none"/>
        </w:rPr>
      </w:pPr>
    </w:p>
    <w:p>
      <w:pPr>
        <w:pStyle w:val="71"/>
        <w:jc w:val="both"/>
        <w:rPr>
          <w:rFonts w:hint="eastAsia"/>
          <w:highlight w:val="none"/>
        </w:rPr>
      </w:pPr>
    </w:p>
    <w:p>
      <w:pPr>
        <w:pStyle w:val="71"/>
        <w:jc w:val="both"/>
        <w:rPr>
          <w:rFonts w:hint="eastAsia"/>
          <w:highlight w:val="none"/>
        </w:rPr>
      </w:pPr>
    </w:p>
    <w:p>
      <w:pPr>
        <w:pStyle w:val="71"/>
        <w:jc w:val="both"/>
        <w:rPr>
          <w:rFonts w:hint="eastAsia"/>
          <w:highlight w:val="none"/>
        </w:rPr>
      </w:pPr>
    </w:p>
    <w:p>
      <w:pPr>
        <w:pStyle w:val="71"/>
        <w:jc w:val="both"/>
        <w:rPr>
          <w:rFonts w:hint="eastAsia"/>
          <w:highlight w:val="none"/>
        </w:rPr>
      </w:pPr>
      <w:bookmarkStart w:id="12" w:name="_Toc1910"/>
    </w:p>
    <w:p>
      <w:pPr>
        <w:pStyle w:val="71"/>
        <w:jc w:val="center"/>
        <w:rPr>
          <w:rFonts w:hint="default" w:eastAsia="黑体"/>
          <w:highlight w:val="none"/>
          <w:lang w:val="en-US" w:eastAsia="zh-CN"/>
        </w:rPr>
      </w:pPr>
      <w:r>
        <w:rPr>
          <w:rFonts w:hint="eastAsia"/>
          <w:highlight w:val="none"/>
        </w:rPr>
        <w:t>第二部分　</w:t>
      </w:r>
      <w:bookmarkEnd w:id="11"/>
      <w:r>
        <w:rPr>
          <w:rFonts w:hint="eastAsia"/>
          <w:highlight w:val="none"/>
          <w:lang w:val="en-US" w:eastAsia="zh-CN"/>
        </w:rPr>
        <w:t>技术标书</w:t>
      </w:r>
      <w:bookmarkEnd w:id="12"/>
    </w:p>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spacing w:line="480" w:lineRule="exact"/>
        <w:ind w:left="0" w:leftChars="0" w:firstLine="0" w:firstLineChars="0"/>
        <w:jc w:val="center"/>
        <w:rPr>
          <w:rFonts w:hint="eastAsia" w:ascii="仿宋" w:hAnsi="仿宋" w:eastAsia="仿宋" w:cs="仿宋"/>
          <w:sz w:val="32"/>
          <w:szCs w:val="32"/>
          <w:highlight w:val="none"/>
          <w:u w:val="single"/>
        </w:rPr>
      </w:pPr>
      <w:r>
        <w:rPr>
          <w:rFonts w:hint="eastAsia" w:ascii="仿宋" w:hAnsi="仿宋" w:eastAsia="仿宋" w:cs="仿宋"/>
          <w:sz w:val="32"/>
          <w:szCs w:val="32"/>
          <w:highlight w:val="none"/>
        </w:rPr>
        <w:t>项目名称</w:t>
      </w:r>
      <w:r>
        <w:rPr>
          <w:rFonts w:hint="eastAsia" w:ascii="仿宋" w:hAnsi="仿宋" w:eastAsia="仿宋" w:cs="仿宋"/>
          <w:sz w:val="32"/>
          <w:szCs w:val="32"/>
          <w:highlight w:val="none"/>
          <w:u w:val="none"/>
        </w:rPr>
        <w:t>：</w:t>
      </w:r>
      <w:r>
        <w:rPr>
          <w:rFonts w:hint="eastAsia" w:ascii="仿宋" w:hAnsi="仿宋" w:eastAsia="仿宋" w:cs="仿宋"/>
          <w:sz w:val="32"/>
          <w:szCs w:val="32"/>
          <w:highlight w:val="none"/>
          <w:u w:val="single"/>
        </w:rPr>
        <w:t>济南轻卡制造公司皮卡产线生产轻卡驾驶室KD总成改造技改项目</w:t>
      </w:r>
    </w:p>
    <w:p>
      <w:pPr>
        <w:spacing w:line="480" w:lineRule="exact"/>
        <w:jc w:val="center"/>
        <w:rPr>
          <w:rFonts w:hint="eastAsia" w:ascii="仿宋" w:hAnsi="仿宋" w:eastAsia="仿宋" w:cs="仿宋"/>
          <w:sz w:val="32"/>
          <w:szCs w:val="32"/>
          <w:highlight w:val="none"/>
        </w:rPr>
      </w:pPr>
    </w:p>
    <w:p>
      <w:pPr>
        <w:spacing w:line="480" w:lineRule="exact"/>
        <w:jc w:val="center"/>
        <w:rPr>
          <w:rFonts w:hint="eastAsia" w:ascii="仿宋" w:hAnsi="仿宋" w:eastAsia="仿宋" w:cs="仿宋"/>
          <w:sz w:val="32"/>
          <w:szCs w:val="32"/>
          <w:highlight w:val="none"/>
        </w:rPr>
      </w:pPr>
    </w:p>
    <w:p>
      <w:pPr>
        <w:spacing w:line="480" w:lineRule="exact"/>
        <w:rPr>
          <w:rFonts w:hint="eastAsia" w:ascii="宋体" w:hAnsi="宋体"/>
          <w:color w:val="auto"/>
          <w:highlight w:val="none"/>
        </w:rPr>
      </w:pPr>
    </w:p>
    <w:p>
      <w:pPr>
        <w:pStyle w:val="2"/>
        <w:rPr>
          <w:rFonts w:hint="eastAsia" w:ascii="宋体" w:hAnsi="宋体"/>
          <w:color w:val="auto"/>
          <w:highlight w:val="none"/>
        </w:rPr>
      </w:pPr>
    </w:p>
    <w:p>
      <w:pPr>
        <w:rPr>
          <w:rFonts w:hint="eastAsia" w:ascii="宋体" w:hAnsi="宋体"/>
          <w:color w:val="auto"/>
          <w:highlight w:val="none"/>
        </w:rPr>
      </w:pPr>
    </w:p>
    <w:p>
      <w:pPr>
        <w:pStyle w:val="2"/>
        <w:rPr>
          <w:rFonts w:hint="eastAsia" w:ascii="宋体" w:hAnsi="宋体"/>
          <w:color w:val="auto"/>
          <w:highlight w:val="none"/>
        </w:rPr>
      </w:pPr>
    </w:p>
    <w:p>
      <w:pPr>
        <w:rPr>
          <w:rFonts w:hint="eastAsia" w:ascii="宋体" w:hAnsi="宋体"/>
          <w:color w:val="auto"/>
          <w:highlight w:val="none"/>
        </w:rPr>
      </w:pPr>
    </w:p>
    <w:p>
      <w:pPr>
        <w:pStyle w:val="2"/>
        <w:rPr>
          <w:rFonts w:hint="eastAsia" w:ascii="宋体" w:hAnsi="宋体"/>
          <w:color w:val="auto"/>
          <w:highlight w:val="none"/>
        </w:rPr>
      </w:pPr>
    </w:p>
    <w:p>
      <w:pPr>
        <w:rPr>
          <w:rFonts w:hint="eastAsia"/>
          <w:highlight w:val="none"/>
        </w:rPr>
      </w:pPr>
    </w:p>
    <w:p>
      <w:pPr>
        <w:spacing w:line="480" w:lineRule="exact"/>
        <w:rPr>
          <w:rFonts w:hint="eastAsia" w:ascii="宋体" w:hAnsi="宋体"/>
          <w:color w:val="auto"/>
          <w:highlight w:val="none"/>
        </w:rPr>
      </w:pPr>
      <w:r>
        <w:rPr>
          <w:rFonts w:ascii="宋体" w:hAnsi="宋体"/>
          <w:color w:val="auto"/>
          <w:highlight w:val="none"/>
        </w:rPr>
        <w:t xml:space="preserve">               </w:t>
      </w:r>
    </w:p>
    <w:p>
      <w:pPr>
        <w:pStyle w:val="2"/>
        <w:jc w:val="center"/>
        <w:rPr>
          <w:rFonts w:hint="eastAsia" w:ascii="仿宋" w:hAnsi="仿宋" w:eastAsia="仿宋" w:cs="仿宋"/>
          <w:b/>
          <w:bCs/>
          <w:sz w:val="36"/>
          <w:szCs w:val="36"/>
          <w:highlight w:val="none"/>
          <w:u w:val="none"/>
          <w:lang w:val="en-US" w:eastAsia="zh-CN"/>
        </w:rPr>
      </w:pPr>
      <w:r>
        <w:rPr>
          <w:rFonts w:hint="eastAsia" w:ascii="仿宋" w:hAnsi="仿宋" w:eastAsia="仿宋" w:cs="仿宋"/>
          <w:b/>
          <w:bCs/>
          <w:sz w:val="36"/>
          <w:szCs w:val="36"/>
          <w:highlight w:val="none"/>
          <w:u w:val="none"/>
          <w:lang w:eastAsia="zh-CN"/>
        </w:rPr>
        <w:t>（</w:t>
      </w:r>
      <w:r>
        <w:rPr>
          <w:rFonts w:hint="eastAsia" w:ascii="仿宋" w:hAnsi="仿宋" w:eastAsia="仿宋" w:cs="仿宋"/>
          <w:b/>
          <w:bCs/>
          <w:sz w:val="36"/>
          <w:szCs w:val="36"/>
          <w:highlight w:val="none"/>
          <w:u w:val="none"/>
          <w:lang w:val="en-US" w:eastAsia="zh-CN"/>
        </w:rPr>
        <w:t>技术标书）</w:t>
      </w:r>
    </w:p>
    <w:p>
      <w:pPr>
        <w:pStyle w:val="2"/>
        <w:jc w:val="center"/>
        <w:rPr>
          <w:rFonts w:hint="eastAsia" w:ascii="仿宋" w:hAnsi="仿宋" w:eastAsia="仿宋" w:cs="仿宋"/>
          <w:b/>
          <w:bCs/>
          <w:sz w:val="36"/>
          <w:szCs w:val="36"/>
          <w:highlight w:val="none"/>
          <w:u w:val="none"/>
          <w:lang w:val="en-US" w:eastAsia="zh-CN"/>
        </w:rPr>
      </w:pPr>
    </w:p>
    <w:p>
      <w:pPr>
        <w:pStyle w:val="2"/>
        <w:jc w:val="center"/>
        <w:rPr>
          <w:rFonts w:hint="eastAsia" w:ascii="仿宋" w:hAnsi="仿宋" w:eastAsia="仿宋" w:cs="仿宋"/>
          <w:b/>
          <w:bCs/>
          <w:sz w:val="36"/>
          <w:szCs w:val="36"/>
          <w:highlight w:val="none"/>
          <w:u w:val="none"/>
          <w:lang w:val="en-US" w:eastAsia="zh-CN"/>
        </w:rPr>
      </w:pPr>
    </w:p>
    <w:p>
      <w:pPr>
        <w:pStyle w:val="2"/>
        <w:jc w:val="center"/>
        <w:rPr>
          <w:rFonts w:hint="default" w:ascii="仿宋" w:hAnsi="仿宋" w:eastAsia="仿宋" w:cs="仿宋"/>
          <w:b/>
          <w:bCs/>
          <w:sz w:val="36"/>
          <w:szCs w:val="36"/>
          <w:highlight w:val="none"/>
          <w:u w:val="none"/>
          <w:lang w:val="en-US" w:eastAsia="zh-CN"/>
        </w:rPr>
      </w:pPr>
      <w:r>
        <w:rPr>
          <w:rFonts w:hint="eastAsia" w:ascii="仿宋" w:hAnsi="仿宋" w:eastAsia="仿宋" w:cs="仿宋"/>
          <w:b/>
          <w:bCs/>
          <w:sz w:val="36"/>
          <w:szCs w:val="36"/>
          <w:highlight w:val="none"/>
          <w:u w:val="none"/>
          <w:lang w:val="en-US" w:eastAsia="zh-CN"/>
        </w:rPr>
        <w:t>2026年1月</w:t>
      </w:r>
    </w:p>
    <w:p>
      <w:pPr>
        <w:spacing w:line="480" w:lineRule="exact"/>
        <w:rPr>
          <w:rFonts w:hint="eastAsia" w:ascii="宋体" w:hAnsi="宋体"/>
          <w:color w:val="auto"/>
          <w:highlight w:val="none"/>
        </w:rPr>
      </w:pPr>
    </w:p>
    <w:p>
      <w:pPr>
        <w:spacing w:line="480" w:lineRule="exact"/>
        <w:rPr>
          <w:rFonts w:hint="eastAsia" w:ascii="宋体" w:hAnsi="宋体"/>
          <w:color w:val="auto"/>
          <w:highlight w:val="none"/>
        </w:rPr>
      </w:pPr>
    </w:p>
    <w:p>
      <w:pPr>
        <w:spacing w:line="480" w:lineRule="exact"/>
        <w:rPr>
          <w:rFonts w:hint="eastAsia" w:ascii="宋体" w:hAnsi="宋体"/>
          <w:color w:val="auto"/>
          <w:highlight w:val="none"/>
        </w:rPr>
      </w:pPr>
    </w:p>
    <w:p>
      <w:pPr>
        <w:rPr>
          <w:rFonts w:hint="eastAsia" w:ascii="黑体" w:hAnsi="宋体" w:eastAsia="黑体"/>
          <w:color w:val="auto"/>
          <w:sz w:val="44"/>
          <w:szCs w:val="44"/>
          <w:highlight w:val="none"/>
        </w:rPr>
      </w:pPr>
    </w:p>
    <w:p>
      <w:pPr>
        <w:spacing w:line="480" w:lineRule="exact"/>
        <w:jc w:val="center"/>
        <w:rPr>
          <w:rFonts w:hint="eastAsia" w:ascii="黑体" w:hAnsi="宋体" w:eastAsia="黑体"/>
          <w:color w:val="auto"/>
          <w:highlight w:val="none"/>
        </w:rPr>
      </w:pPr>
    </w:p>
    <w:p>
      <w:pPr>
        <w:spacing w:line="480" w:lineRule="exact"/>
        <w:jc w:val="center"/>
        <w:rPr>
          <w:rFonts w:hint="eastAsia" w:ascii="宋体" w:hAnsi="宋体"/>
          <w:color w:val="auto"/>
          <w:highlight w:val="none"/>
        </w:rPr>
      </w:pPr>
      <w:r>
        <w:rPr>
          <w:rFonts w:hint="eastAsia" w:ascii="黑体" w:hAnsi="宋体" w:eastAsia="黑体"/>
          <w:color w:val="auto"/>
          <w:highlight w:val="none"/>
        </w:rPr>
        <w:t>目        录</w:t>
      </w:r>
    </w:p>
    <w:p>
      <w:pPr>
        <w:pStyle w:val="20"/>
        <w:tabs>
          <w:tab w:val="right" w:leader="dot" w:pos="8787"/>
          <w:tab w:val="clear" w:pos="8729"/>
        </w:tabs>
        <w:spacing w:line="480" w:lineRule="auto"/>
        <w:rPr>
          <w:color w:val="auto"/>
          <w:highlight w:val="none"/>
        </w:rPr>
      </w:pPr>
      <w:r>
        <w:rPr>
          <w:rFonts w:hint="eastAsia" w:ascii="宋体" w:hAnsi="宋体"/>
          <w:color w:val="auto"/>
          <w:sz w:val="24"/>
          <w:szCs w:val="24"/>
          <w:highlight w:val="none"/>
        </w:rPr>
        <w:fldChar w:fldCharType="begin"/>
      </w:r>
      <w:r>
        <w:rPr>
          <w:rFonts w:hint="eastAsia" w:ascii="宋体" w:hAnsi="宋体"/>
          <w:color w:val="auto"/>
          <w:sz w:val="24"/>
          <w:szCs w:val="24"/>
          <w:highlight w:val="none"/>
        </w:rPr>
        <w:instrText xml:space="preserve"> TOC \o "1-2" \h \z \u </w:instrText>
      </w:r>
      <w:r>
        <w:rPr>
          <w:rFonts w:hint="eastAsia" w:ascii="宋体" w:hAnsi="宋体"/>
          <w:color w:val="auto"/>
          <w:sz w:val="24"/>
          <w:szCs w:val="24"/>
          <w:highlight w:val="none"/>
        </w:rPr>
        <w:fldChar w:fldCharType="separate"/>
      </w:r>
      <w:r>
        <w:rPr>
          <w:rFonts w:hint="eastAsia" w:ascii="宋体" w:hAnsi="宋体"/>
          <w:color w:val="auto"/>
          <w:highlight w:val="none"/>
        </w:rPr>
        <w:fldChar w:fldCharType="begin"/>
      </w:r>
      <w:r>
        <w:rPr>
          <w:rFonts w:hint="eastAsia" w:ascii="宋体" w:hAnsi="宋体"/>
          <w:color w:val="auto"/>
          <w:highlight w:val="none"/>
        </w:rPr>
        <w:instrText xml:space="preserve"> HYPERLINK \l _Toc2567 </w:instrText>
      </w:r>
      <w:r>
        <w:rPr>
          <w:rFonts w:hint="eastAsia" w:ascii="宋体" w:hAnsi="宋体"/>
          <w:color w:val="auto"/>
          <w:highlight w:val="none"/>
        </w:rPr>
        <w:fldChar w:fldCharType="separate"/>
      </w:r>
      <w:r>
        <w:rPr>
          <w:rFonts w:hint="eastAsia" w:ascii="黑体" w:eastAsia="黑体"/>
          <w:color w:val="auto"/>
          <w:szCs w:val="24"/>
          <w:highlight w:val="none"/>
        </w:rPr>
        <w:t>第一章  采购货物概况</w:t>
      </w:r>
      <w:r>
        <w:rPr>
          <w:color w:val="auto"/>
          <w:highlight w:val="none"/>
        </w:rPr>
        <w:tab/>
      </w:r>
      <w:r>
        <w:rPr>
          <w:color w:val="auto"/>
          <w:highlight w:val="none"/>
        </w:rPr>
        <w:fldChar w:fldCharType="begin"/>
      </w:r>
      <w:r>
        <w:rPr>
          <w:color w:val="auto"/>
          <w:highlight w:val="none"/>
        </w:rPr>
        <w:instrText xml:space="preserve"> PAGEREF _Toc2567 </w:instrText>
      </w:r>
      <w:r>
        <w:rPr>
          <w:color w:val="auto"/>
          <w:highlight w:val="none"/>
        </w:rPr>
        <w:fldChar w:fldCharType="separate"/>
      </w:r>
      <w:r>
        <w:rPr>
          <w:color w:val="auto"/>
          <w:highlight w:val="none"/>
        </w:rPr>
        <w:t>1</w:t>
      </w:r>
      <w:r>
        <w:rPr>
          <w:color w:val="auto"/>
          <w:highlight w:val="none"/>
        </w:rPr>
        <w:fldChar w:fldCharType="end"/>
      </w:r>
      <w:r>
        <w:rPr>
          <w:rFonts w:hint="eastAsia" w:ascii="宋体" w:hAnsi="宋体"/>
          <w:color w:val="auto"/>
          <w:highlight w:val="none"/>
        </w:rPr>
        <w:fldChar w:fldCharType="end"/>
      </w:r>
    </w:p>
    <w:p>
      <w:pPr>
        <w:pStyle w:val="20"/>
        <w:tabs>
          <w:tab w:val="right" w:leader="dot" w:pos="8787"/>
          <w:tab w:val="clear" w:pos="8729"/>
        </w:tabs>
        <w:spacing w:line="480" w:lineRule="auto"/>
        <w:rPr>
          <w:color w:val="auto"/>
          <w:highlight w:val="none"/>
        </w:rPr>
      </w:pPr>
      <w:r>
        <w:rPr>
          <w:rFonts w:hint="eastAsia" w:ascii="宋体" w:hAnsi="宋体"/>
          <w:color w:val="auto"/>
          <w:highlight w:val="none"/>
        </w:rPr>
        <w:fldChar w:fldCharType="begin"/>
      </w:r>
      <w:r>
        <w:rPr>
          <w:rFonts w:hint="eastAsia" w:ascii="宋体" w:hAnsi="宋体"/>
          <w:color w:val="auto"/>
          <w:highlight w:val="none"/>
        </w:rPr>
        <w:instrText xml:space="preserve"> HYPERLINK \l _Toc32262 </w:instrText>
      </w:r>
      <w:r>
        <w:rPr>
          <w:rFonts w:hint="eastAsia" w:ascii="宋体" w:hAnsi="宋体"/>
          <w:color w:val="auto"/>
          <w:highlight w:val="none"/>
        </w:rPr>
        <w:fldChar w:fldCharType="separate"/>
      </w:r>
      <w:r>
        <w:rPr>
          <w:rFonts w:hint="eastAsia" w:ascii="黑体" w:eastAsia="黑体"/>
          <w:color w:val="auto"/>
          <w:szCs w:val="24"/>
          <w:highlight w:val="none"/>
        </w:rPr>
        <w:t>第二章  技术要求</w:t>
      </w:r>
      <w:r>
        <w:rPr>
          <w:color w:val="auto"/>
          <w:highlight w:val="none"/>
        </w:rPr>
        <w:tab/>
      </w:r>
      <w:r>
        <w:rPr>
          <w:color w:val="auto"/>
          <w:highlight w:val="none"/>
        </w:rPr>
        <w:fldChar w:fldCharType="begin"/>
      </w:r>
      <w:r>
        <w:rPr>
          <w:color w:val="auto"/>
          <w:highlight w:val="none"/>
        </w:rPr>
        <w:instrText xml:space="preserve"> PAGEREF _Toc32262 </w:instrText>
      </w:r>
      <w:r>
        <w:rPr>
          <w:color w:val="auto"/>
          <w:highlight w:val="none"/>
        </w:rPr>
        <w:fldChar w:fldCharType="separate"/>
      </w:r>
      <w:r>
        <w:rPr>
          <w:color w:val="auto"/>
          <w:highlight w:val="none"/>
        </w:rPr>
        <w:t>3</w:t>
      </w:r>
      <w:r>
        <w:rPr>
          <w:color w:val="auto"/>
          <w:highlight w:val="none"/>
        </w:rPr>
        <w:fldChar w:fldCharType="end"/>
      </w:r>
      <w:r>
        <w:rPr>
          <w:rFonts w:hint="eastAsia" w:ascii="宋体" w:hAnsi="宋体"/>
          <w:color w:val="auto"/>
          <w:highlight w:val="none"/>
        </w:rPr>
        <w:fldChar w:fldCharType="end"/>
      </w:r>
    </w:p>
    <w:p>
      <w:pPr>
        <w:pStyle w:val="20"/>
        <w:tabs>
          <w:tab w:val="right" w:leader="dot" w:pos="8787"/>
          <w:tab w:val="clear" w:pos="8729"/>
        </w:tabs>
        <w:spacing w:line="480" w:lineRule="auto"/>
        <w:rPr>
          <w:color w:val="auto"/>
          <w:highlight w:val="none"/>
        </w:rPr>
      </w:pPr>
      <w:r>
        <w:rPr>
          <w:rFonts w:hint="eastAsia" w:ascii="宋体" w:hAnsi="宋体"/>
          <w:color w:val="auto"/>
          <w:highlight w:val="none"/>
        </w:rPr>
        <w:fldChar w:fldCharType="begin"/>
      </w:r>
      <w:r>
        <w:rPr>
          <w:rFonts w:hint="eastAsia" w:ascii="宋体" w:hAnsi="宋体"/>
          <w:color w:val="auto"/>
          <w:highlight w:val="none"/>
        </w:rPr>
        <w:instrText xml:space="preserve"> HYPERLINK \l _Toc10963 </w:instrText>
      </w:r>
      <w:r>
        <w:rPr>
          <w:rFonts w:hint="eastAsia" w:ascii="宋体" w:hAnsi="宋体"/>
          <w:color w:val="auto"/>
          <w:highlight w:val="none"/>
        </w:rPr>
        <w:fldChar w:fldCharType="separate"/>
      </w:r>
      <w:r>
        <w:rPr>
          <w:rFonts w:hint="eastAsia" w:ascii="黑体" w:eastAsia="黑体"/>
          <w:color w:val="auto"/>
          <w:szCs w:val="24"/>
          <w:highlight w:val="none"/>
        </w:rPr>
        <w:t>第三章  供货范围及供货方式</w:t>
      </w:r>
      <w:r>
        <w:rPr>
          <w:color w:val="auto"/>
          <w:highlight w:val="none"/>
        </w:rPr>
        <w:tab/>
      </w:r>
      <w:r>
        <w:rPr>
          <w:color w:val="auto"/>
          <w:highlight w:val="none"/>
        </w:rPr>
        <w:fldChar w:fldCharType="begin"/>
      </w:r>
      <w:r>
        <w:rPr>
          <w:color w:val="auto"/>
          <w:highlight w:val="none"/>
        </w:rPr>
        <w:instrText xml:space="preserve"> PAGEREF _Toc10963 </w:instrText>
      </w:r>
      <w:r>
        <w:rPr>
          <w:color w:val="auto"/>
          <w:highlight w:val="none"/>
        </w:rPr>
        <w:fldChar w:fldCharType="separate"/>
      </w:r>
      <w:r>
        <w:rPr>
          <w:color w:val="auto"/>
          <w:highlight w:val="none"/>
        </w:rPr>
        <w:t>16</w:t>
      </w:r>
      <w:r>
        <w:rPr>
          <w:color w:val="auto"/>
          <w:highlight w:val="none"/>
        </w:rPr>
        <w:fldChar w:fldCharType="end"/>
      </w:r>
      <w:r>
        <w:rPr>
          <w:rFonts w:hint="eastAsia" w:ascii="宋体" w:hAnsi="宋体"/>
          <w:color w:val="auto"/>
          <w:highlight w:val="none"/>
        </w:rPr>
        <w:fldChar w:fldCharType="end"/>
      </w:r>
    </w:p>
    <w:p>
      <w:pPr>
        <w:pStyle w:val="20"/>
        <w:tabs>
          <w:tab w:val="right" w:leader="dot" w:pos="8787"/>
          <w:tab w:val="clear" w:pos="8729"/>
        </w:tabs>
        <w:spacing w:line="480" w:lineRule="auto"/>
        <w:rPr>
          <w:color w:val="auto"/>
          <w:highlight w:val="none"/>
        </w:rPr>
      </w:pPr>
      <w:r>
        <w:rPr>
          <w:rFonts w:hint="eastAsia" w:ascii="宋体" w:hAnsi="宋体"/>
          <w:color w:val="auto"/>
          <w:highlight w:val="none"/>
        </w:rPr>
        <w:fldChar w:fldCharType="begin"/>
      </w:r>
      <w:r>
        <w:rPr>
          <w:rFonts w:hint="eastAsia" w:ascii="宋体" w:hAnsi="宋体"/>
          <w:color w:val="auto"/>
          <w:highlight w:val="none"/>
        </w:rPr>
        <w:instrText xml:space="preserve"> HYPERLINK \l _Toc30960 </w:instrText>
      </w:r>
      <w:r>
        <w:rPr>
          <w:rFonts w:hint="eastAsia" w:ascii="宋体" w:hAnsi="宋体"/>
          <w:color w:val="auto"/>
          <w:highlight w:val="none"/>
        </w:rPr>
        <w:fldChar w:fldCharType="separate"/>
      </w:r>
      <w:r>
        <w:rPr>
          <w:rFonts w:hint="eastAsia" w:ascii="黑体" w:eastAsia="黑体"/>
          <w:color w:val="auto"/>
          <w:szCs w:val="24"/>
          <w:highlight w:val="none"/>
        </w:rPr>
        <w:t>第四章  售中售后服务</w:t>
      </w:r>
      <w:r>
        <w:rPr>
          <w:color w:val="auto"/>
          <w:highlight w:val="none"/>
        </w:rPr>
        <w:tab/>
      </w:r>
      <w:r>
        <w:rPr>
          <w:color w:val="auto"/>
          <w:highlight w:val="none"/>
        </w:rPr>
        <w:fldChar w:fldCharType="begin"/>
      </w:r>
      <w:r>
        <w:rPr>
          <w:color w:val="auto"/>
          <w:highlight w:val="none"/>
        </w:rPr>
        <w:instrText xml:space="preserve"> PAGEREF _Toc30960 </w:instrText>
      </w:r>
      <w:r>
        <w:rPr>
          <w:color w:val="auto"/>
          <w:highlight w:val="none"/>
        </w:rPr>
        <w:fldChar w:fldCharType="separate"/>
      </w:r>
      <w:r>
        <w:rPr>
          <w:color w:val="auto"/>
          <w:highlight w:val="none"/>
        </w:rPr>
        <w:t>20</w:t>
      </w:r>
      <w:r>
        <w:rPr>
          <w:color w:val="auto"/>
          <w:highlight w:val="none"/>
        </w:rPr>
        <w:fldChar w:fldCharType="end"/>
      </w:r>
      <w:r>
        <w:rPr>
          <w:rFonts w:hint="eastAsia" w:ascii="宋体" w:hAnsi="宋体"/>
          <w:color w:val="auto"/>
          <w:highlight w:val="none"/>
        </w:rPr>
        <w:fldChar w:fldCharType="end"/>
      </w:r>
    </w:p>
    <w:p>
      <w:pPr>
        <w:pStyle w:val="20"/>
        <w:tabs>
          <w:tab w:val="right" w:leader="dot" w:pos="8787"/>
          <w:tab w:val="clear" w:pos="8729"/>
        </w:tabs>
        <w:spacing w:line="480" w:lineRule="auto"/>
        <w:rPr>
          <w:color w:val="auto"/>
          <w:highlight w:val="none"/>
        </w:rPr>
      </w:pPr>
      <w:r>
        <w:rPr>
          <w:rFonts w:hint="eastAsia" w:ascii="宋体" w:hAnsi="宋体"/>
          <w:color w:val="auto"/>
          <w:highlight w:val="none"/>
        </w:rPr>
        <w:fldChar w:fldCharType="begin"/>
      </w:r>
      <w:r>
        <w:rPr>
          <w:rFonts w:hint="eastAsia" w:ascii="宋体" w:hAnsi="宋体"/>
          <w:color w:val="auto"/>
          <w:highlight w:val="none"/>
        </w:rPr>
        <w:instrText xml:space="preserve"> HYPERLINK \l _Toc21539 </w:instrText>
      </w:r>
      <w:r>
        <w:rPr>
          <w:rFonts w:hint="eastAsia" w:ascii="宋体" w:hAnsi="宋体"/>
          <w:color w:val="auto"/>
          <w:highlight w:val="none"/>
        </w:rPr>
        <w:fldChar w:fldCharType="separate"/>
      </w:r>
      <w:r>
        <w:rPr>
          <w:rFonts w:hint="eastAsia" w:ascii="黑体" w:eastAsia="黑体"/>
          <w:color w:val="auto"/>
          <w:szCs w:val="24"/>
          <w:highlight w:val="none"/>
        </w:rPr>
        <w:t>第五章  预验收和终验收</w:t>
      </w:r>
      <w:r>
        <w:rPr>
          <w:color w:val="auto"/>
          <w:highlight w:val="none"/>
        </w:rPr>
        <w:tab/>
      </w:r>
      <w:r>
        <w:rPr>
          <w:color w:val="auto"/>
          <w:highlight w:val="none"/>
        </w:rPr>
        <w:fldChar w:fldCharType="begin"/>
      </w:r>
      <w:r>
        <w:rPr>
          <w:color w:val="auto"/>
          <w:highlight w:val="none"/>
        </w:rPr>
        <w:instrText xml:space="preserve"> PAGEREF _Toc21539 </w:instrText>
      </w:r>
      <w:r>
        <w:rPr>
          <w:color w:val="auto"/>
          <w:highlight w:val="none"/>
        </w:rPr>
        <w:fldChar w:fldCharType="separate"/>
      </w:r>
      <w:r>
        <w:rPr>
          <w:color w:val="auto"/>
          <w:highlight w:val="none"/>
        </w:rPr>
        <w:t>22</w:t>
      </w:r>
      <w:r>
        <w:rPr>
          <w:color w:val="auto"/>
          <w:highlight w:val="none"/>
        </w:rPr>
        <w:fldChar w:fldCharType="end"/>
      </w:r>
      <w:r>
        <w:rPr>
          <w:rFonts w:hint="eastAsia" w:ascii="宋体" w:hAnsi="宋体"/>
          <w:color w:val="auto"/>
          <w:highlight w:val="none"/>
        </w:rPr>
        <w:fldChar w:fldCharType="end"/>
      </w:r>
    </w:p>
    <w:p>
      <w:pPr>
        <w:pStyle w:val="20"/>
        <w:tabs>
          <w:tab w:val="right" w:leader="dot" w:pos="8787"/>
          <w:tab w:val="clear" w:pos="8729"/>
        </w:tabs>
        <w:spacing w:line="480" w:lineRule="auto"/>
        <w:rPr>
          <w:color w:val="auto"/>
          <w:highlight w:val="none"/>
        </w:rPr>
      </w:pPr>
      <w:r>
        <w:rPr>
          <w:rFonts w:hint="eastAsia" w:ascii="宋体" w:hAnsi="宋体"/>
          <w:color w:val="auto"/>
          <w:highlight w:val="none"/>
        </w:rPr>
        <w:fldChar w:fldCharType="begin"/>
      </w:r>
      <w:r>
        <w:rPr>
          <w:rFonts w:hint="eastAsia" w:ascii="宋体" w:hAnsi="宋体"/>
          <w:color w:val="auto"/>
          <w:highlight w:val="none"/>
        </w:rPr>
        <w:instrText xml:space="preserve"> HYPERLINK \l _Toc12996 </w:instrText>
      </w:r>
      <w:r>
        <w:rPr>
          <w:rFonts w:hint="eastAsia" w:ascii="宋体" w:hAnsi="宋体"/>
          <w:color w:val="auto"/>
          <w:highlight w:val="none"/>
        </w:rPr>
        <w:fldChar w:fldCharType="separate"/>
      </w:r>
      <w:r>
        <w:rPr>
          <w:rFonts w:hint="eastAsia" w:ascii="黑体" w:eastAsia="黑体"/>
          <w:color w:val="auto"/>
          <w:szCs w:val="24"/>
          <w:highlight w:val="none"/>
        </w:rPr>
        <w:t>第六章  投标技术文件一般要求</w:t>
      </w:r>
      <w:r>
        <w:rPr>
          <w:color w:val="auto"/>
          <w:highlight w:val="none"/>
        </w:rPr>
        <w:tab/>
      </w:r>
      <w:r>
        <w:rPr>
          <w:color w:val="auto"/>
          <w:highlight w:val="none"/>
        </w:rPr>
        <w:fldChar w:fldCharType="begin"/>
      </w:r>
      <w:r>
        <w:rPr>
          <w:color w:val="auto"/>
          <w:highlight w:val="none"/>
        </w:rPr>
        <w:instrText xml:space="preserve"> PAGEREF _Toc12996 </w:instrText>
      </w:r>
      <w:r>
        <w:rPr>
          <w:color w:val="auto"/>
          <w:highlight w:val="none"/>
        </w:rPr>
        <w:fldChar w:fldCharType="separate"/>
      </w:r>
      <w:r>
        <w:rPr>
          <w:color w:val="auto"/>
          <w:highlight w:val="none"/>
        </w:rPr>
        <w:t>25</w:t>
      </w:r>
      <w:r>
        <w:rPr>
          <w:color w:val="auto"/>
          <w:highlight w:val="none"/>
        </w:rPr>
        <w:fldChar w:fldCharType="end"/>
      </w:r>
      <w:r>
        <w:rPr>
          <w:rFonts w:hint="eastAsia" w:ascii="宋体" w:hAnsi="宋体"/>
          <w:color w:val="auto"/>
          <w:highlight w:val="none"/>
        </w:rPr>
        <w:fldChar w:fldCharType="end"/>
      </w:r>
    </w:p>
    <w:p>
      <w:pPr>
        <w:pStyle w:val="20"/>
        <w:tabs>
          <w:tab w:val="right" w:leader="dot" w:pos="8787"/>
          <w:tab w:val="clear" w:pos="8729"/>
        </w:tabs>
        <w:spacing w:line="480" w:lineRule="auto"/>
        <w:rPr>
          <w:color w:val="auto"/>
          <w:highlight w:val="none"/>
        </w:rPr>
      </w:pPr>
      <w:r>
        <w:rPr>
          <w:rFonts w:hint="eastAsia" w:ascii="宋体" w:hAnsi="宋体"/>
          <w:color w:val="auto"/>
          <w:highlight w:val="none"/>
        </w:rPr>
        <w:fldChar w:fldCharType="begin"/>
      </w:r>
      <w:r>
        <w:rPr>
          <w:rFonts w:hint="eastAsia" w:ascii="宋体" w:hAnsi="宋体"/>
          <w:color w:val="auto"/>
          <w:highlight w:val="none"/>
        </w:rPr>
        <w:instrText xml:space="preserve"> HYPERLINK \l _Toc31849 </w:instrText>
      </w:r>
      <w:r>
        <w:rPr>
          <w:rFonts w:hint="eastAsia" w:ascii="宋体" w:hAnsi="宋体"/>
          <w:color w:val="auto"/>
          <w:highlight w:val="none"/>
        </w:rPr>
        <w:fldChar w:fldCharType="separate"/>
      </w:r>
      <w:r>
        <w:rPr>
          <w:rFonts w:hint="eastAsia" w:ascii="黑体" w:eastAsia="黑体"/>
          <w:color w:val="auto"/>
          <w:szCs w:val="24"/>
          <w:highlight w:val="none"/>
        </w:rPr>
        <w:t>第七章  其它要求及说明</w:t>
      </w:r>
      <w:r>
        <w:rPr>
          <w:color w:val="auto"/>
          <w:highlight w:val="none"/>
        </w:rPr>
        <w:tab/>
      </w:r>
      <w:r>
        <w:rPr>
          <w:color w:val="auto"/>
          <w:highlight w:val="none"/>
        </w:rPr>
        <w:fldChar w:fldCharType="begin"/>
      </w:r>
      <w:r>
        <w:rPr>
          <w:color w:val="auto"/>
          <w:highlight w:val="none"/>
        </w:rPr>
        <w:instrText xml:space="preserve"> PAGEREF _Toc31849 </w:instrText>
      </w:r>
      <w:r>
        <w:rPr>
          <w:color w:val="auto"/>
          <w:highlight w:val="none"/>
        </w:rPr>
        <w:fldChar w:fldCharType="separate"/>
      </w:r>
      <w:r>
        <w:rPr>
          <w:color w:val="auto"/>
          <w:highlight w:val="none"/>
        </w:rPr>
        <w:t>27</w:t>
      </w:r>
      <w:r>
        <w:rPr>
          <w:color w:val="auto"/>
          <w:highlight w:val="none"/>
        </w:rPr>
        <w:fldChar w:fldCharType="end"/>
      </w:r>
      <w:r>
        <w:rPr>
          <w:rFonts w:hint="eastAsia" w:ascii="宋体" w:hAnsi="宋体"/>
          <w:color w:val="auto"/>
          <w:highlight w:val="none"/>
        </w:rPr>
        <w:fldChar w:fldCharType="end"/>
      </w:r>
    </w:p>
    <w:p>
      <w:pPr>
        <w:spacing w:line="480" w:lineRule="auto"/>
        <w:rPr>
          <w:rFonts w:hint="eastAsia" w:ascii="宋体" w:hAnsi="宋体"/>
          <w:color w:val="auto"/>
          <w:highlight w:val="none"/>
        </w:rPr>
      </w:pPr>
      <w:r>
        <w:rPr>
          <w:rFonts w:hint="eastAsia" w:ascii="宋体" w:hAnsi="宋体"/>
          <w:color w:val="auto"/>
          <w:highlight w:val="none"/>
        </w:rPr>
        <w:fldChar w:fldCharType="end"/>
      </w:r>
    </w:p>
    <w:p>
      <w:pPr>
        <w:spacing w:line="480" w:lineRule="exact"/>
        <w:ind w:firstLine="840" w:firstLineChars="400"/>
        <w:rPr>
          <w:rFonts w:hint="eastAsia" w:ascii="黑体" w:hAnsi="宋体" w:eastAsia="黑体"/>
          <w:color w:val="auto"/>
          <w:highlight w:val="none"/>
        </w:rPr>
      </w:pPr>
    </w:p>
    <w:p>
      <w:pPr>
        <w:spacing w:line="480" w:lineRule="exact"/>
        <w:ind w:firstLine="840" w:firstLineChars="400"/>
        <w:rPr>
          <w:rFonts w:hint="eastAsia" w:ascii="黑体" w:hAnsi="宋体" w:eastAsia="黑体"/>
          <w:color w:val="auto"/>
          <w:highlight w:val="none"/>
        </w:rPr>
      </w:pPr>
    </w:p>
    <w:p>
      <w:pPr>
        <w:spacing w:line="480" w:lineRule="exact"/>
        <w:ind w:firstLine="840" w:firstLineChars="400"/>
        <w:rPr>
          <w:rFonts w:ascii="黑体" w:hAnsi="宋体" w:eastAsia="黑体"/>
          <w:color w:val="auto"/>
          <w:highlight w:val="none"/>
        </w:rPr>
        <w:sectPr>
          <w:headerReference r:id="rId7" w:type="default"/>
          <w:footerReference r:id="rId8" w:type="default"/>
          <w:pgSz w:w="11906" w:h="16838"/>
          <w:pgMar w:top="1701" w:right="1418" w:bottom="1134" w:left="1701" w:header="1021" w:footer="680" w:gutter="0"/>
          <w:pgBorders>
            <w:top w:val="none" w:sz="0" w:space="0"/>
            <w:left w:val="none" w:sz="0" w:space="0"/>
            <w:bottom w:val="none" w:sz="0" w:space="0"/>
            <w:right w:val="none" w:sz="0" w:space="0"/>
          </w:pgBorders>
          <w:pgNumType w:start="1"/>
          <w:cols w:space="720" w:num="1"/>
          <w:docGrid w:type="lines" w:linePitch="312" w:charSpace="0"/>
        </w:sectPr>
      </w:pPr>
    </w:p>
    <w:p>
      <w:pPr>
        <w:pStyle w:val="3"/>
        <w:spacing w:before="120" w:after="120" w:line="480" w:lineRule="exact"/>
        <w:jc w:val="center"/>
        <w:rPr>
          <w:rFonts w:hint="eastAsia" w:ascii="黑体" w:hAnsi="宋体" w:eastAsia="黑体"/>
          <w:color w:val="auto"/>
          <w:highlight w:val="none"/>
        </w:rPr>
      </w:pPr>
      <w:bookmarkStart w:id="13" w:name="_Toc2567"/>
      <w:bookmarkStart w:id="14" w:name="_Toc1271"/>
      <w:bookmarkStart w:id="15" w:name="_Toc28854"/>
      <w:bookmarkStart w:id="16" w:name="_Toc2894"/>
      <w:bookmarkStart w:id="17" w:name="_Toc137705865"/>
      <w:r>
        <w:rPr>
          <w:rFonts w:hint="eastAsia" w:ascii="黑体" w:eastAsia="黑体"/>
          <w:b w:val="0"/>
          <w:color w:val="auto"/>
          <w:sz w:val="24"/>
          <w:szCs w:val="24"/>
          <w:highlight w:val="none"/>
        </w:rPr>
        <w:t>第一章  采购货物概况</w:t>
      </w:r>
      <w:bookmarkEnd w:id="13"/>
      <w:bookmarkEnd w:id="14"/>
      <w:bookmarkEnd w:id="15"/>
      <w:bookmarkEnd w:id="16"/>
      <w:bookmarkEnd w:id="17"/>
    </w:p>
    <w:p>
      <w:pPr>
        <w:pStyle w:val="5"/>
        <w:spacing w:before="120" w:after="120" w:line="480" w:lineRule="exact"/>
        <w:jc w:val="center"/>
        <w:rPr>
          <w:rFonts w:hint="eastAsia"/>
          <w:b w:val="0"/>
          <w:color w:val="auto"/>
          <w:sz w:val="24"/>
          <w:szCs w:val="24"/>
          <w:highlight w:val="none"/>
        </w:rPr>
      </w:pPr>
      <w:bookmarkStart w:id="18" w:name="_Toc13530"/>
      <w:bookmarkStart w:id="19" w:name="_Toc13953"/>
      <w:bookmarkStart w:id="20" w:name="_Toc137705866"/>
      <w:bookmarkStart w:id="21" w:name="_Toc24900"/>
      <w:bookmarkStart w:id="22" w:name="_Toc9247"/>
      <w:r>
        <w:rPr>
          <w:rFonts w:hint="eastAsia"/>
          <w:b w:val="0"/>
          <w:color w:val="auto"/>
          <w:sz w:val="24"/>
          <w:szCs w:val="24"/>
          <w:highlight w:val="none"/>
        </w:rPr>
        <w:t>第一节  使用环境</w:t>
      </w:r>
      <w:bookmarkEnd w:id="18"/>
      <w:bookmarkEnd w:id="19"/>
      <w:bookmarkEnd w:id="20"/>
      <w:bookmarkEnd w:id="21"/>
      <w:bookmarkEnd w:id="22"/>
    </w:p>
    <w:p>
      <w:pPr>
        <w:spacing w:line="480" w:lineRule="exact"/>
        <w:ind w:firstLine="420" w:firstLineChars="200"/>
        <w:rPr>
          <w:rFonts w:hint="eastAsia" w:ascii="宋体" w:hAnsi="宋体" w:eastAsia="宋体" w:cs="Times New Roman"/>
          <w:color w:val="auto"/>
          <w:highlight w:val="none"/>
          <w:u w:val="single"/>
          <w:shd w:val="pct10" w:color="auto" w:fill="FFFFFF"/>
        </w:rPr>
      </w:pPr>
      <w:r>
        <w:rPr>
          <w:rFonts w:hint="eastAsia" w:ascii="黑体" w:hAnsi="宋体" w:eastAsia="黑体"/>
          <w:color w:val="auto"/>
          <w:highlight w:val="none"/>
        </w:rPr>
        <w:t>一、项目名称：</w:t>
      </w:r>
      <w:r>
        <w:rPr>
          <w:rFonts w:hint="eastAsia" w:ascii="宋体" w:hAnsi="宋体" w:eastAsia="宋体" w:cs="Times New Roman"/>
          <w:color w:val="auto"/>
          <w:highlight w:val="none"/>
          <w:u w:val="single"/>
          <w:shd w:val="pct10" w:color="auto" w:fill="FFFFFF"/>
        </w:rPr>
        <w:t>济南轻卡制造公司皮卡产线生产轻卡驾驶室KD总成改造技改项</w:t>
      </w:r>
      <w:r>
        <w:rPr>
          <w:rFonts w:hint="eastAsia" w:ascii="宋体" w:hAnsi="宋体" w:eastAsia="宋体" w:cs="Times New Roman"/>
          <w:color w:val="auto"/>
          <w:highlight w:val="none"/>
          <w:u w:val="single"/>
          <w:shd w:val="pct10" w:color="auto" w:fill="FFFFFF"/>
          <w:lang w:val="en-US" w:eastAsia="zh-CN"/>
        </w:rPr>
        <w:t>目</w:t>
      </w:r>
    </w:p>
    <w:p>
      <w:pPr>
        <w:spacing w:line="480" w:lineRule="exact"/>
        <w:ind w:firstLine="420" w:firstLineChars="200"/>
        <w:rPr>
          <w:rFonts w:hint="eastAsia" w:ascii="宋体" w:hAnsi="宋体"/>
          <w:color w:val="auto"/>
          <w:highlight w:val="none"/>
        </w:rPr>
      </w:pPr>
      <w:r>
        <w:rPr>
          <w:rFonts w:hint="eastAsia" w:ascii="黑体" w:hAnsi="宋体" w:eastAsia="黑体"/>
          <w:color w:val="auto"/>
          <w:highlight w:val="none"/>
        </w:rPr>
        <w:t>二、建设地点：</w:t>
      </w:r>
      <w:r>
        <w:rPr>
          <w:rFonts w:hint="eastAsia" w:ascii="宋体" w:hAnsi="宋体"/>
          <w:color w:val="auto"/>
          <w:highlight w:val="none"/>
          <w:u w:val="single"/>
          <w:shd w:val="pct10" w:color="auto" w:fill="FFFFFF"/>
        </w:rPr>
        <w:t xml:space="preserve"> 中国重汽集团权属公司     </w:t>
      </w:r>
    </w:p>
    <w:p>
      <w:pPr>
        <w:spacing w:line="480" w:lineRule="exact"/>
        <w:ind w:firstLine="420" w:firstLineChars="200"/>
        <w:rPr>
          <w:rFonts w:hint="eastAsia" w:ascii="宋体" w:hAnsi="宋体"/>
          <w:color w:val="auto"/>
          <w:highlight w:val="none"/>
          <w:u w:val="single"/>
          <w:shd w:val="pct10" w:color="auto" w:fill="FFFFFF"/>
        </w:rPr>
      </w:pPr>
      <w:r>
        <w:rPr>
          <w:rFonts w:hint="eastAsia" w:ascii="黑体" w:hAnsi="宋体" w:eastAsia="黑体"/>
          <w:color w:val="auto"/>
          <w:highlight w:val="none"/>
        </w:rPr>
        <w:t>三、使用地点：</w:t>
      </w:r>
      <w:r>
        <w:rPr>
          <w:rFonts w:hint="eastAsia" w:ascii="宋体" w:hAnsi="宋体"/>
          <w:color w:val="auto"/>
          <w:highlight w:val="none"/>
          <w:u w:val="single"/>
          <w:shd w:val="pct10" w:color="auto" w:fill="FFFFFF"/>
        </w:rPr>
        <w:t xml:space="preserve"> </w:t>
      </w:r>
      <w:r>
        <w:rPr>
          <w:rFonts w:hint="eastAsia" w:ascii="宋体" w:hAnsi="宋体"/>
          <w:color w:val="auto"/>
          <w:highlight w:val="none"/>
          <w:u w:val="single"/>
          <w:shd w:val="pct10" w:color="auto" w:fill="FFFFFF"/>
          <w:lang w:val="en-US" w:eastAsia="zh-CN"/>
        </w:rPr>
        <w:t>济南轻卡制造公司皮卡总装车间</w:t>
      </w:r>
      <w:r>
        <w:rPr>
          <w:rFonts w:hint="eastAsia" w:ascii="宋体" w:hAnsi="宋体"/>
          <w:color w:val="auto"/>
          <w:highlight w:val="none"/>
          <w:u w:val="single"/>
          <w:shd w:val="pct10" w:color="auto" w:fill="FFFFFF"/>
        </w:rPr>
        <w:t xml:space="preserve">   </w:t>
      </w:r>
    </w:p>
    <w:p>
      <w:pPr>
        <w:spacing w:line="480" w:lineRule="exact"/>
        <w:ind w:firstLine="420" w:firstLineChars="200"/>
        <w:rPr>
          <w:rFonts w:hint="eastAsia" w:ascii="宋体" w:hAnsi="宋体"/>
          <w:color w:val="auto"/>
          <w:highlight w:val="none"/>
        </w:rPr>
      </w:pPr>
      <w:r>
        <w:rPr>
          <w:rFonts w:hint="eastAsia" w:ascii="黑体" w:hAnsi="宋体" w:eastAsia="黑体"/>
          <w:color w:val="auto"/>
          <w:highlight w:val="none"/>
        </w:rPr>
        <w:t>四、工作制度：</w:t>
      </w:r>
      <w:r>
        <w:rPr>
          <w:rFonts w:hint="eastAsia" w:ascii="宋体" w:hAnsi="宋体"/>
          <w:color w:val="auto"/>
          <w:highlight w:val="none"/>
        </w:rPr>
        <w:t>全年工作</w:t>
      </w:r>
      <w:r>
        <w:rPr>
          <w:rFonts w:hint="eastAsia" w:ascii="宋体" w:hAnsi="宋体"/>
          <w:color w:val="auto"/>
          <w:highlight w:val="none"/>
          <w:u w:val="single"/>
          <w:shd w:val="pct10" w:color="auto" w:fill="FFFFFF"/>
        </w:rPr>
        <w:t xml:space="preserve">  300  </w:t>
      </w:r>
      <w:r>
        <w:rPr>
          <w:rFonts w:hint="eastAsia" w:ascii="宋体" w:hAnsi="宋体"/>
          <w:color w:val="auto"/>
          <w:highlight w:val="none"/>
        </w:rPr>
        <w:t>天、</w:t>
      </w:r>
      <w:r>
        <w:rPr>
          <w:rFonts w:hint="eastAsia" w:ascii="宋体" w:hAnsi="宋体"/>
          <w:color w:val="auto"/>
          <w:highlight w:val="none"/>
          <w:u w:val="single"/>
          <w:shd w:val="pct10" w:color="auto" w:fill="FFFFFF"/>
        </w:rPr>
        <w:t xml:space="preserve">  3  </w:t>
      </w:r>
      <w:r>
        <w:rPr>
          <w:rFonts w:hint="eastAsia" w:ascii="宋体" w:hAnsi="宋体"/>
          <w:color w:val="auto"/>
          <w:highlight w:val="none"/>
        </w:rPr>
        <w:t>班制、设备年时基数</w:t>
      </w:r>
      <w:r>
        <w:rPr>
          <w:rFonts w:hint="eastAsia" w:ascii="宋体" w:hAnsi="宋体"/>
          <w:color w:val="auto"/>
          <w:highlight w:val="none"/>
          <w:u w:val="single"/>
          <w:shd w:val="pct10" w:color="auto" w:fill="FFFFFF"/>
        </w:rPr>
        <w:t xml:space="preserve"> 7500 </w:t>
      </w:r>
      <w:r>
        <w:rPr>
          <w:rFonts w:hint="eastAsia" w:ascii="宋体" w:hAnsi="宋体"/>
          <w:color w:val="auto"/>
          <w:highlight w:val="none"/>
        </w:rPr>
        <w:t>小时</w:t>
      </w:r>
    </w:p>
    <w:p>
      <w:pPr>
        <w:spacing w:line="480" w:lineRule="exact"/>
        <w:ind w:firstLine="420" w:firstLineChars="200"/>
        <w:rPr>
          <w:rFonts w:hint="eastAsia" w:ascii="黑体" w:hAnsi="宋体" w:eastAsia="黑体"/>
          <w:color w:val="auto"/>
          <w:highlight w:val="none"/>
        </w:rPr>
      </w:pPr>
      <w:r>
        <w:rPr>
          <w:rFonts w:hint="eastAsia" w:ascii="黑体" w:hAnsi="宋体" w:eastAsia="黑体"/>
          <w:color w:val="auto"/>
          <w:highlight w:val="none"/>
        </w:rPr>
        <w:t>五、使用地点区域自然环境：</w:t>
      </w:r>
    </w:p>
    <w:p>
      <w:pPr>
        <w:spacing w:line="480" w:lineRule="exact"/>
        <w:ind w:firstLine="420" w:firstLineChars="200"/>
        <w:rPr>
          <w:rFonts w:hint="eastAsia" w:ascii="宋体" w:hAnsi="宋体"/>
          <w:color w:val="auto"/>
          <w:highlight w:val="none"/>
        </w:rPr>
      </w:pPr>
      <w:r>
        <w:rPr>
          <w:rFonts w:hint="eastAsia" w:ascii="宋体" w:hAnsi="宋体"/>
          <w:bCs/>
          <w:color w:val="auto"/>
          <w:highlight w:val="none"/>
        </w:rPr>
        <w:t>1、海拨高度：1500</w:t>
      </w:r>
      <w:r>
        <w:rPr>
          <w:rFonts w:ascii="宋体" w:hAnsi="宋体"/>
          <w:bCs/>
          <w:color w:val="auto"/>
          <w:highlight w:val="none"/>
        </w:rPr>
        <w:t>m</w:t>
      </w:r>
      <w:r>
        <w:rPr>
          <w:rFonts w:hint="eastAsia" w:ascii="宋体" w:hAnsi="宋体"/>
          <w:bCs/>
          <w:color w:val="auto"/>
          <w:highlight w:val="none"/>
        </w:rPr>
        <w:t>以下</w:t>
      </w:r>
    </w:p>
    <w:p>
      <w:pPr>
        <w:spacing w:line="480" w:lineRule="exact"/>
        <w:ind w:left="2047" w:leftChars="200" w:hanging="1627" w:hangingChars="775"/>
        <w:rPr>
          <w:rFonts w:hint="eastAsia" w:ascii="宋体" w:hAnsi="宋体"/>
          <w:color w:val="auto"/>
          <w:highlight w:val="none"/>
        </w:rPr>
      </w:pPr>
      <w:r>
        <w:rPr>
          <w:rFonts w:hint="eastAsia" w:ascii="宋体" w:hAnsi="宋体"/>
          <w:color w:val="auto"/>
          <w:highlight w:val="none"/>
        </w:rPr>
        <w:t>2、环境温度：室外极端最低温度-35℃、极端最高温度 42℃，昼夜最大温差25℃；厂房内温度 5～40℃</w:t>
      </w:r>
      <w:r>
        <w:rPr>
          <w:rFonts w:hint="eastAsia" w:ascii="宋体" w:hAnsi="宋体"/>
          <w:bCs/>
          <w:color w:val="auto"/>
          <w:highlight w:val="none"/>
        </w:rPr>
        <w:t>。</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3、相对湿度：年平均59%，</w:t>
      </w:r>
      <w:r>
        <w:rPr>
          <w:rFonts w:hint="eastAsia" w:ascii="宋体" w:hAnsi="宋体"/>
          <w:bCs/>
          <w:color w:val="auto"/>
          <w:highlight w:val="none"/>
        </w:rPr>
        <w:t>最大95%、最小15%。</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4、降雨量：日最大降雨量300mm、时最大降雨量100mm。</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5、最大风速：33.3m/s。</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6、最大积雪厚度：200mm。</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7、最大冻土深度：450mm。</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8、地震设防裂度：七度。</w:t>
      </w:r>
    </w:p>
    <w:p>
      <w:pPr>
        <w:spacing w:line="480" w:lineRule="exact"/>
        <w:ind w:firstLine="420" w:firstLineChars="200"/>
        <w:rPr>
          <w:rFonts w:hint="eastAsia" w:ascii="宋体" w:hAnsi="宋体"/>
          <w:color w:val="auto"/>
          <w:highlight w:val="none"/>
        </w:rPr>
      </w:pPr>
      <w:r>
        <w:rPr>
          <w:rFonts w:hint="eastAsia" w:ascii="黑体" w:hAnsi="宋体" w:eastAsia="黑体"/>
          <w:color w:val="auto"/>
          <w:highlight w:val="none"/>
        </w:rPr>
        <w:t>六、能源环境：</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1、电力：中国制式，供电电压</w:t>
      </w:r>
      <w:r>
        <w:rPr>
          <w:rFonts w:ascii="宋体" w:hAnsi="宋体"/>
          <w:color w:val="auto"/>
          <w:highlight w:val="none"/>
        </w:rPr>
        <w:t>380V</w:t>
      </w:r>
      <w:r>
        <w:rPr>
          <w:rFonts w:hint="eastAsia" w:ascii="宋体" w:hAnsi="宋体"/>
          <w:color w:val="auto"/>
          <w:highlight w:val="none"/>
        </w:rPr>
        <w:t>±</w:t>
      </w:r>
      <w:r>
        <w:rPr>
          <w:rFonts w:ascii="宋体" w:hAnsi="宋体"/>
          <w:color w:val="auto"/>
          <w:highlight w:val="none"/>
        </w:rPr>
        <w:t>1</w:t>
      </w:r>
      <w:r>
        <w:rPr>
          <w:rFonts w:hint="eastAsia" w:ascii="宋体" w:hAnsi="宋体"/>
          <w:color w:val="auto"/>
          <w:highlight w:val="none"/>
        </w:rPr>
        <w:t>5</w:t>
      </w:r>
      <w:r>
        <w:rPr>
          <w:rFonts w:ascii="宋体" w:hAnsi="宋体"/>
          <w:color w:val="auto"/>
          <w:highlight w:val="none"/>
        </w:rPr>
        <w:t>%</w:t>
      </w:r>
      <w:r>
        <w:rPr>
          <w:rFonts w:hint="eastAsia" w:ascii="宋体" w:hAnsi="宋体"/>
          <w:color w:val="auto"/>
          <w:highlight w:val="none"/>
        </w:rPr>
        <w:t>/220V±</w:t>
      </w:r>
      <w:r>
        <w:rPr>
          <w:rFonts w:ascii="宋体" w:hAnsi="宋体"/>
          <w:color w:val="auto"/>
          <w:highlight w:val="none"/>
        </w:rPr>
        <w:t>1</w:t>
      </w:r>
      <w:r>
        <w:rPr>
          <w:rFonts w:hint="eastAsia" w:ascii="宋体" w:hAnsi="宋体"/>
          <w:color w:val="auto"/>
          <w:highlight w:val="none"/>
        </w:rPr>
        <w:t>5</w:t>
      </w:r>
      <w:r>
        <w:rPr>
          <w:rFonts w:ascii="宋体" w:hAnsi="宋体"/>
          <w:color w:val="auto"/>
          <w:highlight w:val="none"/>
        </w:rPr>
        <w:t>%</w:t>
      </w:r>
      <w:r>
        <w:rPr>
          <w:rFonts w:hint="eastAsia" w:ascii="宋体" w:hAnsi="宋体"/>
          <w:color w:val="auto"/>
          <w:highlight w:val="none"/>
        </w:rPr>
        <w:t>，供电频率</w:t>
      </w:r>
      <w:r>
        <w:rPr>
          <w:rFonts w:ascii="宋体" w:hAnsi="宋体"/>
          <w:color w:val="auto"/>
          <w:highlight w:val="none"/>
        </w:rPr>
        <w:t>50Hz</w:t>
      </w:r>
      <w:r>
        <w:rPr>
          <w:rFonts w:hint="eastAsia" w:ascii="宋体" w:hAnsi="宋体"/>
          <w:color w:val="auto"/>
          <w:highlight w:val="none"/>
        </w:rPr>
        <w:t>±</w:t>
      </w:r>
      <w:r>
        <w:rPr>
          <w:rFonts w:ascii="宋体" w:hAnsi="宋体"/>
          <w:color w:val="auto"/>
          <w:highlight w:val="none"/>
        </w:rPr>
        <w:t>2%</w:t>
      </w:r>
      <w:r>
        <w:rPr>
          <w:rFonts w:hint="eastAsia" w:ascii="宋体" w:hAnsi="宋体"/>
          <w:color w:val="auto"/>
          <w:highlight w:val="none"/>
        </w:rPr>
        <w:t>。</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2、压缩空气：自备空压机自产压缩空气，</w:t>
      </w:r>
      <w:r>
        <w:rPr>
          <w:rFonts w:ascii="宋体" w:hAnsi="宋体"/>
          <w:color w:val="auto"/>
          <w:highlight w:val="none"/>
        </w:rPr>
        <w:t>0.</w:t>
      </w:r>
      <w:r>
        <w:rPr>
          <w:rFonts w:hint="eastAsia" w:ascii="宋体" w:hAnsi="宋体"/>
          <w:color w:val="auto"/>
          <w:highlight w:val="none"/>
        </w:rPr>
        <w:t>4～0.6</w:t>
      </w:r>
      <w:r>
        <w:rPr>
          <w:rFonts w:ascii="宋体" w:hAnsi="宋体"/>
          <w:color w:val="auto"/>
          <w:highlight w:val="none"/>
        </w:rPr>
        <w:t>M</w:t>
      </w:r>
      <w:r>
        <w:rPr>
          <w:rFonts w:hint="eastAsia" w:ascii="宋体" w:hAnsi="宋体"/>
          <w:color w:val="auto"/>
          <w:highlight w:val="none"/>
        </w:rPr>
        <w:t>P</w:t>
      </w:r>
      <w:r>
        <w:rPr>
          <w:rFonts w:ascii="宋体" w:hAnsi="宋体"/>
          <w:color w:val="auto"/>
          <w:highlight w:val="none"/>
        </w:rPr>
        <w:t>a</w:t>
      </w:r>
      <w:r>
        <w:rPr>
          <w:rFonts w:hint="eastAsia" w:ascii="宋体" w:hAnsi="宋体"/>
          <w:color w:val="auto"/>
          <w:highlight w:val="none"/>
        </w:rPr>
        <w:t>。</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3、给水：市政自来水或软化水，0.2-0.4MPa</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4、工位照度：不低于500Lx。</w:t>
      </w:r>
    </w:p>
    <w:p>
      <w:pPr>
        <w:spacing w:line="480" w:lineRule="exact"/>
        <w:ind w:firstLine="420" w:firstLineChars="200"/>
        <w:rPr>
          <w:rFonts w:hint="eastAsia" w:ascii="黑体" w:hAnsi="宋体" w:eastAsia="黑体"/>
          <w:color w:val="auto"/>
          <w:highlight w:val="none"/>
        </w:rPr>
      </w:pPr>
      <w:r>
        <w:rPr>
          <w:rFonts w:hint="eastAsia" w:ascii="黑体" w:hAnsi="宋体" w:eastAsia="黑体"/>
          <w:color w:val="auto"/>
          <w:highlight w:val="none"/>
        </w:rPr>
        <w:t>七、供货范围：</w:t>
      </w:r>
    </w:p>
    <w:p>
      <w:pPr>
        <w:spacing w:line="470" w:lineRule="exact"/>
        <w:ind w:firstLine="480"/>
        <w:rPr>
          <w:rFonts w:ascii="宋体" w:hAnsi="宋体"/>
          <w:color w:val="auto"/>
          <w:highlight w:val="none"/>
        </w:rPr>
      </w:pPr>
      <w:r>
        <w:rPr>
          <w:rFonts w:hint="eastAsia" w:ascii="宋体" w:hAnsi="宋体"/>
          <w:color w:val="auto"/>
          <w:highlight w:val="none"/>
        </w:rPr>
        <w:t>1.1  招标方只提供所需厂房、货物（或生产线）的砼基础（基础含预埋螺栓、螺母及垫片）。</w:t>
      </w:r>
    </w:p>
    <w:p>
      <w:pPr>
        <w:spacing w:line="470" w:lineRule="exact"/>
        <w:ind w:firstLine="480"/>
        <w:rPr>
          <w:rFonts w:ascii="宋体" w:hAnsi="宋体"/>
          <w:color w:val="auto"/>
          <w:highlight w:val="none"/>
        </w:rPr>
      </w:pPr>
      <w:r>
        <w:rPr>
          <w:rFonts w:hint="eastAsia" w:ascii="宋体" w:hAnsi="宋体"/>
          <w:color w:val="auto"/>
          <w:highlight w:val="none"/>
        </w:rPr>
        <w:t>1.2  招标方只负责提供符合本技术标书中“采购货物概况”和“使用环境”章节所列明品质的电力、自来水、压缩空气、蒸汽、天然气（或煤气）管线至系统接口。如，供电至系统电力接口的接线端，水、气、汽等供至系统联接法兰外端（不含联接所需螺栓等紧固件和其它必需配件）。</w:t>
      </w:r>
    </w:p>
    <w:p>
      <w:pPr>
        <w:spacing w:line="470" w:lineRule="exact"/>
        <w:ind w:firstLine="480"/>
        <w:rPr>
          <w:rFonts w:ascii="宋体" w:hAnsi="宋体"/>
          <w:color w:val="auto"/>
          <w:highlight w:val="none"/>
        </w:rPr>
      </w:pPr>
      <w:r>
        <w:rPr>
          <w:rFonts w:hint="eastAsia" w:ascii="宋体" w:hAnsi="宋体"/>
          <w:color w:val="auto"/>
          <w:highlight w:val="none"/>
        </w:rPr>
        <w:t>1.3  投标方应提供包括货物（或生产线）正常运行所必需的全套连线设备、材料等；如：联接螺栓之内的、电气系统接口压线板（插座等）之内的设备、材料等，不能满足要求的，投标方应单独列出；</w:t>
      </w:r>
    </w:p>
    <w:p>
      <w:pPr>
        <w:spacing w:line="470" w:lineRule="exact"/>
        <w:ind w:firstLine="480"/>
        <w:rPr>
          <w:rFonts w:ascii="宋体" w:hAnsi="宋体"/>
          <w:color w:val="auto"/>
          <w:highlight w:val="none"/>
        </w:rPr>
      </w:pPr>
      <w:r>
        <w:rPr>
          <w:rFonts w:hint="eastAsia" w:ascii="宋体" w:hAnsi="宋体"/>
          <w:color w:val="auto"/>
          <w:highlight w:val="none"/>
        </w:rPr>
        <w:t>1.4  投标方应提供包括货物（或生产线）正常运行、使用所必需的</w:t>
      </w:r>
      <w:r>
        <w:rPr>
          <w:rFonts w:hint="eastAsia" w:ascii="宋体" w:hAnsi="宋体"/>
          <w:color w:val="auto"/>
          <w:highlight w:val="none"/>
          <w:lang w:val="en-US" w:eastAsia="zh-CN"/>
        </w:rPr>
        <w:t>桥架</w:t>
      </w:r>
      <w:r>
        <w:rPr>
          <w:rFonts w:hint="eastAsia" w:ascii="宋体" w:hAnsi="宋体"/>
          <w:color w:val="auto"/>
          <w:highlight w:val="none"/>
        </w:rPr>
        <w:t>、护栏、防护网、盖板等辅助设施。标书中有要求的，按标书要求提供；标书中无具体要求而投标方认为必须具备的，在投标文件报价明细中，单独报价（但不计入税费等其它费用的计算基数）。</w:t>
      </w:r>
    </w:p>
    <w:p>
      <w:pPr>
        <w:spacing w:line="470" w:lineRule="exact"/>
        <w:ind w:firstLine="480"/>
        <w:rPr>
          <w:rFonts w:ascii="宋体" w:hAnsi="宋体"/>
          <w:color w:val="auto"/>
          <w:highlight w:val="none"/>
        </w:rPr>
      </w:pPr>
      <w:r>
        <w:rPr>
          <w:rFonts w:hint="eastAsia" w:ascii="宋体" w:hAnsi="宋体"/>
          <w:color w:val="auto"/>
          <w:highlight w:val="none"/>
        </w:rPr>
        <w:t>1.5  投标方应提供包括为达到环保、消防和劳动安全卫生等国家法律、法规和标准、规范要求的除尘系统、通风系统以及近距离照明系统等配套的设备、材料等。如投标方难以提供或无优势提供，则应当在投标文件的技术偏离条款中，予以详细说明并注明投标报价未包含该部分的货值。</w:t>
      </w:r>
    </w:p>
    <w:p>
      <w:pPr>
        <w:spacing w:line="470" w:lineRule="exact"/>
        <w:ind w:firstLine="480"/>
        <w:rPr>
          <w:rFonts w:ascii="宋体" w:hAnsi="宋体"/>
          <w:color w:val="auto"/>
          <w:highlight w:val="none"/>
        </w:rPr>
      </w:pPr>
      <w:r>
        <w:rPr>
          <w:rFonts w:hint="eastAsia" w:ascii="宋体" w:hAnsi="宋体"/>
          <w:color w:val="auto"/>
          <w:highlight w:val="none"/>
        </w:rPr>
        <w:t>1.6  投标方应提供包括为保证货物（或生产线）自身正常运行所必需的、适应使用地点条件的通风、冷却、降温系统等。</w:t>
      </w:r>
    </w:p>
    <w:p>
      <w:pPr>
        <w:spacing w:line="470" w:lineRule="exact"/>
        <w:ind w:firstLine="480"/>
        <w:rPr>
          <w:rFonts w:ascii="宋体" w:hAnsi="宋体"/>
          <w:color w:val="auto"/>
          <w:highlight w:val="none"/>
        </w:rPr>
      </w:pPr>
      <w:r>
        <w:rPr>
          <w:rFonts w:hint="eastAsia" w:ascii="宋体" w:hAnsi="宋体"/>
          <w:color w:val="auto"/>
          <w:highlight w:val="none"/>
        </w:rPr>
        <w:t>1.7  投标方应提供包括为保证货物（或生产线）正常安装、调试和验收完成及以前所必需的整套配件、附件及材料、油料等。如果终验收完成后，投标方有需要收回的配件、附件、材料、油料等，应当在投标文件的技术偏离条款中，予以详细说明；否则视同包括在供货范围之内。</w:t>
      </w:r>
    </w:p>
    <w:p>
      <w:pPr>
        <w:spacing w:line="470" w:lineRule="exact"/>
        <w:ind w:firstLine="480"/>
        <w:rPr>
          <w:rFonts w:ascii="宋体" w:hAnsi="宋体"/>
          <w:color w:val="auto"/>
          <w:highlight w:val="none"/>
        </w:rPr>
      </w:pPr>
      <w:r>
        <w:rPr>
          <w:rFonts w:hint="eastAsia" w:ascii="宋体" w:hAnsi="宋体"/>
          <w:color w:val="auto"/>
          <w:highlight w:val="none"/>
        </w:rPr>
        <w:t>1.8  投标方应提供货物（或生产线）维修所必需的专用工具，并在投标报价部分说明数量。</w:t>
      </w:r>
    </w:p>
    <w:p>
      <w:pPr>
        <w:spacing w:line="470" w:lineRule="exact"/>
        <w:ind w:firstLine="420" w:firstLineChars="200"/>
        <w:rPr>
          <w:rFonts w:ascii="宋体" w:hAnsi="宋体"/>
          <w:color w:val="auto"/>
          <w:highlight w:val="none"/>
        </w:rPr>
      </w:pPr>
      <w:r>
        <w:rPr>
          <w:rFonts w:hint="eastAsia" w:ascii="宋体" w:hAnsi="宋体"/>
          <w:color w:val="auto"/>
          <w:highlight w:val="none"/>
        </w:rPr>
        <w:t>2  备品备件、易损件和专用耗材供货范围</w:t>
      </w:r>
    </w:p>
    <w:p>
      <w:pPr>
        <w:spacing w:line="470" w:lineRule="exact"/>
        <w:ind w:firstLine="480"/>
        <w:rPr>
          <w:rFonts w:ascii="宋体" w:hAnsi="宋体"/>
          <w:color w:val="auto"/>
          <w:highlight w:val="none"/>
        </w:rPr>
      </w:pPr>
      <w:r>
        <w:rPr>
          <w:rFonts w:hint="eastAsia" w:ascii="宋体" w:hAnsi="宋体"/>
          <w:color w:val="auto"/>
          <w:highlight w:val="none"/>
        </w:rPr>
        <w:t>2.1  投标方按照招标文件要求提供、或投标方认为招标方应当储备的备品备件、易损件和专用耗材，投标方应当在投标报价部分分别说明所列备品备件、易损件和专用耗材的使用时间。</w:t>
      </w:r>
    </w:p>
    <w:p>
      <w:pPr>
        <w:spacing w:line="470" w:lineRule="exact"/>
        <w:ind w:firstLine="480"/>
        <w:rPr>
          <w:rFonts w:ascii="宋体" w:hAnsi="宋体"/>
          <w:color w:val="auto"/>
          <w:highlight w:val="none"/>
        </w:rPr>
      </w:pPr>
      <w:r>
        <w:rPr>
          <w:rFonts w:hint="eastAsia" w:ascii="宋体" w:hAnsi="宋体"/>
          <w:color w:val="auto"/>
          <w:highlight w:val="none"/>
        </w:rPr>
        <w:t>2.2  投标方应提供易损件和专用耗材的制造图纸及其技术要求等资料。</w:t>
      </w:r>
    </w:p>
    <w:p>
      <w:pPr>
        <w:spacing w:line="470" w:lineRule="exact"/>
        <w:ind w:firstLine="480"/>
        <w:rPr>
          <w:rFonts w:ascii="宋体" w:hAnsi="宋体"/>
          <w:color w:val="auto"/>
          <w:highlight w:val="none"/>
        </w:rPr>
      </w:pPr>
      <w:r>
        <w:rPr>
          <w:rFonts w:hint="eastAsia" w:ascii="宋体" w:hAnsi="宋体"/>
          <w:color w:val="auto"/>
          <w:highlight w:val="none"/>
        </w:rPr>
        <w:t>2.3  投标文件中，应当有备品备件、易损件和专用耗材的详细清单（内容包括名称、型号、规格、单位、数量、生产厂家、单价、总价等）。</w:t>
      </w:r>
    </w:p>
    <w:p>
      <w:pPr>
        <w:spacing w:line="470" w:lineRule="exact"/>
        <w:ind w:firstLine="480"/>
        <w:rPr>
          <w:rFonts w:ascii="宋体" w:hAnsi="宋体"/>
          <w:color w:val="auto"/>
          <w:highlight w:val="none"/>
        </w:rPr>
      </w:pPr>
      <w:r>
        <w:rPr>
          <w:rFonts w:hint="eastAsia" w:ascii="宋体" w:hAnsi="宋体"/>
          <w:color w:val="auto"/>
          <w:highlight w:val="none"/>
        </w:rPr>
        <w:t>3  技术资料供货范围</w:t>
      </w:r>
    </w:p>
    <w:p>
      <w:pPr>
        <w:spacing w:line="470" w:lineRule="exact"/>
        <w:ind w:firstLine="480"/>
        <w:rPr>
          <w:rFonts w:ascii="宋体" w:hAnsi="宋体"/>
          <w:bCs/>
          <w:color w:val="auto"/>
          <w:highlight w:val="none"/>
        </w:rPr>
      </w:pPr>
      <w:r>
        <w:rPr>
          <w:rFonts w:hint="eastAsia" w:ascii="宋体" w:hAnsi="宋体"/>
          <w:color w:val="auto"/>
          <w:highlight w:val="none"/>
        </w:rPr>
        <w:t>3.1  投标方须负责在</w:t>
      </w:r>
      <w:r>
        <w:rPr>
          <w:rFonts w:hint="eastAsia" w:ascii="宋体" w:hAnsi="宋体"/>
          <w:bCs/>
          <w:color w:val="auto"/>
          <w:highlight w:val="none"/>
        </w:rPr>
        <w:t>合同签订后</w:t>
      </w:r>
      <w:r>
        <w:rPr>
          <w:rFonts w:hint="eastAsia" w:ascii="宋体" w:hAnsi="宋体"/>
          <w:bCs/>
          <w:color w:val="auto"/>
          <w:highlight w:val="none"/>
          <w:u w:val="single"/>
          <w:shd w:val="pct10" w:color="auto" w:fill="FFFFFF"/>
        </w:rPr>
        <w:t>5</w:t>
      </w:r>
      <w:r>
        <w:rPr>
          <w:rFonts w:hint="eastAsia" w:ascii="宋体" w:hAnsi="宋体"/>
          <w:bCs/>
          <w:color w:val="auto"/>
          <w:highlight w:val="none"/>
        </w:rPr>
        <w:t>个日历日内，提供货物（或生产线）基础及相关的设计、制作所需的纸质及电子版资料；电子版文件应当能够使用常用版本软件可以阅读甚至使用，进口货物、设备应有中外文对照。</w:t>
      </w:r>
    </w:p>
    <w:p>
      <w:pPr>
        <w:spacing w:line="470" w:lineRule="exact"/>
        <w:ind w:firstLine="480"/>
        <w:rPr>
          <w:rFonts w:ascii="宋体" w:hAnsi="宋体"/>
          <w:color w:val="auto"/>
          <w:highlight w:val="none"/>
        </w:rPr>
      </w:pPr>
      <w:r>
        <w:rPr>
          <w:rFonts w:hint="eastAsia" w:ascii="宋体" w:hAnsi="宋体"/>
          <w:bCs/>
          <w:color w:val="auto"/>
          <w:highlight w:val="none"/>
        </w:rPr>
        <w:t>3.2  投标方应同时提出</w:t>
      </w:r>
      <w:r>
        <w:rPr>
          <w:rFonts w:hint="eastAsia" w:ascii="宋体" w:hAnsi="宋体"/>
          <w:color w:val="auto"/>
          <w:highlight w:val="none"/>
        </w:rPr>
        <w:t>对厂房、基础、公用设施、消防、环保等超出招标文件、投标文件、答疑文件、技术交流文件、技术协议书和合同等规定的、有特殊需要的解释、说明和要求。</w:t>
      </w:r>
    </w:p>
    <w:p>
      <w:pPr>
        <w:spacing w:line="470" w:lineRule="exact"/>
        <w:ind w:firstLine="480"/>
        <w:rPr>
          <w:rFonts w:ascii="宋体" w:hAnsi="宋体"/>
          <w:color w:val="auto"/>
          <w:highlight w:val="none"/>
        </w:rPr>
      </w:pPr>
      <w:r>
        <w:rPr>
          <w:rFonts w:hint="eastAsia" w:ascii="宋体" w:hAnsi="宋体"/>
          <w:color w:val="auto"/>
          <w:highlight w:val="none"/>
        </w:rPr>
        <w:t>3.3  投标方须负责在预验收前，</w:t>
      </w:r>
      <w:r>
        <w:rPr>
          <w:rFonts w:hint="eastAsia" w:ascii="宋体" w:hAnsi="宋体"/>
          <w:bCs/>
          <w:color w:val="auto"/>
          <w:highlight w:val="none"/>
        </w:rPr>
        <w:t>提供货物（或生产线）各部分的功能描述文件、图片、影像等资料（进口设备应有中外文对照）。</w:t>
      </w:r>
    </w:p>
    <w:p>
      <w:pPr>
        <w:spacing w:line="470" w:lineRule="exact"/>
        <w:ind w:firstLine="480"/>
        <w:rPr>
          <w:rFonts w:ascii="宋体" w:hAnsi="宋体"/>
          <w:color w:val="auto"/>
          <w:highlight w:val="none"/>
        </w:rPr>
      </w:pPr>
      <w:r>
        <w:rPr>
          <w:rFonts w:hint="eastAsia" w:ascii="宋体" w:hAnsi="宋体"/>
          <w:color w:val="auto"/>
          <w:highlight w:val="none"/>
        </w:rPr>
        <w:t>3.4  投标方须负责在终验收前，提供招标方为保证货物（或生产线）正常运行所需后续自制的工装、吊（挂）具明细及其图纸、具体技术要求等资料（如果供货范围包含该部分实物）。</w:t>
      </w:r>
    </w:p>
    <w:p>
      <w:pPr>
        <w:spacing w:line="470" w:lineRule="exact"/>
        <w:ind w:firstLine="480"/>
        <w:rPr>
          <w:rFonts w:ascii="宋体" w:hAnsi="宋体"/>
          <w:color w:val="auto"/>
          <w:highlight w:val="none"/>
        </w:rPr>
      </w:pPr>
      <w:r>
        <w:rPr>
          <w:rFonts w:hint="eastAsia" w:ascii="宋体" w:hAnsi="宋体"/>
          <w:color w:val="auto"/>
          <w:highlight w:val="none"/>
        </w:rPr>
        <w:t>3.5  投标方须负责在交货之前，提供确定的而且质保期之后招标方维修所需要的、可以自行采购的外购件、外协件、电气元件及主要原材料的供货厂家明细表。</w:t>
      </w:r>
    </w:p>
    <w:p>
      <w:pPr>
        <w:spacing w:line="470" w:lineRule="exact"/>
        <w:ind w:firstLine="480"/>
        <w:rPr>
          <w:rFonts w:ascii="宋体" w:hAnsi="宋体"/>
          <w:color w:val="auto"/>
          <w:highlight w:val="none"/>
        </w:rPr>
      </w:pPr>
      <w:r>
        <w:rPr>
          <w:rFonts w:hint="eastAsia" w:ascii="宋体" w:hAnsi="宋体"/>
          <w:color w:val="auto"/>
          <w:highlight w:val="none"/>
        </w:rPr>
        <w:t>3.6  投标方须负责在终验收后、终验收后的第一笔货款支付日之前，提供包括货物（或生产线）的备品备件、易损件和专用耗材规定的图纸及技术参数、技术要求等资料。</w:t>
      </w:r>
    </w:p>
    <w:p>
      <w:pPr>
        <w:spacing w:line="470" w:lineRule="exact"/>
        <w:ind w:firstLine="480"/>
        <w:rPr>
          <w:rFonts w:ascii="宋体" w:hAnsi="宋体"/>
          <w:color w:val="auto"/>
          <w:highlight w:val="none"/>
        </w:rPr>
      </w:pPr>
      <w:r>
        <w:rPr>
          <w:rFonts w:hint="eastAsia" w:ascii="宋体" w:hAnsi="宋体"/>
          <w:color w:val="auto"/>
          <w:highlight w:val="none"/>
        </w:rPr>
        <w:t>3.7  投标方须负责在终验收后、终验收后的第一笔货款支付日之前，提供关于采购货物（或生产线）的操作维护手册、保养维修手册、安全注意事项等的使用说明书、仪器仪表检定和使用维修说明书、合格证、产品样本等技术资料（含图片和影像等资料）；对于进口设备，应有中外文资料说明。</w:t>
      </w:r>
    </w:p>
    <w:p>
      <w:pPr>
        <w:spacing w:line="470" w:lineRule="exact"/>
        <w:ind w:firstLine="480"/>
        <w:rPr>
          <w:rFonts w:ascii="宋体" w:hAnsi="宋体"/>
          <w:color w:val="auto"/>
          <w:highlight w:val="none"/>
        </w:rPr>
      </w:pPr>
      <w:r>
        <w:rPr>
          <w:rFonts w:hint="eastAsia" w:ascii="宋体" w:hAnsi="宋体"/>
          <w:color w:val="auto"/>
          <w:highlight w:val="none"/>
        </w:rPr>
        <w:t>3.8  投标方须负责在终验收后、终验收后的第一笔货款支付日之前，提供关于采购货物（或生产线）的电气资料（包括接线图、原理图、布线图、梯形图等）、液压（气动）原理图和系统图、安装基础图、维修图等有关的资料（含图片和影像等资料）；非标准货物（或生产线）还应当提供设计总图、全线布置图等详细资料；对于进口设备，应有中外文资料说明。</w:t>
      </w:r>
    </w:p>
    <w:p>
      <w:pPr>
        <w:spacing w:line="470" w:lineRule="exact"/>
        <w:ind w:firstLine="480"/>
        <w:rPr>
          <w:rFonts w:ascii="宋体" w:hAnsi="宋体"/>
          <w:color w:val="auto"/>
          <w:highlight w:val="none"/>
        </w:rPr>
      </w:pPr>
      <w:r>
        <w:rPr>
          <w:rFonts w:hint="eastAsia" w:ascii="宋体" w:hAnsi="宋体"/>
          <w:color w:val="auto"/>
          <w:highlight w:val="none"/>
        </w:rPr>
        <w:t>3.9  本条款所列的技术资料、图片、影像等，投标方应各提供5套，其中1套为电子版光（软）盘；每份技术文件应装有目录清单。</w:t>
      </w:r>
    </w:p>
    <w:p>
      <w:pPr>
        <w:spacing w:line="470" w:lineRule="exact"/>
        <w:ind w:firstLine="480"/>
        <w:rPr>
          <w:rFonts w:hint="eastAsia" w:ascii="宋体" w:hAnsi="宋体"/>
          <w:color w:val="auto"/>
          <w:highlight w:val="none"/>
        </w:rPr>
      </w:pPr>
      <w:r>
        <w:rPr>
          <w:rFonts w:hint="eastAsia" w:ascii="宋体" w:hAnsi="宋体"/>
          <w:color w:val="auto"/>
          <w:highlight w:val="none"/>
        </w:rPr>
        <w:t>3.10  本条款所列要求，如招标方认为投标方提供的资料不能满足要求时，有权要求投标方免费补充或增加。</w:t>
      </w:r>
    </w:p>
    <w:p>
      <w:pPr>
        <w:pStyle w:val="5"/>
        <w:spacing w:before="120" w:after="120" w:line="480" w:lineRule="exact"/>
        <w:jc w:val="center"/>
        <w:rPr>
          <w:rFonts w:hint="eastAsia"/>
          <w:b w:val="0"/>
          <w:color w:val="auto"/>
          <w:sz w:val="24"/>
          <w:szCs w:val="24"/>
          <w:highlight w:val="none"/>
        </w:rPr>
      </w:pPr>
      <w:bookmarkStart w:id="23" w:name="_Toc19068"/>
      <w:bookmarkStart w:id="24" w:name="_Toc13018"/>
      <w:bookmarkStart w:id="25" w:name="_Toc137705867"/>
      <w:bookmarkStart w:id="26" w:name="_Toc27088"/>
      <w:bookmarkStart w:id="27" w:name="_Toc9838"/>
      <w:r>
        <w:rPr>
          <w:rFonts w:hint="eastAsia"/>
          <w:b w:val="0"/>
          <w:color w:val="auto"/>
          <w:sz w:val="24"/>
          <w:szCs w:val="24"/>
          <w:highlight w:val="none"/>
        </w:rPr>
        <w:t>第二节  采购货物概况</w:t>
      </w:r>
      <w:bookmarkEnd w:id="23"/>
      <w:bookmarkEnd w:id="24"/>
      <w:bookmarkEnd w:id="25"/>
      <w:bookmarkEnd w:id="26"/>
      <w:bookmarkEnd w:id="27"/>
    </w:p>
    <w:p>
      <w:pPr>
        <w:spacing w:line="480" w:lineRule="exact"/>
        <w:ind w:firstLine="420" w:firstLineChars="200"/>
        <w:jc w:val="left"/>
        <w:rPr>
          <w:rFonts w:hint="eastAsia" w:ascii="宋体" w:hAnsi="宋体"/>
          <w:color w:val="auto"/>
          <w:highlight w:val="none"/>
        </w:rPr>
      </w:pPr>
      <w:r>
        <w:rPr>
          <w:rFonts w:hint="eastAsia" w:ascii="黑体" w:hAnsi="宋体" w:eastAsia="黑体"/>
          <w:color w:val="auto"/>
          <w:highlight w:val="none"/>
        </w:rPr>
        <w:t>一、设备名称：</w:t>
      </w:r>
      <w:r>
        <w:rPr>
          <w:rFonts w:hint="eastAsia" w:ascii="黑体" w:eastAsia="黑体"/>
          <w:sz w:val="24"/>
          <w:szCs w:val="24"/>
          <w:highlight w:val="none"/>
          <w:lang w:val="en-US" w:eastAsia="zh-CN"/>
        </w:rPr>
        <w:t>皮卡产线生产轻卡驾驶室KD总成改造</w:t>
      </w:r>
      <w:r>
        <w:rPr>
          <w:rFonts w:hint="eastAsia" w:ascii="宋体" w:hAnsi="宋体"/>
          <w:color w:val="auto"/>
          <w:highlight w:val="none"/>
        </w:rPr>
        <w:t>（详见下表）</w:t>
      </w:r>
    </w:p>
    <w:p>
      <w:pPr>
        <w:spacing w:line="480" w:lineRule="exact"/>
        <w:ind w:firstLine="420" w:firstLineChars="200"/>
        <w:rPr>
          <w:rFonts w:hint="eastAsia" w:ascii="宋体" w:hAnsi="宋体"/>
          <w:color w:val="auto"/>
          <w:highlight w:val="none"/>
        </w:rPr>
      </w:pPr>
      <w:r>
        <w:rPr>
          <w:rFonts w:hint="eastAsia" w:ascii="黑体" w:hAnsi="宋体" w:eastAsia="黑体"/>
          <w:color w:val="auto"/>
          <w:highlight w:val="none"/>
        </w:rPr>
        <w:t>二、设备数量：</w:t>
      </w:r>
      <w:r>
        <w:rPr>
          <w:rFonts w:hint="eastAsia" w:ascii="宋体" w:hAnsi="宋体" w:eastAsia="黑体"/>
          <w:color w:val="auto"/>
          <w:highlight w:val="none"/>
          <w:u w:val="single"/>
          <w:shd w:val="pct10" w:color="auto" w:fill="FFFFFF"/>
          <w:lang w:val="en-US" w:eastAsia="zh-CN"/>
        </w:rPr>
        <w:t>1套驾驶室上线通用吊具、10套新增轻卡仪表总成分装台、新增专用工装4种、轻卡分装后驾驶室输送线改造</w:t>
      </w:r>
      <w:r>
        <w:rPr>
          <w:rFonts w:hint="eastAsia" w:ascii="宋体" w:hAnsi="宋体"/>
          <w:color w:val="auto"/>
          <w:highlight w:val="none"/>
        </w:rPr>
        <w:t>（详见下表）</w:t>
      </w:r>
    </w:p>
    <w:p>
      <w:pPr>
        <w:spacing w:line="560" w:lineRule="exact"/>
        <w:ind w:firstLine="420" w:firstLineChars="200"/>
        <w:rPr>
          <w:rFonts w:hint="eastAsia"/>
          <w:color w:val="auto"/>
          <w:highlight w:val="none"/>
        </w:rPr>
      </w:pPr>
      <w:r>
        <w:rPr>
          <w:rFonts w:hint="eastAsia" w:ascii="黑体" w:hAnsi="宋体" w:eastAsia="黑体"/>
          <w:color w:val="auto"/>
          <w:highlight w:val="none"/>
        </w:rPr>
        <w:t>三、分投分中：</w:t>
      </w:r>
      <w:r>
        <w:rPr>
          <w:rFonts w:hint="eastAsia" w:ascii="宋体" w:hAnsi="宋体"/>
          <w:color w:val="auto"/>
          <w:highlight w:val="none"/>
        </w:rPr>
        <w:t>不允许。</w:t>
      </w:r>
    </w:p>
    <w:p>
      <w:pPr>
        <w:widowControl/>
        <w:jc w:val="center"/>
        <w:rPr>
          <w:rFonts w:hint="eastAsia" w:ascii="宋体" w:hAnsi="宋体"/>
          <w:color w:val="auto"/>
          <w:highlight w:val="none"/>
        </w:rPr>
      </w:pPr>
      <w:r>
        <w:rPr>
          <w:rFonts w:hint="eastAsia" w:ascii="宋体" w:hAnsi="宋体"/>
          <w:color w:val="auto"/>
          <w:highlight w:val="none"/>
        </w:rPr>
        <w:t>采购货物主要构成一览表</w:t>
      </w:r>
    </w:p>
    <w:tbl>
      <w:tblPr>
        <w:tblStyle w:val="30"/>
        <w:tblW w:w="8327"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45"/>
        <w:gridCol w:w="1490"/>
        <w:gridCol w:w="2195"/>
        <w:gridCol w:w="1964"/>
        <w:gridCol w:w="902"/>
        <w:gridCol w:w="1031"/>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8" w:hRule="atLeast"/>
          <w:jc w:val="center"/>
        </w:trPr>
        <w:tc>
          <w:tcPr>
            <w:tcW w:w="745" w:type="dxa"/>
            <w:tcBorders>
              <w:tl2br w:val="nil"/>
              <w:tr2bl w:val="nil"/>
            </w:tcBorders>
            <w:noWrap w:val="0"/>
            <w:vAlign w:val="center"/>
          </w:tcPr>
          <w:p>
            <w:pPr>
              <w:widowControl/>
              <w:jc w:val="center"/>
              <w:textAlignment w:val="center"/>
              <w:rPr>
                <w:rFonts w:hint="eastAsia" w:ascii="宋体" w:hAnsi="宋体" w:eastAsia="宋体" w:cs="宋体"/>
                <w:b/>
                <w:bCs/>
                <w:color w:val="auto"/>
                <w:sz w:val="18"/>
                <w:szCs w:val="18"/>
                <w:highlight w:val="none"/>
              </w:rPr>
            </w:pPr>
            <w:r>
              <w:rPr>
                <w:rFonts w:hint="eastAsia" w:ascii="宋体" w:hAnsi="宋体" w:eastAsia="宋体" w:cs="宋体"/>
                <w:b/>
                <w:bCs/>
                <w:color w:val="auto"/>
                <w:kern w:val="0"/>
                <w:sz w:val="18"/>
                <w:szCs w:val="18"/>
                <w:highlight w:val="none"/>
                <w:lang w:bidi="ar"/>
              </w:rPr>
              <w:t>序号</w:t>
            </w:r>
          </w:p>
        </w:tc>
        <w:tc>
          <w:tcPr>
            <w:tcW w:w="1490" w:type="dxa"/>
            <w:tcBorders>
              <w:tl2br w:val="nil"/>
              <w:tr2bl w:val="nil"/>
            </w:tcBorders>
            <w:noWrap w:val="0"/>
            <w:vAlign w:val="center"/>
          </w:tcPr>
          <w:p>
            <w:pPr>
              <w:widowControl/>
              <w:jc w:val="center"/>
              <w:textAlignment w:val="center"/>
              <w:rPr>
                <w:rFonts w:hint="eastAsia" w:ascii="宋体" w:hAnsi="宋体" w:eastAsia="宋体" w:cs="宋体"/>
                <w:b/>
                <w:bCs/>
                <w:color w:val="auto"/>
                <w:sz w:val="18"/>
                <w:szCs w:val="18"/>
                <w:highlight w:val="none"/>
                <w:lang w:val="en-US" w:eastAsia="zh-CN"/>
              </w:rPr>
            </w:pPr>
            <w:r>
              <w:rPr>
                <w:rFonts w:hint="eastAsia" w:ascii="宋体" w:hAnsi="宋体" w:eastAsia="宋体" w:cs="宋体"/>
                <w:b/>
                <w:bCs/>
                <w:color w:val="auto"/>
                <w:sz w:val="18"/>
                <w:szCs w:val="18"/>
                <w:highlight w:val="none"/>
                <w:lang w:val="en-US" w:eastAsia="zh-CN"/>
              </w:rPr>
              <w:t>单位名称</w:t>
            </w:r>
          </w:p>
        </w:tc>
        <w:tc>
          <w:tcPr>
            <w:tcW w:w="2195" w:type="dxa"/>
            <w:tcBorders>
              <w:tl2br w:val="nil"/>
              <w:tr2bl w:val="nil"/>
            </w:tcBorders>
            <w:noWrap w:val="0"/>
            <w:vAlign w:val="center"/>
          </w:tcPr>
          <w:p>
            <w:pPr>
              <w:widowControl/>
              <w:jc w:val="center"/>
              <w:textAlignment w:val="center"/>
              <w:rPr>
                <w:rFonts w:hint="eastAsia" w:ascii="宋体" w:hAnsi="宋体" w:eastAsia="宋体" w:cs="宋体"/>
                <w:b/>
                <w:bCs/>
                <w:color w:val="auto"/>
                <w:sz w:val="18"/>
                <w:szCs w:val="18"/>
                <w:highlight w:val="none"/>
                <w:lang w:val="en-US" w:eastAsia="zh-CN"/>
              </w:rPr>
            </w:pPr>
            <w:r>
              <w:rPr>
                <w:rFonts w:hint="eastAsia" w:ascii="宋体" w:hAnsi="宋体" w:eastAsia="宋体" w:cs="宋体"/>
                <w:b/>
                <w:bCs/>
                <w:color w:val="auto"/>
                <w:sz w:val="18"/>
                <w:szCs w:val="18"/>
                <w:highlight w:val="none"/>
                <w:lang w:val="en-US" w:eastAsia="zh-CN"/>
              </w:rPr>
              <w:t>安装地点/服务对象</w:t>
            </w:r>
          </w:p>
        </w:tc>
        <w:tc>
          <w:tcPr>
            <w:tcW w:w="1964" w:type="dxa"/>
            <w:tcBorders>
              <w:tl2br w:val="nil"/>
              <w:tr2bl w:val="nil"/>
            </w:tcBorders>
            <w:noWrap w:val="0"/>
            <w:vAlign w:val="center"/>
          </w:tcPr>
          <w:p>
            <w:pPr>
              <w:widowControl/>
              <w:jc w:val="center"/>
              <w:textAlignment w:val="center"/>
              <w:rPr>
                <w:rFonts w:hint="eastAsia" w:ascii="宋体" w:hAnsi="宋体" w:eastAsia="宋体" w:cs="宋体"/>
                <w:b/>
                <w:bCs/>
                <w:color w:val="auto"/>
                <w:sz w:val="18"/>
                <w:szCs w:val="18"/>
                <w:highlight w:val="none"/>
                <w:lang w:val="en-US" w:eastAsia="zh-CN"/>
              </w:rPr>
            </w:pPr>
            <w:r>
              <w:rPr>
                <w:rFonts w:hint="eastAsia" w:ascii="宋体" w:hAnsi="宋体" w:eastAsia="宋体" w:cs="宋体"/>
                <w:b/>
                <w:bCs/>
                <w:color w:val="auto"/>
                <w:sz w:val="18"/>
                <w:szCs w:val="18"/>
                <w:highlight w:val="none"/>
                <w:lang w:val="en-US" w:eastAsia="zh-CN"/>
              </w:rPr>
              <w:t>设备名称</w:t>
            </w:r>
          </w:p>
        </w:tc>
        <w:tc>
          <w:tcPr>
            <w:tcW w:w="902" w:type="dxa"/>
            <w:tcBorders>
              <w:tl2br w:val="nil"/>
              <w:tr2bl w:val="nil"/>
            </w:tcBorders>
            <w:noWrap w:val="0"/>
            <w:vAlign w:val="center"/>
          </w:tcPr>
          <w:p>
            <w:pPr>
              <w:widowControl/>
              <w:jc w:val="center"/>
              <w:textAlignment w:val="center"/>
              <w:rPr>
                <w:rFonts w:hint="eastAsia" w:ascii="宋体" w:hAnsi="宋体" w:eastAsia="宋体" w:cs="宋体"/>
                <w:b/>
                <w:bCs/>
                <w:color w:val="auto"/>
                <w:kern w:val="0"/>
                <w:sz w:val="18"/>
                <w:szCs w:val="18"/>
                <w:highlight w:val="none"/>
                <w:lang w:val="en-US" w:eastAsia="zh-CN" w:bidi="ar"/>
              </w:rPr>
            </w:pPr>
            <w:r>
              <w:rPr>
                <w:rFonts w:hint="eastAsia" w:ascii="宋体" w:hAnsi="宋体" w:eastAsia="宋体" w:cs="宋体"/>
                <w:b/>
                <w:bCs/>
                <w:color w:val="auto"/>
                <w:kern w:val="0"/>
                <w:sz w:val="18"/>
                <w:szCs w:val="18"/>
                <w:highlight w:val="none"/>
                <w:lang w:val="en-US" w:eastAsia="zh-CN" w:bidi="ar"/>
              </w:rPr>
              <w:t>数量/套</w:t>
            </w:r>
          </w:p>
        </w:tc>
        <w:tc>
          <w:tcPr>
            <w:tcW w:w="1031" w:type="dxa"/>
            <w:tcBorders>
              <w:tl2br w:val="nil"/>
              <w:tr2bl w:val="nil"/>
            </w:tcBorders>
            <w:noWrap w:val="0"/>
            <w:vAlign w:val="center"/>
          </w:tcPr>
          <w:p>
            <w:pPr>
              <w:widowControl/>
              <w:jc w:val="center"/>
              <w:textAlignment w:val="center"/>
              <w:rPr>
                <w:rFonts w:hint="eastAsia" w:ascii="宋体" w:hAnsi="宋体" w:eastAsia="宋体" w:cs="宋体"/>
                <w:b/>
                <w:bCs/>
                <w:color w:val="auto"/>
                <w:kern w:val="0"/>
                <w:sz w:val="18"/>
                <w:szCs w:val="18"/>
                <w:highlight w:val="none"/>
                <w:lang w:val="en-US" w:eastAsia="zh-CN" w:bidi="ar"/>
              </w:rPr>
            </w:pPr>
            <w:r>
              <w:rPr>
                <w:rFonts w:hint="eastAsia" w:ascii="宋体" w:hAnsi="宋体" w:eastAsia="宋体" w:cs="宋体"/>
                <w:b/>
                <w:bCs/>
                <w:color w:val="auto"/>
                <w:kern w:val="0"/>
                <w:sz w:val="18"/>
                <w:szCs w:val="18"/>
                <w:highlight w:val="none"/>
                <w:lang w:val="en-US" w:eastAsia="zh-CN" w:bidi="ar"/>
              </w:rPr>
              <w:t>供货方式</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1" w:hRule="atLeast"/>
          <w:jc w:val="center"/>
        </w:trPr>
        <w:tc>
          <w:tcPr>
            <w:tcW w:w="745" w:type="dxa"/>
            <w:vMerge w:val="restart"/>
            <w:tcBorders>
              <w:tl2br w:val="nil"/>
              <w:tr2bl w:val="nil"/>
            </w:tcBorders>
            <w:noWrap w:val="0"/>
            <w:vAlign w:val="center"/>
          </w:tcPr>
          <w:p>
            <w:pPr>
              <w:widowControl/>
              <w:jc w:val="center"/>
              <w:textAlignment w:val="center"/>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1</w:t>
            </w:r>
          </w:p>
        </w:tc>
        <w:tc>
          <w:tcPr>
            <w:tcW w:w="1490" w:type="dxa"/>
            <w:vMerge w:val="restart"/>
            <w:tcBorders>
              <w:tl2br w:val="nil"/>
              <w:tr2bl w:val="nil"/>
            </w:tcBorders>
            <w:noWrap/>
            <w:vAlign w:val="center"/>
          </w:tcPr>
          <w:p>
            <w:pPr>
              <w:widowControl/>
              <w:jc w:val="center"/>
              <w:textAlignment w:val="center"/>
              <w:rPr>
                <w:rFonts w:hint="default"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济南轻卡制造公司</w:t>
            </w:r>
          </w:p>
        </w:tc>
        <w:tc>
          <w:tcPr>
            <w:tcW w:w="2195" w:type="dxa"/>
            <w:tcBorders>
              <w:tl2br w:val="nil"/>
              <w:tr2bl w:val="nil"/>
            </w:tcBorders>
            <w:noWrap/>
            <w:vAlign w:val="center"/>
          </w:tcPr>
          <w:p>
            <w:pPr>
              <w:widowControl/>
              <w:jc w:val="center"/>
              <w:textAlignment w:val="center"/>
              <w:rPr>
                <w:rFonts w:hint="default"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皮卡总装车间驾驶室上线位置</w:t>
            </w:r>
          </w:p>
        </w:tc>
        <w:tc>
          <w:tcPr>
            <w:tcW w:w="1964" w:type="dxa"/>
            <w:tcBorders>
              <w:tl2br w:val="nil"/>
              <w:tr2bl w:val="nil"/>
            </w:tcBorders>
            <w:noWrap/>
            <w:vAlign w:val="center"/>
          </w:tcPr>
          <w:p>
            <w:pPr>
              <w:widowControl/>
              <w:jc w:val="center"/>
              <w:textAlignment w:val="center"/>
              <w:rPr>
                <w:rFonts w:hint="default"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驾驶室上线通用吊具</w:t>
            </w:r>
          </w:p>
        </w:tc>
        <w:tc>
          <w:tcPr>
            <w:tcW w:w="902" w:type="dxa"/>
            <w:tcBorders>
              <w:tl2br w:val="nil"/>
              <w:tr2bl w:val="nil"/>
            </w:tcBorders>
            <w:noWrap/>
            <w:vAlign w:val="center"/>
          </w:tcPr>
          <w:p>
            <w:pPr>
              <w:widowControl/>
              <w:jc w:val="center"/>
              <w:textAlignment w:val="center"/>
              <w:rPr>
                <w:rFonts w:hint="default"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1</w:t>
            </w:r>
          </w:p>
        </w:tc>
        <w:tc>
          <w:tcPr>
            <w:tcW w:w="1031" w:type="dxa"/>
            <w:vMerge w:val="restart"/>
            <w:tcBorders>
              <w:tl2br w:val="nil"/>
              <w:tr2bl w:val="nil"/>
            </w:tcBorders>
            <w:noWrap/>
            <w:vAlign w:val="center"/>
          </w:tcPr>
          <w:p>
            <w:pPr>
              <w:widowControl/>
              <w:jc w:val="center"/>
              <w:textAlignment w:val="center"/>
              <w:rPr>
                <w:rFonts w:hint="eastAsia"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交钥匙</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1" w:hRule="atLeast"/>
          <w:jc w:val="center"/>
        </w:trPr>
        <w:tc>
          <w:tcPr>
            <w:tcW w:w="745" w:type="dxa"/>
            <w:vMerge w:val="continue"/>
            <w:tcBorders>
              <w:tl2br w:val="nil"/>
              <w:tr2bl w:val="nil"/>
            </w:tcBorders>
            <w:noWrap w:val="0"/>
            <w:vAlign w:val="center"/>
          </w:tcPr>
          <w:p>
            <w:pPr>
              <w:widowControl/>
              <w:jc w:val="center"/>
              <w:textAlignment w:val="center"/>
              <w:rPr>
                <w:rFonts w:hint="eastAsia" w:ascii="宋体" w:hAnsi="宋体" w:eastAsia="宋体" w:cs="宋体"/>
                <w:color w:val="auto"/>
                <w:sz w:val="18"/>
                <w:szCs w:val="18"/>
                <w:highlight w:val="none"/>
              </w:rPr>
            </w:pPr>
          </w:p>
        </w:tc>
        <w:tc>
          <w:tcPr>
            <w:tcW w:w="1490" w:type="dxa"/>
            <w:vMerge w:val="continue"/>
            <w:tcBorders>
              <w:tl2br w:val="nil"/>
              <w:tr2bl w:val="nil"/>
            </w:tcBorders>
            <w:noWrap/>
            <w:vAlign w:val="center"/>
          </w:tcPr>
          <w:p>
            <w:pPr>
              <w:widowControl/>
              <w:jc w:val="center"/>
              <w:textAlignment w:val="center"/>
              <w:rPr>
                <w:rFonts w:hint="eastAsia" w:ascii="宋体" w:hAnsi="宋体" w:eastAsia="宋体" w:cs="宋体"/>
                <w:color w:val="auto"/>
                <w:sz w:val="18"/>
                <w:szCs w:val="18"/>
                <w:highlight w:val="none"/>
              </w:rPr>
            </w:pPr>
          </w:p>
        </w:tc>
        <w:tc>
          <w:tcPr>
            <w:tcW w:w="2195" w:type="dxa"/>
            <w:tcBorders>
              <w:tl2br w:val="nil"/>
              <w:tr2bl w:val="nil"/>
            </w:tcBorders>
            <w:noWrap/>
            <w:vAlign w:val="center"/>
          </w:tcPr>
          <w:p>
            <w:pPr>
              <w:widowControl/>
              <w:jc w:val="center"/>
              <w:textAlignment w:val="center"/>
              <w:rPr>
                <w:rFonts w:hint="default" w:ascii="宋体" w:hAnsi="宋体" w:eastAsia="宋体" w:cs="宋体"/>
                <w:bCs/>
                <w:color w:val="auto"/>
                <w:sz w:val="18"/>
                <w:szCs w:val="18"/>
                <w:highlight w:val="none"/>
                <w:lang w:val="en-US" w:eastAsia="zh-CN"/>
              </w:rPr>
            </w:pPr>
            <w:r>
              <w:rPr>
                <w:rFonts w:hint="eastAsia" w:ascii="宋体" w:hAnsi="宋体" w:eastAsia="宋体" w:cs="宋体"/>
                <w:bCs/>
                <w:color w:val="auto"/>
                <w:sz w:val="18"/>
                <w:szCs w:val="18"/>
                <w:highlight w:val="none"/>
                <w:lang w:val="en-US" w:eastAsia="zh-CN"/>
              </w:rPr>
              <w:t>皮卡总装车间仪表分装区域</w:t>
            </w:r>
          </w:p>
        </w:tc>
        <w:tc>
          <w:tcPr>
            <w:tcW w:w="1964" w:type="dxa"/>
            <w:tcBorders>
              <w:tl2br w:val="nil"/>
              <w:tr2bl w:val="nil"/>
            </w:tcBorders>
            <w:noWrap/>
            <w:vAlign w:val="center"/>
          </w:tcPr>
          <w:p>
            <w:pPr>
              <w:widowControl/>
              <w:jc w:val="center"/>
              <w:textAlignment w:val="center"/>
              <w:rPr>
                <w:rFonts w:hint="default"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轻卡仪表总成通用分装台</w:t>
            </w:r>
          </w:p>
        </w:tc>
        <w:tc>
          <w:tcPr>
            <w:tcW w:w="902" w:type="dxa"/>
            <w:tcBorders>
              <w:tl2br w:val="nil"/>
              <w:tr2bl w:val="nil"/>
            </w:tcBorders>
            <w:noWrap w:val="0"/>
            <w:vAlign w:val="center"/>
          </w:tcPr>
          <w:p>
            <w:pPr>
              <w:widowControl/>
              <w:jc w:val="center"/>
              <w:textAlignment w:val="center"/>
              <w:rPr>
                <w:rFonts w:hint="default"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10</w:t>
            </w:r>
          </w:p>
        </w:tc>
        <w:tc>
          <w:tcPr>
            <w:tcW w:w="1031" w:type="dxa"/>
            <w:vMerge w:val="continue"/>
            <w:tcBorders>
              <w:tl2br w:val="nil"/>
              <w:tr2bl w:val="nil"/>
            </w:tcBorders>
            <w:noWrap w:val="0"/>
            <w:vAlign w:val="center"/>
          </w:tcPr>
          <w:p>
            <w:pPr>
              <w:widowControl/>
              <w:jc w:val="center"/>
              <w:textAlignment w:val="center"/>
              <w:rPr>
                <w:rFonts w:hint="eastAsia" w:ascii="宋体" w:hAnsi="宋体" w:eastAsia="宋体" w:cs="宋体"/>
                <w:color w:val="auto"/>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1" w:hRule="atLeast"/>
          <w:jc w:val="center"/>
        </w:trPr>
        <w:tc>
          <w:tcPr>
            <w:tcW w:w="745" w:type="dxa"/>
            <w:vMerge w:val="continue"/>
            <w:tcBorders>
              <w:tl2br w:val="nil"/>
              <w:tr2bl w:val="nil"/>
            </w:tcBorders>
            <w:noWrap w:val="0"/>
            <w:vAlign w:val="center"/>
          </w:tcPr>
          <w:p>
            <w:pPr>
              <w:widowControl/>
              <w:jc w:val="center"/>
              <w:textAlignment w:val="center"/>
              <w:rPr>
                <w:rFonts w:hint="eastAsia" w:ascii="宋体" w:hAnsi="宋体" w:eastAsia="宋体" w:cs="宋体"/>
                <w:color w:val="auto"/>
                <w:sz w:val="18"/>
                <w:szCs w:val="18"/>
                <w:highlight w:val="none"/>
              </w:rPr>
            </w:pPr>
          </w:p>
        </w:tc>
        <w:tc>
          <w:tcPr>
            <w:tcW w:w="1490" w:type="dxa"/>
            <w:vMerge w:val="continue"/>
            <w:tcBorders>
              <w:tl2br w:val="nil"/>
              <w:tr2bl w:val="nil"/>
            </w:tcBorders>
            <w:noWrap/>
            <w:vAlign w:val="center"/>
          </w:tcPr>
          <w:p>
            <w:pPr>
              <w:widowControl/>
              <w:jc w:val="center"/>
              <w:textAlignment w:val="center"/>
              <w:rPr>
                <w:rFonts w:hint="eastAsia" w:ascii="宋体" w:hAnsi="宋体" w:eastAsia="宋体" w:cs="宋体"/>
                <w:color w:val="auto"/>
                <w:sz w:val="18"/>
                <w:szCs w:val="18"/>
                <w:highlight w:val="none"/>
              </w:rPr>
            </w:pPr>
          </w:p>
        </w:tc>
        <w:tc>
          <w:tcPr>
            <w:tcW w:w="2195" w:type="dxa"/>
            <w:tcBorders>
              <w:tl2br w:val="nil"/>
              <w:tr2bl w:val="nil"/>
            </w:tcBorders>
            <w:noWrap/>
            <w:vAlign w:val="center"/>
          </w:tcPr>
          <w:p>
            <w:pPr>
              <w:widowControl/>
              <w:jc w:val="center"/>
              <w:textAlignment w:val="center"/>
              <w:rPr>
                <w:rFonts w:hint="default" w:ascii="宋体" w:hAnsi="宋体" w:eastAsia="宋体" w:cs="宋体"/>
                <w:bCs/>
                <w:color w:val="auto"/>
                <w:sz w:val="18"/>
                <w:szCs w:val="18"/>
                <w:highlight w:val="none"/>
                <w:lang w:val="en-US" w:eastAsia="zh-CN"/>
              </w:rPr>
            </w:pPr>
            <w:r>
              <w:rPr>
                <w:rFonts w:hint="eastAsia" w:ascii="宋体" w:hAnsi="宋体" w:eastAsia="宋体" w:cs="宋体"/>
                <w:bCs/>
                <w:color w:val="auto"/>
                <w:sz w:val="18"/>
                <w:szCs w:val="18"/>
                <w:highlight w:val="none"/>
                <w:lang w:val="en-US" w:eastAsia="zh-CN"/>
              </w:rPr>
              <w:t>皮卡总装车间内饰分装线</w:t>
            </w:r>
          </w:p>
        </w:tc>
        <w:tc>
          <w:tcPr>
            <w:tcW w:w="1964" w:type="dxa"/>
            <w:tcBorders>
              <w:tl2br w:val="nil"/>
              <w:tr2bl w:val="nil"/>
            </w:tcBorders>
            <w:noWrap/>
            <w:vAlign w:val="center"/>
          </w:tcPr>
          <w:p>
            <w:pPr>
              <w:widowControl/>
              <w:jc w:val="center"/>
              <w:textAlignment w:val="center"/>
              <w:rPr>
                <w:rFonts w:hint="eastAsia" w:ascii="宋体" w:hAnsi="宋体" w:eastAsia="宋体" w:cs="宋体"/>
                <w:color w:val="auto"/>
                <w:sz w:val="18"/>
                <w:szCs w:val="18"/>
                <w:highlight w:val="none"/>
                <w:lang w:val="en-US" w:eastAsia="zh-CN"/>
              </w:rPr>
            </w:pPr>
            <w:r>
              <w:rPr>
                <w:rFonts w:hint="eastAsia" w:ascii="宋体" w:hAnsi="宋体" w:eastAsia="宋体" w:cs="宋体"/>
                <w:bCs/>
                <w:color w:val="auto"/>
                <w:sz w:val="18"/>
                <w:szCs w:val="18"/>
                <w:highlight w:val="none"/>
                <w:lang w:val="en-US" w:eastAsia="zh-CN"/>
              </w:rPr>
              <w:t>后窗玻璃胶条装配专用工装、踏台、仪表台本体分装用工作台、驾驶室标粘贴工装</w:t>
            </w:r>
          </w:p>
        </w:tc>
        <w:tc>
          <w:tcPr>
            <w:tcW w:w="902" w:type="dxa"/>
            <w:tcBorders>
              <w:tl2br w:val="nil"/>
              <w:tr2bl w:val="nil"/>
            </w:tcBorders>
            <w:noWrap w:val="0"/>
            <w:vAlign w:val="center"/>
          </w:tcPr>
          <w:p>
            <w:pPr>
              <w:widowControl/>
              <w:jc w:val="center"/>
              <w:textAlignment w:val="center"/>
              <w:rPr>
                <w:rFonts w:hint="default"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w:t>
            </w:r>
          </w:p>
        </w:tc>
        <w:tc>
          <w:tcPr>
            <w:tcW w:w="1031" w:type="dxa"/>
            <w:vMerge w:val="continue"/>
            <w:tcBorders>
              <w:tl2br w:val="nil"/>
              <w:tr2bl w:val="nil"/>
            </w:tcBorders>
            <w:noWrap w:val="0"/>
            <w:vAlign w:val="center"/>
          </w:tcPr>
          <w:p>
            <w:pPr>
              <w:widowControl/>
              <w:jc w:val="center"/>
              <w:textAlignment w:val="center"/>
              <w:rPr>
                <w:rFonts w:hint="eastAsia" w:ascii="宋体" w:hAnsi="宋体" w:eastAsia="宋体" w:cs="宋体"/>
                <w:color w:val="auto"/>
                <w:sz w:val="18"/>
                <w:szCs w:val="18"/>
                <w:highlight w:val="none"/>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11" w:hRule="atLeast"/>
          <w:jc w:val="center"/>
        </w:trPr>
        <w:tc>
          <w:tcPr>
            <w:tcW w:w="745" w:type="dxa"/>
            <w:vMerge w:val="continue"/>
            <w:tcBorders>
              <w:tl2br w:val="nil"/>
              <w:tr2bl w:val="nil"/>
            </w:tcBorders>
            <w:noWrap w:val="0"/>
            <w:vAlign w:val="center"/>
          </w:tcPr>
          <w:p>
            <w:pPr>
              <w:widowControl/>
              <w:jc w:val="center"/>
              <w:textAlignment w:val="center"/>
              <w:rPr>
                <w:rFonts w:hint="eastAsia" w:ascii="宋体" w:hAnsi="宋体" w:eastAsia="宋体" w:cs="宋体"/>
                <w:color w:val="auto"/>
                <w:sz w:val="18"/>
                <w:szCs w:val="18"/>
                <w:highlight w:val="none"/>
              </w:rPr>
            </w:pPr>
          </w:p>
        </w:tc>
        <w:tc>
          <w:tcPr>
            <w:tcW w:w="1490" w:type="dxa"/>
            <w:vMerge w:val="continue"/>
            <w:tcBorders>
              <w:tl2br w:val="nil"/>
              <w:tr2bl w:val="nil"/>
            </w:tcBorders>
            <w:noWrap/>
            <w:vAlign w:val="center"/>
          </w:tcPr>
          <w:p>
            <w:pPr>
              <w:widowControl/>
              <w:jc w:val="center"/>
              <w:textAlignment w:val="center"/>
              <w:rPr>
                <w:rFonts w:hint="eastAsia" w:ascii="宋体" w:hAnsi="宋体" w:eastAsia="宋体" w:cs="宋体"/>
                <w:color w:val="auto"/>
                <w:sz w:val="18"/>
                <w:szCs w:val="18"/>
                <w:highlight w:val="none"/>
              </w:rPr>
            </w:pPr>
          </w:p>
        </w:tc>
        <w:tc>
          <w:tcPr>
            <w:tcW w:w="2195" w:type="dxa"/>
            <w:tcBorders>
              <w:tl2br w:val="nil"/>
              <w:tr2bl w:val="nil"/>
            </w:tcBorders>
            <w:noWrap/>
            <w:vAlign w:val="center"/>
          </w:tcPr>
          <w:p>
            <w:pPr>
              <w:widowControl/>
              <w:jc w:val="center"/>
              <w:textAlignment w:val="center"/>
              <w:rPr>
                <w:rFonts w:hint="eastAsia" w:ascii="宋体" w:hAnsi="宋体" w:eastAsia="宋体" w:cs="宋体"/>
                <w:bCs/>
                <w:color w:val="auto"/>
                <w:sz w:val="18"/>
                <w:szCs w:val="18"/>
                <w:highlight w:val="none"/>
                <w:lang w:val="en-US" w:eastAsia="zh-CN"/>
              </w:rPr>
            </w:pPr>
            <w:r>
              <w:rPr>
                <w:rFonts w:hint="eastAsia" w:ascii="宋体" w:hAnsi="宋体" w:eastAsia="宋体" w:cs="宋体"/>
                <w:bCs/>
                <w:color w:val="auto"/>
                <w:sz w:val="18"/>
                <w:szCs w:val="18"/>
                <w:highlight w:val="none"/>
                <w:lang w:val="en-US" w:eastAsia="zh-CN"/>
              </w:rPr>
              <w:t>皮卡总装车间内饰分装线</w:t>
            </w:r>
          </w:p>
        </w:tc>
        <w:tc>
          <w:tcPr>
            <w:tcW w:w="1964" w:type="dxa"/>
            <w:tcBorders>
              <w:tl2br w:val="nil"/>
              <w:tr2bl w:val="nil"/>
            </w:tcBorders>
            <w:noWrap/>
            <w:vAlign w:val="center"/>
          </w:tcPr>
          <w:p>
            <w:pPr>
              <w:widowControl/>
              <w:jc w:val="center"/>
              <w:textAlignment w:val="center"/>
              <w:rPr>
                <w:rFonts w:hint="default"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驾驶室分装后输送线</w:t>
            </w:r>
          </w:p>
        </w:tc>
        <w:tc>
          <w:tcPr>
            <w:tcW w:w="902" w:type="dxa"/>
            <w:tcBorders>
              <w:tl2br w:val="nil"/>
              <w:tr2bl w:val="nil"/>
            </w:tcBorders>
            <w:noWrap w:val="0"/>
            <w:vAlign w:val="center"/>
          </w:tcPr>
          <w:p>
            <w:pPr>
              <w:widowControl/>
              <w:jc w:val="center"/>
              <w:textAlignment w:val="center"/>
              <w:rPr>
                <w:rFonts w:hint="default" w:ascii="宋体" w:hAnsi="宋体" w:eastAsia="宋体" w:cs="宋体"/>
                <w:color w:val="auto"/>
                <w:sz w:val="18"/>
                <w:szCs w:val="18"/>
                <w:highlight w:val="none"/>
                <w:lang w:val="en-US" w:eastAsia="zh-CN"/>
              </w:rPr>
            </w:pPr>
            <w:r>
              <w:rPr>
                <w:rFonts w:hint="eastAsia" w:ascii="宋体" w:hAnsi="宋体" w:eastAsia="宋体" w:cs="宋体"/>
                <w:color w:val="auto"/>
                <w:sz w:val="18"/>
                <w:szCs w:val="18"/>
                <w:highlight w:val="none"/>
                <w:lang w:val="en-US" w:eastAsia="zh-CN"/>
              </w:rPr>
              <w:t>/</w:t>
            </w:r>
          </w:p>
        </w:tc>
        <w:tc>
          <w:tcPr>
            <w:tcW w:w="1031" w:type="dxa"/>
            <w:vMerge w:val="continue"/>
            <w:tcBorders>
              <w:tl2br w:val="nil"/>
              <w:tr2bl w:val="nil"/>
            </w:tcBorders>
            <w:noWrap w:val="0"/>
            <w:vAlign w:val="center"/>
          </w:tcPr>
          <w:p>
            <w:pPr>
              <w:widowControl/>
              <w:jc w:val="center"/>
              <w:textAlignment w:val="center"/>
              <w:rPr>
                <w:rFonts w:hint="eastAsia" w:ascii="宋体" w:hAnsi="宋体" w:eastAsia="宋体" w:cs="宋体"/>
                <w:color w:val="auto"/>
                <w:sz w:val="18"/>
                <w:szCs w:val="18"/>
                <w:highlight w:val="none"/>
              </w:rPr>
            </w:pPr>
          </w:p>
        </w:tc>
      </w:tr>
    </w:tbl>
    <w:p>
      <w:pPr>
        <w:spacing w:line="480" w:lineRule="exact"/>
        <w:ind w:firstLine="420" w:firstLineChars="200"/>
        <w:rPr>
          <w:color w:val="auto"/>
          <w:sz w:val="21"/>
          <w:szCs w:val="21"/>
          <w:highlight w:val="none"/>
        </w:rPr>
      </w:pPr>
      <w:r>
        <w:rPr>
          <w:color w:val="auto"/>
          <w:sz w:val="21"/>
          <w:szCs w:val="21"/>
          <w:highlight w:val="none"/>
        </w:rPr>
        <w:t>备注：</w:t>
      </w:r>
      <w:bookmarkStart w:id="28" w:name="_Toc137705868"/>
    </w:p>
    <w:p>
      <w:pPr>
        <w:spacing w:line="480" w:lineRule="exact"/>
        <w:ind w:firstLine="420" w:firstLineChars="200"/>
        <w:rPr>
          <w:color w:val="auto"/>
          <w:sz w:val="21"/>
          <w:szCs w:val="21"/>
          <w:highlight w:val="none"/>
        </w:rPr>
      </w:pPr>
      <w:r>
        <w:rPr>
          <w:rFonts w:hint="eastAsia"/>
          <w:color w:val="auto"/>
          <w:sz w:val="21"/>
          <w:szCs w:val="21"/>
          <w:highlight w:val="none"/>
        </w:rPr>
        <w:t>1</w:t>
      </w:r>
      <w:r>
        <w:rPr>
          <w:color w:val="auto"/>
          <w:sz w:val="21"/>
          <w:szCs w:val="21"/>
          <w:highlight w:val="none"/>
        </w:rPr>
        <w:t>.本表所列采购货物仅为货物（或生产线）的主要构成部分，应包含配套供货以及招标方所列其它货物（或设备）和服务，请投标方认真阅读“供货范围”。若有异议，不管是多么微小，都应在投标文件“商务偏离”章节中予以详细说明。</w:t>
      </w:r>
    </w:p>
    <w:p>
      <w:pPr>
        <w:spacing w:line="480" w:lineRule="exact"/>
        <w:ind w:firstLine="420" w:firstLineChars="200"/>
        <w:rPr>
          <w:color w:val="auto"/>
          <w:sz w:val="21"/>
          <w:szCs w:val="21"/>
          <w:highlight w:val="none"/>
        </w:rPr>
      </w:pPr>
      <w:r>
        <w:rPr>
          <w:rFonts w:hint="eastAsia"/>
          <w:color w:val="auto"/>
          <w:sz w:val="21"/>
          <w:szCs w:val="21"/>
          <w:highlight w:val="none"/>
        </w:rPr>
        <w:t>2</w:t>
      </w:r>
      <w:r>
        <w:rPr>
          <w:color w:val="auto"/>
          <w:sz w:val="21"/>
          <w:szCs w:val="21"/>
          <w:highlight w:val="none"/>
        </w:rPr>
        <w:t>.本表“供货方式”指：交钥匙方式——包括设计、制造、运输、安装、调试和验收直到交付使用以及培训等。</w:t>
      </w:r>
    </w:p>
    <w:p>
      <w:pPr>
        <w:spacing w:line="480" w:lineRule="exact"/>
        <w:ind w:firstLine="420" w:firstLineChars="200"/>
        <w:rPr>
          <w:rFonts w:hint="eastAsia"/>
          <w:color w:val="auto"/>
          <w:sz w:val="21"/>
          <w:szCs w:val="21"/>
          <w:highlight w:val="none"/>
        </w:rPr>
      </w:pPr>
      <w:r>
        <w:rPr>
          <w:rFonts w:hint="eastAsia"/>
          <w:color w:val="auto"/>
          <w:sz w:val="21"/>
          <w:szCs w:val="21"/>
          <w:highlight w:val="none"/>
        </w:rPr>
        <w:t>3.以上内容仅对设备的基本功能进行了描述和建议，表中所列内容仅供参考，投标方投标前需对生产现场工艺环境进行充分调研与了解，确保投标方案满足工艺、产品、节拍、功能等要求，投标方对投标方案负责。</w:t>
      </w:r>
    </w:p>
    <w:p>
      <w:pPr>
        <w:spacing w:line="480" w:lineRule="exact"/>
        <w:ind w:firstLine="420" w:firstLineChars="200"/>
        <w:rPr>
          <w:rFonts w:hint="eastAsia" w:ascii="宋体" w:hAnsi="宋体" w:eastAsia="宋体" w:cs="宋体"/>
          <w:color w:val="auto"/>
          <w:sz w:val="21"/>
          <w:szCs w:val="21"/>
          <w:highlight w:val="none"/>
          <w:lang w:val="en-US" w:eastAsia="zh-CN"/>
        </w:rPr>
      </w:pPr>
      <w:r>
        <w:rPr>
          <w:rFonts w:hint="eastAsia" w:ascii="宋体" w:hAnsi="宋体" w:eastAsia="宋体" w:cs="宋体"/>
          <w:color w:val="auto"/>
          <w:sz w:val="21"/>
          <w:szCs w:val="21"/>
          <w:highlight w:val="none"/>
          <w:lang w:val="en-US" w:eastAsia="zh-CN"/>
        </w:rPr>
        <w:t>4.投标厂家除项目总报价外，另需对各制造单位的拧紧工具进行分别报价。</w:t>
      </w:r>
    </w:p>
    <w:p>
      <w:pPr>
        <w:overflowPunct w:val="0"/>
        <w:spacing w:line="360" w:lineRule="auto"/>
        <w:ind w:firstLine="422" w:firstLineChars="200"/>
        <w:rPr>
          <w:rFonts w:ascii="宋体" w:hAnsi="宋体" w:cs="宋体"/>
          <w:b/>
          <w:color w:val="auto"/>
          <w:highlight w:val="none"/>
        </w:rPr>
      </w:pPr>
      <w:r>
        <w:rPr>
          <w:rFonts w:hint="eastAsia" w:ascii="宋体" w:hAnsi="宋体" w:cs="宋体"/>
          <w:b/>
          <w:color w:val="auto"/>
          <w:highlight w:val="none"/>
        </w:rPr>
        <w:t>四、采购货物特别说明</w:t>
      </w:r>
    </w:p>
    <w:p>
      <w:pPr>
        <w:overflowPunct w:val="0"/>
        <w:spacing w:line="360" w:lineRule="auto"/>
        <w:ind w:firstLine="420" w:firstLineChars="200"/>
        <w:rPr>
          <w:rFonts w:ascii="宋体" w:hAnsi="宋体"/>
          <w:color w:val="auto"/>
          <w:szCs w:val="20"/>
          <w:highlight w:val="none"/>
        </w:rPr>
      </w:pPr>
      <w:r>
        <w:rPr>
          <w:rFonts w:hint="eastAsia" w:ascii="宋体" w:hAnsi="宋体" w:cs="宋体"/>
          <w:color w:val="auto"/>
          <w:highlight w:val="none"/>
        </w:rPr>
        <w:t>招标人所列货物的名称和规格型号，如为某一供应商所特有，则该名称和规格型号可作参考，但要求投标人所提供的货物必须满足本技术标书实质性要求</w:t>
      </w:r>
      <w:r>
        <w:rPr>
          <w:rFonts w:hint="eastAsia" w:ascii="宋体" w:hAnsi="宋体"/>
          <w:color w:val="auto"/>
          <w:szCs w:val="20"/>
          <w:highlight w:val="none"/>
        </w:rPr>
        <w:t>。</w:t>
      </w:r>
    </w:p>
    <w:p>
      <w:pPr>
        <w:pStyle w:val="14"/>
        <w:rPr>
          <w:rFonts w:hint="eastAsia"/>
          <w:color w:val="auto"/>
          <w:highlight w:val="none"/>
        </w:rPr>
      </w:pPr>
    </w:p>
    <w:p>
      <w:pPr>
        <w:spacing w:line="480" w:lineRule="exact"/>
        <w:rPr>
          <w:rFonts w:hint="eastAsia"/>
          <w:color w:val="auto"/>
          <w:sz w:val="21"/>
          <w:szCs w:val="21"/>
          <w:highlight w:val="none"/>
        </w:rPr>
      </w:pPr>
    </w:p>
    <w:p>
      <w:pPr>
        <w:pStyle w:val="3"/>
        <w:spacing w:before="120" w:after="120"/>
        <w:jc w:val="center"/>
        <w:rPr>
          <w:rFonts w:hint="eastAsia" w:ascii="黑体" w:eastAsia="黑体"/>
          <w:color w:val="auto"/>
          <w:sz w:val="24"/>
          <w:szCs w:val="24"/>
          <w:highlight w:val="none"/>
        </w:rPr>
      </w:pPr>
      <w:bookmarkStart w:id="29" w:name="_Toc17328"/>
      <w:bookmarkStart w:id="30" w:name="_Toc32262"/>
      <w:r>
        <w:rPr>
          <w:rFonts w:hint="eastAsia" w:ascii="黑体" w:eastAsia="黑体"/>
          <w:color w:val="auto"/>
          <w:sz w:val="24"/>
          <w:szCs w:val="24"/>
          <w:highlight w:val="none"/>
        </w:rPr>
        <w:t>第二章  技术要求</w:t>
      </w:r>
      <w:bookmarkEnd w:id="28"/>
      <w:bookmarkEnd w:id="29"/>
      <w:bookmarkEnd w:id="30"/>
    </w:p>
    <w:p>
      <w:pPr>
        <w:spacing w:line="480" w:lineRule="exact"/>
        <w:ind w:firstLine="420" w:firstLineChars="200"/>
        <w:rPr>
          <w:rFonts w:hint="eastAsia" w:ascii="黑体" w:hAnsi="宋体" w:eastAsia="黑体"/>
          <w:color w:val="auto"/>
          <w:highlight w:val="none"/>
        </w:rPr>
      </w:pPr>
      <w:r>
        <w:rPr>
          <w:rFonts w:hint="eastAsia" w:ascii="黑体" w:hAnsi="宋体" w:eastAsia="黑体"/>
          <w:color w:val="auto"/>
          <w:highlight w:val="none"/>
        </w:rPr>
        <w:t>一、基本要求</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1、投标方所供的设备，必须符合中国最新版的法律、法规和相关标准、规范的要求，符合项目所在地政府有关特殊要求。</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2、投标方所供设备涉及的专利权技术以及知识产权保护的其它技术等，应保证招标方不因此受到任何侵权指控以及实际损失。</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3、投标方应保证所供设备的先进性、可靠性、经济性和实用性，并为全新设备。</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4、投标方应满足招标方提出的各项技术要求，必要时应当免费提供技术承诺或担保。</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5、投标方应保证所供设备为中国公布的非淘汰设备，并为中国指定或规定的主管部门认可的环保型和节能型设备。</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6、投标方应保证所供设备的完整性和成套性，能保证设备的正常运行、使用。</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color w:val="auto"/>
          <w:highlight w:val="none"/>
        </w:rPr>
      </w:pPr>
      <w:r>
        <w:rPr>
          <w:rFonts w:hint="eastAsia" w:ascii="宋体" w:hAnsi="宋体"/>
          <w:color w:val="auto"/>
          <w:highlight w:val="none"/>
        </w:rPr>
        <w:t>7、投标方应对招标方采购的设备所涉及的技术、产能等信息负有保密义务，招标方拥有追究投标方泄密责任的权利；招标方如有需要，投标方应无条件签署保密协议。</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8、投标方需提供近三年内项目业绩证明。</w:t>
      </w:r>
    </w:p>
    <w:p>
      <w:pPr>
        <w:keepNext w:val="0"/>
        <w:keepLines w:val="0"/>
        <w:pageBreakBefore w:val="0"/>
        <w:widowControl w:val="0"/>
        <w:kinsoku/>
        <w:wordWrap/>
        <w:overflowPunct/>
        <w:topLinePunct w:val="0"/>
        <w:autoSpaceDE/>
        <w:autoSpaceDN/>
        <w:bidi w:val="0"/>
        <w:adjustRightInd/>
        <w:snapToGrid/>
        <w:spacing w:line="480" w:lineRule="exact"/>
        <w:ind w:firstLine="420" w:firstLineChars="200"/>
        <w:textAlignment w:val="auto"/>
        <w:rPr>
          <w:rFonts w:hint="eastAsia" w:ascii="宋体" w:hAnsi="宋体"/>
          <w:color w:val="auto"/>
          <w:highlight w:val="none"/>
        </w:rPr>
      </w:pPr>
      <w:r>
        <w:rPr>
          <w:rFonts w:hint="eastAsia" w:ascii="宋体" w:hAnsi="宋体"/>
          <w:color w:val="auto"/>
          <w:highlight w:val="none"/>
        </w:rPr>
        <w:t>9、★号为否决项。</w:t>
      </w:r>
    </w:p>
    <w:p>
      <w:pPr>
        <w:pStyle w:val="2"/>
        <w:keepNext w:val="0"/>
        <w:keepLines w:val="0"/>
        <w:pageBreakBefore w:val="0"/>
        <w:widowControl w:val="0"/>
        <w:kinsoku/>
        <w:wordWrap/>
        <w:overflowPunct/>
        <w:topLinePunct w:val="0"/>
        <w:autoSpaceDE/>
        <w:autoSpaceDN/>
        <w:bidi w:val="0"/>
        <w:adjustRightInd/>
        <w:snapToGrid/>
        <w:spacing w:line="480" w:lineRule="exact"/>
        <w:textAlignment w:val="auto"/>
        <w:rPr>
          <w:rFonts w:hint="default" w:ascii="宋体" w:hAnsi="宋体" w:eastAsia="宋体" w:cs="宋体"/>
          <w:b/>
          <w:bCs/>
          <w:sz w:val="24"/>
          <w:szCs w:val="24"/>
          <w:highlight w:val="none"/>
          <w:lang w:val="en-US" w:eastAsia="zh-CN"/>
        </w:rPr>
      </w:pPr>
      <w:r>
        <w:rPr>
          <w:rFonts w:hint="eastAsia" w:ascii="宋体" w:hAnsi="宋体"/>
          <w:color w:val="auto"/>
          <w:highlight w:val="none"/>
          <w:lang w:val="en-US" w:eastAsia="zh-CN"/>
        </w:rPr>
        <w:t xml:space="preserve">  </w:t>
      </w:r>
      <w:r>
        <w:rPr>
          <w:rFonts w:hint="eastAsia" w:ascii="宋体" w:hAnsi="宋体"/>
          <w:color w:val="auto"/>
          <w:sz w:val="24"/>
          <w:szCs w:val="24"/>
          <w:highlight w:val="none"/>
          <w:lang w:val="en-US" w:eastAsia="zh-CN"/>
        </w:rPr>
        <w:t>10、</w:t>
      </w:r>
      <w:r>
        <w:rPr>
          <w:rFonts w:hint="eastAsia" w:ascii="宋体" w:hAnsi="宋体" w:eastAsia="宋体" w:cs="宋体"/>
          <w:b/>
          <w:bCs/>
          <w:color w:val="auto"/>
          <w:sz w:val="24"/>
          <w:szCs w:val="24"/>
          <w:highlight w:val="none"/>
          <w:lang w:val="en-US" w:eastAsia="zh-CN"/>
        </w:rPr>
        <w:t>供方投标前需提前与甲方工程师在现场进行初版方案确认。供方终验收前需提供所有供货装置的三维数据。</w:t>
      </w:r>
    </w:p>
    <w:p>
      <w:pPr>
        <w:spacing w:line="480" w:lineRule="exact"/>
        <w:ind w:firstLine="420" w:firstLineChars="200"/>
        <w:rPr>
          <w:rFonts w:hint="eastAsia" w:ascii="黑体" w:hAnsi="宋体" w:eastAsia="黑体"/>
          <w:color w:val="auto"/>
          <w:highlight w:val="none"/>
        </w:rPr>
      </w:pPr>
      <w:r>
        <w:rPr>
          <w:rFonts w:hint="eastAsia" w:ascii="黑体" w:hAnsi="宋体" w:eastAsia="黑体"/>
          <w:color w:val="auto"/>
          <w:highlight w:val="none"/>
        </w:rPr>
        <w:t>二、执行标准</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1、招标方此处所列标准仅为涉及的主要标准，而且不保证其为最新版执行标准；投标方应当在投标文件以中认真予以填写、补充和修改完善。</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2、投标方需要执行的标准，应当所供设备通过招标方将来组织的最终验收之日开始执行的最新标准。</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3、采购设备的产品质量、技术标准如在招投标文件中无相应说明，则按中华人民共和国有关部门颁发的最新的国标或专业（部）标准执行及相应的国际标准。没有国家或专业（部）标准的，按企业标准执行。但当标准不统一时，原则上按照最严格标准执行。</w:t>
      </w:r>
    </w:p>
    <w:p>
      <w:pPr>
        <w:overflowPunct w:val="0"/>
        <w:spacing w:line="360" w:lineRule="auto"/>
        <w:ind w:firstLine="420" w:firstLineChars="200"/>
        <w:rPr>
          <w:rFonts w:hint="eastAsia" w:ascii="宋体" w:hAnsi="宋体" w:cs="宋体"/>
          <w:color w:val="auto"/>
          <w:highlight w:val="none"/>
        </w:rPr>
      </w:pPr>
      <w:r>
        <w:rPr>
          <w:rFonts w:hint="eastAsia" w:ascii="宋体" w:hAnsi="宋体" w:cs="宋体"/>
          <w:color w:val="auto"/>
          <w:highlight w:val="none"/>
        </w:rPr>
        <w:t>4、投标人所供货物涉及的专利权技术以及知识产权保护的其他技术等，应保证招标人不因此受到任何侵权指控以及实际损失。</w:t>
      </w:r>
    </w:p>
    <w:p>
      <w:pPr>
        <w:overflowPunct w:val="0"/>
        <w:spacing w:line="360" w:lineRule="auto"/>
        <w:ind w:firstLine="420" w:firstLineChars="200"/>
        <w:rPr>
          <w:rFonts w:hint="eastAsia" w:ascii="宋体" w:hAnsi="宋体" w:cs="宋体"/>
          <w:color w:val="auto"/>
          <w:highlight w:val="none"/>
        </w:rPr>
      </w:pPr>
      <w:r>
        <w:rPr>
          <w:rFonts w:hint="eastAsia" w:ascii="宋体" w:hAnsi="宋体" w:cs="宋体"/>
          <w:color w:val="auto"/>
          <w:highlight w:val="none"/>
        </w:rPr>
        <w:t>5、投标人应满足招标人提出的各项技术要求，必要时应当免费提供技术承诺或担保。</w:t>
      </w:r>
    </w:p>
    <w:p>
      <w:pPr>
        <w:overflowPunct w:val="0"/>
        <w:spacing w:line="360" w:lineRule="auto"/>
        <w:ind w:firstLine="420" w:firstLineChars="200"/>
        <w:rPr>
          <w:rFonts w:hint="eastAsia"/>
          <w:color w:val="auto"/>
          <w:highlight w:val="none"/>
        </w:rPr>
      </w:pPr>
      <w:r>
        <w:rPr>
          <w:rFonts w:hint="eastAsia" w:ascii="宋体" w:hAnsi="宋体" w:cs="宋体"/>
          <w:color w:val="auto"/>
          <w:highlight w:val="none"/>
        </w:rPr>
        <w:t>6、投标人应对招标人采购的货物所涉及的技术、产能等信息负有保密义务，招标人拥有追究投标人泄密责任的权利；招标人如有需要，投标人应无条件签署保密协议。</w:t>
      </w:r>
    </w:p>
    <w:p>
      <w:pPr>
        <w:spacing w:line="360" w:lineRule="exact"/>
        <w:ind w:firstLine="420" w:firstLineChars="200"/>
        <w:rPr>
          <w:rFonts w:hint="eastAsia" w:ascii="宋体" w:hAnsi="宋体"/>
          <w:color w:val="auto"/>
          <w:highlight w:val="none"/>
        </w:rPr>
      </w:pPr>
      <w:r>
        <w:rPr>
          <w:rFonts w:hint="eastAsia" w:ascii="宋体" w:hAnsi="宋体"/>
          <w:color w:val="auto"/>
          <w:highlight w:val="none"/>
        </w:rPr>
        <w:t>7、如果有采用国际标准的货物，其执行标准由投标方提供、招标方确认。</w:t>
      </w:r>
    </w:p>
    <w:p>
      <w:pPr>
        <w:spacing w:line="360" w:lineRule="auto"/>
        <w:ind w:firstLine="420" w:firstLineChars="200"/>
        <w:rPr>
          <w:rFonts w:hint="eastAsia" w:ascii="宋体"/>
          <w:color w:val="auto"/>
          <w:highlight w:val="none"/>
        </w:rPr>
      </w:pPr>
      <w:r>
        <w:rPr>
          <w:rFonts w:hint="eastAsia" w:ascii="宋体"/>
          <w:color w:val="auto"/>
          <w:highlight w:val="none"/>
        </w:rPr>
        <w:t>8、涉及的主要标准：</w:t>
      </w:r>
    </w:p>
    <w:tbl>
      <w:tblPr>
        <w:tblStyle w:val="30"/>
        <w:tblW w:w="4651"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51" w:type="dxa"/>
          <w:bottom w:w="0" w:type="dxa"/>
          <w:right w:w="51" w:type="dxa"/>
        </w:tblCellMar>
      </w:tblPr>
      <w:tblGrid>
        <w:gridCol w:w="877"/>
        <w:gridCol w:w="5375"/>
        <w:gridCol w:w="228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0" w:hRule="atLeast"/>
          <w:jc w:val="center"/>
        </w:trPr>
        <w:tc>
          <w:tcPr>
            <w:tcW w:w="513" w:type="pct"/>
            <w:noWrap w:val="0"/>
            <w:vAlign w:val="center"/>
          </w:tcPr>
          <w:p>
            <w:pPr>
              <w:overflowPunct w:val="0"/>
              <w:jc w:val="center"/>
              <w:rPr>
                <w:rFonts w:hint="eastAsia" w:ascii="宋体" w:hAnsi="宋体" w:eastAsia="宋体" w:cs="宋体"/>
                <w:b/>
                <w:bCs/>
                <w:color w:val="auto"/>
                <w:sz w:val="18"/>
                <w:szCs w:val="18"/>
                <w:highlight w:val="none"/>
              </w:rPr>
            </w:pPr>
            <w:r>
              <w:rPr>
                <w:rFonts w:hint="eastAsia" w:ascii="宋体" w:hAnsi="宋体" w:eastAsia="宋体" w:cs="宋体"/>
                <w:b/>
                <w:bCs/>
                <w:color w:val="auto"/>
                <w:sz w:val="18"/>
                <w:szCs w:val="18"/>
                <w:highlight w:val="none"/>
              </w:rPr>
              <w:t>序号</w:t>
            </w:r>
          </w:p>
        </w:tc>
        <w:tc>
          <w:tcPr>
            <w:tcW w:w="3149" w:type="pct"/>
            <w:noWrap w:val="0"/>
            <w:vAlign w:val="center"/>
          </w:tcPr>
          <w:p>
            <w:pPr>
              <w:overflowPunct w:val="0"/>
              <w:autoSpaceDE w:val="0"/>
              <w:autoSpaceDN w:val="0"/>
              <w:jc w:val="center"/>
              <w:rPr>
                <w:rFonts w:hint="eastAsia" w:ascii="宋体" w:hAnsi="宋体" w:eastAsia="宋体" w:cs="宋体"/>
                <w:b/>
                <w:bCs/>
                <w:color w:val="auto"/>
                <w:sz w:val="18"/>
                <w:szCs w:val="18"/>
                <w:highlight w:val="none"/>
              </w:rPr>
            </w:pPr>
            <w:r>
              <w:rPr>
                <w:rFonts w:hint="eastAsia" w:ascii="宋体" w:hAnsi="宋体" w:eastAsia="宋体" w:cs="宋体"/>
                <w:b/>
                <w:bCs/>
                <w:color w:val="auto"/>
                <w:sz w:val="18"/>
                <w:szCs w:val="18"/>
                <w:highlight w:val="none"/>
              </w:rPr>
              <w:t>标准名称</w:t>
            </w:r>
          </w:p>
        </w:tc>
        <w:tc>
          <w:tcPr>
            <w:tcW w:w="1336" w:type="pct"/>
            <w:noWrap w:val="0"/>
            <w:vAlign w:val="center"/>
          </w:tcPr>
          <w:p>
            <w:pPr>
              <w:overflowPunct w:val="0"/>
              <w:jc w:val="center"/>
              <w:rPr>
                <w:rFonts w:hint="eastAsia" w:ascii="宋体" w:hAnsi="宋体" w:eastAsia="宋体" w:cs="宋体"/>
                <w:b/>
                <w:bCs/>
                <w:color w:val="auto"/>
                <w:sz w:val="18"/>
                <w:szCs w:val="18"/>
                <w:highlight w:val="none"/>
              </w:rPr>
            </w:pPr>
            <w:r>
              <w:rPr>
                <w:rFonts w:hint="eastAsia" w:ascii="宋体" w:hAnsi="宋体" w:eastAsia="宋体" w:cs="宋体"/>
                <w:b/>
                <w:bCs/>
                <w:color w:val="auto"/>
                <w:sz w:val="18"/>
                <w:szCs w:val="18"/>
                <w:highlight w:val="none"/>
              </w:rPr>
              <w:t>标准编号</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765" w:hRule="atLeast"/>
          <w:jc w:val="center"/>
        </w:trPr>
        <w:tc>
          <w:tcPr>
            <w:tcW w:w="513" w:type="pct"/>
            <w:noWrap w:val="0"/>
            <w:vAlign w:val="center"/>
          </w:tcPr>
          <w:p>
            <w:pPr>
              <w:overflowPunct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1</w:t>
            </w:r>
          </w:p>
        </w:tc>
        <w:tc>
          <w:tcPr>
            <w:tcW w:w="3149" w:type="pct"/>
            <w:noWrap w:val="0"/>
            <w:vAlign w:val="center"/>
          </w:tcPr>
          <w:p>
            <w:pPr>
              <w:overflowPunct w:val="0"/>
              <w:autoSpaceDE w:val="0"/>
              <w:autoSpaceDN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电气装置安装工程电缆线路施工及验收规范</w:t>
            </w:r>
          </w:p>
        </w:tc>
        <w:tc>
          <w:tcPr>
            <w:tcW w:w="1336" w:type="pct"/>
            <w:noWrap w:val="0"/>
            <w:vAlign w:val="center"/>
          </w:tcPr>
          <w:p>
            <w:pPr>
              <w:overflowPunct w:val="0"/>
              <w:autoSpaceDE w:val="0"/>
              <w:autoSpaceDN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GB50168-2018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765" w:hRule="atLeast"/>
          <w:jc w:val="center"/>
        </w:trPr>
        <w:tc>
          <w:tcPr>
            <w:tcW w:w="513" w:type="pct"/>
            <w:noWrap w:val="0"/>
            <w:vAlign w:val="center"/>
          </w:tcPr>
          <w:p>
            <w:pPr>
              <w:overflowPunct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2</w:t>
            </w:r>
          </w:p>
        </w:tc>
        <w:tc>
          <w:tcPr>
            <w:tcW w:w="3149" w:type="pct"/>
            <w:noWrap w:val="0"/>
            <w:vAlign w:val="center"/>
          </w:tcPr>
          <w:p>
            <w:pPr>
              <w:overflowPunct w:val="0"/>
              <w:autoSpaceDE w:val="0"/>
              <w:autoSpaceDN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中国重型汽车有限公司企业标准《设备设施颜色标识》</w:t>
            </w:r>
          </w:p>
        </w:tc>
        <w:tc>
          <w:tcPr>
            <w:tcW w:w="1336" w:type="pct"/>
            <w:noWrap w:val="0"/>
            <w:vAlign w:val="center"/>
          </w:tcPr>
          <w:p>
            <w:pPr>
              <w:overflowPunct w:val="0"/>
              <w:autoSpaceDE w:val="0"/>
              <w:autoSpaceDN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Q/ZZ30070-2021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765" w:hRule="atLeast"/>
          <w:jc w:val="center"/>
        </w:trPr>
        <w:tc>
          <w:tcPr>
            <w:tcW w:w="513" w:type="pct"/>
            <w:noWrap w:val="0"/>
            <w:vAlign w:val="center"/>
          </w:tcPr>
          <w:p>
            <w:pPr>
              <w:overflowPunct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3</w:t>
            </w:r>
          </w:p>
        </w:tc>
        <w:tc>
          <w:tcPr>
            <w:tcW w:w="3149" w:type="pct"/>
            <w:noWrap w:val="0"/>
            <w:vAlign w:val="center"/>
          </w:tcPr>
          <w:p>
            <w:pPr>
              <w:overflowPunct w:val="0"/>
              <w:autoSpaceDE w:val="0"/>
              <w:autoSpaceDN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机械安全 防止上下肢触及危险区的安全距离</w:t>
            </w:r>
          </w:p>
        </w:tc>
        <w:tc>
          <w:tcPr>
            <w:tcW w:w="1336" w:type="pct"/>
            <w:noWrap w:val="0"/>
            <w:vAlign w:val="center"/>
          </w:tcPr>
          <w:p>
            <w:pPr>
              <w:overflowPunct w:val="0"/>
              <w:autoSpaceDE w:val="0"/>
              <w:autoSpaceDN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GB23821-2009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765" w:hRule="atLeast"/>
          <w:jc w:val="center"/>
        </w:trPr>
        <w:tc>
          <w:tcPr>
            <w:tcW w:w="513" w:type="pct"/>
            <w:noWrap w:val="0"/>
            <w:vAlign w:val="center"/>
          </w:tcPr>
          <w:p>
            <w:pPr>
              <w:overflowPunct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4</w:t>
            </w:r>
          </w:p>
        </w:tc>
        <w:tc>
          <w:tcPr>
            <w:tcW w:w="3149" w:type="pct"/>
            <w:noWrap w:val="0"/>
            <w:vAlign w:val="center"/>
          </w:tcPr>
          <w:p>
            <w:pPr>
              <w:overflowPunct w:val="0"/>
              <w:autoSpaceDE w:val="0"/>
              <w:autoSpaceDN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工业企业噪声控制设计规范</w:t>
            </w:r>
          </w:p>
        </w:tc>
        <w:tc>
          <w:tcPr>
            <w:tcW w:w="1336" w:type="pct"/>
            <w:noWrap w:val="0"/>
            <w:vAlign w:val="center"/>
          </w:tcPr>
          <w:p>
            <w:pPr>
              <w:overflowPunct w:val="0"/>
              <w:autoSpaceDE w:val="0"/>
              <w:autoSpaceDN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GB/T 50087-2013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765" w:hRule="atLeast"/>
          <w:jc w:val="center"/>
        </w:trPr>
        <w:tc>
          <w:tcPr>
            <w:tcW w:w="513" w:type="pct"/>
            <w:noWrap w:val="0"/>
            <w:vAlign w:val="center"/>
          </w:tcPr>
          <w:p>
            <w:pPr>
              <w:overflowPunct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5</w:t>
            </w:r>
          </w:p>
        </w:tc>
        <w:tc>
          <w:tcPr>
            <w:tcW w:w="3149" w:type="pct"/>
            <w:noWrap w:val="0"/>
            <w:vAlign w:val="center"/>
          </w:tcPr>
          <w:p>
            <w:pPr>
              <w:overflowPunct w:val="0"/>
              <w:autoSpaceDE w:val="0"/>
              <w:autoSpaceDN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工作场所物理因素测量</w:t>
            </w:r>
          </w:p>
        </w:tc>
        <w:tc>
          <w:tcPr>
            <w:tcW w:w="1336" w:type="pct"/>
            <w:noWrap w:val="0"/>
            <w:vAlign w:val="center"/>
          </w:tcPr>
          <w:p>
            <w:pPr>
              <w:overflowPunct w:val="0"/>
              <w:autoSpaceDE w:val="0"/>
              <w:autoSpaceDN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GBZ/T 189.1-2019</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765" w:hRule="atLeast"/>
          <w:jc w:val="center"/>
        </w:trPr>
        <w:tc>
          <w:tcPr>
            <w:tcW w:w="513" w:type="pct"/>
            <w:noWrap w:val="0"/>
            <w:vAlign w:val="center"/>
          </w:tcPr>
          <w:p>
            <w:pPr>
              <w:overflowPunct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6</w:t>
            </w:r>
          </w:p>
        </w:tc>
        <w:tc>
          <w:tcPr>
            <w:tcW w:w="3149" w:type="pct"/>
            <w:noWrap w:val="0"/>
            <w:vAlign w:val="center"/>
          </w:tcPr>
          <w:p>
            <w:pPr>
              <w:overflowPunct w:val="0"/>
              <w:autoSpaceDE w:val="0"/>
              <w:autoSpaceDN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通信电源设备安装工程设计规范</w:t>
            </w:r>
          </w:p>
        </w:tc>
        <w:tc>
          <w:tcPr>
            <w:tcW w:w="1336" w:type="pct"/>
            <w:noWrap w:val="0"/>
            <w:vAlign w:val="center"/>
          </w:tcPr>
          <w:p>
            <w:pPr>
              <w:overflowPunct w:val="0"/>
              <w:autoSpaceDE w:val="0"/>
              <w:autoSpaceDN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YD/T 5040-2020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765" w:hRule="atLeast"/>
          <w:jc w:val="center"/>
        </w:trPr>
        <w:tc>
          <w:tcPr>
            <w:tcW w:w="513" w:type="pct"/>
            <w:noWrap w:val="0"/>
            <w:vAlign w:val="center"/>
          </w:tcPr>
          <w:p>
            <w:pPr>
              <w:overflowPunct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7</w:t>
            </w:r>
          </w:p>
        </w:tc>
        <w:tc>
          <w:tcPr>
            <w:tcW w:w="3149" w:type="pct"/>
            <w:noWrap w:val="0"/>
            <w:vAlign w:val="center"/>
          </w:tcPr>
          <w:p>
            <w:pPr>
              <w:overflowPunct w:val="0"/>
              <w:autoSpaceDE w:val="0"/>
              <w:autoSpaceDN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电气装置安装工程电力变压器、互感器施工及验收规范</w:t>
            </w:r>
          </w:p>
        </w:tc>
        <w:tc>
          <w:tcPr>
            <w:tcW w:w="1336" w:type="pct"/>
            <w:noWrap w:val="0"/>
            <w:vAlign w:val="center"/>
          </w:tcPr>
          <w:p>
            <w:pPr>
              <w:overflowPunct w:val="0"/>
              <w:autoSpaceDE w:val="0"/>
              <w:autoSpaceDN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GB 50148-2010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765" w:hRule="atLeast"/>
          <w:jc w:val="center"/>
        </w:trPr>
        <w:tc>
          <w:tcPr>
            <w:tcW w:w="513" w:type="pct"/>
            <w:noWrap w:val="0"/>
            <w:vAlign w:val="center"/>
          </w:tcPr>
          <w:p>
            <w:pPr>
              <w:overflowPunct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8</w:t>
            </w:r>
          </w:p>
        </w:tc>
        <w:tc>
          <w:tcPr>
            <w:tcW w:w="3149" w:type="pct"/>
            <w:noWrap w:val="0"/>
            <w:vAlign w:val="center"/>
          </w:tcPr>
          <w:p>
            <w:pPr>
              <w:overflowPunct w:val="0"/>
              <w:autoSpaceDE w:val="0"/>
              <w:autoSpaceDN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可编程序控制器国际标准</w:t>
            </w:r>
          </w:p>
        </w:tc>
        <w:tc>
          <w:tcPr>
            <w:tcW w:w="1336" w:type="pct"/>
            <w:noWrap w:val="0"/>
            <w:vAlign w:val="center"/>
          </w:tcPr>
          <w:p>
            <w:pPr>
              <w:overflowPunct w:val="0"/>
              <w:autoSpaceDE w:val="0"/>
              <w:autoSpaceDN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IEC 61131-3:2020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765" w:hRule="atLeast"/>
          <w:jc w:val="center"/>
        </w:trPr>
        <w:tc>
          <w:tcPr>
            <w:tcW w:w="513" w:type="pct"/>
            <w:noWrap w:val="0"/>
            <w:vAlign w:val="center"/>
          </w:tcPr>
          <w:p>
            <w:pPr>
              <w:overflowPunct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9</w:t>
            </w:r>
          </w:p>
        </w:tc>
        <w:tc>
          <w:tcPr>
            <w:tcW w:w="3149" w:type="pct"/>
            <w:noWrap w:val="0"/>
            <w:vAlign w:val="center"/>
          </w:tcPr>
          <w:p>
            <w:pPr>
              <w:overflowPunct w:val="0"/>
              <w:autoSpaceDE w:val="0"/>
              <w:autoSpaceDN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机械设备安装工程施工及验收规范</w:t>
            </w:r>
          </w:p>
        </w:tc>
        <w:tc>
          <w:tcPr>
            <w:tcW w:w="1336" w:type="pct"/>
            <w:noWrap w:val="0"/>
            <w:vAlign w:val="center"/>
          </w:tcPr>
          <w:p>
            <w:pPr>
              <w:overflowPunct w:val="0"/>
              <w:autoSpaceDE w:val="0"/>
              <w:autoSpaceDN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GB 50231-2017</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765" w:hRule="atLeast"/>
          <w:jc w:val="center"/>
        </w:trPr>
        <w:tc>
          <w:tcPr>
            <w:tcW w:w="513" w:type="pct"/>
            <w:noWrap w:val="0"/>
            <w:vAlign w:val="center"/>
          </w:tcPr>
          <w:p>
            <w:pPr>
              <w:overflowPunct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10</w:t>
            </w:r>
          </w:p>
        </w:tc>
        <w:tc>
          <w:tcPr>
            <w:tcW w:w="3149" w:type="pct"/>
            <w:noWrap w:val="0"/>
            <w:vAlign w:val="center"/>
          </w:tcPr>
          <w:p>
            <w:pPr>
              <w:overflowPunct w:val="0"/>
              <w:autoSpaceDE w:val="0"/>
              <w:autoSpaceDN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电工成套装置中的导线颜色</w:t>
            </w:r>
          </w:p>
        </w:tc>
        <w:tc>
          <w:tcPr>
            <w:tcW w:w="1336" w:type="pct"/>
            <w:noWrap w:val="0"/>
            <w:vAlign w:val="center"/>
          </w:tcPr>
          <w:p>
            <w:pPr>
              <w:overflowPunct w:val="0"/>
              <w:autoSpaceDE w:val="0"/>
              <w:autoSpaceDN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GB/T 2681-2013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765" w:hRule="atLeast"/>
          <w:jc w:val="center"/>
        </w:trPr>
        <w:tc>
          <w:tcPr>
            <w:tcW w:w="513" w:type="pct"/>
            <w:noWrap w:val="0"/>
            <w:vAlign w:val="center"/>
          </w:tcPr>
          <w:p>
            <w:pPr>
              <w:overflowPunct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11</w:t>
            </w:r>
          </w:p>
        </w:tc>
        <w:tc>
          <w:tcPr>
            <w:tcW w:w="3149" w:type="pct"/>
            <w:noWrap w:val="0"/>
            <w:vAlign w:val="center"/>
          </w:tcPr>
          <w:p>
            <w:pPr>
              <w:overflowPunct w:val="0"/>
              <w:autoSpaceDE w:val="0"/>
              <w:autoSpaceDN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电工成套装置中的指示灯和按钮的颜色</w:t>
            </w:r>
          </w:p>
        </w:tc>
        <w:tc>
          <w:tcPr>
            <w:tcW w:w="1336" w:type="pct"/>
            <w:noWrap w:val="0"/>
            <w:vAlign w:val="center"/>
          </w:tcPr>
          <w:p>
            <w:pPr>
              <w:overflowPunct w:val="0"/>
              <w:autoSpaceDE w:val="0"/>
              <w:autoSpaceDN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GB/T 2682-2013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51" w:type="dxa"/>
            <w:bottom w:w="0" w:type="dxa"/>
            <w:right w:w="51" w:type="dxa"/>
          </w:tblCellMar>
        </w:tblPrEx>
        <w:trPr>
          <w:trHeight w:val="765" w:hRule="atLeast"/>
          <w:jc w:val="center"/>
        </w:trPr>
        <w:tc>
          <w:tcPr>
            <w:tcW w:w="513" w:type="pct"/>
            <w:noWrap w:val="0"/>
            <w:vAlign w:val="center"/>
          </w:tcPr>
          <w:p>
            <w:pPr>
              <w:overflowPunct w:val="0"/>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12</w:t>
            </w:r>
          </w:p>
        </w:tc>
        <w:tc>
          <w:tcPr>
            <w:tcW w:w="3149" w:type="pct"/>
            <w:noWrap w:val="0"/>
            <w:vAlign w:val="center"/>
          </w:tcPr>
          <w:p>
            <w:pPr>
              <w:widowControl/>
              <w:autoSpaceDE w:val="0"/>
              <w:autoSpaceDN w:val="0"/>
              <w:adjustRightInd w:val="0"/>
              <w:spacing w:before="27" w:line="240" w:lineRule="auto"/>
              <w:ind w:right="36" w:rightChars="17"/>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机械设备防护罩安全标准</w:t>
            </w:r>
          </w:p>
        </w:tc>
        <w:tc>
          <w:tcPr>
            <w:tcW w:w="1336" w:type="pct"/>
            <w:noWrap w:val="0"/>
            <w:vAlign w:val="center"/>
          </w:tcPr>
          <w:p>
            <w:pPr>
              <w:overflowPunct w:val="0"/>
              <w:spacing w:line="240" w:lineRule="auto"/>
              <w:jc w:val="center"/>
              <w:rPr>
                <w:rFonts w:hint="eastAsia" w:ascii="宋体" w:hAnsi="宋体" w:eastAsia="宋体" w:cs="宋体"/>
                <w:color w:val="auto"/>
                <w:sz w:val="18"/>
                <w:szCs w:val="18"/>
                <w:highlight w:val="none"/>
              </w:rPr>
            </w:pPr>
            <w:r>
              <w:rPr>
                <w:rFonts w:hint="eastAsia" w:ascii="宋体" w:hAnsi="宋体" w:eastAsia="宋体" w:cs="宋体"/>
                <w:color w:val="auto"/>
                <w:sz w:val="18"/>
                <w:szCs w:val="18"/>
                <w:highlight w:val="none"/>
              </w:rPr>
              <w:t>GB8196-2003</w:t>
            </w:r>
          </w:p>
        </w:tc>
      </w:tr>
    </w:tbl>
    <w:p>
      <w:pPr>
        <w:numPr>
          <w:ilvl w:val="0"/>
          <w:numId w:val="27"/>
        </w:numPr>
        <w:spacing w:line="480" w:lineRule="exact"/>
        <w:rPr>
          <w:rFonts w:hint="eastAsia" w:ascii="黑体" w:hAnsi="宋体" w:eastAsia="黑体"/>
          <w:color w:val="auto"/>
          <w:highlight w:val="none"/>
        </w:rPr>
      </w:pPr>
      <w:r>
        <w:rPr>
          <w:rFonts w:hint="eastAsia" w:ascii="黑体" w:hAnsi="宋体" w:eastAsia="黑体"/>
          <w:color w:val="auto"/>
          <w:highlight w:val="none"/>
        </w:rPr>
        <w:t>技术规范和技术要求</w:t>
      </w:r>
    </w:p>
    <w:p>
      <w:pPr>
        <w:pStyle w:val="8"/>
        <w:keepNext w:val="0"/>
        <w:keepLines w:val="0"/>
        <w:numPr>
          <w:ilvl w:val="0"/>
          <w:numId w:val="28"/>
        </w:numPr>
        <w:spacing w:line="360" w:lineRule="auto"/>
        <w:jc w:val="left"/>
        <w:rPr>
          <w:rFonts w:hint="eastAsia" w:ascii="宋体"/>
          <w:bCs w:val="0"/>
          <w:color w:val="auto"/>
          <w:szCs w:val="20"/>
          <w:highlight w:val="none"/>
        </w:rPr>
      </w:pPr>
      <w:r>
        <w:rPr>
          <w:rFonts w:ascii="宋体"/>
          <w:bCs w:val="0"/>
          <w:color w:val="auto"/>
          <w:szCs w:val="20"/>
          <w:highlight w:val="none"/>
        </w:rPr>
        <w:t>项目</w:t>
      </w:r>
      <w:r>
        <w:rPr>
          <w:rFonts w:hint="eastAsia" w:ascii="宋体"/>
          <w:bCs w:val="0"/>
          <w:color w:val="auto"/>
          <w:szCs w:val="20"/>
          <w:highlight w:val="none"/>
        </w:rPr>
        <w:t>工艺要求</w:t>
      </w:r>
    </w:p>
    <w:p>
      <w:pPr>
        <w:numPr>
          <w:ilvl w:val="0"/>
          <w:numId w:val="0"/>
        </w:numPr>
        <w:rPr>
          <w:rFonts w:hint="default"/>
          <w:highlight w:val="none"/>
          <w:lang w:val="en-US" w:eastAsia="zh-CN"/>
        </w:rPr>
      </w:pPr>
      <w:r>
        <w:rPr>
          <w:rFonts w:hint="eastAsia"/>
          <w:highlight w:val="none"/>
          <w:lang w:val="en-US" w:eastAsia="zh-CN"/>
        </w:rPr>
        <w:t>1.1驾驶室上线通用吊具</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1.1.1目前皮卡制造部驾驶室上线工位有一套皮卡专用驾驶室上线吊具，无法兼容轻卡车型，需重新设计并制作通用吊具。</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default" w:ascii="宋体" w:hAnsi="宋体" w:eastAsia="宋体" w:cs="宋体"/>
          <w:highlight w:val="none"/>
          <w:lang w:val="en-US" w:eastAsia="zh-CN"/>
        </w:rPr>
      </w:pPr>
      <w:r>
        <w:rPr>
          <w:rFonts w:hint="eastAsia" w:ascii="宋体" w:hAnsi="宋体" w:eastAsia="宋体" w:cs="宋体"/>
          <w:highlight w:val="none"/>
          <w:lang w:val="en-US" w:eastAsia="zh-CN"/>
        </w:rPr>
        <w:t>1.1.2吊具与驾驶室接触位置采用尼龙块或橡胶块等非金属材质。材质尺寸约200×150×100mm，数量4，中间开V型槽，上边缘位置倒圆角。材质要求耐用性好，五年以上使用寿命，首套支撑块调试完成后制作一套备用。要求支撑块不会造成驾驶室钣金变形及凹坑等缺陷。</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1.1.3金属结构采用45#钢并调制处理。</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default" w:ascii="宋体" w:hAnsi="宋体" w:eastAsia="宋体" w:cs="宋体"/>
          <w:highlight w:val="none"/>
          <w:lang w:val="en-US" w:eastAsia="zh-CN"/>
        </w:rPr>
      </w:pPr>
      <w:r>
        <w:rPr>
          <w:rFonts w:hint="eastAsia" w:ascii="宋体" w:hAnsi="宋体" w:eastAsia="宋体" w:cs="宋体"/>
          <w:highlight w:val="none"/>
          <w:lang w:val="en-US" w:eastAsia="zh-CN"/>
        </w:rPr>
        <w:t>1.1.4金属骨架尺寸约2000×2000×800mm，具体以实际为准。因皮卡与轻卡驾驶室在长度及宽度上存在较大差异，金属骨架需具备在X向及Y向尺寸调整功能。调整功能实现形式为气缸调整，调整尺寸以实际车身尺寸为准。吊具X、Y方向可调整范围在实际车身尺寸基础航增加15%。</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default" w:ascii="宋体" w:hAnsi="宋体" w:eastAsia="宋体" w:cs="宋体"/>
          <w:highlight w:val="none"/>
          <w:lang w:val="en-US" w:eastAsia="zh-CN"/>
        </w:rPr>
      </w:pPr>
      <w:r>
        <w:rPr>
          <w:rFonts w:hint="eastAsia" w:ascii="宋体" w:hAnsi="宋体" w:eastAsia="宋体" w:cs="宋体"/>
          <w:highlight w:val="none"/>
          <w:lang w:val="en-US" w:eastAsia="zh-CN"/>
        </w:rPr>
        <w:t>1.1.5皮卡驾驶室长宽高分别约：3800×1800×1200mm，重量约为400Kg。轻卡驾驶室尺寸差异较大，最大驾驶室尺寸约为：1600×2080×1600mm，重量约为300Kg。</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1.2轻卡仪表总成通用分装台</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 xml:space="preserve">    1.2.1仪表分装台整体采用45#钢制作。</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1.2.2底座尺寸2000×800×400mm。左右两侧立柱尺寸约200×200×500mm。支撑横臂尺寸约φ50×200mm。</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1.2.3分装台要求可旋转并无极悬停。</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1.2.4分装台要求满足所有在产轻卡车型仪表总成分装要求，具体车型以现场实际确认为准。</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default" w:ascii="宋体" w:hAnsi="宋体" w:eastAsia="宋体" w:cs="宋体"/>
          <w:highlight w:val="none"/>
          <w:lang w:val="en-US" w:eastAsia="zh-CN"/>
        </w:rPr>
      </w:pPr>
      <w:r>
        <w:rPr>
          <w:rFonts w:hint="eastAsia" w:ascii="宋体" w:hAnsi="宋体" w:eastAsia="宋体" w:cs="宋体"/>
          <w:highlight w:val="none"/>
          <w:lang w:val="en-US" w:eastAsia="zh-CN"/>
        </w:rPr>
        <w:t>1.2.5尽量采用一体结构满足所有轻卡仪表总成分装要求。如无法满足，可使用快换结构，更换时间≤10s。</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1.2.6仪表总成分装完成后重量约20Kg。</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1.3驾驶室装配工装。</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1.3.1后风挡玻璃胶条装配专用工装。</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default" w:ascii="宋体" w:hAnsi="宋体" w:eastAsia="宋体" w:cs="宋体"/>
          <w:highlight w:val="none"/>
          <w:lang w:val="en-US" w:eastAsia="zh-CN"/>
        </w:rPr>
      </w:pPr>
      <w:r>
        <w:rPr>
          <w:rFonts w:hint="eastAsia" w:ascii="宋体" w:hAnsi="宋体" w:eastAsia="宋体" w:cs="宋体"/>
          <w:highlight w:val="none"/>
          <w:lang w:val="en-US" w:eastAsia="zh-CN"/>
        </w:rPr>
        <w:t>1.3.1.1尺寸约φ15×200mm，尖端直径缩小并开一个类似于针鼻装的孔。</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1.3.2踏台。</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default" w:ascii="宋体" w:hAnsi="宋体" w:eastAsia="宋体" w:cs="宋体"/>
          <w:highlight w:val="none"/>
          <w:lang w:val="en-US" w:eastAsia="zh-CN"/>
        </w:rPr>
      </w:pPr>
      <w:r>
        <w:rPr>
          <w:rFonts w:hint="eastAsia" w:ascii="宋体" w:hAnsi="宋体" w:eastAsia="宋体" w:cs="宋体"/>
          <w:highlight w:val="none"/>
          <w:lang w:val="en-US" w:eastAsia="zh-CN"/>
        </w:rPr>
        <w:t>1.3.2.1尺寸约2000×600×400mm，采用40mm不锈钢管焊接</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1.3.3仪表台本体分装用工作台。</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1.3.3.1尺寸约1200×900×900mm，标准工作桌。</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1.3.4驾驶室标粘贴工装。</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1.3.4.1尺寸约200×200mm，厚度5mm，尼龙材质，仿照重汽logo制作。</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1.4驾驶室分装后输送线</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1.4.1需在现用皮卡驾驶室空中输送线基础上规划轻卡分装后驾驶室输送线路，增加长度约45m。</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eastAsia" w:ascii="宋体" w:hAnsi="宋体" w:eastAsia="宋体" w:cs="宋体"/>
          <w:highlight w:val="none"/>
          <w:lang w:val="en-US" w:eastAsia="zh-CN"/>
        </w:rPr>
      </w:pPr>
      <w:r>
        <w:rPr>
          <w:rFonts w:hint="eastAsia" w:ascii="宋体" w:hAnsi="宋体" w:eastAsia="宋体" w:cs="宋体"/>
          <w:highlight w:val="none"/>
          <w:lang w:val="en-US" w:eastAsia="zh-CN"/>
        </w:rPr>
        <w:t>1.4.2需在规划线路上增加空中输送轨道及轻卡车型专用吊具，吊具需满足轻卡所有车型通用。</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default" w:ascii="宋体" w:hAnsi="宋体" w:eastAsia="宋体" w:cs="宋体"/>
          <w:highlight w:val="none"/>
          <w:lang w:val="en-US" w:eastAsia="zh-CN"/>
        </w:rPr>
      </w:pPr>
      <w:r>
        <w:rPr>
          <w:rFonts w:hint="eastAsia" w:ascii="宋体" w:hAnsi="宋体" w:eastAsia="宋体" w:cs="宋体"/>
          <w:highlight w:val="none"/>
          <w:lang w:val="en-US" w:eastAsia="zh-CN"/>
        </w:rPr>
        <w:t>1.4.3轨道与吊具以及控制方式参考现用皮卡驾驶室空中输送线及吊具形式，以现场实际考察为准。供方必须前来现场确认现场环境，同时评估施工难度。吊具运行所需控制程序及软件需修改现有程序，不允许新开发软件。软件不允许加密，需开源。</w:t>
      </w:r>
    </w:p>
    <w:p>
      <w:pPr>
        <w:keepNext w:val="0"/>
        <w:keepLines w:val="0"/>
        <w:pageBreakBefore w:val="0"/>
        <w:widowControl w:val="0"/>
        <w:kinsoku/>
        <w:wordWrap/>
        <w:overflowPunct/>
        <w:topLinePunct w:val="0"/>
        <w:autoSpaceDE/>
        <w:autoSpaceDN/>
        <w:bidi w:val="0"/>
        <w:adjustRightInd/>
        <w:snapToGrid/>
        <w:spacing w:line="480" w:lineRule="exact"/>
        <w:ind w:firstLine="482"/>
        <w:textAlignment w:val="auto"/>
        <w:rPr>
          <w:rFonts w:hint="default"/>
          <w:highlight w:val="none"/>
          <w:lang w:val="en-US" w:eastAsia="zh-CN"/>
        </w:rPr>
      </w:pPr>
      <w:r>
        <w:rPr>
          <w:rFonts w:hint="eastAsia" w:ascii="宋体" w:hAnsi="宋体" w:eastAsia="宋体" w:cs="宋体"/>
          <w:highlight w:val="none"/>
          <w:lang w:val="en-US" w:eastAsia="zh-CN"/>
        </w:rPr>
        <w:t>1.4.4轻卡驾驶室分装后总成重量约1000kg，以实际为准。吊具需具备至少2倍安全余量。</w:t>
      </w:r>
    </w:p>
    <w:p>
      <w:pPr>
        <w:pStyle w:val="14"/>
        <w:spacing w:line="360" w:lineRule="auto"/>
        <w:ind w:firstLine="562" w:firstLineChars="200"/>
        <w:rPr>
          <w:rFonts w:ascii="黑体" w:hAnsi="黑体" w:eastAsia="黑体"/>
          <w:b/>
          <w:bCs/>
          <w:color w:val="auto"/>
          <w:sz w:val="28"/>
          <w:szCs w:val="28"/>
          <w:highlight w:val="none"/>
        </w:rPr>
      </w:pPr>
      <w:r>
        <w:rPr>
          <w:rFonts w:hint="eastAsia" w:ascii="黑体" w:hAnsi="黑体" w:eastAsia="黑体"/>
          <w:b/>
          <w:bCs/>
          <w:color w:val="auto"/>
          <w:sz w:val="28"/>
          <w:szCs w:val="28"/>
          <w:highlight w:val="none"/>
        </w:rPr>
        <w:t>四</w:t>
      </w:r>
      <w:r>
        <w:rPr>
          <w:rFonts w:ascii="黑体" w:hAnsi="黑体" w:eastAsia="黑体"/>
          <w:b/>
          <w:bCs/>
          <w:color w:val="auto"/>
          <w:sz w:val="28"/>
          <w:szCs w:val="28"/>
          <w:highlight w:val="none"/>
        </w:rPr>
        <w:t>、</w:t>
      </w:r>
      <w:r>
        <w:rPr>
          <w:rFonts w:hint="eastAsia" w:ascii="黑体" w:hAnsi="黑体" w:eastAsia="黑体"/>
          <w:b/>
          <w:bCs/>
          <w:color w:val="auto"/>
          <w:sz w:val="28"/>
          <w:szCs w:val="28"/>
          <w:highlight w:val="none"/>
        </w:rPr>
        <w:t>安全要求</w:t>
      </w:r>
    </w:p>
    <w:p>
      <w:pPr>
        <w:pStyle w:val="14"/>
        <w:spacing w:line="360" w:lineRule="auto"/>
        <w:ind w:firstLine="480" w:firstLineChars="200"/>
        <w:rPr>
          <w:rFonts w:hAnsi="宋体" w:cs="宋体"/>
          <w:color w:val="auto"/>
          <w:sz w:val="24"/>
          <w:szCs w:val="24"/>
          <w:highlight w:val="none"/>
        </w:rPr>
      </w:pPr>
      <w:r>
        <w:rPr>
          <w:rFonts w:hint="eastAsia" w:hAnsi="宋体" w:cs="宋体"/>
          <w:color w:val="auto"/>
          <w:sz w:val="24"/>
          <w:szCs w:val="24"/>
          <w:highlight w:val="none"/>
        </w:rPr>
        <w:t>1. 安全可靠：合理配备安全防护措施；</w:t>
      </w:r>
    </w:p>
    <w:p>
      <w:pPr>
        <w:pStyle w:val="62"/>
        <w:spacing w:line="360" w:lineRule="auto"/>
        <w:ind w:firstLine="480"/>
        <w:jc w:val="left"/>
        <w:rPr>
          <w:rFonts w:ascii="宋体" w:hAnsi="宋体" w:cs="宋体"/>
          <w:color w:val="auto"/>
          <w:sz w:val="24"/>
          <w:szCs w:val="24"/>
          <w:highlight w:val="none"/>
        </w:rPr>
      </w:pPr>
      <w:r>
        <w:rPr>
          <w:rFonts w:hint="eastAsia" w:ascii="宋体" w:hAnsi="宋体" w:cs="宋体"/>
          <w:color w:val="auto"/>
          <w:sz w:val="24"/>
          <w:szCs w:val="24"/>
          <w:highlight w:val="none"/>
        </w:rPr>
        <w:t>2. 安全防护、环境保护、节能要求应满足ISO及国家相关标准；</w:t>
      </w:r>
    </w:p>
    <w:p>
      <w:pPr>
        <w:pStyle w:val="14"/>
        <w:spacing w:line="360" w:lineRule="auto"/>
        <w:ind w:firstLine="562" w:firstLineChars="200"/>
        <w:rPr>
          <w:rFonts w:ascii="黑体" w:hAnsi="黑体" w:eastAsia="黑体"/>
          <w:b/>
          <w:bCs/>
          <w:color w:val="auto"/>
          <w:sz w:val="28"/>
          <w:szCs w:val="28"/>
          <w:highlight w:val="none"/>
        </w:rPr>
      </w:pPr>
      <w:r>
        <w:rPr>
          <w:rFonts w:hint="eastAsia" w:ascii="黑体" w:hAnsi="黑体" w:eastAsia="黑体"/>
          <w:b/>
          <w:bCs/>
          <w:color w:val="auto"/>
          <w:sz w:val="28"/>
          <w:szCs w:val="28"/>
          <w:highlight w:val="none"/>
        </w:rPr>
        <w:t>五、供货要求</w:t>
      </w:r>
    </w:p>
    <w:p>
      <w:pPr>
        <w:pStyle w:val="14"/>
        <w:spacing w:line="360" w:lineRule="auto"/>
        <w:ind w:firstLine="480" w:firstLineChars="200"/>
        <w:rPr>
          <w:rFonts w:hAnsi="宋体" w:cs="宋体"/>
          <w:color w:val="auto"/>
          <w:sz w:val="24"/>
          <w:szCs w:val="24"/>
          <w:highlight w:val="none"/>
        </w:rPr>
      </w:pPr>
      <w:r>
        <w:rPr>
          <w:rFonts w:hint="eastAsia" w:hAnsi="宋体" w:cs="宋体"/>
          <w:color w:val="auto"/>
          <w:sz w:val="24"/>
          <w:szCs w:val="24"/>
          <w:highlight w:val="none"/>
        </w:rPr>
        <w:t>1. 供货范围包括货物为达到产品标准以及环保、消防和劳动安全卫生等国家法律、法规和标准、规范要求而必须配备但标书未明确提出的通风系统、近距离照明系统以及劳动安全防护设施（不包括人体防护用品）等使用现场配套的设备、材料等；</w:t>
      </w:r>
    </w:p>
    <w:p>
      <w:pPr>
        <w:pStyle w:val="14"/>
        <w:spacing w:line="360" w:lineRule="auto"/>
        <w:ind w:firstLine="480" w:firstLineChars="200"/>
        <w:rPr>
          <w:rFonts w:hAnsi="宋体" w:cs="宋体"/>
          <w:color w:val="auto"/>
          <w:sz w:val="24"/>
          <w:szCs w:val="24"/>
          <w:highlight w:val="none"/>
        </w:rPr>
      </w:pPr>
      <w:r>
        <w:rPr>
          <w:rFonts w:hint="eastAsia" w:hAnsi="宋体" w:cs="宋体"/>
          <w:color w:val="auto"/>
          <w:sz w:val="24"/>
          <w:szCs w:val="24"/>
          <w:highlight w:val="none"/>
        </w:rPr>
        <w:t>2. 供货范围包括货物正常运行所必需的全套连线设备、材料等。如货物端连接法兰外端面之内的、电气系统接口压线板（插座等）之内的设备、材料、连接螺栓、垫片等；</w:t>
      </w:r>
    </w:p>
    <w:p>
      <w:pPr>
        <w:pStyle w:val="14"/>
        <w:spacing w:line="360" w:lineRule="auto"/>
        <w:ind w:firstLine="480" w:firstLineChars="200"/>
        <w:rPr>
          <w:rFonts w:hAnsi="宋体" w:cs="宋体"/>
          <w:color w:val="auto"/>
          <w:sz w:val="24"/>
          <w:szCs w:val="24"/>
          <w:highlight w:val="none"/>
        </w:rPr>
      </w:pPr>
      <w:r>
        <w:rPr>
          <w:rFonts w:hint="eastAsia" w:hAnsi="宋体" w:cs="宋体"/>
          <w:color w:val="auto"/>
          <w:sz w:val="24"/>
          <w:szCs w:val="24"/>
          <w:highlight w:val="none"/>
        </w:rPr>
        <w:t>3. 供货范围包括货物正常运行、使用所需要的过桥、护栏、防护网、盖板等辅助设施；</w:t>
      </w:r>
    </w:p>
    <w:p>
      <w:pPr>
        <w:pStyle w:val="14"/>
        <w:spacing w:line="360" w:lineRule="auto"/>
        <w:ind w:firstLine="480" w:firstLineChars="200"/>
        <w:rPr>
          <w:rFonts w:hAnsi="宋体" w:cs="宋体"/>
          <w:color w:val="auto"/>
          <w:sz w:val="24"/>
          <w:szCs w:val="24"/>
          <w:highlight w:val="none"/>
        </w:rPr>
      </w:pPr>
      <w:r>
        <w:rPr>
          <w:rFonts w:hint="eastAsia" w:hAnsi="宋体" w:cs="宋体"/>
          <w:color w:val="auto"/>
          <w:sz w:val="24"/>
          <w:szCs w:val="24"/>
          <w:highlight w:val="none"/>
        </w:rPr>
        <w:t>4. 质保期终止之日起一年内重复出现的质保期之内出现的故障，仍属于质保范围而且应当免费；</w:t>
      </w:r>
    </w:p>
    <w:p>
      <w:pPr>
        <w:pStyle w:val="14"/>
        <w:spacing w:line="360" w:lineRule="auto"/>
        <w:ind w:firstLine="562" w:firstLineChars="200"/>
        <w:rPr>
          <w:rFonts w:ascii="黑体" w:hAnsi="黑体" w:eastAsia="黑体"/>
          <w:b/>
          <w:bCs/>
          <w:color w:val="auto"/>
          <w:sz w:val="28"/>
          <w:szCs w:val="28"/>
          <w:highlight w:val="none"/>
        </w:rPr>
      </w:pPr>
      <w:r>
        <w:rPr>
          <w:rFonts w:hint="eastAsia" w:ascii="黑体" w:hAnsi="黑体" w:eastAsia="黑体"/>
          <w:b/>
          <w:bCs/>
          <w:color w:val="auto"/>
          <w:sz w:val="28"/>
          <w:szCs w:val="28"/>
          <w:highlight w:val="none"/>
        </w:rPr>
        <w:t>六、售中售后服务</w:t>
      </w:r>
    </w:p>
    <w:p>
      <w:pPr>
        <w:adjustRightInd w:val="0"/>
        <w:snapToGrid w:val="0"/>
        <w:spacing w:line="460" w:lineRule="exact"/>
        <w:ind w:firstLine="420" w:firstLineChars="200"/>
        <w:rPr>
          <w:rFonts w:ascii="Cambria Math" w:hAnsi="Cambria Math"/>
          <w:color w:val="auto"/>
          <w:highlight w:val="none"/>
        </w:rPr>
      </w:pPr>
      <w:r>
        <w:rPr>
          <w:rFonts w:hint="eastAsia" w:ascii="Cambria Math" w:hAnsi="Cambria Math"/>
          <w:color w:val="auto"/>
          <w:highlight w:val="none"/>
        </w:rPr>
        <w:t>1. 应负责在买方设备使用现场，进行5工作日免费的技术指导和培训。</w:t>
      </w:r>
    </w:p>
    <w:p>
      <w:pPr>
        <w:adjustRightInd w:val="0"/>
        <w:snapToGrid w:val="0"/>
        <w:spacing w:line="460" w:lineRule="exact"/>
        <w:ind w:firstLine="420" w:firstLineChars="200"/>
        <w:rPr>
          <w:rFonts w:ascii="Cambria Math" w:hAnsi="Cambria Math"/>
          <w:color w:val="auto"/>
          <w:highlight w:val="none"/>
        </w:rPr>
      </w:pPr>
      <w:r>
        <w:rPr>
          <w:rFonts w:hint="eastAsia" w:ascii="Cambria Math" w:hAnsi="Cambria Math"/>
          <w:color w:val="auto"/>
          <w:highlight w:val="none"/>
        </w:rPr>
        <w:t>2. 应免费提供培训资料2份。</w:t>
      </w:r>
    </w:p>
    <w:p>
      <w:pPr>
        <w:adjustRightInd w:val="0"/>
        <w:snapToGrid w:val="0"/>
        <w:spacing w:line="460" w:lineRule="exact"/>
        <w:ind w:firstLine="420" w:firstLineChars="200"/>
        <w:rPr>
          <w:rFonts w:ascii="Cambria Math" w:hAnsi="Cambria Math"/>
          <w:color w:val="auto"/>
          <w:highlight w:val="none"/>
        </w:rPr>
      </w:pPr>
      <w:r>
        <w:rPr>
          <w:rFonts w:hint="eastAsia" w:ascii="Cambria Math" w:hAnsi="Cambria Math"/>
          <w:color w:val="auto"/>
          <w:highlight w:val="none"/>
        </w:rPr>
        <w:t>3. 若卖方提供的设备涉及到外购外协货物、而且该货物的技术质量等较为关键时，卖方应能保证得到配套厂家的技术支持，并免费为买方提供技术服务。</w:t>
      </w:r>
    </w:p>
    <w:p>
      <w:pPr>
        <w:adjustRightInd w:val="0"/>
        <w:snapToGrid w:val="0"/>
        <w:spacing w:line="460" w:lineRule="exact"/>
        <w:ind w:firstLine="420" w:firstLineChars="200"/>
        <w:rPr>
          <w:rFonts w:hint="eastAsia" w:ascii="Cambria Math" w:hAnsi="Cambria Math"/>
          <w:color w:val="auto"/>
          <w:highlight w:val="none"/>
        </w:rPr>
      </w:pPr>
      <w:r>
        <w:rPr>
          <w:rFonts w:hint="eastAsia" w:ascii="Cambria Math" w:hAnsi="Cambria Math"/>
          <w:color w:val="auto"/>
          <w:highlight w:val="none"/>
        </w:rPr>
        <w:t>4. 负责制定对买方人员在运行、维修等方面的培训计划，并有专人负责实施培训计划，负责指导买方受培训人员正确理解设计和制造意图，认识设备的特点和特性，掌握在运行、维修和使用管理中应遵守的规则等方面的综合知识。</w:t>
      </w:r>
    </w:p>
    <w:p>
      <w:pPr>
        <w:pStyle w:val="14"/>
        <w:spacing w:line="360" w:lineRule="auto"/>
        <w:ind w:firstLine="562" w:firstLineChars="200"/>
        <w:rPr>
          <w:rFonts w:ascii="黑体" w:hAnsi="黑体" w:eastAsia="黑体"/>
          <w:b/>
          <w:bCs/>
          <w:color w:val="auto"/>
          <w:sz w:val="28"/>
          <w:szCs w:val="28"/>
          <w:highlight w:val="none"/>
        </w:rPr>
      </w:pPr>
      <w:r>
        <w:rPr>
          <w:rFonts w:hint="eastAsia" w:ascii="黑体" w:hAnsi="黑体" w:eastAsia="黑体"/>
          <w:b/>
          <w:bCs/>
          <w:color w:val="auto"/>
          <w:sz w:val="28"/>
          <w:szCs w:val="28"/>
          <w:highlight w:val="none"/>
        </w:rPr>
        <w:t>七、备件</w:t>
      </w:r>
    </w:p>
    <w:p>
      <w:pPr>
        <w:adjustRightInd w:val="0"/>
        <w:snapToGrid w:val="0"/>
        <w:spacing w:line="460" w:lineRule="exact"/>
        <w:ind w:firstLine="420" w:firstLineChars="200"/>
        <w:rPr>
          <w:rFonts w:ascii="Cambria Math" w:hAnsi="Cambria Math"/>
          <w:color w:val="auto"/>
          <w:highlight w:val="none"/>
        </w:rPr>
      </w:pPr>
      <w:r>
        <w:rPr>
          <w:rFonts w:hint="eastAsia" w:ascii="Cambria Math" w:hAnsi="Cambria Math"/>
          <w:color w:val="auto"/>
          <w:highlight w:val="none"/>
        </w:rPr>
        <w:t>1</w:t>
      </w:r>
      <w:r>
        <w:rPr>
          <w:rFonts w:ascii="Cambria Math" w:hAnsi="Cambria Math"/>
          <w:color w:val="auto"/>
          <w:highlight w:val="none"/>
        </w:rPr>
        <w:t>.</w:t>
      </w:r>
      <w:r>
        <w:rPr>
          <w:rFonts w:hint="eastAsia" w:ascii="Cambria Math" w:hAnsi="Cambria Math"/>
          <w:color w:val="auto"/>
          <w:highlight w:val="none"/>
        </w:rPr>
        <w:t>备件内容包括但不限于：</w:t>
      </w:r>
    </w:p>
    <w:p>
      <w:pPr>
        <w:adjustRightInd w:val="0"/>
        <w:snapToGrid w:val="0"/>
        <w:spacing w:line="460" w:lineRule="exact"/>
        <w:ind w:firstLine="420" w:firstLineChars="200"/>
        <w:rPr>
          <w:rFonts w:ascii="Cambria Math" w:hAnsi="Cambria Math"/>
          <w:color w:val="auto"/>
          <w:highlight w:val="none"/>
        </w:rPr>
      </w:pPr>
      <w:r>
        <w:rPr>
          <w:rFonts w:hint="eastAsia" w:ascii="Cambria Math" w:hAnsi="Cambria Math"/>
          <w:color w:val="auto"/>
          <w:highlight w:val="none"/>
        </w:rPr>
        <w:t>套筒、电器元件、气路附件及其它易损件。</w:t>
      </w:r>
    </w:p>
    <w:p>
      <w:pPr>
        <w:adjustRightInd w:val="0"/>
        <w:snapToGrid w:val="0"/>
        <w:spacing w:line="460" w:lineRule="exact"/>
        <w:ind w:firstLine="420" w:firstLineChars="200"/>
        <w:rPr>
          <w:rFonts w:ascii="Cambria Math" w:hAnsi="Cambria Math"/>
          <w:color w:val="auto"/>
          <w:highlight w:val="none"/>
        </w:rPr>
      </w:pPr>
      <w:r>
        <w:rPr>
          <w:rFonts w:hint="eastAsia" w:ascii="Cambria Math" w:hAnsi="Cambria Math"/>
          <w:color w:val="auto"/>
          <w:highlight w:val="none"/>
        </w:rPr>
        <w:t>2</w:t>
      </w:r>
      <w:r>
        <w:rPr>
          <w:rFonts w:ascii="Cambria Math" w:hAnsi="Cambria Math"/>
          <w:color w:val="auto"/>
          <w:highlight w:val="none"/>
        </w:rPr>
        <w:t>.</w:t>
      </w:r>
      <w:r>
        <w:rPr>
          <w:rFonts w:hint="eastAsia" w:ascii="Cambria Math" w:hAnsi="Cambria Math"/>
          <w:color w:val="auto"/>
          <w:highlight w:val="none"/>
        </w:rPr>
        <w:t>在完成设备技术会签后，由买方确定具体备件清单及要求到货时间、卖方按清单提供。</w:t>
      </w:r>
    </w:p>
    <w:p>
      <w:pPr>
        <w:adjustRightInd w:val="0"/>
        <w:snapToGrid w:val="0"/>
        <w:spacing w:line="460" w:lineRule="exact"/>
        <w:ind w:firstLine="420" w:firstLineChars="200"/>
        <w:rPr>
          <w:rFonts w:ascii="Cambria Math" w:hAnsi="Cambria Math"/>
          <w:color w:val="auto"/>
          <w:highlight w:val="none"/>
        </w:rPr>
      </w:pPr>
      <w:r>
        <w:rPr>
          <w:rFonts w:hint="eastAsia" w:ascii="Cambria Math" w:hAnsi="Cambria Math"/>
          <w:color w:val="auto"/>
          <w:highlight w:val="none"/>
        </w:rPr>
        <w:t>3</w:t>
      </w:r>
      <w:r>
        <w:rPr>
          <w:rFonts w:ascii="Cambria Math" w:hAnsi="Cambria Math"/>
          <w:color w:val="auto"/>
          <w:highlight w:val="none"/>
        </w:rPr>
        <w:t>.</w:t>
      </w:r>
      <w:r>
        <w:rPr>
          <w:rFonts w:hint="eastAsia" w:ascii="Cambria Math" w:hAnsi="Cambria Math"/>
          <w:color w:val="auto"/>
          <w:highlight w:val="none"/>
        </w:rPr>
        <w:t>卖方对备件价格核算时，应按照市场价格8</w:t>
      </w:r>
      <w:r>
        <w:rPr>
          <w:rFonts w:ascii="Cambria Math" w:hAnsi="Cambria Math"/>
          <w:color w:val="auto"/>
          <w:highlight w:val="none"/>
        </w:rPr>
        <w:t>5%</w:t>
      </w:r>
      <w:r>
        <w:rPr>
          <w:rFonts w:hint="eastAsia" w:ascii="Cambria Math" w:hAnsi="Cambria Math"/>
          <w:color w:val="auto"/>
          <w:highlight w:val="none"/>
        </w:rPr>
        <w:t>以下（含8</w:t>
      </w:r>
      <w:r>
        <w:rPr>
          <w:rFonts w:ascii="Cambria Math" w:hAnsi="Cambria Math"/>
          <w:color w:val="auto"/>
          <w:highlight w:val="none"/>
        </w:rPr>
        <w:t>5%</w:t>
      </w:r>
      <w:r>
        <w:rPr>
          <w:rFonts w:hint="eastAsia" w:ascii="Cambria Math" w:hAnsi="Cambria Math"/>
          <w:color w:val="auto"/>
          <w:highlight w:val="none"/>
        </w:rPr>
        <w:t>）对买方进行核算。</w:t>
      </w:r>
    </w:p>
    <w:p>
      <w:pPr>
        <w:pStyle w:val="14"/>
        <w:spacing w:line="360" w:lineRule="auto"/>
        <w:ind w:firstLine="562" w:firstLineChars="200"/>
        <w:rPr>
          <w:rFonts w:ascii="黑体" w:hAnsi="黑体" w:eastAsia="黑体"/>
          <w:b/>
          <w:bCs/>
          <w:color w:val="auto"/>
          <w:sz w:val="28"/>
          <w:szCs w:val="28"/>
          <w:highlight w:val="none"/>
        </w:rPr>
      </w:pPr>
      <w:r>
        <w:rPr>
          <w:rFonts w:hint="eastAsia" w:ascii="黑体" w:hAnsi="黑体" w:eastAsia="黑体"/>
          <w:b/>
          <w:bCs/>
          <w:color w:val="auto"/>
          <w:sz w:val="28"/>
          <w:szCs w:val="28"/>
          <w:highlight w:val="none"/>
        </w:rPr>
        <w:t>八、其他</w:t>
      </w:r>
    </w:p>
    <w:p>
      <w:pPr>
        <w:adjustRightInd w:val="0"/>
        <w:snapToGrid w:val="0"/>
        <w:spacing w:line="460" w:lineRule="exact"/>
        <w:ind w:firstLine="420" w:firstLineChars="200"/>
        <w:rPr>
          <w:rFonts w:ascii="Cambria Math" w:hAnsi="Cambria Math"/>
          <w:color w:val="auto"/>
          <w:highlight w:val="none"/>
        </w:rPr>
      </w:pPr>
      <w:r>
        <w:rPr>
          <w:rFonts w:ascii="Cambria Math" w:hAnsi="Cambria Math"/>
          <w:color w:val="auto"/>
          <w:highlight w:val="none"/>
        </w:rPr>
        <w:t>1</w:t>
      </w:r>
      <w:r>
        <w:rPr>
          <w:rFonts w:hint="eastAsia" w:ascii="Cambria Math" w:hAnsi="Cambria Math"/>
          <w:color w:val="auto"/>
          <w:highlight w:val="none"/>
        </w:rPr>
        <w:t>. 投标人承诺对参与该项目所获得的与招标人产品相关的所有信息都予以保密，并承担与此相关的所有法律责任；</w:t>
      </w:r>
    </w:p>
    <w:p>
      <w:pPr>
        <w:adjustRightInd w:val="0"/>
        <w:snapToGrid w:val="0"/>
        <w:spacing w:line="460" w:lineRule="exact"/>
        <w:ind w:firstLine="420" w:firstLineChars="200"/>
        <w:rPr>
          <w:rFonts w:ascii="Cambria Math" w:hAnsi="Cambria Math"/>
          <w:color w:val="auto"/>
          <w:highlight w:val="none"/>
        </w:rPr>
      </w:pPr>
      <w:r>
        <w:rPr>
          <w:rFonts w:ascii="Cambria Math" w:hAnsi="Cambria Math"/>
          <w:color w:val="auto"/>
          <w:highlight w:val="none"/>
        </w:rPr>
        <w:t>2.</w:t>
      </w:r>
      <w:r>
        <w:rPr>
          <w:rFonts w:hint="eastAsia" w:ascii="Cambria Math" w:hAnsi="Cambria Math"/>
          <w:color w:val="auto"/>
          <w:highlight w:val="none"/>
        </w:rPr>
        <w:t xml:space="preserve"> 终验收合格后，质保期一年。在正常运行的情况下，系统出现故障，在接到通知后</w:t>
      </w:r>
      <w:r>
        <w:rPr>
          <w:rFonts w:ascii="Cambria Math" w:hAnsi="Cambria Math"/>
          <w:color w:val="auto"/>
          <w:highlight w:val="none"/>
        </w:rPr>
        <w:t>4小时以内予以答复，并在24小时以内派出服务人员，无偿维修；在质保期满后，投标方在接到通知后4小时以内予以答复，并在24小时以内派出服务人员；</w:t>
      </w:r>
    </w:p>
    <w:p>
      <w:pPr>
        <w:adjustRightInd w:val="0"/>
        <w:snapToGrid w:val="0"/>
        <w:spacing w:line="460" w:lineRule="exact"/>
        <w:ind w:firstLine="420" w:firstLineChars="200"/>
        <w:rPr>
          <w:rFonts w:ascii="Cambria Math" w:hAnsi="Cambria Math"/>
          <w:color w:val="auto"/>
          <w:highlight w:val="none"/>
        </w:rPr>
      </w:pPr>
      <w:r>
        <w:rPr>
          <w:rFonts w:ascii="Cambria Math" w:hAnsi="Cambria Math"/>
          <w:color w:val="auto"/>
          <w:highlight w:val="none"/>
        </w:rPr>
        <w:t>3.</w:t>
      </w:r>
      <w:r>
        <w:rPr>
          <w:rFonts w:hint="eastAsia" w:ascii="Cambria Math" w:hAnsi="Cambria Math"/>
          <w:color w:val="auto"/>
          <w:highlight w:val="none"/>
        </w:rPr>
        <w:t xml:space="preserve"> 其余未尽事宜，投标人应与招标人指派的答疑人员充分沟通，理解认可并接受相关技术规范及服务要求；</w:t>
      </w:r>
    </w:p>
    <w:p>
      <w:pPr>
        <w:adjustRightInd w:val="0"/>
        <w:snapToGrid w:val="0"/>
        <w:spacing w:line="460" w:lineRule="exact"/>
        <w:ind w:firstLine="420" w:firstLineChars="200"/>
        <w:rPr>
          <w:rFonts w:ascii="Cambria Math" w:hAnsi="Cambria Math"/>
          <w:color w:val="auto"/>
          <w:highlight w:val="none"/>
        </w:rPr>
      </w:pPr>
      <w:r>
        <w:rPr>
          <w:rFonts w:ascii="Cambria Math" w:hAnsi="Cambria Math"/>
          <w:color w:val="auto"/>
          <w:highlight w:val="none"/>
        </w:rPr>
        <w:t>4.</w:t>
      </w:r>
      <w:r>
        <w:rPr>
          <w:rFonts w:hint="eastAsia" w:ascii="Cambria Math" w:hAnsi="Cambria Math"/>
          <w:color w:val="auto"/>
          <w:highlight w:val="none"/>
        </w:rPr>
        <w:t xml:space="preserve"> 中标人需安排专人负责本招标项目的联络、检测计划布置、检测现场指导工作，该负责人对于以上问题的响应时间不得超过</w:t>
      </w:r>
      <w:r>
        <w:rPr>
          <w:rFonts w:ascii="Cambria Math" w:hAnsi="Cambria Math"/>
          <w:color w:val="auto"/>
          <w:highlight w:val="none"/>
        </w:rPr>
        <w:t>2小时；</w:t>
      </w:r>
    </w:p>
    <w:p>
      <w:pPr>
        <w:adjustRightInd w:val="0"/>
        <w:snapToGrid w:val="0"/>
        <w:spacing w:line="460" w:lineRule="exact"/>
        <w:ind w:firstLine="420" w:firstLineChars="200"/>
        <w:rPr>
          <w:rFonts w:ascii="Cambria Math" w:hAnsi="Cambria Math"/>
          <w:color w:val="auto"/>
          <w:highlight w:val="none"/>
        </w:rPr>
      </w:pPr>
      <w:r>
        <w:rPr>
          <w:rFonts w:ascii="Cambria Math" w:hAnsi="Cambria Math"/>
          <w:color w:val="auto"/>
          <w:highlight w:val="none"/>
        </w:rPr>
        <w:t>5.</w:t>
      </w:r>
      <w:r>
        <w:rPr>
          <w:rFonts w:hint="eastAsia" w:ascii="Cambria Math" w:hAnsi="Cambria Math"/>
          <w:color w:val="auto"/>
          <w:highlight w:val="none"/>
        </w:rPr>
        <w:t xml:space="preserve"> 投标人需自备交通工具、各种设备及食宿等必需品；</w:t>
      </w:r>
    </w:p>
    <w:p>
      <w:pPr>
        <w:adjustRightInd w:val="0"/>
        <w:snapToGrid w:val="0"/>
        <w:spacing w:line="460" w:lineRule="exact"/>
        <w:ind w:firstLine="420" w:firstLineChars="200"/>
        <w:rPr>
          <w:rFonts w:ascii="Cambria Math" w:hAnsi="Cambria Math"/>
          <w:color w:val="auto"/>
          <w:highlight w:val="none"/>
        </w:rPr>
      </w:pPr>
      <w:r>
        <w:rPr>
          <w:rFonts w:ascii="Cambria Math" w:hAnsi="Cambria Math"/>
          <w:color w:val="auto"/>
          <w:highlight w:val="none"/>
        </w:rPr>
        <w:t>6.</w:t>
      </w:r>
      <w:r>
        <w:rPr>
          <w:rFonts w:hint="eastAsia" w:ascii="Cambria Math" w:hAnsi="Cambria Math"/>
          <w:color w:val="auto"/>
          <w:highlight w:val="none"/>
        </w:rPr>
        <w:t xml:space="preserve"> 中标方需对招标人提供的数据及企业资料进行保密，并不得向第三方扩散，因泄密对招标人造成的损失由中标方承担相应全部责任；</w:t>
      </w:r>
    </w:p>
    <w:p>
      <w:pPr>
        <w:pStyle w:val="2"/>
        <w:rPr>
          <w:rFonts w:hint="eastAsia"/>
          <w:color w:val="auto"/>
          <w:highlight w:val="none"/>
        </w:rPr>
      </w:pPr>
    </w:p>
    <w:p>
      <w:pPr>
        <w:rPr>
          <w:rFonts w:hint="eastAsia"/>
          <w:color w:val="auto"/>
          <w:highlight w:val="none"/>
        </w:rPr>
      </w:pPr>
    </w:p>
    <w:p>
      <w:pPr>
        <w:rPr>
          <w:rFonts w:hint="eastAsia"/>
          <w:color w:val="auto"/>
          <w:highlight w:val="none"/>
        </w:rPr>
      </w:pPr>
    </w:p>
    <w:p>
      <w:pPr>
        <w:rPr>
          <w:rFonts w:hint="eastAsia"/>
          <w:color w:val="auto"/>
          <w:highlight w:val="none"/>
        </w:rPr>
      </w:pPr>
    </w:p>
    <w:p>
      <w:pPr>
        <w:pStyle w:val="3"/>
        <w:spacing w:before="120" w:after="120" w:line="480" w:lineRule="exact"/>
        <w:jc w:val="center"/>
        <w:rPr>
          <w:rFonts w:hint="eastAsia" w:ascii="黑体" w:eastAsia="黑体"/>
          <w:b w:val="0"/>
          <w:color w:val="auto"/>
          <w:sz w:val="24"/>
          <w:szCs w:val="24"/>
          <w:highlight w:val="none"/>
        </w:rPr>
      </w:pPr>
      <w:bookmarkStart w:id="31" w:name="_Toc137705869"/>
      <w:bookmarkStart w:id="32" w:name="_Toc9668"/>
      <w:bookmarkStart w:id="33" w:name="_Toc10963"/>
      <w:bookmarkStart w:id="34" w:name="_Toc10810"/>
      <w:bookmarkStart w:id="35" w:name="_Toc5879"/>
      <w:r>
        <w:rPr>
          <w:rFonts w:hint="eastAsia" w:ascii="黑体" w:eastAsia="黑体"/>
          <w:b w:val="0"/>
          <w:color w:val="auto"/>
          <w:sz w:val="24"/>
          <w:szCs w:val="24"/>
          <w:highlight w:val="none"/>
        </w:rPr>
        <w:t>第三章  供货范围及供货方式</w:t>
      </w:r>
      <w:bookmarkEnd w:id="31"/>
      <w:bookmarkEnd w:id="32"/>
      <w:bookmarkEnd w:id="33"/>
      <w:bookmarkEnd w:id="34"/>
      <w:bookmarkEnd w:id="35"/>
    </w:p>
    <w:p>
      <w:pPr>
        <w:pStyle w:val="5"/>
        <w:spacing w:before="120" w:after="120" w:line="480" w:lineRule="exact"/>
        <w:jc w:val="center"/>
        <w:rPr>
          <w:rFonts w:hint="eastAsia"/>
          <w:b w:val="0"/>
          <w:color w:val="auto"/>
          <w:sz w:val="24"/>
          <w:szCs w:val="24"/>
          <w:highlight w:val="none"/>
        </w:rPr>
      </w:pPr>
      <w:bookmarkStart w:id="36" w:name="_Toc15892"/>
      <w:bookmarkStart w:id="37" w:name="_Toc22761"/>
      <w:bookmarkStart w:id="38" w:name="_Toc137705870"/>
      <w:bookmarkStart w:id="39" w:name="_Toc19615"/>
      <w:bookmarkStart w:id="40" w:name="_Toc10065"/>
      <w:r>
        <w:rPr>
          <w:rFonts w:hint="eastAsia"/>
          <w:b w:val="0"/>
          <w:color w:val="auto"/>
          <w:sz w:val="24"/>
          <w:szCs w:val="24"/>
          <w:highlight w:val="none"/>
        </w:rPr>
        <w:t>第一节  供货范围</w:t>
      </w:r>
      <w:bookmarkEnd w:id="36"/>
      <w:bookmarkEnd w:id="37"/>
      <w:bookmarkEnd w:id="38"/>
      <w:bookmarkEnd w:id="39"/>
      <w:bookmarkEnd w:id="40"/>
    </w:p>
    <w:p>
      <w:pPr>
        <w:spacing w:line="480" w:lineRule="exact"/>
        <w:ind w:firstLine="420" w:firstLineChars="200"/>
        <w:rPr>
          <w:rFonts w:hint="eastAsia" w:ascii="黑体" w:hAnsi="宋体" w:eastAsia="黑体"/>
          <w:color w:val="auto"/>
          <w:highlight w:val="none"/>
        </w:rPr>
      </w:pPr>
      <w:r>
        <w:rPr>
          <w:rFonts w:hint="eastAsia" w:ascii="黑体" w:hAnsi="宋体" w:eastAsia="黑体"/>
          <w:color w:val="auto"/>
          <w:highlight w:val="none"/>
        </w:rPr>
        <w:t>一、主要货物一般供货范围界定</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1、供货范围包括本技术标书“采购货物概况” 所列及所要求的设备。</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2、供货范围包括为保证设备正常安装、调试和验收完成及以前所必需的整套配件、附件及材料、油料、控制软件及程序或指令等。</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如果终验收完成后，投标方有需要收回的配件、附件、材料、油料等，应当在投标文件的技术偏离条款中，予以详细说明；否则视同包括在供货范围之内。</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3、供货范围包括货物维护维修所必需的专用工具。</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4、供货范围包括设备为达到产品标准以及环保、消防和劳动安全卫生等国家法律、法规和标准、规范要求而必须配备但标书未明确提出的除尘系统、通风系统、近距离照明系统以及劳动安全防护设施（不包括人体防护用品）等使用现场配套的设备、材料等。</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如投标方难以提供或无优势提供以及属于选用配置的，则应当在投标文件的技术偏离条款中，予以详细说明并注明投标报价未包含该部分的货值。</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5、供货范围包括为保证设备自身正常运行所必需的、满足使用地点环境条件的通风、冷却、降温等必需设施。</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6、以“交钥匙”方式采购的设备，在满足技术标书本节上述要求之外，供货范围还包括如下界定（货物）：</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6.1  招标方只提设备所需的厂房以及砼基础；只提供符合本技术标书中“采购货物概况”和“使用环境”章节所列明品质的电力、自来水、压缩空气、蒸汽、天然气管线至系统接口，如：系统电力接口的接线端，水、气、汽等外围管线端联接法兰外端面。</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6.2  供货范围包括设备正常运行所必需的全套连线设备、材料等。如货物端联接法兰外端面之内的、电气系统接口压线板（插座等）之内的设备、材料、联接螺栓、垫片等。</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6.3  供货范围包括设备正常运行、使用所需要的过桥、护栏、防护网、盖板等辅助设施。</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6.4  供货范围包括招标文件中无明确具体要求而投标方认为必须具备的其它货物。但是，在投标文件报价明细中，该部分货物单独报价（该报价含运杂费及税费等其它费用，而且不再作为其它报价涉及的其它费用的计算基数）。</w:t>
      </w:r>
    </w:p>
    <w:p>
      <w:pPr>
        <w:spacing w:line="480" w:lineRule="exact"/>
        <w:ind w:firstLine="420" w:firstLineChars="200"/>
        <w:rPr>
          <w:rFonts w:hint="eastAsia" w:ascii="黑体" w:hAnsi="宋体" w:eastAsia="黑体"/>
          <w:color w:val="auto"/>
          <w:highlight w:val="none"/>
        </w:rPr>
      </w:pPr>
      <w:r>
        <w:rPr>
          <w:rFonts w:hint="eastAsia" w:ascii="黑体" w:hAnsi="宋体" w:eastAsia="黑体"/>
          <w:color w:val="auto"/>
          <w:highlight w:val="none"/>
        </w:rPr>
        <w:t>二、备品备件、易损件和专用耗材供货范围</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1、备品备件、易损件和专用耗材是招标方为保证设备质保期之后正常运行一年所自备自用的备品备件、易损件和专用耗材。质保期之内正常需要的备品备件、易损件和专用耗材全部包括在供货范围之内而不属于本条款界定的范围</w:t>
      </w:r>
      <w:r>
        <w:rPr>
          <w:rFonts w:hint="eastAsia" w:hAnsi="宋体" w:cs="宋体"/>
          <w:color w:val="auto"/>
          <w:highlight w:val="none"/>
        </w:rPr>
        <w:t>（应有明细）</w:t>
      </w:r>
      <w:r>
        <w:rPr>
          <w:rFonts w:hint="eastAsia" w:ascii="宋体" w:hAnsi="宋体"/>
          <w:color w:val="auto"/>
          <w:highlight w:val="none"/>
        </w:rPr>
        <w:t>。</w:t>
      </w:r>
    </w:p>
    <w:p>
      <w:pPr>
        <w:spacing w:line="480" w:lineRule="exact"/>
        <w:ind w:firstLine="420" w:firstLineChars="200"/>
        <w:rPr>
          <w:rFonts w:ascii="宋体" w:hAnsi="宋体"/>
          <w:color w:val="auto"/>
          <w:highlight w:val="none"/>
        </w:rPr>
      </w:pPr>
      <w:r>
        <w:rPr>
          <w:rFonts w:hint="eastAsia" w:ascii="宋体" w:hAnsi="宋体"/>
          <w:color w:val="auto"/>
          <w:highlight w:val="none"/>
        </w:rPr>
        <w:t>2、供货范围包括易损件和专用耗材的制造图纸及其技术要求等资料。</w:t>
      </w:r>
    </w:p>
    <w:p>
      <w:pPr>
        <w:spacing w:line="480" w:lineRule="exact"/>
        <w:ind w:firstLine="420" w:firstLineChars="200"/>
        <w:rPr>
          <w:rFonts w:hint="eastAsia" w:ascii="黑体" w:hAnsi="宋体" w:eastAsia="黑体"/>
          <w:color w:val="auto"/>
          <w:highlight w:val="none"/>
        </w:rPr>
      </w:pPr>
      <w:r>
        <w:rPr>
          <w:rFonts w:hint="eastAsia" w:ascii="黑体" w:hAnsi="宋体" w:eastAsia="黑体"/>
          <w:color w:val="auto"/>
          <w:highlight w:val="none"/>
        </w:rPr>
        <w:t>三、技术资料供货范围</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技术资料供货范围包括：</w:t>
      </w:r>
    </w:p>
    <w:p>
      <w:pPr>
        <w:spacing w:line="480" w:lineRule="exact"/>
        <w:ind w:firstLine="420" w:firstLineChars="200"/>
        <w:rPr>
          <w:rFonts w:hint="eastAsia" w:ascii="宋体" w:hAnsi="宋体"/>
          <w:bCs/>
          <w:color w:val="auto"/>
          <w:highlight w:val="none"/>
        </w:rPr>
      </w:pPr>
      <w:r>
        <w:rPr>
          <w:rFonts w:hint="eastAsia" w:ascii="宋体" w:hAnsi="宋体"/>
          <w:color w:val="auto"/>
          <w:highlight w:val="none"/>
        </w:rPr>
        <w:t>1、在</w:t>
      </w:r>
      <w:r>
        <w:rPr>
          <w:rFonts w:hint="eastAsia" w:hAnsi="宋体" w:cs="宋体"/>
          <w:color w:val="auto"/>
          <w:highlight w:val="none"/>
        </w:rPr>
        <w:t>中标通知发出之</w:t>
      </w:r>
      <w:r>
        <w:rPr>
          <w:rFonts w:hint="eastAsia" w:ascii="宋体" w:hAnsi="宋体"/>
          <w:bCs/>
          <w:color w:val="auto"/>
          <w:highlight w:val="none"/>
        </w:rPr>
        <w:t>后</w:t>
      </w:r>
      <w:r>
        <w:rPr>
          <w:rFonts w:hint="eastAsia" w:ascii="宋体" w:hAnsi="宋体"/>
          <w:bCs/>
          <w:color w:val="auto"/>
          <w:highlight w:val="none"/>
          <w:u w:val="single"/>
          <w:shd w:val="pct10" w:color="auto" w:fill="FFFFFF"/>
        </w:rPr>
        <w:t xml:space="preserve">   15   </w:t>
      </w:r>
      <w:r>
        <w:rPr>
          <w:rFonts w:hint="eastAsia" w:ascii="宋体" w:hAnsi="宋体"/>
          <w:bCs/>
          <w:color w:val="auto"/>
          <w:highlight w:val="none"/>
        </w:rPr>
        <w:t>个日历日内，提供设备基础及相关的设计、制作所需的纸质及电子版资料；电子版文件应当能够使用常用版本软件可以阅读甚至使用，进口货物、设备应有中外文对照。</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2、在预验收前，</w:t>
      </w:r>
      <w:r>
        <w:rPr>
          <w:rFonts w:hint="eastAsia" w:ascii="宋体" w:hAnsi="宋体"/>
          <w:bCs/>
          <w:color w:val="auto"/>
          <w:highlight w:val="none"/>
        </w:rPr>
        <w:t>提供设备各部分的功能描述文件、图片、影像等资料（进口、设备应有中外文对照）。</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3、在终验收前，提供为保证设备后续正常运行所需的工装、吊（挂）具明细及其图纸、具体技术要求等资料（如果供货范围包含该部分实物）。</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4、在终验收前，提供确定的维修所需要且招标方可以自行采购的外购件、外协件、电气元件及主要原材料的供货厂家明细表。</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5、在终验收后的第一笔货款支付日之前，提供包括设备的备品备件、易损件和专用耗材的图纸及技术参数、技术要求等资料。</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6、在终验收后的第一笔货款支付日之前，提供关于采购货物的操作维护手册、保养维修手册、安全注意事项等的使用说明书、仪器仪表检定和使用维修说明书、合格证、产品样本等技术资料（含图片和影像等资料）；对于进口设备，应有中外文资料说明。</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7、在终验收后的第一笔货款支付日之前，提供关于采购设备的电气资料（包括接线图、原理图、布线图、梯形图等）、液压（气动）原理图和系统图、安装基础图、维修图等有关的资料（含图片和影像等资料）；非标准货物应提供整套设备3D模型、设计总图、全线布置图、部件装配图、工装夹具全套零件图纸等详细资料；对于进口设备，应有中外文资料说明。</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8、本条款所列的技术资料、图片、影像等，投标方应各提供4套，其中2套为电子版光（U）盘；每份技术文件应装有目录清单。</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9、本条款所列要求，如招标方认为投标方提供的资料不能满足要求时，有权要求投标方免费补充或增加。</w:t>
      </w:r>
    </w:p>
    <w:p>
      <w:pPr>
        <w:spacing w:line="480" w:lineRule="exact"/>
        <w:ind w:firstLine="420" w:firstLineChars="200"/>
        <w:rPr>
          <w:rFonts w:hint="eastAsia" w:ascii="宋体" w:hAnsi="宋体"/>
          <w:color w:val="auto"/>
          <w:highlight w:val="none"/>
        </w:rPr>
      </w:pPr>
    </w:p>
    <w:p>
      <w:pPr>
        <w:pStyle w:val="5"/>
        <w:spacing w:before="120" w:after="120" w:line="480" w:lineRule="exact"/>
        <w:jc w:val="center"/>
        <w:rPr>
          <w:rFonts w:hint="eastAsia"/>
          <w:b w:val="0"/>
          <w:color w:val="auto"/>
          <w:sz w:val="24"/>
          <w:szCs w:val="24"/>
          <w:highlight w:val="none"/>
        </w:rPr>
      </w:pPr>
      <w:bookmarkStart w:id="41" w:name="_Toc137705871"/>
      <w:bookmarkStart w:id="42" w:name="_Toc9858"/>
      <w:bookmarkStart w:id="43" w:name="_Toc13936"/>
      <w:bookmarkStart w:id="44" w:name="_Toc8159"/>
      <w:bookmarkStart w:id="45" w:name="_Toc26064"/>
      <w:r>
        <w:rPr>
          <w:rFonts w:hint="eastAsia"/>
          <w:b w:val="0"/>
          <w:color w:val="auto"/>
          <w:sz w:val="24"/>
          <w:szCs w:val="24"/>
          <w:highlight w:val="none"/>
        </w:rPr>
        <w:t>第二节  供货方式</w:t>
      </w:r>
      <w:bookmarkEnd w:id="41"/>
      <w:bookmarkEnd w:id="42"/>
      <w:bookmarkEnd w:id="43"/>
      <w:bookmarkEnd w:id="44"/>
      <w:bookmarkEnd w:id="45"/>
    </w:p>
    <w:p>
      <w:pPr>
        <w:spacing w:line="480" w:lineRule="exact"/>
        <w:ind w:firstLine="420" w:firstLineChars="200"/>
        <w:rPr>
          <w:rFonts w:hint="eastAsia" w:ascii="宋体" w:hAnsi="宋体"/>
          <w:color w:val="auto"/>
          <w:highlight w:val="none"/>
        </w:rPr>
      </w:pPr>
      <w:r>
        <w:rPr>
          <w:rFonts w:hint="eastAsia" w:ascii="黑体" w:hAnsi="宋体" w:eastAsia="黑体"/>
          <w:color w:val="auto"/>
          <w:highlight w:val="none"/>
        </w:rPr>
        <w:t>一、供货地点：</w:t>
      </w:r>
      <w:r>
        <w:rPr>
          <w:rFonts w:hint="eastAsia" w:ascii="宋体" w:hAnsi="宋体"/>
          <w:color w:val="auto"/>
          <w:highlight w:val="none"/>
        </w:rPr>
        <w:t>本项目建设工地。</w:t>
      </w:r>
    </w:p>
    <w:p>
      <w:pPr>
        <w:spacing w:line="480" w:lineRule="exact"/>
        <w:ind w:firstLine="420" w:firstLineChars="200"/>
        <w:jc w:val="left"/>
        <w:rPr>
          <w:rFonts w:hint="eastAsia" w:ascii="黑体" w:hAnsi="宋体" w:eastAsia="黑体"/>
          <w:color w:val="auto"/>
          <w:highlight w:val="none"/>
        </w:rPr>
      </w:pPr>
      <w:r>
        <w:rPr>
          <w:rFonts w:hint="eastAsia" w:ascii="黑体" w:hAnsi="宋体" w:eastAsia="黑体"/>
          <w:color w:val="auto"/>
          <w:highlight w:val="none"/>
        </w:rPr>
        <w:t>二、供货时间</w:t>
      </w:r>
    </w:p>
    <w:p>
      <w:pPr>
        <w:spacing w:line="480" w:lineRule="exact"/>
        <w:ind w:firstLine="420" w:firstLineChars="200"/>
        <w:jc w:val="left"/>
        <w:rPr>
          <w:rFonts w:hint="eastAsia" w:ascii="宋体" w:hAnsi="宋体"/>
          <w:color w:val="auto"/>
          <w:highlight w:val="none"/>
        </w:rPr>
      </w:pPr>
      <w:r>
        <w:rPr>
          <w:rFonts w:hint="eastAsia" w:ascii="宋体" w:hAnsi="宋体"/>
          <w:color w:val="auto"/>
          <w:highlight w:val="none"/>
        </w:rPr>
        <w:t>1、以交钥匙方式供货的，按照以下时间要求（安装调试工期超过10个日历日的，投标方应当随标书提供详细的工期计划）：</w:t>
      </w:r>
    </w:p>
    <w:p>
      <w:pPr>
        <w:spacing w:line="480" w:lineRule="exact"/>
        <w:ind w:firstLine="420" w:firstLineChars="200"/>
        <w:jc w:val="left"/>
        <w:rPr>
          <w:rFonts w:hint="eastAsia" w:ascii="宋体" w:hAnsi="宋体"/>
          <w:color w:val="auto"/>
          <w:highlight w:val="none"/>
        </w:rPr>
      </w:pPr>
      <w:r>
        <w:rPr>
          <w:rFonts w:hint="eastAsia" w:ascii="宋体" w:hAnsi="宋体"/>
          <w:color w:val="auto"/>
          <w:highlight w:val="none"/>
        </w:rPr>
        <w:t>1.1  自</w:t>
      </w:r>
      <w:r>
        <w:rPr>
          <w:rFonts w:hint="eastAsia" w:hAnsi="宋体" w:cs="宋体"/>
          <w:color w:val="auto"/>
          <w:highlight w:val="none"/>
        </w:rPr>
        <w:t>中标通知发出之日</w:t>
      </w:r>
      <w:r>
        <w:rPr>
          <w:rFonts w:hint="eastAsia" w:ascii="宋体" w:hAnsi="宋体"/>
          <w:color w:val="auto"/>
          <w:highlight w:val="none"/>
        </w:rPr>
        <w:t>起，</w:t>
      </w:r>
      <w:r>
        <w:rPr>
          <w:rFonts w:hint="eastAsia" w:ascii="宋体" w:hAnsi="宋体"/>
          <w:color w:val="auto"/>
          <w:highlight w:val="none"/>
          <w:u w:val="single"/>
          <w:shd w:val="pct10" w:color="auto" w:fill="FFFFFF"/>
          <w:lang w:val="en-US" w:eastAsia="zh-CN"/>
        </w:rPr>
        <w:t>50</w:t>
      </w:r>
      <w:r>
        <w:rPr>
          <w:rFonts w:hint="eastAsia" w:ascii="宋体" w:hAnsi="宋体"/>
          <w:color w:val="auto"/>
          <w:highlight w:val="none"/>
        </w:rPr>
        <w:t>个日历日之内交货至供货地点。</w:t>
      </w:r>
    </w:p>
    <w:p>
      <w:pPr>
        <w:spacing w:line="480" w:lineRule="exact"/>
        <w:ind w:firstLine="420" w:firstLineChars="200"/>
        <w:jc w:val="left"/>
        <w:rPr>
          <w:rFonts w:hint="eastAsia" w:ascii="宋体" w:hAnsi="宋体"/>
          <w:color w:val="auto"/>
          <w:highlight w:val="none"/>
        </w:rPr>
      </w:pPr>
      <w:r>
        <w:rPr>
          <w:rFonts w:hint="eastAsia" w:ascii="宋体" w:hAnsi="宋体"/>
          <w:color w:val="auto"/>
          <w:highlight w:val="none"/>
        </w:rPr>
        <w:t>1.2  接续</w:t>
      </w:r>
      <w:r>
        <w:rPr>
          <w:rFonts w:hint="eastAsia" w:ascii="宋体" w:hAnsi="宋体"/>
          <w:color w:val="auto"/>
          <w:highlight w:val="none"/>
          <w:u w:val="single"/>
          <w:shd w:val="pct10" w:color="auto" w:fill="FFFFFF"/>
          <w:lang w:val="en-US" w:eastAsia="zh-CN"/>
        </w:rPr>
        <w:t>70</w:t>
      </w:r>
      <w:r>
        <w:rPr>
          <w:rFonts w:hint="eastAsia" w:ascii="宋体" w:hAnsi="宋体"/>
          <w:color w:val="auto"/>
          <w:highlight w:val="none"/>
        </w:rPr>
        <w:t>个日历日之内安装调试完毕。</w:t>
      </w:r>
    </w:p>
    <w:p>
      <w:pPr>
        <w:spacing w:line="480" w:lineRule="exact"/>
        <w:ind w:firstLine="420" w:firstLineChars="200"/>
        <w:jc w:val="left"/>
        <w:rPr>
          <w:rFonts w:hint="eastAsia" w:ascii="黑体" w:hAnsi="宋体" w:eastAsia="黑体"/>
          <w:color w:val="auto"/>
          <w:highlight w:val="none"/>
        </w:rPr>
      </w:pPr>
      <w:r>
        <w:rPr>
          <w:rFonts w:hint="eastAsia" w:ascii="黑体" w:hAnsi="宋体" w:eastAsia="黑体"/>
          <w:color w:val="auto"/>
          <w:highlight w:val="none"/>
        </w:rPr>
        <w:t>三、质保期及质保要求</w:t>
      </w:r>
    </w:p>
    <w:p>
      <w:pPr>
        <w:spacing w:line="480" w:lineRule="exact"/>
        <w:ind w:firstLine="420" w:firstLineChars="200"/>
        <w:jc w:val="left"/>
        <w:rPr>
          <w:rFonts w:hint="eastAsia" w:ascii="宋体" w:hAnsi="宋体"/>
          <w:color w:val="auto"/>
          <w:highlight w:val="none"/>
        </w:rPr>
      </w:pPr>
      <w:r>
        <w:rPr>
          <w:rFonts w:hint="eastAsia" w:ascii="宋体" w:hAnsi="宋体"/>
          <w:color w:val="auto"/>
          <w:highlight w:val="none"/>
        </w:rPr>
        <w:t>1、全部供货范围内的设备、材料、零配件和工器具等，除合同特别约定外，其质保期均自终验收签字生效之日起</w:t>
      </w:r>
      <w:r>
        <w:rPr>
          <w:rFonts w:hint="eastAsia" w:ascii="宋体" w:hAnsi="宋体"/>
          <w:color w:val="auto"/>
          <w:highlight w:val="none"/>
          <w:u w:val="single"/>
          <w:shd w:val="pct10" w:color="auto" w:fill="FFFFFF"/>
        </w:rPr>
        <w:t xml:space="preserve">  12  </w:t>
      </w:r>
      <w:r>
        <w:rPr>
          <w:rFonts w:hint="eastAsia" w:ascii="宋体" w:hAnsi="宋体"/>
          <w:color w:val="auto"/>
          <w:highlight w:val="none"/>
        </w:rPr>
        <w:t>个月。</w:t>
      </w:r>
    </w:p>
    <w:p>
      <w:pPr>
        <w:spacing w:line="480" w:lineRule="exact"/>
        <w:ind w:firstLine="420" w:firstLineChars="200"/>
        <w:jc w:val="left"/>
        <w:rPr>
          <w:rFonts w:hint="eastAsia" w:ascii="宋体" w:hAnsi="宋体"/>
          <w:color w:val="auto"/>
          <w:highlight w:val="none"/>
        </w:rPr>
      </w:pPr>
      <w:r>
        <w:rPr>
          <w:rFonts w:hint="eastAsia" w:ascii="宋体" w:hAnsi="宋体"/>
          <w:color w:val="auto"/>
          <w:highlight w:val="none"/>
        </w:rPr>
        <w:t>投标货物或涉及的关键总成和零件，如果有更长时间质保期，允许更改并说明，此将有利于投标方。</w:t>
      </w:r>
    </w:p>
    <w:p>
      <w:pPr>
        <w:spacing w:line="480" w:lineRule="exact"/>
        <w:ind w:firstLine="420" w:firstLineChars="200"/>
        <w:jc w:val="left"/>
        <w:rPr>
          <w:rFonts w:hint="eastAsia" w:ascii="宋体" w:hAnsi="宋体"/>
          <w:color w:val="auto"/>
          <w:highlight w:val="none"/>
        </w:rPr>
      </w:pPr>
      <w:r>
        <w:rPr>
          <w:rFonts w:hint="eastAsia" w:ascii="宋体" w:hAnsi="宋体"/>
          <w:color w:val="auto"/>
          <w:highlight w:val="none"/>
        </w:rPr>
        <w:t>设计使用寿命短于质保期的易损件除外，但属于易损件的，应当有明确说明。</w:t>
      </w:r>
    </w:p>
    <w:p>
      <w:pPr>
        <w:spacing w:line="480" w:lineRule="exact"/>
        <w:ind w:firstLine="420" w:firstLineChars="200"/>
        <w:jc w:val="left"/>
        <w:rPr>
          <w:rFonts w:hint="eastAsia" w:ascii="宋体" w:hAnsi="宋体"/>
          <w:color w:val="auto"/>
          <w:highlight w:val="none"/>
        </w:rPr>
      </w:pPr>
      <w:r>
        <w:rPr>
          <w:rFonts w:hint="eastAsia" w:ascii="宋体" w:hAnsi="宋体"/>
          <w:color w:val="auto"/>
          <w:highlight w:val="none"/>
        </w:rPr>
        <w:t>2、质保期之内，如果设备出现设备、总成、关键零部件或者多处一般零部件的更换或维修行为，则质保期自更换或维修行为结束、设备重新正常运行使用之日起重新计算。</w:t>
      </w:r>
    </w:p>
    <w:p>
      <w:pPr>
        <w:spacing w:line="480" w:lineRule="exact"/>
        <w:ind w:firstLine="420" w:firstLineChars="200"/>
        <w:jc w:val="left"/>
        <w:rPr>
          <w:rFonts w:hint="eastAsia" w:ascii="宋体" w:hAnsi="宋体"/>
          <w:color w:val="auto"/>
          <w:highlight w:val="none"/>
        </w:rPr>
      </w:pPr>
      <w:r>
        <w:rPr>
          <w:rFonts w:hint="eastAsia" w:ascii="宋体" w:hAnsi="宋体"/>
          <w:color w:val="auto"/>
          <w:highlight w:val="none"/>
        </w:rPr>
        <w:t>3、质保期内免费提供零部件和及时有效的服务。质保期内因货物本身缺陷造成的各种故障，投标方应负责免费维修和服务。</w:t>
      </w:r>
    </w:p>
    <w:p>
      <w:pPr>
        <w:spacing w:line="480" w:lineRule="exact"/>
        <w:ind w:firstLine="420" w:firstLineChars="200"/>
        <w:jc w:val="left"/>
        <w:rPr>
          <w:rFonts w:hint="eastAsia" w:ascii="宋体" w:hAnsi="宋体"/>
          <w:color w:val="auto"/>
          <w:highlight w:val="none"/>
        </w:rPr>
      </w:pPr>
      <w:r>
        <w:rPr>
          <w:rFonts w:hint="eastAsia" w:ascii="宋体" w:hAnsi="宋体"/>
          <w:color w:val="auto"/>
          <w:highlight w:val="none"/>
        </w:rPr>
        <w:t>4、质保期终止之日起18个月内重复出现的质保期之内出现的故障，仍属质保范围而且应当免费。</w:t>
      </w:r>
    </w:p>
    <w:p>
      <w:pPr>
        <w:spacing w:line="480" w:lineRule="exact"/>
        <w:ind w:firstLine="420" w:firstLineChars="200"/>
        <w:rPr>
          <w:rFonts w:hint="eastAsia" w:ascii="黑体" w:hAnsi="宋体" w:eastAsia="黑体"/>
          <w:color w:val="auto"/>
          <w:highlight w:val="none"/>
        </w:rPr>
      </w:pPr>
      <w:r>
        <w:rPr>
          <w:rFonts w:hint="eastAsia" w:ascii="黑体" w:hAnsi="宋体" w:eastAsia="黑体"/>
          <w:color w:val="auto"/>
          <w:highlight w:val="none"/>
        </w:rPr>
        <w:t>四、包装</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1、所提供设备的包装，应遵照国家标准和有关包装、包皮的技术条件，或按照最好的商业惯例进行包装。</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2、包装应能满足所需要采取的运输方式（船运、汽运或铁路运输）、多次吊装卸装、卸货以及长期露天堆放要求，应能防止雨淋、受潮、生锈、腐蚀、受振、受磁以及机械和化学因素等引起的损坏。</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3、所提供设备的包装，应能防止其一般性被窃或受外力破坏；一般不得采用有大缝隙的板条包装。</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4、应对包装件做必要的加固和固定，以防止运输可能造成的损坏。</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5、每个包装件应有装箱单，并至少标明名称、型号规格、数量、净重和毛重、投标方（或供货商）名称和制造日期等相关内容。</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6、每个包装箱应有明显标志，并具有中文书写的合同号、装运标志、发货和到货地点名称、发货人和收货人名称、设备名称和项目号、箱号和外型尺寸等内容。</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7、应按照不同的装运要求在包装箱上标明“小心轻放”、“箭头向上”、“防潮”、“防磁”、“不准平放”等标志，以及其它适用的国标通用标志。</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8、包装箱应连续编号，不应出现重复编号。</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9、在不受到外界破坏情况下，包装应保证自交货日起一年内货物（或设备）完好无损。</w:t>
      </w:r>
    </w:p>
    <w:p>
      <w:pPr>
        <w:adjustRightInd w:val="0"/>
        <w:snapToGrid w:val="0"/>
        <w:spacing w:line="460" w:lineRule="exact"/>
        <w:ind w:firstLine="420" w:firstLineChars="200"/>
        <w:rPr>
          <w:rFonts w:hint="eastAsia" w:ascii="黑体" w:hAnsi="宋体" w:eastAsia="黑体"/>
          <w:color w:val="auto"/>
          <w:highlight w:val="none"/>
        </w:rPr>
      </w:pPr>
      <w:r>
        <w:rPr>
          <w:rFonts w:hint="eastAsia" w:ascii="黑体" w:hAnsi="宋体" w:eastAsia="黑体"/>
          <w:color w:val="auto"/>
          <w:highlight w:val="none"/>
        </w:rPr>
        <w:t>五、运输</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1、应负责将设备运到目的地，并必须做到设备在任何运输过程中不受损坏和遗失。</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2、同批设备应统一包装、编号运输。</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3、一般情况下，经由铁路、公路运输的包装件尺寸和重量不应超过国家所规定的尺寸限制。特殊情况应予以说明。</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4、在每批设备发出后，应立即通知招标方；通知中应指明：合同号、货运单号、件数、重量和设备发出日期等相关内容。</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5、设备运抵交货地点后，应负责货物（或设备）的卸货、搬运、保管等事宜；或按照合同约定。</w:t>
      </w:r>
    </w:p>
    <w:p>
      <w:pPr>
        <w:pStyle w:val="3"/>
        <w:spacing w:before="120" w:after="120" w:line="480" w:lineRule="exact"/>
        <w:jc w:val="center"/>
        <w:rPr>
          <w:rFonts w:hint="eastAsia" w:ascii="黑体" w:eastAsia="黑体"/>
          <w:b w:val="0"/>
          <w:color w:val="auto"/>
          <w:sz w:val="24"/>
          <w:szCs w:val="24"/>
          <w:highlight w:val="none"/>
        </w:rPr>
      </w:pPr>
      <w:r>
        <w:rPr>
          <w:rFonts w:ascii="宋体" w:hAnsi="宋体"/>
          <w:color w:val="auto"/>
          <w:highlight w:val="none"/>
        </w:rPr>
        <w:br w:type="page"/>
      </w:r>
      <w:bookmarkStart w:id="46" w:name="_Toc30960"/>
      <w:bookmarkStart w:id="47" w:name="_Toc9796"/>
      <w:bookmarkStart w:id="48" w:name="_Toc137705872"/>
      <w:bookmarkStart w:id="49" w:name="_Toc28593"/>
      <w:bookmarkStart w:id="50" w:name="_Toc2931"/>
      <w:r>
        <w:rPr>
          <w:rFonts w:hint="eastAsia" w:ascii="黑体" w:eastAsia="黑体"/>
          <w:b w:val="0"/>
          <w:bCs w:val="0"/>
          <w:color w:val="auto"/>
          <w:sz w:val="24"/>
          <w:szCs w:val="24"/>
          <w:highlight w:val="none"/>
        </w:rPr>
        <w:t>第四章  售中售后服务</w:t>
      </w:r>
      <w:bookmarkEnd w:id="46"/>
      <w:bookmarkEnd w:id="47"/>
      <w:bookmarkEnd w:id="48"/>
      <w:bookmarkEnd w:id="49"/>
      <w:bookmarkEnd w:id="50"/>
    </w:p>
    <w:p>
      <w:pPr>
        <w:adjustRightInd w:val="0"/>
        <w:snapToGrid w:val="0"/>
        <w:spacing w:line="460" w:lineRule="exact"/>
        <w:ind w:firstLine="420" w:firstLineChars="200"/>
        <w:rPr>
          <w:rFonts w:hint="eastAsia" w:ascii="黑体" w:hAnsi="宋体" w:eastAsia="黑体"/>
          <w:color w:val="auto"/>
          <w:highlight w:val="none"/>
        </w:rPr>
      </w:pPr>
      <w:r>
        <w:rPr>
          <w:rFonts w:hint="eastAsia" w:ascii="黑体" w:hAnsi="宋体" w:eastAsia="黑体"/>
          <w:color w:val="auto"/>
          <w:highlight w:val="none"/>
        </w:rPr>
        <w:t>一、技术及培训服务</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1、应负责对招标方</w:t>
      </w:r>
      <w:r>
        <w:rPr>
          <w:rFonts w:hint="eastAsia" w:ascii="宋体" w:hAnsi="宋体"/>
          <w:color w:val="auto"/>
          <w:highlight w:val="none"/>
          <w:u w:val="single"/>
          <w:shd w:val="pct10" w:color="auto" w:fill="FFFFFF"/>
          <w:lang w:val="en-US" w:eastAsia="zh-CN"/>
        </w:rPr>
        <w:t>2</w:t>
      </w:r>
      <w:r>
        <w:rPr>
          <w:rFonts w:hint="eastAsia" w:ascii="宋体" w:hAnsi="宋体"/>
          <w:color w:val="auto"/>
          <w:highlight w:val="none"/>
        </w:rPr>
        <w:t>名及以上技术、维修和操作人员提供不少于</w:t>
      </w:r>
      <w:r>
        <w:rPr>
          <w:rFonts w:hint="eastAsia" w:ascii="宋体" w:hAnsi="宋体"/>
          <w:color w:val="auto"/>
          <w:highlight w:val="none"/>
          <w:u w:val="single"/>
          <w:shd w:val="pct10" w:color="auto" w:fill="FFFFFF"/>
        </w:rPr>
        <w:t xml:space="preserve">   2  </w:t>
      </w:r>
      <w:r>
        <w:rPr>
          <w:rFonts w:hint="eastAsia" w:ascii="宋体" w:hAnsi="宋体"/>
          <w:color w:val="auto"/>
          <w:highlight w:val="none"/>
        </w:rPr>
        <w:t>个日历日的免费的、招标方生产制造现场的理论、技术和操作、维修等方面的技术指导和培训,提供免费的2人在机器人工厂的标准培训，培训内容包括</w:t>
      </w:r>
      <w:r>
        <w:rPr>
          <w:rFonts w:hint="eastAsia"/>
          <w:color w:val="auto"/>
          <w:highlight w:val="none"/>
          <w:lang w:val="zh-CN"/>
        </w:rPr>
        <w:t>机器人编程及简单维护培训、电气培训。</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2、应负责在招标方设备使用现场，进行1～2次免费的技术指导和培训，并接受招标方有关人员的技术咨询。</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3、应免费提供一定数量的培训资料。</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4、应按要求免费积极协助和提供招标方以及招标方所委托的工程设计单位有关人员所需要的、与设备有关的工程设计资料、技术咨询等。</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5、若投标方提供的设备涉及到外购外协货物、而且该货物的技术质量等较为关键时，投标方应能保证得到配套厂家的技术支持，并免费为招标方提供技术服务。</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6、负责制定对招标方人员在运行、维修和试验等方面的培训计划，并有专人负责实施培训计划，负责指导招标方受培训人员正确理解设计和制造意图，认识设备的特点和特性，掌握在运行、维修和使用管理中应遵守的规则等方面的综合知识。</w:t>
      </w:r>
    </w:p>
    <w:p>
      <w:pPr>
        <w:adjustRightInd w:val="0"/>
        <w:snapToGrid w:val="0"/>
        <w:spacing w:line="460" w:lineRule="exact"/>
        <w:ind w:firstLine="420" w:firstLineChars="200"/>
        <w:rPr>
          <w:rFonts w:hint="eastAsia" w:ascii="黑体" w:hAnsi="宋体" w:eastAsia="黑体"/>
          <w:color w:val="auto"/>
          <w:highlight w:val="none"/>
        </w:rPr>
      </w:pPr>
      <w:r>
        <w:rPr>
          <w:rFonts w:hint="eastAsia" w:ascii="黑体" w:hAnsi="宋体" w:eastAsia="黑体"/>
          <w:color w:val="auto"/>
          <w:highlight w:val="none"/>
        </w:rPr>
        <w:t>二、安装调试及验收服务</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1、指导安装调试或负责安装调试以及协助验收，投标方均应在投标文件中明确其收费额或免费约定，否则视同免费；安装调试及验收服务均应按照合同约定或协议、通知及时组织并完成。因投标方原因造成的延期，所发生的费用全部由投标方承担。</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2、若投标方提供的设备涉及到外购外协货物、而且该货物的技术质量等较为关键时，应保证能得到供应商的技术支持，并免费为招标方提供安装使用现场的指导与培训。</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3、根据设备的要求，调试及验收可分空载和负载两个阶段进行；招标方将积极协助投标方达到设备的各项技术指标和性能要求。投标方在招标方现场进行的货物的安装、调试和试运行，招标方有权参与，投标方应无条件向招标方提供现场记录和试运行数据及报告。</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4、在投标方所提供设备需要得到招标方建设项目所在地政府或行业主管部门的查验、试验、验收时，投标方应当免费完成或协助招标方完成所需要的工作、材料和服务等。协助完成的，应当在投标文件报价内容中予以说明，否则视同免费。</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5、投标方应当向招标方提供货物试验、验收的有关标准、规范和方法，同时提供货物涉及并使用的软件合法性证明。</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6、服务缺陷视同货物缺陷和履约延期。</w:t>
      </w:r>
    </w:p>
    <w:p>
      <w:pPr>
        <w:adjustRightInd w:val="0"/>
        <w:snapToGrid w:val="0"/>
        <w:spacing w:line="460" w:lineRule="exact"/>
        <w:ind w:firstLine="420" w:firstLineChars="200"/>
        <w:rPr>
          <w:rFonts w:hint="eastAsia" w:ascii="黑体" w:hAnsi="宋体" w:eastAsia="黑体"/>
          <w:color w:val="auto"/>
          <w:highlight w:val="none"/>
        </w:rPr>
      </w:pPr>
      <w:r>
        <w:rPr>
          <w:rFonts w:hint="eastAsia" w:ascii="黑体" w:hAnsi="宋体" w:eastAsia="黑体"/>
          <w:color w:val="auto"/>
          <w:highlight w:val="none"/>
        </w:rPr>
        <w:t>三、售后服务</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1、投标方提供的设备涉及的所有售后服务均由投标方负责。如果发生问题并且收到通知，投标方应当在2小时内予以答复。</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2、如发现所提供的设备存在问题，需要投标方解决或配合解决时：在质保期之内，应在接到通知后</w:t>
      </w:r>
      <w:r>
        <w:rPr>
          <w:rFonts w:hint="eastAsia" w:ascii="宋体" w:hAnsi="宋体"/>
          <w:color w:val="auto"/>
          <w:highlight w:val="none"/>
          <w:u w:val="single"/>
          <w:shd w:val="pct10" w:color="auto" w:fill="FFFFFF"/>
        </w:rPr>
        <w:t xml:space="preserve">  24    </w:t>
      </w:r>
      <w:r>
        <w:rPr>
          <w:rFonts w:hint="eastAsia" w:ascii="宋体" w:hAnsi="宋体"/>
          <w:color w:val="auto"/>
          <w:highlight w:val="none"/>
        </w:rPr>
        <w:t>小时内派有关人员到达现场；在质保期之外，应在接到通知后</w:t>
      </w:r>
      <w:r>
        <w:rPr>
          <w:rFonts w:hint="eastAsia" w:ascii="宋体" w:hAnsi="宋体"/>
          <w:color w:val="auto"/>
          <w:highlight w:val="none"/>
          <w:u w:val="single"/>
          <w:shd w:val="pct10" w:color="auto" w:fill="FFFFFF"/>
        </w:rPr>
        <w:t xml:space="preserve">  24   </w:t>
      </w:r>
      <w:r>
        <w:rPr>
          <w:rFonts w:hint="eastAsia" w:ascii="宋体" w:hAnsi="宋体"/>
          <w:color w:val="auto"/>
          <w:highlight w:val="none"/>
        </w:rPr>
        <w:t>小时内派有关人员到达现场。</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3、投标方派往招标方使用现场的人员，应具有较高的业务素质；现场解决问题时，不得无故拖延或推迟，应为招标方提供最佳的服务。</w:t>
      </w:r>
    </w:p>
    <w:p>
      <w:pPr>
        <w:adjustRightInd w:val="0"/>
        <w:snapToGrid w:val="0"/>
        <w:spacing w:line="460" w:lineRule="exact"/>
        <w:ind w:firstLine="420" w:firstLineChars="200"/>
        <w:rPr>
          <w:rFonts w:hint="eastAsia" w:ascii="黑体" w:hAnsi="宋体" w:eastAsia="黑体"/>
          <w:color w:val="auto"/>
          <w:highlight w:val="none"/>
        </w:rPr>
      </w:pPr>
      <w:r>
        <w:rPr>
          <w:rFonts w:hint="eastAsia" w:ascii="黑体" w:hAnsi="宋体" w:eastAsia="黑体"/>
          <w:color w:val="auto"/>
          <w:highlight w:val="none"/>
        </w:rPr>
        <w:t>四、其它服务</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1、若投标方所提供设备有需要进口的，投标方一般应自行、自费办理；必要时，买卖双方共同办理。</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2、除招标文件、投标文件、答疑文件、技术协议、合同等约定之外，投标方应免费负责必要的或强制性的设备的检验、试验、化验等直接费用。</w:t>
      </w:r>
    </w:p>
    <w:p>
      <w:pPr>
        <w:spacing w:line="520" w:lineRule="exact"/>
        <w:ind w:firstLine="420" w:firstLineChars="200"/>
        <w:rPr>
          <w:rFonts w:hint="eastAsia"/>
          <w:color w:val="auto"/>
          <w:highlight w:val="none"/>
        </w:rPr>
      </w:pPr>
      <w:r>
        <w:rPr>
          <w:rFonts w:hint="eastAsia" w:ascii="宋体" w:hAnsi="宋体"/>
          <w:color w:val="auto"/>
          <w:highlight w:val="none"/>
        </w:rPr>
        <w:t>3、本章节条款所列“免费”，并非指定不可收费，而是指招标文件、投标文件、</w:t>
      </w:r>
      <w:r>
        <w:rPr>
          <w:rFonts w:hint="eastAsia"/>
          <w:color w:val="auto"/>
          <w:highlight w:val="none"/>
        </w:rPr>
        <w:t>答疑文件、技术交流文件、技术协议书和合同等范围之外，投标方不可另行收取的费用。</w:t>
      </w:r>
    </w:p>
    <w:p>
      <w:pPr>
        <w:spacing w:line="480" w:lineRule="exact"/>
        <w:ind w:firstLine="420" w:firstLineChars="200"/>
        <w:rPr>
          <w:rFonts w:hint="eastAsia" w:ascii="宋体" w:hAnsi="宋体"/>
          <w:color w:val="auto"/>
          <w:highlight w:val="none"/>
        </w:rPr>
      </w:pPr>
    </w:p>
    <w:p>
      <w:pPr>
        <w:pStyle w:val="3"/>
        <w:spacing w:before="120" w:after="120" w:line="480" w:lineRule="exact"/>
        <w:jc w:val="center"/>
        <w:rPr>
          <w:rFonts w:hint="eastAsia" w:ascii="黑体" w:eastAsia="黑体"/>
          <w:b w:val="0"/>
          <w:color w:val="auto"/>
          <w:sz w:val="24"/>
          <w:szCs w:val="24"/>
          <w:highlight w:val="none"/>
        </w:rPr>
      </w:pPr>
      <w:r>
        <w:rPr>
          <w:rFonts w:ascii="宋体" w:hAnsi="宋体"/>
          <w:color w:val="auto"/>
          <w:highlight w:val="none"/>
        </w:rPr>
        <w:br w:type="page"/>
      </w:r>
      <w:bookmarkStart w:id="51" w:name="_Toc19419"/>
      <w:bookmarkStart w:id="52" w:name="_Toc9060"/>
      <w:bookmarkStart w:id="53" w:name="_Toc137705873"/>
      <w:bookmarkStart w:id="54" w:name="_Toc21539"/>
      <w:bookmarkStart w:id="55" w:name="_Toc23200"/>
      <w:r>
        <w:rPr>
          <w:rFonts w:hint="eastAsia" w:ascii="黑体" w:eastAsia="黑体"/>
          <w:b w:val="0"/>
          <w:color w:val="auto"/>
          <w:sz w:val="24"/>
          <w:szCs w:val="24"/>
          <w:highlight w:val="none"/>
        </w:rPr>
        <w:t>第五章  预验收和终验收</w:t>
      </w:r>
      <w:bookmarkEnd w:id="51"/>
      <w:bookmarkEnd w:id="52"/>
      <w:bookmarkEnd w:id="53"/>
      <w:bookmarkEnd w:id="54"/>
      <w:bookmarkEnd w:id="55"/>
    </w:p>
    <w:p>
      <w:pPr>
        <w:spacing w:line="480" w:lineRule="exact"/>
        <w:ind w:firstLine="420" w:firstLineChars="200"/>
        <w:rPr>
          <w:rFonts w:hint="eastAsia" w:ascii="黑体" w:hAnsi="宋体" w:eastAsia="黑体"/>
          <w:color w:val="auto"/>
          <w:highlight w:val="none"/>
        </w:rPr>
      </w:pPr>
      <w:r>
        <w:rPr>
          <w:rFonts w:hint="eastAsia" w:ascii="黑体" w:hAnsi="宋体" w:eastAsia="黑体"/>
          <w:color w:val="auto"/>
          <w:highlight w:val="none"/>
        </w:rPr>
        <w:t>一、验收的一般约定</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1、验收标准一般以技术协议书和合同规定验收。</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2、如果验收过程中，发现招标文件、投标文件、答疑文件、技术交流文件等与技术协议书、合同存在差异，原则上以涉及条款中对招标方最有利条款为验收依据。</w:t>
      </w:r>
    </w:p>
    <w:p>
      <w:pPr>
        <w:adjustRightInd w:val="0"/>
        <w:snapToGrid w:val="0"/>
        <w:spacing w:line="460" w:lineRule="exact"/>
        <w:ind w:firstLine="420" w:firstLineChars="200"/>
        <w:rPr>
          <w:rFonts w:hint="eastAsia" w:ascii="黑体" w:hAnsi="宋体" w:eastAsia="黑体"/>
          <w:color w:val="auto"/>
          <w:highlight w:val="none"/>
        </w:rPr>
      </w:pPr>
      <w:r>
        <w:rPr>
          <w:rFonts w:hint="eastAsia" w:ascii="黑体" w:hAnsi="宋体" w:eastAsia="黑体"/>
          <w:color w:val="auto"/>
          <w:highlight w:val="none"/>
        </w:rPr>
        <w:t>二、检验</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1、国产货物的检验由买卖双方按照合同要求或在制造现场进行。</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2、进口货物的检验，投标方需要按照下述要求进行：</w:t>
      </w:r>
    </w:p>
    <w:p>
      <w:pPr>
        <w:adjustRightInd w:val="0"/>
        <w:snapToGrid w:val="0"/>
        <w:spacing w:line="460" w:lineRule="exact"/>
        <w:ind w:firstLine="420" w:firstLineChars="200"/>
        <w:rPr>
          <w:rFonts w:ascii="宋体" w:hAnsi="宋体"/>
          <w:color w:val="auto"/>
          <w:highlight w:val="none"/>
        </w:rPr>
      </w:pPr>
      <w:r>
        <w:rPr>
          <w:rFonts w:hint="eastAsia" w:ascii="宋体" w:hAnsi="宋体"/>
          <w:color w:val="auto"/>
          <w:highlight w:val="none"/>
        </w:rPr>
        <w:t>2.1  进口货物发货前，应对货物的质量、型号、规格、性能和数量/重量作精密、全面的检验，并出具证明书，证明所供货物符合合同规定。</w:t>
      </w:r>
    </w:p>
    <w:p>
      <w:pPr>
        <w:adjustRightInd w:val="0"/>
        <w:snapToGrid w:val="0"/>
        <w:spacing w:line="460" w:lineRule="exact"/>
        <w:ind w:firstLine="420" w:firstLineChars="200"/>
        <w:rPr>
          <w:rFonts w:ascii="宋体" w:hAnsi="宋体"/>
          <w:color w:val="auto"/>
          <w:highlight w:val="none"/>
        </w:rPr>
      </w:pPr>
      <w:r>
        <w:rPr>
          <w:rFonts w:hint="eastAsia" w:ascii="宋体" w:hAnsi="宋体"/>
          <w:color w:val="auto"/>
          <w:highlight w:val="none"/>
        </w:rPr>
        <w:t>2.2  应依据合同规定的要求，提供买卖双方达成一致的货物的验收标准和装箱单，作为招标方检验的依据。</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2.3  进口货物到达目的地后，招标方有权申请中国商品检验检疫局进行检验，如发现货物的品质及规格与合同或发票不符，除招标方的责任外，招标方有权在货物到达卸货目的地后18</w:t>
      </w:r>
      <w:r>
        <w:rPr>
          <w:rFonts w:ascii="宋体" w:hAnsi="宋体"/>
          <w:color w:val="auto"/>
          <w:highlight w:val="none"/>
        </w:rPr>
        <w:t>0</w:t>
      </w:r>
      <w:r>
        <w:rPr>
          <w:rFonts w:hint="eastAsia" w:ascii="宋体" w:hAnsi="宋体"/>
          <w:color w:val="auto"/>
          <w:highlight w:val="none"/>
        </w:rPr>
        <w:t>个日历日内，根据中国商品检验检疫局出具的证明书向投标方提出索赔，因索赔所发生的一切费用</w:t>
      </w:r>
      <w:r>
        <w:rPr>
          <w:rFonts w:ascii="宋体" w:hAnsi="宋体"/>
          <w:color w:val="auto"/>
          <w:highlight w:val="none"/>
        </w:rPr>
        <w:t>(</w:t>
      </w:r>
      <w:r>
        <w:rPr>
          <w:rFonts w:hint="eastAsia" w:ascii="宋体" w:hAnsi="宋体"/>
          <w:color w:val="auto"/>
          <w:highlight w:val="none"/>
        </w:rPr>
        <w:t>包括检验检疫费等</w:t>
      </w:r>
      <w:r>
        <w:rPr>
          <w:rFonts w:ascii="宋体" w:hAnsi="宋体"/>
          <w:color w:val="auto"/>
          <w:highlight w:val="none"/>
        </w:rPr>
        <w:t>)</w:t>
      </w:r>
      <w:r>
        <w:rPr>
          <w:rFonts w:hint="eastAsia" w:ascii="宋体" w:hAnsi="宋体"/>
          <w:color w:val="auto"/>
          <w:highlight w:val="none"/>
        </w:rPr>
        <w:t>均由投标方承担。</w:t>
      </w:r>
    </w:p>
    <w:p>
      <w:pPr>
        <w:adjustRightInd w:val="0"/>
        <w:snapToGrid w:val="0"/>
        <w:spacing w:line="460" w:lineRule="exact"/>
        <w:ind w:firstLine="420" w:firstLineChars="200"/>
        <w:rPr>
          <w:rFonts w:hint="eastAsia" w:ascii="黑体" w:hAnsi="宋体" w:eastAsia="黑体"/>
          <w:color w:val="auto"/>
          <w:highlight w:val="none"/>
        </w:rPr>
      </w:pPr>
      <w:r>
        <w:rPr>
          <w:rFonts w:hint="eastAsia" w:ascii="黑体" w:hAnsi="宋体" w:eastAsia="黑体"/>
          <w:color w:val="auto"/>
          <w:highlight w:val="none"/>
        </w:rPr>
        <w:t>三、验收基本条件</w:t>
      </w:r>
    </w:p>
    <w:p>
      <w:pPr>
        <w:adjustRightInd w:val="0"/>
        <w:snapToGrid w:val="0"/>
        <w:spacing w:line="460" w:lineRule="exact"/>
        <w:ind w:firstLine="420" w:firstLineChars="200"/>
        <w:rPr>
          <w:rFonts w:hint="eastAsia" w:ascii="宋体" w:hAnsi="宋体"/>
          <w:color w:val="auto"/>
          <w:highlight w:val="none"/>
        </w:rPr>
      </w:pPr>
      <w:r>
        <w:rPr>
          <w:rFonts w:hint="eastAsia"/>
          <w:color w:val="auto"/>
          <w:highlight w:val="none"/>
        </w:rPr>
        <w:t>验收一般分预验收和终验收两部分。预验收一般在投标方现场进行，终验收在安装调试完成及试运行后的招标方现场进行。但是所有的项目，包括不能预验收的项目和预验收通过的项目都在终验收</w:t>
      </w:r>
      <w:r>
        <w:rPr>
          <w:rFonts w:hint="eastAsia" w:ascii="宋体" w:hAnsi="宋体"/>
          <w:color w:val="auto"/>
          <w:highlight w:val="none"/>
        </w:rPr>
        <w:t>时重新检验，最终只以终验收为准。</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买卖双方按照合同约定执行了合同，同时设备完成了试运行并经检验合格，则具备验收条件。</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1、预验收一般条件</w:t>
      </w:r>
    </w:p>
    <w:p>
      <w:pPr>
        <w:pStyle w:val="111"/>
        <w:keepNext w:val="0"/>
        <w:keepLines w:val="0"/>
        <w:pageBreakBefore w:val="0"/>
        <w:widowControl w:val="0"/>
        <w:kinsoku/>
        <w:wordWrap/>
        <w:overflowPunct/>
        <w:topLinePunct w:val="0"/>
        <w:autoSpaceDE/>
        <w:autoSpaceDN/>
        <w:bidi w:val="0"/>
        <w:adjustRightInd w:val="0"/>
        <w:snapToGrid/>
        <w:ind w:firstLine="420" w:firstLineChars="200"/>
        <w:jc w:val="both"/>
        <w:textAlignment w:val="auto"/>
        <w:rPr>
          <w:rFonts w:ascii="宋体" w:hAnsi="宋体" w:cs="宋体"/>
          <w:color w:val="auto"/>
          <w:highlight w:val="none"/>
        </w:rPr>
      </w:pPr>
      <w:r>
        <w:rPr>
          <w:rFonts w:ascii="宋体" w:hAnsi="宋体" w:cs="宋体"/>
          <w:color w:val="auto"/>
          <w:highlight w:val="none"/>
        </w:rPr>
        <w:t>预验收应在乙方自行检验合格后通知甲方；在预验收过程中发现的问题，乙方应进行改进；预验收合格后形成预验收报告；</w:t>
      </w:r>
      <w:r>
        <w:rPr>
          <w:rFonts w:ascii="宋体" w:hAnsi="宋体" w:cs="宋体"/>
          <w:color w:val="auto"/>
          <w:highlight w:val="none"/>
        </w:rPr>
        <w:br w:type="textWrapping"/>
      </w:r>
      <w:r>
        <w:rPr>
          <w:rFonts w:ascii="宋体" w:hAnsi="宋体" w:cs="宋体"/>
          <w:color w:val="auto"/>
          <w:highlight w:val="none"/>
        </w:rPr>
        <w:t>1.1 在甲方安装现场的预验收</w:t>
      </w:r>
      <w:r>
        <w:rPr>
          <w:rFonts w:ascii="宋体" w:hAnsi="宋体" w:cs="宋体"/>
          <w:color w:val="auto"/>
          <w:highlight w:val="none"/>
        </w:rPr>
        <w:br w:type="textWrapping"/>
      </w:r>
      <w:r>
        <w:rPr>
          <w:rFonts w:ascii="宋体" w:hAnsi="宋体" w:cs="宋体"/>
          <w:color w:val="auto"/>
          <w:highlight w:val="none"/>
        </w:rPr>
        <w:t>1.1.1在进入甲方现场安装前，由双方共同在甲方现场对设备、材料暂存地进行开箱预验收，并填写开箱验收单（工程终验收文件之一）。</w:t>
      </w:r>
      <w:r>
        <w:rPr>
          <w:rFonts w:ascii="宋体" w:hAnsi="宋体" w:cs="宋体"/>
          <w:color w:val="auto"/>
          <w:highlight w:val="none"/>
        </w:rPr>
        <w:br w:type="textWrapping"/>
      </w:r>
      <w:r>
        <w:rPr>
          <w:rFonts w:ascii="宋体" w:hAnsi="宋体" w:cs="宋体"/>
          <w:color w:val="auto"/>
          <w:highlight w:val="none"/>
        </w:rPr>
        <w:t>1.1.2对预验收合格的预制件及组装设备，由甲方监督进行再包装、安装等；对预验收中存在的问题，乙方必须及时整改，直至完全达到甲方的要求。</w:t>
      </w:r>
      <w:r>
        <w:rPr>
          <w:rFonts w:ascii="宋体" w:hAnsi="宋体" w:cs="宋体"/>
          <w:color w:val="auto"/>
          <w:highlight w:val="none"/>
        </w:rPr>
        <w:br w:type="textWrapping"/>
      </w:r>
      <w:r>
        <w:rPr>
          <w:rFonts w:ascii="宋体" w:hAnsi="宋体" w:cs="宋体"/>
          <w:color w:val="auto"/>
          <w:highlight w:val="none"/>
        </w:rPr>
        <w:t>1.1.3预验收所需的工具、量具等必要仪器由乙方提供。</w:t>
      </w:r>
      <w:r>
        <w:rPr>
          <w:rFonts w:ascii="宋体" w:hAnsi="宋体" w:cs="宋体"/>
          <w:color w:val="auto"/>
          <w:highlight w:val="none"/>
        </w:rPr>
        <w:br w:type="textWrapping"/>
      </w:r>
      <w:r>
        <w:rPr>
          <w:rFonts w:ascii="宋体" w:hAnsi="宋体" w:cs="宋体"/>
          <w:color w:val="auto"/>
          <w:highlight w:val="none"/>
        </w:rPr>
        <w:t>1.2 主要验收内容</w:t>
      </w:r>
      <w:r>
        <w:rPr>
          <w:rFonts w:ascii="宋体" w:hAnsi="宋体" w:cs="宋体"/>
          <w:color w:val="auto"/>
          <w:highlight w:val="none"/>
        </w:rPr>
        <w:br w:type="textWrapping"/>
      </w:r>
      <w:r>
        <w:rPr>
          <w:rFonts w:ascii="宋体" w:hAnsi="宋体" w:cs="宋体"/>
          <w:color w:val="auto"/>
          <w:highlight w:val="none"/>
        </w:rPr>
        <w:t>1.2.1 材料质量及其合格证；</w:t>
      </w:r>
      <w:r>
        <w:rPr>
          <w:rFonts w:ascii="宋体" w:hAnsi="宋体" w:cs="宋体"/>
          <w:color w:val="auto"/>
          <w:highlight w:val="none"/>
        </w:rPr>
        <w:br w:type="textWrapping"/>
      </w:r>
      <w:r>
        <w:rPr>
          <w:rFonts w:ascii="宋体" w:hAnsi="宋体" w:cs="宋体"/>
          <w:color w:val="auto"/>
          <w:highlight w:val="none"/>
        </w:rPr>
        <w:t>1.2.2 产品结构形式是否符合要求；</w:t>
      </w:r>
      <w:r>
        <w:rPr>
          <w:rFonts w:ascii="宋体" w:hAnsi="宋体" w:cs="宋体"/>
          <w:color w:val="auto"/>
          <w:highlight w:val="none"/>
        </w:rPr>
        <w:br w:type="textWrapping"/>
      </w:r>
      <w:r>
        <w:rPr>
          <w:rFonts w:ascii="宋体" w:hAnsi="宋体" w:cs="宋体"/>
          <w:color w:val="auto"/>
          <w:highlight w:val="none"/>
        </w:rPr>
        <w:t>1.2.3 功能要求的符合性；</w:t>
      </w:r>
      <w:r>
        <w:rPr>
          <w:rFonts w:ascii="宋体" w:hAnsi="宋体" w:cs="宋体"/>
          <w:color w:val="auto"/>
          <w:highlight w:val="none"/>
        </w:rPr>
        <w:br w:type="textWrapping"/>
      </w:r>
      <w:r>
        <w:rPr>
          <w:rFonts w:ascii="宋体" w:hAnsi="宋体" w:cs="宋体"/>
          <w:color w:val="auto"/>
          <w:highlight w:val="none"/>
        </w:rPr>
        <w:t>1.2.4 技术参数的符合性；</w:t>
      </w:r>
      <w:r>
        <w:rPr>
          <w:rFonts w:ascii="宋体" w:hAnsi="宋体" w:cs="宋体"/>
          <w:color w:val="auto"/>
          <w:highlight w:val="none"/>
        </w:rPr>
        <w:br w:type="textWrapping"/>
      </w:r>
      <w:r>
        <w:rPr>
          <w:rFonts w:ascii="宋体" w:hAnsi="宋体" w:cs="宋体"/>
          <w:color w:val="auto"/>
          <w:highlight w:val="none"/>
        </w:rPr>
        <w:t>1.2.5 特殊要求项目的符合性；</w:t>
      </w:r>
      <w:r>
        <w:rPr>
          <w:rFonts w:ascii="宋体" w:hAnsi="宋体" w:cs="宋体"/>
          <w:color w:val="auto"/>
          <w:highlight w:val="none"/>
        </w:rPr>
        <w:br w:type="textWrapping"/>
      </w:r>
      <w:r>
        <w:rPr>
          <w:rFonts w:ascii="宋体" w:hAnsi="宋体" w:cs="宋体"/>
          <w:color w:val="auto"/>
          <w:highlight w:val="none"/>
        </w:rPr>
        <w:t>1.2.6 甲乙双方核实备件/易损件；</w:t>
      </w:r>
      <w:r>
        <w:rPr>
          <w:rFonts w:ascii="宋体" w:hAnsi="宋体" w:cs="宋体"/>
          <w:color w:val="auto"/>
          <w:highlight w:val="none"/>
        </w:rPr>
        <w:br w:type="textWrapping"/>
      </w:r>
      <w:r>
        <w:rPr>
          <w:rFonts w:ascii="宋体" w:hAnsi="宋体" w:cs="宋体"/>
          <w:color w:val="auto"/>
          <w:highlight w:val="none"/>
        </w:rPr>
        <w:t>1.2.7 设备预验收合格后，甲方授权代表签字认可，出具预验收报告（但这不能减免乙方对产品的终验收责任）。</w:t>
      </w:r>
    </w:p>
    <w:p>
      <w:pPr>
        <w:pStyle w:val="111"/>
        <w:jc w:val="both"/>
        <w:rPr>
          <w:rFonts w:ascii="宋体" w:hAnsi="宋体" w:cs="宋体"/>
          <w:color w:val="auto"/>
          <w:highlight w:val="none"/>
        </w:rPr>
      </w:pPr>
      <w:r>
        <w:rPr>
          <w:rFonts w:hint="eastAsia" w:ascii="宋体" w:hAnsi="宋体" w:cs="宋体"/>
          <w:color w:val="auto"/>
          <w:highlight w:val="none"/>
        </w:rPr>
        <w:t>1.3 主要验收内容</w:t>
      </w:r>
    </w:p>
    <w:p>
      <w:pPr>
        <w:pStyle w:val="111"/>
        <w:jc w:val="both"/>
        <w:rPr>
          <w:rFonts w:ascii="宋体" w:hAnsi="宋体" w:cs="宋体"/>
          <w:color w:val="auto"/>
          <w:highlight w:val="none"/>
        </w:rPr>
      </w:pPr>
      <w:r>
        <w:rPr>
          <w:rFonts w:hint="eastAsia" w:ascii="宋体" w:hAnsi="宋体" w:cs="宋体"/>
          <w:color w:val="auto"/>
          <w:highlight w:val="none"/>
        </w:rPr>
        <w:t>1.3.1 材料质量及其合格证；</w:t>
      </w:r>
    </w:p>
    <w:p>
      <w:pPr>
        <w:pStyle w:val="111"/>
        <w:jc w:val="both"/>
        <w:rPr>
          <w:rFonts w:ascii="宋体" w:hAnsi="宋体" w:cs="宋体"/>
          <w:color w:val="auto"/>
          <w:highlight w:val="none"/>
        </w:rPr>
      </w:pPr>
      <w:r>
        <w:rPr>
          <w:rFonts w:hint="eastAsia" w:ascii="宋体" w:hAnsi="宋体" w:cs="宋体"/>
          <w:color w:val="auto"/>
          <w:highlight w:val="none"/>
        </w:rPr>
        <w:t>1.3.2 产品结构形式是否符合要求；</w:t>
      </w:r>
    </w:p>
    <w:p>
      <w:pPr>
        <w:pStyle w:val="111"/>
        <w:jc w:val="both"/>
        <w:rPr>
          <w:rFonts w:ascii="宋体" w:hAnsi="宋体" w:cs="宋体"/>
          <w:color w:val="auto"/>
          <w:highlight w:val="none"/>
        </w:rPr>
      </w:pPr>
      <w:r>
        <w:rPr>
          <w:rFonts w:hint="eastAsia" w:ascii="宋体" w:hAnsi="宋体" w:cs="宋体"/>
          <w:color w:val="auto"/>
          <w:highlight w:val="none"/>
        </w:rPr>
        <w:t>1.3.3 功能要求的符合性；</w:t>
      </w:r>
    </w:p>
    <w:p>
      <w:pPr>
        <w:pStyle w:val="111"/>
        <w:jc w:val="both"/>
        <w:rPr>
          <w:rFonts w:ascii="宋体" w:hAnsi="宋体" w:cs="宋体"/>
          <w:color w:val="auto"/>
          <w:highlight w:val="none"/>
        </w:rPr>
      </w:pPr>
      <w:r>
        <w:rPr>
          <w:rFonts w:hint="eastAsia" w:ascii="宋体" w:hAnsi="宋体" w:cs="宋体"/>
          <w:color w:val="auto"/>
          <w:highlight w:val="none"/>
        </w:rPr>
        <w:t>1.3.4 技术参数的符合性；</w:t>
      </w:r>
    </w:p>
    <w:p>
      <w:pPr>
        <w:pStyle w:val="111"/>
        <w:jc w:val="both"/>
        <w:rPr>
          <w:rFonts w:ascii="宋体" w:hAnsi="宋体" w:cs="宋体"/>
          <w:color w:val="auto"/>
          <w:highlight w:val="none"/>
        </w:rPr>
      </w:pPr>
      <w:r>
        <w:rPr>
          <w:rFonts w:hint="eastAsia" w:ascii="宋体" w:hAnsi="宋体" w:cs="宋体"/>
          <w:color w:val="auto"/>
          <w:highlight w:val="none"/>
        </w:rPr>
        <w:t>1.3.5 特殊要求项目的符合性；</w:t>
      </w:r>
    </w:p>
    <w:p>
      <w:pPr>
        <w:pStyle w:val="111"/>
        <w:jc w:val="both"/>
        <w:rPr>
          <w:rFonts w:ascii="宋体" w:hAnsi="宋体" w:cs="宋体"/>
          <w:color w:val="auto"/>
          <w:highlight w:val="none"/>
        </w:rPr>
      </w:pPr>
      <w:r>
        <w:rPr>
          <w:rFonts w:hint="eastAsia" w:ascii="宋体" w:hAnsi="宋体" w:cs="宋体"/>
          <w:color w:val="auto"/>
          <w:highlight w:val="none"/>
        </w:rPr>
        <w:t>1.3.6 甲乙双方核实备件/易损件；</w:t>
      </w:r>
    </w:p>
    <w:p>
      <w:pPr>
        <w:pStyle w:val="111"/>
        <w:jc w:val="both"/>
        <w:rPr>
          <w:rFonts w:ascii="宋体" w:hAnsi="宋体" w:cs="宋体"/>
          <w:color w:val="auto"/>
          <w:highlight w:val="none"/>
        </w:rPr>
      </w:pPr>
      <w:r>
        <w:rPr>
          <w:rFonts w:hint="eastAsia" w:ascii="宋体" w:hAnsi="宋体" w:cs="宋体"/>
          <w:color w:val="auto"/>
          <w:highlight w:val="none"/>
        </w:rPr>
        <w:t>1.3.7 设备预验收合格后，甲方授权代表签字认可，出具预验收报告（但这不能减免乙方对产品的终验收责任）。</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2、终验收一般条件</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2.1  经过预验收而且没有出现新的质量问题，或者满足预验收条款。</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2.2  设备安装调试完毕，并至少经过了验收要求的负荷试运行。</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2.3  设备正常运行时，噪声等环境影响因素满足国家和当地环保主管部门规定，安全措施落实、有效。</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2.4  计量仪器、仪表配套合理，采用中国的法定计量单位，计量准确、灵敏可靠。保证设计指标和仪器说明书的参数的实现。</w:t>
      </w:r>
    </w:p>
    <w:p>
      <w:pPr>
        <w:adjustRightInd w:val="0"/>
        <w:snapToGrid w:val="0"/>
        <w:spacing w:line="460" w:lineRule="exact"/>
        <w:ind w:firstLine="420" w:firstLineChars="200"/>
        <w:rPr>
          <w:rFonts w:ascii="宋体" w:hAnsi="宋体"/>
          <w:color w:val="auto"/>
          <w:highlight w:val="none"/>
        </w:rPr>
      </w:pPr>
      <w:r>
        <w:rPr>
          <w:rFonts w:hint="eastAsia" w:ascii="宋体" w:hAnsi="宋体"/>
          <w:color w:val="auto"/>
          <w:highlight w:val="none"/>
        </w:rPr>
        <w:t>2.5  试运行期间或之后无维修、调整等行为（特殊情况除外）。</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2.6 设备质量、技术性能等，达到签定的技术协议书和合同规定的终验收标准。</w:t>
      </w:r>
    </w:p>
    <w:p>
      <w:pPr>
        <w:spacing w:line="480" w:lineRule="exact"/>
        <w:ind w:firstLine="420" w:firstLineChars="200"/>
        <w:rPr>
          <w:rFonts w:ascii="宋体" w:hAnsi="宋体"/>
          <w:color w:val="auto"/>
          <w:highlight w:val="none"/>
        </w:rPr>
      </w:pPr>
      <w:r>
        <w:rPr>
          <w:rFonts w:hint="eastAsia" w:ascii="宋体" w:hAnsi="宋体"/>
          <w:color w:val="auto"/>
          <w:highlight w:val="none"/>
        </w:rPr>
        <w:t>3、终验收基本要求</w:t>
      </w:r>
    </w:p>
    <w:p>
      <w:pPr>
        <w:adjustRightInd w:val="0"/>
        <w:snapToGrid w:val="0"/>
        <w:spacing w:line="360" w:lineRule="auto"/>
        <w:ind w:firstLine="420" w:firstLineChars="200"/>
        <w:rPr>
          <w:rFonts w:ascii="宋体" w:hAnsi="宋体" w:cs="宋体"/>
          <w:color w:val="auto"/>
          <w:highlight w:val="none"/>
        </w:rPr>
      </w:pPr>
      <w:r>
        <w:rPr>
          <w:rFonts w:hint="eastAsia" w:ascii="宋体" w:hAnsi="宋体" w:cs="宋体"/>
          <w:color w:val="auto"/>
          <w:highlight w:val="none"/>
        </w:rPr>
        <w:t>3.1资料齐全性、完整性和有效性。按照 “技术资料范围”等的规定验收；</w:t>
      </w:r>
    </w:p>
    <w:p>
      <w:pPr>
        <w:adjustRightInd w:val="0"/>
        <w:snapToGrid w:val="0"/>
        <w:spacing w:line="360" w:lineRule="auto"/>
        <w:ind w:firstLine="420" w:firstLineChars="200"/>
        <w:rPr>
          <w:rFonts w:ascii="宋体" w:hAnsi="宋体" w:cs="宋体"/>
          <w:color w:val="auto"/>
          <w:highlight w:val="none"/>
        </w:rPr>
      </w:pPr>
      <w:r>
        <w:rPr>
          <w:rFonts w:hint="eastAsia" w:ascii="宋体" w:hAnsi="宋体" w:cs="宋体"/>
          <w:color w:val="auto"/>
          <w:highlight w:val="none"/>
        </w:rPr>
        <w:t>3.2设备应运行灵活、稳定、可靠、安全，无异常声音和非正常振动。设备不允许出现漏水、漏液、漏气（汽）。运动的零部件（如链条、联轴器、离合器等）应动作平稳、没有异常声音，不松动或易于调整；</w:t>
      </w:r>
    </w:p>
    <w:p>
      <w:pPr>
        <w:adjustRightInd w:val="0"/>
        <w:snapToGrid w:val="0"/>
        <w:spacing w:line="360" w:lineRule="auto"/>
        <w:ind w:firstLine="420" w:firstLineChars="200"/>
        <w:rPr>
          <w:rFonts w:ascii="宋体" w:hAnsi="宋体" w:cs="宋体"/>
          <w:color w:val="auto"/>
          <w:highlight w:val="none"/>
        </w:rPr>
      </w:pPr>
      <w:r>
        <w:rPr>
          <w:rFonts w:hint="eastAsia" w:ascii="宋体" w:hAnsi="宋体" w:cs="宋体"/>
          <w:color w:val="auto"/>
          <w:highlight w:val="none"/>
        </w:rPr>
        <w:t>3.3设备外观应无损伤，应该涂满同种明亮清晰的油漆（特殊标志除外）。设备应该完整且所有的零部件应该安装牢固，所有的焊缝饱满、无残渣等缺陷；</w:t>
      </w:r>
    </w:p>
    <w:p>
      <w:pPr>
        <w:adjustRightInd w:val="0"/>
        <w:snapToGrid w:val="0"/>
        <w:spacing w:line="360" w:lineRule="auto"/>
        <w:ind w:firstLine="420" w:firstLineChars="200"/>
        <w:rPr>
          <w:rFonts w:ascii="宋体" w:hAnsi="宋体" w:cs="宋体"/>
          <w:color w:val="auto"/>
          <w:highlight w:val="none"/>
        </w:rPr>
      </w:pPr>
      <w:r>
        <w:rPr>
          <w:rFonts w:hint="eastAsia" w:ascii="宋体" w:hAnsi="宋体" w:cs="宋体"/>
          <w:color w:val="auto"/>
          <w:highlight w:val="none"/>
        </w:rPr>
        <w:t>3.4所有的管道和电缆线等，应排列有序（正确、牢固、整齐）无皱褶、收缩和裂缝，电缆线在整个长度范围内，所有的接头应完全正确地连接；</w:t>
      </w:r>
    </w:p>
    <w:p>
      <w:pPr>
        <w:adjustRightInd w:val="0"/>
        <w:snapToGrid w:val="0"/>
        <w:spacing w:line="360" w:lineRule="auto"/>
        <w:ind w:firstLine="420" w:firstLineChars="200"/>
        <w:rPr>
          <w:rFonts w:ascii="宋体" w:hAnsi="宋体" w:cs="宋体"/>
          <w:color w:val="auto"/>
          <w:highlight w:val="none"/>
        </w:rPr>
      </w:pPr>
      <w:r>
        <w:rPr>
          <w:rFonts w:hint="eastAsia" w:ascii="宋体" w:hAnsi="宋体" w:cs="宋体"/>
          <w:color w:val="auto"/>
          <w:highlight w:val="none"/>
        </w:rPr>
        <w:t>3.5设备应有完整的标牌，且清晰易见；</w:t>
      </w:r>
    </w:p>
    <w:p>
      <w:pPr>
        <w:adjustRightInd w:val="0"/>
        <w:snapToGrid w:val="0"/>
        <w:spacing w:line="360" w:lineRule="auto"/>
        <w:ind w:firstLine="420" w:firstLineChars="200"/>
        <w:rPr>
          <w:rFonts w:ascii="宋体" w:hAnsi="宋体" w:cs="宋体"/>
          <w:color w:val="auto"/>
          <w:highlight w:val="none"/>
        </w:rPr>
      </w:pPr>
      <w:r>
        <w:rPr>
          <w:rFonts w:hint="eastAsia" w:ascii="宋体" w:hAnsi="宋体" w:cs="宋体"/>
          <w:color w:val="auto"/>
          <w:highlight w:val="none"/>
        </w:rPr>
        <w:t>3.6设备的润滑系统工作可靠，润滑点易于到达；</w:t>
      </w:r>
    </w:p>
    <w:p>
      <w:pPr>
        <w:adjustRightInd w:val="0"/>
        <w:snapToGrid w:val="0"/>
        <w:spacing w:line="360" w:lineRule="auto"/>
        <w:ind w:firstLine="420" w:firstLineChars="200"/>
        <w:rPr>
          <w:rFonts w:ascii="宋体" w:hAnsi="宋体" w:cs="宋体"/>
          <w:color w:val="auto"/>
          <w:highlight w:val="none"/>
        </w:rPr>
      </w:pPr>
      <w:r>
        <w:rPr>
          <w:rFonts w:hint="eastAsia" w:ascii="宋体" w:hAnsi="宋体" w:cs="宋体"/>
          <w:color w:val="auto"/>
          <w:highlight w:val="none"/>
        </w:rPr>
        <w:t>3.7设备的安全要求符合中国最新的相关法律、法规、标准和规范以及合同要求；</w:t>
      </w:r>
    </w:p>
    <w:p>
      <w:pPr>
        <w:adjustRightInd w:val="0"/>
        <w:snapToGrid w:val="0"/>
        <w:spacing w:line="360" w:lineRule="auto"/>
        <w:ind w:firstLine="420" w:firstLineChars="200"/>
        <w:rPr>
          <w:rFonts w:ascii="宋体" w:hAnsi="宋体" w:cs="宋体"/>
          <w:color w:val="auto"/>
          <w:highlight w:val="none"/>
        </w:rPr>
      </w:pPr>
      <w:r>
        <w:rPr>
          <w:rFonts w:hint="eastAsia" w:ascii="宋体" w:hAnsi="宋体" w:cs="宋体"/>
          <w:color w:val="auto"/>
          <w:highlight w:val="none"/>
        </w:rPr>
        <w:t>3.8地线连接和地极符合国际（ISO/IEC）标准规范；</w:t>
      </w:r>
    </w:p>
    <w:p>
      <w:pPr>
        <w:adjustRightInd w:val="0"/>
        <w:snapToGrid w:val="0"/>
        <w:spacing w:line="360" w:lineRule="auto"/>
        <w:ind w:firstLine="420" w:firstLineChars="200"/>
        <w:rPr>
          <w:rFonts w:ascii="宋体" w:hAnsi="宋体" w:cs="宋体"/>
          <w:color w:val="auto"/>
          <w:highlight w:val="none"/>
        </w:rPr>
      </w:pPr>
      <w:r>
        <w:rPr>
          <w:rFonts w:hint="eastAsia" w:ascii="宋体" w:hAnsi="宋体" w:cs="宋体"/>
          <w:color w:val="auto"/>
          <w:highlight w:val="none"/>
        </w:rPr>
        <w:t>3.9设备正常运行时，噪音不超过等效连续A声级75dB（A）；</w:t>
      </w:r>
    </w:p>
    <w:p>
      <w:pPr>
        <w:adjustRightInd w:val="0"/>
        <w:snapToGrid w:val="0"/>
        <w:spacing w:line="360" w:lineRule="auto"/>
        <w:ind w:firstLine="420" w:firstLineChars="200"/>
        <w:rPr>
          <w:rFonts w:ascii="宋体" w:hAnsi="宋体" w:cs="宋体"/>
          <w:color w:val="auto"/>
          <w:highlight w:val="none"/>
        </w:rPr>
      </w:pPr>
      <w:r>
        <w:rPr>
          <w:rFonts w:hint="eastAsia" w:ascii="宋体" w:hAnsi="宋体" w:cs="宋体"/>
          <w:color w:val="auto"/>
          <w:highlight w:val="none"/>
        </w:rPr>
        <w:t>3.10计量仪器、仪表配套合理，采用中国的法定计量单位，计量准确、灵敏可靠，计量仪器仪表由乙方提供合格证。</w:t>
      </w:r>
    </w:p>
    <w:p>
      <w:pPr>
        <w:adjustRightInd w:val="0"/>
        <w:snapToGrid w:val="0"/>
        <w:spacing w:line="360" w:lineRule="auto"/>
        <w:ind w:firstLine="420" w:firstLineChars="200"/>
        <w:rPr>
          <w:rFonts w:ascii="宋体" w:hAnsi="宋体" w:cs="宋体"/>
          <w:color w:val="auto"/>
          <w:highlight w:val="none"/>
        </w:rPr>
      </w:pPr>
      <w:r>
        <w:rPr>
          <w:rFonts w:hint="eastAsia" w:ascii="宋体" w:hAnsi="宋体" w:cs="宋体"/>
          <w:color w:val="auto"/>
          <w:highlight w:val="none"/>
        </w:rPr>
        <w:t>3.11保证设计指标和仪器说明书的参数的实现，要求竣工验收交付一次合格，返修更换校调不超过</w:t>
      </w:r>
      <w:r>
        <w:rPr>
          <w:rFonts w:hint="eastAsia" w:ascii="宋体" w:hAnsi="宋体" w:cs="宋体"/>
          <w:color w:val="auto"/>
          <w:highlight w:val="none"/>
          <w:u w:val="single"/>
        </w:rPr>
        <w:t xml:space="preserve"> 2 </w:t>
      </w:r>
      <w:r>
        <w:rPr>
          <w:rFonts w:hint="eastAsia" w:ascii="宋体" w:hAnsi="宋体" w:cs="宋体"/>
          <w:color w:val="auto"/>
          <w:highlight w:val="none"/>
        </w:rPr>
        <w:t>小时，特殊情况除外；</w:t>
      </w:r>
    </w:p>
    <w:p>
      <w:pPr>
        <w:adjustRightInd w:val="0"/>
        <w:snapToGrid w:val="0"/>
        <w:spacing w:line="360" w:lineRule="auto"/>
        <w:ind w:firstLine="420" w:firstLineChars="200"/>
        <w:rPr>
          <w:rFonts w:hint="eastAsia" w:ascii="宋体" w:hAnsi="宋体" w:cs="宋体"/>
          <w:bCs/>
          <w:color w:val="auto"/>
          <w:highlight w:val="none"/>
        </w:rPr>
      </w:pPr>
      <w:bookmarkStart w:id="56" w:name="_Toc5237"/>
      <w:r>
        <w:rPr>
          <w:rFonts w:hint="eastAsia" w:ascii="宋体" w:hAnsi="宋体" w:cs="宋体"/>
          <w:bCs/>
          <w:color w:val="auto"/>
          <w:highlight w:val="none"/>
        </w:rPr>
        <w:t>3.12</w:t>
      </w:r>
      <w:r>
        <w:rPr>
          <w:rFonts w:hint="eastAsia" w:ascii="宋体" w:hAnsi="宋体" w:cs="宋体"/>
          <w:color w:val="auto"/>
          <w:highlight w:val="none"/>
        </w:rPr>
        <w:t>设备</w:t>
      </w:r>
      <w:r>
        <w:rPr>
          <w:rFonts w:hint="eastAsia" w:ascii="宋体" w:hAnsi="宋体" w:cs="宋体"/>
          <w:bCs/>
          <w:color w:val="auto"/>
          <w:highlight w:val="none"/>
        </w:rPr>
        <w:t>质量、技术性能等，按照签定的技术协议书和合同规定的终验收标准验收。</w:t>
      </w:r>
      <w:bookmarkEnd w:id="56"/>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4  终验收内容包括以下内容：</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4.1终验收在招标方车间进行，验收内容包括但不限于设备资料、培训、设备配置、生产节拍、工期、重复定位精度及技术要求的其它条款内容。</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4.2 投标方在终验收时需提交一份预验收时发现的缺陷和设备故障确认完成整改的汇总表，列入终验收报告。</w:t>
      </w:r>
    </w:p>
    <w:p>
      <w:pPr>
        <w:tabs>
          <w:tab w:val="left" w:pos="1260"/>
        </w:tabs>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4.3存在影响节拍、装配质量、安全的缺陷，投标方应及时整改，整改合格后验收和移交。当由于招标方原因影响终验收进度时，则移交日期相应顺延。</w:t>
      </w:r>
    </w:p>
    <w:p>
      <w:pPr>
        <w:adjustRightInd w:val="0"/>
        <w:snapToGrid w:val="0"/>
        <w:spacing w:line="460" w:lineRule="exact"/>
        <w:ind w:firstLine="420" w:firstLineChars="200"/>
        <w:rPr>
          <w:rFonts w:ascii="宋体" w:hAnsi="宋体"/>
          <w:color w:val="auto"/>
          <w:highlight w:val="none"/>
        </w:rPr>
      </w:pPr>
      <w:r>
        <w:rPr>
          <w:rFonts w:hint="eastAsia" w:ascii="宋体" w:hAnsi="宋体"/>
          <w:color w:val="auto"/>
          <w:highlight w:val="none"/>
        </w:rPr>
        <w:t>4.4  终验收原则上要求一次完成。若一次验收不成功，最多允许两次；如果出现第三次验收失败，重新作价或退货；</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4.5  终验收通过后买卖双方共同签署终验收报告，并移交、核对全部供货范围内物品。</w:t>
      </w:r>
    </w:p>
    <w:p>
      <w:pPr>
        <w:adjustRightInd w:val="0"/>
        <w:snapToGrid w:val="0"/>
        <w:spacing w:line="460" w:lineRule="exact"/>
        <w:ind w:firstLine="420" w:firstLineChars="200"/>
        <w:rPr>
          <w:rFonts w:hint="eastAsia" w:ascii="宋体" w:hAnsi="宋体"/>
          <w:color w:val="auto"/>
          <w:highlight w:val="none"/>
        </w:rPr>
      </w:pPr>
    </w:p>
    <w:p>
      <w:pPr>
        <w:adjustRightInd w:val="0"/>
        <w:snapToGrid w:val="0"/>
        <w:spacing w:line="460" w:lineRule="exact"/>
        <w:ind w:firstLine="420" w:firstLineChars="200"/>
        <w:rPr>
          <w:rFonts w:hint="eastAsia" w:ascii="宋体" w:hAnsi="宋体"/>
          <w:color w:val="auto"/>
          <w:highlight w:val="none"/>
        </w:rPr>
      </w:pPr>
    </w:p>
    <w:p>
      <w:pPr>
        <w:adjustRightInd w:val="0"/>
        <w:snapToGrid w:val="0"/>
        <w:spacing w:line="460" w:lineRule="exact"/>
        <w:ind w:firstLine="420" w:firstLineChars="200"/>
        <w:rPr>
          <w:rFonts w:hint="eastAsia" w:ascii="宋体" w:hAnsi="宋体"/>
          <w:color w:val="auto"/>
          <w:highlight w:val="none"/>
        </w:rPr>
      </w:pPr>
    </w:p>
    <w:p>
      <w:pPr>
        <w:adjustRightInd w:val="0"/>
        <w:snapToGrid w:val="0"/>
        <w:spacing w:line="460" w:lineRule="exact"/>
        <w:ind w:firstLine="420" w:firstLineChars="200"/>
        <w:rPr>
          <w:rFonts w:hint="eastAsia" w:ascii="宋体" w:hAnsi="宋体"/>
          <w:color w:val="auto"/>
          <w:highlight w:val="none"/>
        </w:rPr>
      </w:pPr>
    </w:p>
    <w:p>
      <w:pPr>
        <w:adjustRightInd w:val="0"/>
        <w:snapToGrid w:val="0"/>
        <w:spacing w:line="460" w:lineRule="exact"/>
        <w:rPr>
          <w:rFonts w:hint="eastAsia" w:ascii="宋体" w:hAnsi="宋体" w:eastAsia="宋体"/>
          <w:color w:val="auto"/>
          <w:highlight w:val="none"/>
          <w:lang w:eastAsia="zh-CN"/>
        </w:rPr>
      </w:pPr>
    </w:p>
    <w:p>
      <w:pPr>
        <w:pStyle w:val="3"/>
        <w:spacing w:before="120" w:after="120" w:line="480" w:lineRule="exact"/>
        <w:jc w:val="center"/>
        <w:rPr>
          <w:rFonts w:hint="eastAsia" w:ascii="黑体" w:eastAsia="黑体"/>
          <w:b w:val="0"/>
          <w:color w:val="auto"/>
          <w:sz w:val="24"/>
          <w:szCs w:val="24"/>
          <w:highlight w:val="none"/>
        </w:rPr>
      </w:pPr>
      <w:bookmarkStart w:id="57" w:name="_Toc28978"/>
      <w:bookmarkStart w:id="58" w:name="_Toc137705874"/>
      <w:bookmarkStart w:id="59" w:name="_Toc22000"/>
      <w:bookmarkStart w:id="60" w:name="_Toc25335"/>
      <w:bookmarkStart w:id="61" w:name="_Toc12996"/>
      <w:r>
        <w:rPr>
          <w:rFonts w:hint="eastAsia" w:ascii="黑体" w:eastAsia="黑体"/>
          <w:b w:val="0"/>
          <w:color w:val="auto"/>
          <w:sz w:val="24"/>
          <w:szCs w:val="24"/>
          <w:highlight w:val="none"/>
        </w:rPr>
        <w:t>第六章  投标技术文件一般要求</w:t>
      </w:r>
      <w:bookmarkEnd w:id="57"/>
      <w:bookmarkEnd w:id="58"/>
      <w:bookmarkEnd w:id="59"/>
      <w:bookmarkEnd w:id="60"/>
      <w:bookmarkEnd w:id="61"/>
    </w:p>
    <w:p>
      <w:pPr>
        <w:adjustRightInd w:val="0"/>
        <w:snapToGrid w:val="0"/>
        <w:spacing w:line="460" w:lineRule="exact"/>
        <w:ind w:firstLine="420" w:firstLineChars="200"/>
        <w:rPr>
          <w:rFonts w:hint="eastAsia" w:ascii="黑体" w:hAnsi="宋体" w:eastAsia="黑体"/>
          <w:color w:val="auto"/>
          <w:highlight w:val="none"/>
        </w:rPr>
      </w:pPr>
      <w:r>
        <w:rPr>
          <w:rFonts w:hint="eastAsia" w:ascii="黑体" w:hAnsi="宋体" w:eastAsia="黑体"/>
          <w:color w:val="auto"/>
          <w:highlight w:val="none"/>
        </w:rPr>
        <w:t>一、技术文件一般内容要求</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1、投标方应认真阅读招标文件和本技术标书，并按要求编写投标技术文件。</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2、投标技术文件至少应对投标设备的功能用途、技术性能、质量标准、技术参数等作出详细说明。</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3、投标技术文件至少应根据投标设备的关键设备、总成、零部件或系统作出优越性说明。</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4、投标技术文件至少应按照招标文件要求（或投标方建议）列明备品备件、易损件和专用耗材明细。</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5、投标方应当而且必须分别说明所列备品备件、易损件和专用耗材的使用寿命（以有效工作小时数说明）。</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6、投标的设备，应当根据其配置和备品备件、易损件、专用耗材情况，尽可能详细且分类填入下表：</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6.1  投标设备配置一览表：</w:t>
      </w:r>
    </w:p>
    <w:p>
      <w:pPr>
        <w:adjustRightInd w:val="0"/>
        <w:snapToGrid w:val="0"/>
        <w:spacing w:line="460" w:lineRule="exact"/>
        <w:ind w:firstLine="1890" w:firstLineChars="900"/>
        <w:rPr>
          <w:rFonts w:hint="eastAsia" w:ascii="宋体" w:hAnsi="宋体"/>
          <w:color w:val="auto"/>
          <w:highlight w:val="none"/>
        </w:rPr>
      </w:pPr>
      <w:r>
        <w:rPr>
          <w:rFonts w:hint="eastAsia" w:ascii="宋体" w:hAnsi="宋体"/>
          <w:color w:val="auto"/>
          <w:highlight w:val="none"/>
        </w:rPr>
        <w:t xml:space="preserve">投标货物配置一览表          </w:t>
      </w:r>
      <w:r>
        <w:rPr>
          <w:rFonts w:hint="eastAsia" w:ascii="宋体" w:hAnsi="宋体"/>
          <w:color w:val="auto"/>
          <w:sz w:val="21"/>
          <w:highlight w:val="none"/>
        </w:rPr>
        <w:t>单位：元</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highlight w:val="none"/>
              </w:rPr>
            </w:pPr>
            <w:r>
              <w:rPr>
                <w:rFonts w:hint="eastAsia" w:ascii="宋体" w:hAnsi="宋体"/>
                <w:color w:val="auto"/>
                <w:sz w:val="21"/>
                <w:highlight w:val="none"/>
              </w:rPr>
              <w:t>序号</w:t>
            </w:r>
          </w:p>
        </w:tc>
        <w:tc>
          <w:tcPr>
            <w:tcW w:w="1924" w:type="dxa"/>
            <w:noWrap w:val="0"/>
            <w:vAlign w:val="top"/>
          </w:tcPr>
          <w:p>
            <w:pPr>
              <w:adjustRightInd w:val="0"/>
              <w:snapToGrid w:val="0"/>
              <w:spacing w:line="360" w:lineRule="exact"/>
              <w:jc w:val="center"/>
              <w:rPr>
                <w:rFonts w:hint="eastAsia" w:ascii="宋体" w:hAnsi="宋体"/>
                <w:color w:val="auto"/>
                <w:sz w:val="21"/>
                <w:highlight w:val="none"/>
              </w:rPr>
            </w:pPr>
            <w:r>
              <w:rPr>
                <w:rFonts w:hint="eastAsia" w:ascii="宋体" w:hAnsi="宋体"/>
                <w:color w:val="auto"/>
                <w:sz w:val="21"/>
                <w:highlight w:val="none"/>
              </w:rPr>
              <w:t>名称</w:t>
            </w:r>
          </w:p>
        </w:tc>
        <w:tc>
          <w:tcPr>
            <w:tcW w:w="1236" w:type="dxa"/>
            <w:noWrap w:val="0"/>
            <w:vAlign w:val="top"/>
          </w:tcPr>
          <w:p>
            <w:pPr>
              <w:adjustRightInd w:val="0"/>
              <w:snapToGrid w:val="0"/>
              <w:spacing w:line="360" w:lineRule="exact"/>
              <w:jc w:val="center"/>
              <w:rPr>
                <w:rFonts w:hint="eastAsia" w:ascii="宋体" w:hAnsi="宋体"/>
                <w:color w:val="auto"/>
                <w:sz w:val="21"/>
                <w:highlight w:val="none"/>
              </w:rPr>
            </w:pPr>
            <w:r>
              <w:rPr>
                <w:rFonts w:hint="eastAsia" w:ascii="宋体" w:hAnsi="宋体"/>
                <w:color w:val="auto"/>
                <w:sz w:val="21"/>
                <w:highlight w:val="none"/>
              </w:rPr>
              <w:t>型号规格</w:t>
            </w: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r>
              <w:rPr>
                <w:rFonts w:hint="eastAsia" w:ascii="宋体" w:hAnsi="宋体"/>
                <w:color w:val="auto"/>
                <w:sz w:val="21"/>
                <w:highlight w:val="none"/>
              </w:rPr>
              <w:t>单位</w:t>
            </w: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r>
              <w:rPr>
                <w:rFonts w:hint="eastAsia" w:ascii="宋体" w:hAnsi="宋体"/>
                <w:color w:val="auto"/>
                <w:sz w:val="21"/>
                <w:highlight w:val="none"/>
              </w:rPr>
              <w:t>数量</w:t>
            </w: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r>
              <w:rPr>
                <w:rFonts w:hint="eastAsia" w:ascii="宋体" w:hAnsi="宋体"/>
                <w:color w:val="auto"/>
                <w:sz w:val="21"/>
                <w:highlight w:val="none"/>
              </w:rPr>
              <w:t>单价</w:t>
            </w: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r>
              <w:rPr>
                <w:rFonts w:hint="eastAsia" w:ascii="宋体" w:hAnsi="宋体"/>
                <w:color w:val="auto"/>
                <w:sz w:val="21"/>
                <w:highlight w:val="none"/>
              </w:rPr>
              <w:t>总价</w:t>
            </w:r>
          </w:p>
        </w:tc>
        <w:tc>
          <w:tcPr>
            <w:tcW w:w="2235" w:type="dxa"/>
            <w:noWrap w:val="0"/>
            <w:vAlign w:val="top"/>
          </w:tcPr>
          <w:p>
            <w:pPr>
              <w:adjustRightInd w:val="0"/>
              <w:snapToGrid w:val="0"/>
              <w:spacing w:line="360" w:lineRule="exact"/>
              <w:jc w:val="center"/>
              <w:rPr>
                <w:rFonts w:hint="eastAsia" w:ascii="宋体" w:hAnsi="宋体"/>
                <w:color w:val="auto"/>
                <w:sz w:val="21"/>
                <w:highlight w:val="none"/>
              </w:rPr>
            </w:pPr>
            <w:r>
              <w:rPr>
                <w:rFonts w:hint="eastAsia" w:ascii="宋体" w:hAnsi="宋体"/>
                <w:color w:val="auto"/>
                <w:sz w:val="21"/>
                <w:highlight w:val="none"/>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highlight w:val="none"/>
              </w:rPr>
            </w:pPr>
          </w:p>
        </w:tc>
        <w:tc>
          <w:tcPr>
            <w:tcW w:w="1924" w:type="dxa"/>
            <w:noWrap w:val="0"/>
            <w:vAlign w:val="top"/>
          </w:tcPr>
          <w:p>
            <w:pPr>
              <w:adjustRightInd w:val="0"/>
              <w:snapToGrid w:val="0"/>
              <w:spacing w:line="360" w:lineRule="exact"/>
              <w:rPr>
                <w:rFonts w:hint="eastAsia" w:ascii="宋体" w:hAnsi="宋体"/>
                <w:color w:val="auto"/>
                <w:sz w:val="21"/>
                <w:highlight w:val="none"/>
              </w:rPr>
            </w:pPr>
          </w:p>
        </w:tc>
        <w:tc>
          <w:tcPr>
            <w:tcW w:w="1236" w:type="dxa"/>
            <w:noWrap w:val="0"/>
            <w:vAlign w:val="top"/>
          </w:tcPr>
          <w:p>
            <w:pPr>
              <w:adjustRightInd w:val="0"/>
              <w:snapToGrid w:val="0"/>
              <w:spacing w:line="360" w:lineRule="exact"/>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2235" w:type="dxa"/>
            <w:noWrap w:val="0"/>
            <w:vAlign w:val="top"/>
          </w:tcPr>
          <w:p>
            <w:pPr>
              <w:adjustRightInd w:val="0"/>
              <w:snapToGrid w:val="0"/>
              <w:spacing w:line="360" w:lineRule="exact"/>
              <w:rPr>
                <w:rFonts w:hint="eastAsia" w:ascii="宋体" w:hAnsi="宋体"/>
                <w:color w:val="auto"/>
                <w:sz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highlight w:val="none"/>
              </w:rPr>
            </w:pPr>
          </w:p>
        </w:tc>
        <w:tc>
          <w:tcPr>
            <w:tcW w:w="1924" w:type="dxa"/>
            <w:noWrap w:val="0"/>
            <w:vAlign w:val="top"/>
          </w:tcPr>
          <w:p>
            <w:pPr>
              <w:adjustRightInd w:val="0"/>
              <w:snapToGrid w:val="0"/>
              <w:spacing w:line="360" w:lineRule="exact"/>
              <w:rPr>
                <w:rFonts w:hint="eastAsia" w:ascii="宋体" w:hAnsi="宋体"/>
                <w:color w:val="auto"/>
                <w:sz w:val="21"/>
                <w:highlight w:val="none"/>
              </w:rPr>
            </w:pPr>
          </w:p>
        </w:tc>
        <w:tc>
          <w:tcPr>
            <w:tcW w:w="1236" w:type="dxa"/>
            <w:noWrap w:val="0"/>
            <w:vAlign w:val="top"/>
          </w:tcPr>
          <w:p>
            <w:pPr>
              <w:adjustRightInd w:val="0"/>
              <w:snapToGrid w:val="0"/>
              <w:spacing w:line="360" w:lineRule="exact"/>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2235" w:type="dxa"/>
            <w:noWrap w:val="0"/>
            <w:vAlign w:val="top"/>
          </w:tcPr>
          <w:p>
            <w:pPr>
              <w:adjustRightInd w:val="0"/>
              <w:snapToGrid w:val="0"/>
              <w:spacing w:line="360" w:lineRule="exact"/>
              <w:rPr>
                <w:rFonts w:hint="eastAsia" w:ascii="宋体" w:hAnsi="宋体"/>
                <w:color w:val="auto"/>
                <w:sz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highlight w:val="none"/>
              </w:rPr>
            </w:pPr>
          </w:p>
        </w:tc>
        <w:tc>
          <w:tcPr>
            <w:tcW w:w="1924" w:type="dxa"/>
            <w:noWrap w:val="0"/>
            <w:vAlign w:val="top"/>
          </w:tcPr>
          <w:p>
            <w:pPr>
              <w:adjustRightInd w:val="0"/>
              <w:snapToGrid w:val="0"/>
              <w:spacing w:line="360" w:lineRule="exact"/>
              <w:rPr>
                <w:rFonts w:hint="eastAsia" w:ascii="宋体" w:hAnsi="宋体"/>
                <w:color w:val="auto"/>
                <w:sz w:val="21"/>
                <w:highlight w:val="none"/>
              </w:rPr>
            </w:pPr>
          </w:p>
        </w:tc>
        <w:tc>
          <w:tcPr>
            <w:tcW w:w="1236" w:type="dxa"/>
            <w:noWrap w:val="0"/>
            <w:vAlign w:val="top"/>
          </w:tcPr>
          <w:p>
            <w:pPr>
              <w:adjustRightInd w:val="0"/>
              <w:snapToGrid w:val="0"/>
              <w:spacing w:line="360" w:lineRule="exact"/>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2235" w:type="dxa"/>
            <w:noWrap w:val="0"/>
            <w:vAlign w:val="top"/>
          </w:tcPr>
          <w:p>
            <w:pPr>
              <w:adjustRightInd w:val="0"/>
              <w:snapToGrid w:val="0"/>
              <w:spacing w:line="360" w:lineRule="exact"/>
              <w:rPr>
                <w:rFonts w:hint="eastAsia" w:ascii="宋体" w:hAnsi="宋体"/>
                <w:color w:val="auto"/>
                <w:sz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highlight w:val="none"/>
              </w:rPr>
            </w:pPr>
          </w:p>
        </w:tc>
        <w:tc>
          <w:tcPr>
            <w:tcW w:w="1924" w:type="dxa"/>
            <w:noWrap w:val="0"/>
            <w:vAlign w:val="top"/>
          </w:tcPr>
          <w:p>
            <w:pPr>
              <w:adjustRightInd w:val="0"/>
              <w:snapToGrid w:val="0"/>
              <w:spacing w:line="360" w:lineRule="exact"/>
              <w:rPr>
                <w:rFonts w:hint="eastAsia" w:ascii="宋体" w:hAnsi="宋体"/>
                <w:color w:val="auto"/>
                <w:sz w:val="21"/>
                <w:highlight w:val="none"/>
              </w:rPr>
            </w:pPr>
          </w:p>
        </w:tc>
        <w:tc>
          <w:tcPr>
            <w:tcW w:w="1236" w:type="dxa"/>
            <w:noWrap w:val="0"/>
            <w:vAlign w:val="top"/>
          </w:tcPr>
          <w:p>
            <w:pPr>
              <w:adjustRightInd w:val="0"/>
              <w:snapToGrid w:val="0"/>
              <w:spacing w:line="360" w:lineRule="exact"/>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2235" w:type="dxa"/>
            <w:noWrap w:val="0"/>
            <w:vAlign w:val="top"/>
          </w:tcPr>
          <w:p>
            <w:pPr>
              <w:adjustRightInd w:val="0"/>
              <w:snapToGrid w:val="0"/>
              <w:spacing w:line="360" w:lineRule="exact"/>
              <w:rPr>
                <w:rFonts w:hint="eastAsia" w:ascii="宋体" w:hAnsi="宋体"/>
                <w:color w:val="auto"/>
                <w:sz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highlight w:val="none"/>
              </w:rPr>
            </w:pPr>
          </w:p>
        </w:tc>
        <w:tc>
          <w:tcPr>
            <w:tcW w:w="1924" w:type="dxa"/>
            <w:noWrap w:val="0"/>
            <w:vAlign w:val="top"/>
          </w:tcPr>
          <w:p>
            <w:pPr>
              <w:adjustRightInd w:val="0"/>
              <w:snapToGrid w:val="0"/>
              <w:spacing w:line="360" w:lineRule="exact"/>
              <w:rPr>
                <w:rFonts w:hint="eastAsia" w:ascii="宋体" w:hAnsi="宋体"/>
                <w:color w:val="auto"/>
                <w:sz w:val="21"/>
                <w:highlight w:val="none"/>
              </w:rPr>
            </w:pPr>
          </w:p>
        </w:tc>
        <w:tc>
          <w:tcPr>
            <w:tcW w:w="1236" w:type="dxa"/>
            <w:noWrap w:val="0"/>
            <w:vAlign w:val="top"/>
          </w:tcPr>
          <w:p>
            <w:pPr>
              <w:adjustRightInd w:val="0"/>
              <w:snapToGrid w:val="0"/>
              <w:spacing w:line="360" w:lineRule="exact"/>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2235" w:type="dxa"/>
            <w:noWrap w:val="0"/>
            <w:vAlign w:val="top"/>
          </w:tcPr>
          <w:p>
            <w:pPr>
              <w:adjustRightInd w:val="0"/>
              <w:snapToGrid w:val="0"/>
              <w:spacing w:line="360" w:lineRule="exact"/>
              <w:rPr>
                <w:rFonts w:hint="eastAsia" w:ascii="宋体" w:hAnsi="宋体"/>
                <w:color w:val="auto"/>
                <w:sz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highlight w:val="none"/>
              </w:rPr>
            </w:pPr>
          </w:p>
        </w:tc>
        <w:tc>
          <w:tcPr>
            <w:tcW w:w="1924" w:type="dxa"/>
            <w:noWrap w:val="0"/>
            <w:vAlign w:val="top"/>
          </w:tcPr>
          <w:p>
            <w:pPr>
              <w:adjustRightInd w:val="0"/>
              <w:snapToGrid w:val="0"/>
              <w:spacing w:line="360" w:lineRule="exact"/>
              <w:rPr>
                <w:rFonts w:hint="eastAsia" w:ascii="宋体" w:hAnsi="宋体"/>
                <w:color w:val="auto"/>
                <w:sz w:val="21"/>
                <w:highlight w:val="none"/>
              </w:rPr>
            </w:pPr>
          </w:p>
        </w:tc>
        <w:tc>
          <w:tcPr>
            <w:tcW w:w="1236" w:type="dxa"/>
            <w:noWrap w:val="0"/>
            <w:vAlign w:val="top"/>
          </w:tcPr>
          <w:p>
            <w:pPr>
              <w:adjustRightInd w:val="0"/>
              <w:snapToGrid w:val="0"/>
              <w:spacing w:line="360" w:lineRule="exact"/>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2235" w:type="dxa"/>
            <w:noWrap w:val="0"/>
            <w:vAlign w:val="top"/>
          </w:tcPr>
          <w:p>
            <w:pPr>
              <w:adjustRightInd w:val="0"/>
              <w:snapToGrid w:val="0"/>
              <w:spacing w:line="360" w:lineRule="exact"/>
              <w:rPr>
                <w:rFonts w:hint="eastAsia" w:ascii="宋体" w:hAnsi="宋体"/>
                <w:color w:val="auto"/>
                <w:sz w:val="21"/>
                <w:highlight w:val="none"/>
              </w:rPr>
            </w:pPr>
          </w:p>
        </w:tc>
      </w:tr>
    </w:tbl>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6.2  备品备件、易损件和专用耗材明细表：</w:t>
      </w:r>
    </w:p>
    <w:p>
      <w:pPr>
        <w:adjustRightInd w:val="0"/>
        <w:snapToGrid w:val="0"/>
        <w:spacing w:line="460" w:lineRule="exact"/>
        <w:ind w:firstLine="1890" w:firstLineChars="900"/>
        <w:rPr>
          <w:rFonts w:hint="eastAsia" w:ascii="宋体" w:hAnsi="宋体"/>
          <w:color w:val="auto"/>
          <w:highlight w:val="none"/>
        </w:rPr>
      </w:pPr>
      <w:r>
        <w:rPr>
          <w:rFonts w:hint="eastAsia" w:ascii="宋体" w:hAnsi="宋体"/>
          <w:color w:val="auto"/>
          <w:highlight w:val="none"/>
        </w:rPr>
        <w:t xml:space="preserve">备品备件、易损件和专用耗材明细表             </w:t>
      </w:r>
      <w:r>
        <w:rPr>
          <w:rFonts w:hint="eastAsia" w:ascii="宋体" w:hAnsi="宋体"/>
          <w:color w:val="auto"/>
          <w:sz w:val="21"/>
          <w:highlight w:val="none"/>
        </w:rPr>
        <w:t>单位：元</w:t>
      </w:r>
    </w:p>
    <w:tbl>
      <w:tblPr>
        <w:tblStyle w:val="30"/>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highlight w:val="none"/>
              </w:rPr>
            </w:pPr>
            <w:r>
              <w:rPr>
                <w:rFonts w:hint="eastAsia" w:ascii="宋体" w:hAnsi="宋体"/>
                <w:color w:val="auto"/>
                <w:sz w:val="21"/>
                <w:highlight w:val="none"/>
              </w:rPr>
              <w:t>序号</w:t>
            </w:r>
          </w:p>
        </w:tc>
        <w:tc>
          <w:tcPr>
            <w:tcW w:w="1924" w:type="dxa"/>
            <w:noWrap w:val="0"/>
            <w:vAlign w:val="top"/>
          </w:tcPr>
          <w:p>
            <w:pPr>
              <w:adjustRightInd w:val="0"/>
              <w:snapToGrid w:val="0"/>
              <w:spacing w:line="360" w:lineRule="exact"/>
              <w:jc w:val="center"/>
              <w:rPr>
                <w:rFonts w:hint="eastAsia" w:ascii="宋体" w:hAnsi="宋体"/>
                <w:color w:val="auto"/>
                <w:sz w:val="21"/>
                <w:highlight w:val="none"/>
              </w:rPr>
            </w:pPr>
            <w:r>
              <w:rPr>
                <w:rFonts w:hint="eastAsia" w:ascii="宋体" w:hAnsi="宋体"/>
                <w:color w:val="auto"/>
                <w:sz w:val="21"/>
                <w:highlight w:val="none"/>
              </w:rPr>
              <w:t>名称</w:t>
            </w:r>
          </w:p>
        </w:tc>
        <w:tc>
          <w:tcPr>
            <w:tcW w:w="1236" w:type="dxa"/>
            <w:noWrap w:val="0"/>
            <w:vAlign w:val="top"/>
          </w:tcPr>
          <w:p>
            <w:pPr>
              <w:adjustRightInd w:val="0"/>
              <w:snapToGrid w:val="0"/>
              <w:spacing w:line="360" w:lineRule="exact"/>
              <w:jc w:val="center"/>
              <w:rPr>
                <w:rFonts w:hint="eastAsia" w:ascii="宋体" w:hAnsi="宋体"/>
                <w:color w:val="auto"/>
                <w:sz w:val="21"/>
                <w:highlight w:val="none"/>
              </w:rPr>
            </w:pPr>
            <w:r>
              <w:rPr>
                <w:rFonts w:hint="eastAsia" w:ascii="宋体" w:hAnsi="宋体"/>
                <w:color w:val="auto"/>
                <w:sz w:val="21"/>
                <w:highlight w:val="none"/>
              </w:rPr>
              <w:t>型号规格</w:t>
            </w: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r>
              <w:rPr>
                <w:rFonts w:hint="eastAsia" w:ascii="宋体" w:hAnsi="宋体"/>
                <w:color w:val="auto"/>
                <w:sz w:val="21"/>
                <w:highlight w:val="none"/>
              </w:rPr>
              <w:t>单位</w:t>
            </w: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r>
              <w:rPr>
                <w:rFonts w:hint="eastAsia" w:ascii="宋体" w:hAnsi="宋体"/>
                <w:color w:val="auto"/>
                <w:sz w:val="21"/>
                <w:highlight w:val="none"/>
              </w:rPr>
              <w:t>数量</w:t>
            </w: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r>
              <w:rPr>
                <w:rFonts w:hint="eastAsia" w:ascii="宋体" w:hAnsi="宋体"/>
                <w:color w:val="auto"/>
                <w:sz w:val="21"/>
                <w:highlight w:val="none"/>
              </w:rPr>
              <w:t>单价</w:t>
            </w: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r>
              <w:rPr>
                <w:rFonts w:hint="eastAsia" w:ascii="宋体" w:hAnsi="宋体"/>
                <w:color w:val="auto"/>
                <w:sz w:val="21"/>
                <w:highlight w:val="none"/>
              </w:rPr>
              <w:t>总价</w:t>
            </w:r>
          </w:p>
        </w:tc>
        <w:tc>
          <w:tcPr>
            <w:tcW w:w="2235" w:type="dxa"/>
            <w:noWrap w:val="0"/>
            <w:vAlign w:val="top"/>
          </w:tcPr>
          <w:p>
            <w:pPr>
              <w:adjustRightInd w:val="0"/>
              <w:snapToGrid w:val="0"/>
              <w:spacing w:line="360" w:lineRule="exact"/>
              <w:jc w:val="center"/>
              <w:rPr>
                <w:rFonts w:hint="eastAsia" w:ascii="宋体" w:hAnsi="宋体"/>
                <w:color w:val="auto"/>
                <w:sz w:val="21"/>
                <w:highlight w:val="none"/>
              </w:rPr>
            </w:pPr>
            <w:r>
              <w:rPr>
                <w:rFonts w:hint="eastAsia" w:ascii="宋体" w:hAnsi="宋体"/>
                <w:color w:val="auto"/>
                <w:sz w:val="21"/>
                <w:highlight w:val="none"/>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highlight w:val="none"/>
              </w:rPr>
            </w:pPr>
          </w:p>
        </w:tc>
        <w:tc>
          <w:tcPr>
            <w:tcW w:w="1924" w:type="dxa"/>
            <w:noWrap w:val="0"/>
            <w:vAlign w:val="top"/>
          </w:tcPr>
          <w:p>
            <w:pPr>
              <w:adjustRightInd w:val="0"/>
              <w:snapToGrid w:val="0"/>
              <w:spacing w:line="360" w:lineRule="exact"/>
              <w:rPr>
                <w:rFonts w:hint="eastAsia" w:ascii="宋体" w:hAnsi="宋体"/>
                <w:color w:val="auto"/>
                <w:sz w:val="21"/>
                <w:highlight w:val="none"/>
              </w:rPr>
            </w:pPr>
          </w:p>
        </w:tc>
        <w:tc>
          <w:tcPr>
            <w:tcW w:w="1236" w:type="dxa"/>
            <w:noWrap w:val="0"/>
            <w:vAlign w:val="top"/>
          </w:tcPr>
          <w:p>
            <w:pPr>
              <w:adjustRightInd w:val="0"/>
              <w:snapToGrid w:val="0"/>
              <w:spacing w:line="360" w:lineRule="exact"/>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2235" w:type="dxa"/>
            <w:noWrap w:val="0"/>
            <w:vAlign w:val="top"/>
          </w:tcPr>
          <w:p>
            <w:pPr>
              <w:adjustRightInd w:val="0"/>
              <w:snapToGrid w:val="0"/>
              <w:spacing w:line="360" w:lineRule="exact"/>
              <w:rPr>
                <w:rFonts w:hint="eastAsia" w:ascii="宋体" w:hAnsi="宋体"/>
                <w:color w:val="auto"/>
                <w:sz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highlight w:val="none"/>
              </w:rPr>
            </w:pPr>
          </w:p>
        </w:tc>
        <w:tc>
          <w:tcPr>
            <w:tcW w:w="1924" w:type="dxa"/>
            <w:noWrap w:val="0"/>
            <w:vAlign w:val="top"/>
          </w:tcPr>
          <w:p>
            <w:pPr>
              <w:adjustRightInd w:val="0"/>
              <w:snapToGrid w:val="0"/>
              <w:spacing w:line="360" w:lineRule="exact"/>
              <w:rPr>
                <w:rFonts w:hint="eastAsia" w:ascii="宋体" w:hAnsi="宋体"/>
                <w:color w:val="auto"/>
                <w:sz w:val="21"/>
                <w:highlight w:val="none"/>
              </w:rPr>
            </w:pPr>
          </w:p>
        </w:tc>
        <w:tc>
          <w:tcPr>
            <w:tcW w:w="1236" w:type="dxa"/>
            <w:noWrap w:val="0"/>
            <w:vAlign w:val="top"/>
          </w:tcPr>
          <w:p>
            <w:pPr>
              <w:adjustRightInd w:val="0"/>
              <w:snapToGrid w:val="0"/>
              <w:spacing w:line="360" w:lineRule="exact"/>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2235" w:type="dxa"/>
            <w:noWrap w:val="0"/>
            <w:vAlign w:val="top"/>
          </w:tcPr>
          <w:p>
            <w:pPr>
              <w:adjustRightInd w:val="0"/>
              <w:snapToGrid w:val="0"/>
              <w:spacing w:line="360" w:lineRule="exact"/>
              <w:rPr>
                <w:rFonts w:hint="eastAsia" w:ascii="宋体" w:hAnsi="宋体"/>
                <w:color w:val="auto"/>
                <w:sz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highlight w:val="none"/>
              </w:rPr>
            </w:pPr>
          </w:p>
        </w:tc>
        <w:tc>
          <w:tcPr>
            <w:tcW w:w="1924" w:type="dxa"/>
            <w:noWrap w:val="0"/>
            <w:vAlign w:val="top"/>
          </w:tcPr>
          <w:p>
            <w:pPr>
              <w:adjustRightInd w:val="0"/>
              <w:snapToGrid w:val="0"/>
              <w:spacing w:line="360" w:lineRule="exact"/>
              <w:rPr>
                <w:rFonts w:hint="eastAsia" w:ascii="宋体" w:hAnsi="宋体"/>
                <w:color w:val="auto"/>
                <w:sz w:val="21"/>
                <w:highlight w:val="none"/>
              </w:rPr>
            </w:pPr>
          </w:p>
        </w:tc>
        <w:tc>
          <w:tcPr>
            <w:tcW w:w="1236" w:type="dxa"/>
            <w:noWrap w:val="0"/>
            <w:vAlign w:val="top"/>
          </w:tcPr>
          <w:p>
            <w:pPr>
              <w:adjustRightInd w:val="0"/>
              <w:snapToGrid w:val="0"/>
              <w:spacing w:line="360" w:lineRule="exact"/>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2235" w:type="dxa"/>
            <w:noWrap w:val="0"/>
            <w:vAlign w:val="top"/>
          </w:tcPr>
          <w:p>
            <w:pPr>
              <w:adjustRightInd w:val="0"/>
              <w:snapToGrid w:val="0"/>
              <w:spacing w:line="360" w:lineRule="exact"/>
              <w:rPr>
                <w:rFonts w:hint="eastAsia" w:ascii="宋体" w:hAnsi="宋体"/>
                <w:color w:val="auto"/>
                <w:sz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highlight w:val="none"/>
              </w:rPr>
            </w:pPr>
          </w:p>
        </w:tc>
        <w:tc>
          <w:tcPr>
            <w:tcW w:w="1924" w:type="dxa"/>
            <w:noWrap w:val="0"/>
            <w:vAlign w:val="top"/>
          </w:tcPr>
          <w:p>
            <w:pPr>
              <w:adjustRightInd w:val="0"/>
              <w:snapToGrid w:val="0"/>
              <w:spacing w:line="360" w:lineRule="exact"/>
              <w:rPr>
                <w:rFonts w:hint="eastAsia" w:ascii="宋体" w:hAnsi="宋体"/>
                <w:color w:val="auto"/>
                <w:sz w:val="21"/>
                <w:highlight w:val="none"/>
              </w:rPr>
            </w:pPr>
          </w:p>
        </w:tc>
        <w:tc>
          <w:tcPr>
            <w:tcW w:w="1236" w:type="dxa"/>
            <w:noWrap w:val="0"/>
            <w:vAlign w:val="top"/>
          </w:tcPr>
          <w:p>
            <w:pPr>
              <w:adjustRightInd w:val="0"/>
              <w:snapToGrid w:val="0"/>
              <w:spacing w:line="360" w:lineRule="exact"/>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2235" w:type="dxa"/>
            <w:noWrap w:val="0"/>
            <w:vAlign w:val="top"/>
          </w:tcPr>
          <w:p>
            <w:pPr>
              <w:adjustRightInd w:val="0"/>
              <w:snapToGrid w:val="0"/>
              <w:spacing w:line="360" w:lineRule="exact"/>
              <w:rPr>
                <w:rFonts w:hint="eastAsia" w:ascii="宋体" w:hAnsi="宋体"/>
                <w:color w:val="auto"/>
                <w:sz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highlight w:val="none"/>
              </w:rPr>
            </w:pPr>
          </w:p>
        </w:tc>
        <w:tc>
          <w:tcPr>
            <w:tcW w:w="1924" w:type="dxa"/>
            <w:noWrap w:val="0"/>
            <w:vAlign w:val="top"/>
          </w:tcPr>
          <w:p>
            <w:pPr>
              <w:adjustRightInd w:val="0"/>
              <w:snapToGrid w:val="0"/>
              <w:spacing w:line="360" w:lineRule="exact"/>
              <w:rPr>
                <w:rFonts w:hint="eastAsia" w:ascii="宋体" w:hAnsi="宋体"/>
                <w:color w:val="auto"/>
                <w:sz w:val="21"/>
                <w:highlight w:val="none"/>
              </w:rPr>
            </w:pPr>
          </w:p>
        </w:tc>
        <w:tc>
          <w:tcPr>
            <w:tcW w:w="1236" w:type="dxa"/>
            <w:noWrap w:val="0"/>
            <w:vAlign w:val="top"/>
          </w:tcPr>
          <w:p>
            <w:pPr>
              <w:adjustRightInd w:val="0"/>
              <w:snapToGrid w:val="0"/>
              <w:spacing w:line="360" w:lineRule="exact"/>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2235" w:type="dxa"/>
            <w:noWrap w:val="0"/>
            <w:vAlign w:val="top"/>
          </w:tcPr>
          <w:p>
            <w:pPr>
              <w:adjustRightInd w:val="0"/>
              <w:snapToGrid w:val="0"/>
              <w:spacing w:line="360" w:lineRule="exact"/>
              <w:rPr>
                <w:rFonts w:hint="eastAsia" w:ascii="宋体" w:hAnsi="宋体"/>
                <w:color w:val="auto"/>
                <w:sz w:val="21"/>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noWrap w:val="0"/>
            <w:vAlign w:val="top"/>
          </w:tcPr>
          <w:p>
            <w:pPr>
              <w:adjustRightInd w:val="0"/>
              <w:snapToGrid w:val="0"/>
              <w:spacing w:line="360" w:lineRule="exact"/>
              <w:jc w:val="center"/>
              <w:rPr>
                <w:rFonts w:hint="eastAsia" w:ascii="宋体" w:hAnsi="宋体"/>
                <w:color w:val="auto"/>
                <w:sz w:val="21"/>
                <w:highlight w:val="none"/>
              </w:rPr>
            </w:pPr>
          </w:p>
        </w:tc>
        <w:tc>
          <w:tcPr>
            <w:tcW w:w="1924" w:type="dxa"/>
            <w:noWrap w:val="0"/>
            <w:vAlign w:val="top"/>
          </w:tcPr>
          <w:p>
            <w:pPr>
              <w:adjustRightInd w:val="0"/>
              <w:snapToGrid w:val="0"/>
              <w:spacing w:line="360" w:lineRule="exact"/>
              <w:rPr>
                <w:rFonts w:hint="eastAsia" w:ascii="宋体" w:hAnsi="宋体"/>
                <w:color w:val="auto"/>
                <w:sz w:val="21"/>
                <w:highlight w:val="none"/>
              </w:rPr>
            </w:pPr>
          </w:p>
        </w:tc>
        <w:tc>
          <w:tcPr>
            <w:tcW w:w="1236" w:type="dxa"/>
            <w:noWrap w:val="0"/>
            <w:vAlign w:val="top"/>
          </w:tcPr>
          <w:p>
            <w:pPr>
              <w:adjustRightInd w:val="0"/>
              <w:snapToGrid w:val="0"/>
              <w:spacing w:line="360" w:lineRule="exact"/>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720" w:type="dxa"/>
            <w:noWrap w:val="0"/>
            <w:vAlign w:val="top"/>
          </w:tcPr>
          <w:p>
            <w:pPr>
              <w:adjustRightInd w:val="0"/>
              <w:snapToGrid w:val="0"/>
              <w:spacing w:line="360" w:lineRule="exact"/>
              <w:jc w:val="center"/>
              <w:rPr>
                <w:rFonts w:hint="eastAsia" w:ascii="宋体" w:hAnsi="宋体"/>
                <w:color w:val="auto"/>
                <w:sz w:val="21"/>
                <w:highlight w:val="none"/>
              </w:rPr>
            </w:pPr>
          </w:p>
        </w:tc>
        <w:tc>
          <w:tcPr>
            <w:tcW w:w="2235" w:type="dxa"/>
            <w:noWrap w:val="0"/>
            <w:vAlign w:val="top"/>
          </w:tcPr>
          <w:p>
            <w:pPr>
              <w:adjustRightInd w:val="0"/>
              <w:snapToGrid w:val="0"/>
              <w:spacing w:line="360" w:lineRule="exact"/>
              <w:rPr>
                <w:rFonts w:hint="eastAsia" w:ascii="宋体" w:hAnsi="宋体"/>
                <w:color w:val="auto"/>
                <w:sz w:val="21"/>
                <w:highlight w:val="none"/>
              </w:rPr>
            </w:pPr>
          </w:p>
        </w:tc>
      </w:tr>
    </w:tbl>
    <w:p>
      <w:pPr>
        <w:adjustRightInd w:val="0"/>
        <w:snapToGrid w:val="0"/>
        <w:spacing w:line="360" w:lineRule="exact"/>
        <w:ind w:firstLine="420" w:firstLineChars="200"/>
        <w:rPr>
          <w:rFonts w:hint="eastAsia" w:ascii="宋体" w:hAnsi="宋体"/>
          <w:color w:val="auto"/>
          <w:sz w:val="21"/>
          <w:highlight w:val="none"/>
        </w:rPr>
      </w:pP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6.3  “一览表”和“明细表”仅作为投标方编制投标技术文件的一般格式。其中序号编写应当便于招标方了解分类或分项货物之间的所属关系，如1、1.1、1.2。</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6.4  应当尽可能将设备的配置列全、列细，这将有助于投标方胜出。</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6.5  单价与总价之间、总价与分类小计价之间、分类小计价与合计价之间数据应当齐全而且准确。</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6.6  本条款表格中的制造商，应当为全称或公认的简称。</w:t>
      </w:r>
    </w:p>
    <w:p>
      <w:pPr>
        <w:spacing w:line="480" w:lineRule="exact"/>
        <w:ind w:firstLine="420" w:firstLineChars="200"/>
        <w:rPr>
          <w:rFonts w:hint="eastAsia" w:ascii="黑体" w:hAnsi="宋体" w:eastAsia="黑体"/>
          <w:color w:val="auto"/>
          <w:highlight w:val="none"/>
        </w:rPr>
      </w:pPr>
      <w:r>
        <w:rPr>
          <w:rFonts w:hint="eastAsia" w:ascii="黑体" w:hAnsi="宋体" w:eastAsia="黑体"/>
          <w:color w:val="auto"/>
          <w:highlight w:val="none"/>
        </w:rPr>
        <w:t>二、技术文件中设备报价格式要求</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1、设备配置一览表合计价以及备品备件、易损件和专用耗材明细表合计价应当在投标总报价内对应重现而且应当数据准确。其中，质保期之内需要的备品备件、易损件和专用耗材，需要在配置一览表内单独分类列出并计入设备配置一览表合计价。</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2、投标技术文件中，如未按照要求编写、或者存在漏项和缺项，将有可能造成对投标方不必要的误解；必要时，漏项和缺项涉及的费用，将有可能以其它投标方中，相同或相似项目的最高价，计入投标方的投标总报价之内，作为评标的依据之一。</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3、如果投标总报价与其它价格出现错误或不一致，将有可能导致废标。</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4、投标总报价为自合同签定生效至合同无异议执行完毕涉及的招标方需要支付的全部费用。如投标方认为本招标及投标设备涉及专门的设计，应当列明设计费。</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5、备品备件、易损件和专用耗材，招标方将可能与投标方按照投标价格另行签署供货合同。</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6、要求投标总报价、分项报价、明细报价之间应当具有相互间对应关系以及填报分项和明细报价，仅为便于评标而不妨碍投标人以最合适的形式签署合同。</w:t>
      </w:r>
    </w:p>
    <w:p>
      <w:pPr>
        <w:adjustRightInd w:val="0"/>
        <w:snapToGrid w:val="0"/>
        <w:spacing w:line="460" w:lineRule="exact"/>
        <w:ind w:firstLine="420" w:firstLineChars="200"/>
        <w:rPr>
          <w:rFonts w:hint="eastAsia" w:ascii="黑体" w:hAnsi="宋体" w:eastAsia="黑体"/>
          <w:color w:val="auto"/>
          <w:highlight w:val="none"/>
        </w:rPr>
      </w:pPr>
      <w:r>
        <w:rPr>
          <w:rFonts w:hint="eastAsia" w:ascii="黑体" w:hAnsi="宋体" w:eastAsia="黑体"/>
          <w:color w:val="auto"/>
          <w:highlight w:val="none"/>
        </w:rPr>
        <w:t>三、验收标准及内容要求</w:t>
      </w:r>
    </w:p>
    <w:p>
      <w:pPr>
        <w:adjustRightInd w:val="0"/>
        <w:snapToGrid w:val="0"/>
        <w:spacing w:line="460" w:lineRule="exact"/>
        <w:ind w:firstLine="420" w:firstLineChars="200"/>
        <w:rPr>
          <w:rFonts w:hint="eastAsia" w:ascii="宋体" w:hAnsi="宋体"/>
          <w:color w:val="auto"/>
          <w:highlight w:val="none"/>
        </w:rPr>
      </w:pPr>
      <w:r>
        <w:rPr>
          <w:rFonts w:hint="eastAsia" w:ascii="宋体" w:hAnsi="宋体"/>
          <w:color w:val="auto"/>
          <w:highlight w:val="none"/>
        </w:rPr>
        <w:t>除招标文件明确的验收标准或内容之外，投标方应当在投标文件中提供预验收（必要时）和终验收的标准以及规程；在合同签定之前，经投标方和招标方双方洽谈确认并签署，以作为验收标准执行。</w:t>
      </w:r>
    </w:p>
    <w:p>
      <w:pPr>
        <w:pStyle w:val="3"/>
        <w:spacing w:before="120" w:after="120" w:line="480" w:lineRule="exact"/>
        <w:jc w:val="center"/>
        <w:rPr>
          <w:rFonts w:hint="eastAsia" w:ascii="黑体" w:eastAsia="黑体"/>
          <w:b w:val="0"/>
          <w:color w:val="auto"/>
          <w:sz w:val="24"/>
          <w:szCs w:val="24"/>
          <w:highlight w:val="none"/>
        </w:rPr>
      </w:pPr>
      <w:r>
        <w:rPr>
          <w:rFonts w:ascii="宋体" w:hAnsi="宋体"/>
          <w:color w:val="auto"/>
          <w:highlight w:val="none"/>
        </w:rPr>
        <w:br w:type="page"/>
      </w:r>
      <w:bookmarkStart w:id="62" w:name="_Toc6037"/>
      <w:bookmarkStart w:id="63" w:name="_Toc31849"/>
      <w:bookmarkStart w:id="64" w:name="_Toc5388"/>
      <w:bookmarkStart w:id="65" w:name="_Toc137705875"/>
      <w:bookmarkStart w:id="66" w:name="_Toc15099"/>
      <w:r>
        <w:rPr>
          <w:rFonts w:hint="eastAsia" w:ascii="黑体" w:eastAsia="黑体"/>
          <w:b w:val="0"/>
          <w:color w:val="auto"/>
          <w:sz w:val="24"/>
          <w:szCs w:val="24"/>
          <w:highlight w:val="none"/>
        </w:rPr>
        <w:t>第七章  其它要求及说明</w:t>
      </w:r>
      <w:bookmarkEnd w:id="62"/>
      <w:bookmarkEnd w:id="63"/>
      <w:bookmarkEnd w:id="64"/>
      <w:bookmarkEnd w:id="65"/>
      <w:bookmarkEnd w:id="66"/>
    </w:p>
    <w:p>
      <w:pPr>
        <w:spacing w:line="480" w:lineRule="exact"/>
        <w:ind w:firstLine="420" w:firstLineChars="200"/>
        <w:rPr>
          <w:rFonts w:hint="eastAsia" w:ascii="黑体" w:hAnsi="宋体" w:eastAsia="黑体"/>
          <w:color w:val="auto"/>
          <w:highlight w:val="none"/>
        </w:rPr>
      </w:pPr>
      <w:r>
        <w:rPr>
          <w:rFonts w:hint="eastAsia" w:ascii="黑体" w:hAnsi="宋体" w:eastAsia="黑体"/>
          <w:color w:val="auto"/>
          <w:highlight w:val="none"/>
        </w:rPr>
        <w:t>一、要求</w:t>
      </w:r>
    </w:p>
    <w:p>
      <w:pPr>
        <w:pStyle w:val="16"/>
        <w:rPr>
          <w:rFonts w:hint="eastAsia"/>
          <w:color w:val="auto"/>
          <w:highlight w:val="none"/>
        </w:rPr>
      </w:pPr>
      <w:r>
        <w:rPr>
          <w:rFonts w:hint="eastAsia"/>
          <w:color w:val="auto"/>
          <w:highlight w:val="none"/>
        </w:rPr>
        <w:t>为保证本技术标书所列采购设备的质量以及先进性、可靠性、经济性和实用性，要求投标方在投标文件中，至少应具备以下资格证明文件或资料：</w:t>
      </w:r>
    </w:p>
    <w:p>
      <w:pPr>
        <w:spacing w:line="520" w:lineRule="exact"/>
        <w:ind w:firstLine="417" w:firstLineChars="199"/>
        <w:rPr>
          <w:rFonts w:hint="eastAsia" w:ascii="宋体" w:hAnsi="宋体"/>
          <w:color w:val="auto"/>
          <w:highlight w:val="none"/>
        </w:rPr>
      </w:pPr>
      <w:r>
        <w:rPr>
          <w:rFonts w:hint="eastAsia" w:ascii="宋体" w:hAnsi="宋体"/>
          <w:color w:val="auto"/>
          <w:highlight w:val="none"/>
        </w:rPr>
        <w:t>1、投标方应是独立法人或得到法人授权的机构。应当在投标文件中提供法人营业执照（复印件）、税务登记证以及组织机构代码证（国外供应商参考该要求提供有效证明文件），并保证其真实性和有效性。</w:t>
      </w:r>
    </w:p>
    <w:p>
      <w:pPr>
        <w:spacing w:line="520" w:lineRule="exact"/>
        <w:ind w:firstLine="417" w:firstLineChars="199"/>
        <w:rPr>
          <w:rFonts w:hint="eastAsia"/>
          <w:color w:val="auto"/>
          <w:highlight w:val="none"/>
        </w:rPr>
      </w:pPr>
      <w:r>
        <w:rPr>
          <w:rFonts w:hint="eastAsia" w:ascii="宋体" w:hAnsi="宋体"/>
          <w:color w:val="auto"/>
          <w:highlight w:val="none"/>
        </w:rPr>
        <w:t>2、投标方应当是通过有关资格认证的法人。应当在投标文件中提供有效期内的资格认证证</w:t>
      </w:r>
      <w:r>
        <w:rPr>
          <w:rFonts w:hint="eastAsia"/>
          <w:color w:val="auto"/>
          <w:highlight w:val="none"/>
        </w:rPr>
        <w:t>书，如：ISO9001、VDA6.1、QS9000等。</w:t>
      </w:r>
    </w:p>
    <w:p>
      <w:pPr>
        <w:spacing w:line="520" w:lineRule="exact"/>
        <w:ind w:firstLine="417" w:firstLineChars="199"/>
        <w:rPr>
          <w:rFonts w:hint="eastAsia" w:ascii="宋体" w:hAnsi="宋体"/>
          <w:color w:val="auto"/>
          <w:highlight w:val="none"/>
        </w:rPr>
      </w:pPr>
      <w:r>
        <w:rPr>
          <w:rFonts w:hint="eastAsia" w:ascii="宋体" w:hAnsi="宋体"/>
          <w:color w:val="auto"/>
          <w:highlight w:val="none"/>
        </w:rPr>
        <w:t>3、国产设备应附有采购设备涉及的由“中国质量认证中心”颁发的《中国国家强制性产品认证证书》（CCC证书）。</w:t>
      </w:r>
    </w:p>
    <w:p>
      <w:pPr>
        <w:spacing w:line="520" w:lineRule="exact"/>
        <w:ind w:firstLine="417" w:firstLineChars="199"/>
        <w:rPr>
          <w:rFonts w:hint="eastAsia" w:ascii="宋体" w:hAnsi="宋体"/>
          <w:color w:val="auto"/>
          <w:highlight w:val="none"/>
        </w:rPr>
      </w:pPr>
      <w:r>
        <w:rPr>
          <w:rFonts w:hint="eastAsia" w:ascii="宋体" w:hAnsi="宋体"/>
          <w:color w:val="auto"/>
          <w:highlight w:val="none"/>
        </w:rPr>
        <w:t>4、应附有其它与投标单位、采购货物有关的荣誉证书或资料。</w:t>
      </w:r>
    </w:p>
    <w:p>
      <w:pPr>
        <w:spacing w:line="520" w:lineRule="exact"/>
        <w:ind w:firstLine="417" w:firstLineChars="199"/>
        <w:rPr>
          <w:rFonts w:hint="eastAsia" w:ascii="宋体" w:hAnsi="宋体"/>
          <w:color w:val="auto"/>
          <w:highlight w:val="none"/>
        </w:rPr>
      </w:pPr>
      <w:r>
        <w:rPr>
          <w:rFonts w:hint="eastAsia" w:ascii="宋体" w:hAnsi="宋体"/>
          <w:color w:val="auto"/>
          <w:highlight w:val="none"/>
        </w:rPr>
        <w:t>5、必须附有投标货物涉及产品要求的、国家或行业管理规定要求的、或者投标方认为能够体现其投标货物合法性及先进性的最高级别的证明材料（投标货物不涉及的除外）：</w:t>
      </w:r>
    </w:p>
    <w:p>
      <w:pPr>
        <w:spacing w:line="520" w:lineRule="exact"/>
        <w:ind w:firstLine="417" w:firstLineChars="199"/>
        <w:rPr>
          <w:rFonts w:hint="eastAsia" w:ascii="宋体" w:hAnsi="宋体"/>
          <w:color w:val="auto"/>
          <w:highlight w:val="none"/>
        </w:rPr>
      </w:pPr>
      <w:r>
        <w:rPr>
          <w:rFonts w:hint="eastAsia" w:ascii="宋体" w:hAnsi="宋体"/>
          <w:color w:val="auto"/>
          <w:highlight w:val="none"/>
        </w:rPr>
        <w:t>5.1  国家相关机构颁发的有效期之内所必需的《生产许可证》。</w:t>
      </w:r>
    </w:p>
    <w:p>
      <w:pPr>
        <w:spacing w:line="520" w:lineRule="exact"/>
        <w:ind w:firstLine="417" w:firstLineChars="199"/>
        <w:rPr>
          <w:rFonts w:hint="eastAsia" w:ascii="宋体" w:hAnsi="宋体"/>
          <w:color w:val="auto"/>
          <w:highlight w:val="none"/>
        </w:rPr>
      </w:pPr>
      <w:r>
        <w:rPr>
          <w:rFonts w:hint="eastAsia" w:ascii="宋体" w:hAnsi="宋体"/>
          <w:color w:val="auto"/>
          <w:highlight w:val="none"/>
        </w:rPr>
        <w:t>5.2  产品（或技术）鉴定报告/证书、专利证书或专利许可证书、新技术成果证书等。</w:t>
      </w:r>
    </w:p>
    <w:p>
      <w:pPr>
        <w:spacing w:line="520" w:lineRule="exact"/>
        <w:ind w:firstLine="417" w:firstLineChars="199"/>
        <w:rPr>
          <w:rFonts w:hint="eastAsia" w:ascii="宋体" w:hAnsi="宋体"/>
          <w:color w:val="auto"/>
          <w:highlight w:val="none"/>
        </w:rPr>
      </w:pPr>
      <w:r>
        <w:rPr>
          <w:rFonts w:hint="eastAsia" w:ascii="宋体" w:hAnsi="宋体"/>
          <w:color w:val="auto"/>
          <w:highlight w:val="none"/>
        </w:rPr>
        <w:t>5.3  产品相关检验、试验报告，如：型式试验检验报告、安全试验检验报告、电弧效应试验报告、噪声检测报告等</w:t>
      </w:r>
    </w:p>
    <w:p>
      <w:pPr>
        <w:spacing w:line="520" w:lineRule="exact"/>
        <w:ind w:firstLine="417" w:firstLineChars="199"/>
        <w:rPr>
          <w:rFonts w:hint="eastAsia" w:ascii="宋体" w:hAnsi="宋体"/>
          <w:color w:val="auto"/>
          <w:highlight w:val="none"/>
        </w:rPr>
      </w:pPr>
      <w:r>
        <w:rPr>
          <w:rFonts w:hint="eastAsia" w:ascii="宋体" w:hAnsi="宋体"/>
          <w:color w:val="auto"/>
          <w:highlight w:val="none"/>
        </w:rPr>
        <w:t>5.4  其它能够证明所供设备的质量水平、技术水平、安全性水平、节能性水平、环保性水平等相关的其它证明文件或资料、报告等。</w:t>
      </w:r>
    </w:p>
    <w:p>
      <w:pPr>
        <w:spacing w:line="520" w:lineRule="exact"/>
        <w:ind w:firstLine="417" w:firstLineChars="199"/>
        <w:rPr>
          <w:rFonts w:hint="eastAsia" w:ascii="宋体" w:hAnsi="宋体"/>
          <w:color w:val="auto"/>
          <w:highlight w:val="none"/>
        </w:rPr>
      </w:pPr>
      <w:r>
        <w:rPr>
          <w:rFonts w:hint="eastAsia" w:ascii="宋体" w:hAnsi="宋体"/>
          <w:color w:val="auto"/>
          <w:highlight w:val="none"/>
        </w:rPr>
        <w:t>5.5  该类报告或证明材料对于投标方胜出乃至中标极为重要！</w:t>
      </w:r>
    </w:p>
    <w:p>
      <w:pPr>
        <w:spacing w:line="520" w:lineRule="exact"/>
        <w:ind w:firstLine="417" w:firstLineChars="199"/>
        <w:rPr>
          <w:rFonts w:hint="eastAsia" w:ascii="宋体" w:hAnsi="宋体"/>
          <w:color w:val="auto"/>
          <w:highlight w:val="none"/>
        </w:rPr>
      </w:pPr>
      <w:r>
        <w:rPr>
          <w:rFonts w:hint="eastAsia" w:ascii="宋体" w:hAnsi="宋体"/>
          <w:color w:val="auto"/>
          <w:highlight w:val="none"/>
        </w:rPr>
        <w:t>6、必须附有与本采购设备相同或相似技术规格、型号的而且已经正常使用或通过验收的近三年以上的设备的市场销售业绩清单，清单中应具备：招标方单位名称、销售设备的规格型号、数量、（交货）时间、联系人和联系电话（非移动通信号码）等条目内容；投标方应当保证其业绩的真实性，否则将影响投标或中标资格。</w:t>
      </w:r>
    </w:p>
    <w:p>
      <w:pPr>
        <w:spacing w:line="520" w:lineRule="exact"/>
        <w:ind w:firstLine="417" w:firstLineChars="199"/>
        <w:rPr>
          <w:rFonts w:hint="eastAsia" w:ascii="黑体" w:hAnsi="宋体" w:eastAsia="黑体"/>
          <w:color w:val="auto"/>
          <w:highlight w:val="none"/>
        </w:rPr>
      </w:pPr>
      <w:r>
        <w:rPr>
          <w:rFonts w:hint="eastAsia" w:ascii="黑体" w:hAnsi="宋体" w:eastAsia="黑体"/>
          <w:color w:val="auto"/>
          <w:highlight w:val="none"/>
        </w:rPr>
        <w:t>二、说明</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1、投标方可以根据自身的技术、经验等优势以及对招标文件和本技术标书的理解，写明对招标方所采购设备的优化方案或建议意见。投标方的这些努力，招标方表示感谢，并将有助于投标方优先胜出。</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2、即使有建议意见或建议方案，仍应依据招标文件和本技术标书要求，编写符合要求的投标文件。建议方案或建议意见，应以单独篇章或文件，予以说明。</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3、请投标方仔细阅读“采购货物概况”章节内说明，针对允许分投分中的设备，招标方有权利选择其中优秀设备或服务，作为投标方合同供货范围中的指定选用设备或服务（替代投标方分投而未中标部分）。</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4、招标文件、投标文件、答疑文件、技术交流文件、技术协议书等，在采购过程全部为有效文件，如有差异，以对招标方最有利的条款为准。</w:t>
      </w:r>
    </w:p>
    <w:p>
      <w:pPr>
        <w:spacing w:line="480" w:lineRule="exact"/>
        <w:ind w:firstLine="420" w:firstLineChars="200"/>
        <w:rPr>
          <w:rFonts w:hint="eastAsia" w:ascii="宋体" w:hAnsi="宋体"/>
          <w:color w:val="auto"/>
          <w:highlight w:val="none"/>
        </w:rPr>
      </w:pPr>
      <w:r>
        <w:rPr>
          <w:rFonts w:hint="eastAsia" w:ascii="宋体" w:hAnsi="宋体"/>
          <w:color w:val="auto"/>
          <w:highlight w:val="none"/>
        </w:rPr>
        <w:t>5、为避免歧异，本技术标书涉及招投标环节的条款，均将潜在的卖方称为投标方、将买方称为招标方；定标后合同签署环节以及后续的合同执行环节条款，招标方称为买方、投标方中的中标方称为卖方。</w:t>
      </w:r>
    </w:p>
    <w:p>
      <w:pPr>
        <w:pStyle w:val="2"/>
        <w:rPr>
          <w:rFonts w:hint="default" w:eastAsia="仿宋_GB2312"/>
          <w:highlight w:val="none"/>
          <w:lang w:val="en-US" w:eastAsia="zh-CN"/>
        </w:rPr>
      </w:pPr>
      <w:r>
        <w:rPr>
          <w:rFonts w:hint="eastAsia" w:ascii="宋体" w:hAnsi="宋体" w:eastAsia="宋体" w:cs="宋体"/>
          <w:color w:val="auto"/>
          <w:sz w:val="24"/>
          <w:szCs w:val="24"/>
          <w:highlight w:val="none"/>
          <w:lang w:val="en-US" w:eastAsia="zh-CN"/>
        </w:rPr>
        <w:t>技术标评分标准：</w:t>
      </w:r>
    </w:p>
    <w:tbl>
      <w:tblPr>
        <w:tblStyle w:val="30"/>
        <w:tblpPr w:leftFromText="180" w:rightFromText="180" w:vertAnchor="text" w:horzAnchor="page" w:tblpX="1135" w:tblpY="197"/>
        <w:tblOverlap w:val="never"/>
        <w:tblW w:w="4898" w:type="pct"/>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39"/>
        <w:gridCol w:w="542"/>
        <w:gridCol w:w="1852"/>
        <w:gridCol w:w="677"/>
        <w:gridCol w:w="5387"/>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941" w:hRule="atLeast"/>
        </w:trPr>
        <w:tc>
          <w:tcPr>
            <w:tcW w:w="351" w:type="pct"/>
            <w:noWrap w:val="0"/>
            <w:vAlign w:val="center"/>
          </w:tcPr>
          <w:p>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highlight w:val="none"/>
              </w:rPr>
            </w:pPr>
            <w:r>
              <w:rPr>
                <w:rFonts w:hint="eastAsia" w:ascii="宋体" w:hAnsi="宋体" w:eastAsia="宋体" w:cs="宋体"/>
                <w:b/>
                <w:sz w:val="18"/>
                <w:szCs w:val="18"/>
                <w:highlight w:val="none"/>
              </w:rPr>
              <w:t>评价类型</w:t>
            </w:r>
          </w:p>
        </w:tc>
        <w:tc>
          <w:tcPr>
            <w:tcW w:w="297" w:type="pct"/>
            <w:noWrap w:val="0"/>
            <w:vAlign w:val="center"/>
          </w:tcPr>
          <w:p>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highlight w:val="none"/>
              </w:rPr>
            </w:pPr>
            <w:r>
              <w:rPr>
                <w:rFonts w:hint="eastAsia" w:ascii="宋体" w:hAnsi="宋体" w:eastAsia="宋体" w:cs="宋体"/>
                <w:b/>
                <w:sz w:val="18"/>
                <w:szCs w:val="18"/>
                <w:highlight w:val="none"/>
              </w:rPr>
              <w:t>序号</w:t>
            </w:r>
          </w:p>
        </w:tc>
        <w:tc>
          <w:tcPr>
            <w:tcW w:w="1017" w:type="pct"/>
            <w:noWrap w:val="0"/>
            <w:vAlign w:val="center"/>
          </w:tcPr>
          <w:p>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highlight w:val="none"/>
              </w:rPr>
            </w:pPr>
            <w:r>
              <w:rPr>
                <w:rFonts w:hint="eastAsia" w:ascii="宋体" w:hAnsi="宋体" w:eastAsia="宋体" w:cs="宋体"/>
                <w:b/>
                <w:sz w:val="18"/>
                <w:szCs w:val="18"/>
                <w:highlight w:val="none"/>
              </w:rPr>
              <w:t>内   容</w:t>
            </w:r>
          </w:p>
        </w:tc>
        <w:tc>
          <w:tcPr>
            <w:tcW w:w="372" w:type="pct"/>
            <w:noWrap w:val="0"/>
            <w:vAlign w:val="center"/>
          </w:tcPr>
          <w:p>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highlight w:val="none"/>
              </w:rPr>
            </w:pPr>
            <w:r>
              <w:rPr>
                <w:rFonts w:hint="eastAsia" w:ascii="宋体" w:hAnsi="宋体" w:eastAsia="宋体" w:cs="宋体"/>
                <w:b/>
                <w:sz w:val="18"/>
                <w:szCs w:val="18"/>
                <w:highlight w:val="none"/>
              </w:rPr>
              <w:t>标准分</w:t>
            </w:r>
          </w:p>
        </w:tc>
        <w:tc>
          <w:tcPr>
            <w:tcW w:w="2960" w:type="pct"/>
            <w:noWrap w:val="0"/>
            <w:vAlign w:val="center"/>
          </w:tcPr>
          <w:p>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b/>
                <w:sz w:val="18"/>
                <w:szCs w:val="18"/>
                <w:highlight w:val="none"/>
              </w:rPr>
            </w:pPr>
            <w:r>
              <w:rPr>
                <w:rFonts w:hint="eastAsia" w:ascii="宋体" w:hAnsi="宋体" w:eastAsia="宋体" w:cs="宋体"/>
                <w:b/>
                <w:sz w:val="18"/>
                <w:szCs w:val="18"/>
                <w:highlight w:val="none"/>
              </w:rPr>
              <w:t>评分标准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1" w:hRule="atLeast"/>
        </w:trPr>
        <w:tc>
          <w:tcPr>
            <w:tcW w:w="351" w:type="pct"/>
            <w:vMerge w:val="restart"/>
            <w:noWrap w:val="0"/>
            <w:vAlign w:val="center"/>
          </w:tcPr>
          <w:p>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sz w:val="18"/>
                <w:szCs w:val="18"/>
                <w:highlight w:val="none"/>
              </w:rPr>
            </w:pPr>
            <w:r>
              <w:rPr>
                <w:rFonts w:hint="eastAsia" w:ascii="宋体" w:hAnsi="宋体" w:eastAsia="宋体" w:cs="宋体"/>
                <w:sz w:val="18"/>
                <w:szCs w:val="18"/>
                <w:highlight w:val="none"/>
              </w:rPr>
              <w:t>技术</w:t>
            </w:r>
          </w:p>
          <w:p>
            <w:pPr>
              <w:keepNext w:val="0"/>
              <w:keepLines w:val="0"/>
              <w:suppressLineNumbers w:val="0"/>
              <w:tabs>
                <w:tab w:val="left" w:pos="13965"/>
              </w:tabs>
              <w:spacing w:before="0" w:beforeAutospacing="0" w:after="0" w:afterAutospacing="0" w:line="360" w:lineRule="auto"/>
              <w:ind w:left="0" w:right="-6"/>
              <w:jc w:val="center"/>
              <w:rPr>
                <w:rFonts w:hint="default" w:ascii="宋体" w:hAnsi="宋体" w:eastAsia="宋体" w:cs="宋体"/>
                <w:sz w:val="18"/>
                <w:szCs w:val="18"/>
                <w:highlight w:val="none"/>
              </w:rPr>
            </w:pPr>
            <w:r>
              <w:rPr>
                <w:rFonts w:hint="eastAsia" w:ascii="宋体" w:hAnsi="宋体" w:eastAsia="宋体" w:cs="宋体"/>
                <w:sz w:val="18"/>
                <w:szCs w:val="18"/>
                <w:highlight w:val="none"/>
              </w:rPr>
              <w:t>100分</w:t>
            </w:r>
          </w:p>
        </w:tc>
        <w:tc>
          <w:tcPr>
            <w:tcW w:w="297" w:type="pct"/>
            <w:noWrap w:val="0"/>
            <w:vAlign w:val="center"/>
          </w:tcPr>
          <w:p>
            <w:pPr>
              <w:keepNext w:val="0"/>
              <w:keepLines w:val="0"/>
              <w:suppressLineNumbers w:val="0"/>
              <w:tabs>
                <w:tab w:val="left" w:pos="13965"/>
              </w:tabs>
              <w:spacing w:before="0" w:beforeAutospacing="0" w:after="0" w:afterAutospacing="0" w:line="420" w:lineRule="exact"/>
              <w:ind w:left="0" w:right="0"/>
              <w:jc w:val="center"/>
              <w:rPr>
                <w:rFonts w:hint="default" w:ascii="宋体" w:hAnsi="宋体" w:eastAsia="宋体" w:cs="宋体"/>
                <w:sz w:val="18"/>
                <w:szCs w:val="18"/>
                <w:highlight w:val="none"/>
              </w:rPr>
            </w:pPr>
            <w:r>
              <w:rPr>
                <w:rFonts w:hint="eastAsia" w:ascii="宋体" w:hAnsi="宋体" w:eastAsia="宋体" w:cs="宋体"/>
                <w:sz w:val="18"/>
                <w:szCs w:val="18"/>
                <w:highlight w:val="none"/>
              </w:rPr>
              <w:t>1</w:t>
            </w:r>
          </w:p>
        </w:tc>
        <w:tc>
          <w:tcPr>
            <w:tcW w:w="1017" w:type="pct"/>
            <w:noWrap w:val="0"/>
            <w:vAlign w:val="center"/>
          </w:tcPr>
          <w:p>
            <w:pPr>
              <w:keepNext w:val="0"/>
              <w:keepLines w:val="0"/>
              <w:suppressLineNumbers w:val="0"/>
              <w:spacing w:before="0" w:beforeAutospacing="0" w:after="0" w:afterAutospacing="0" w:line="420" w:lineRule="exact"/>
              <w:ind w:left="0" w:right="0"/>
              <w:rPr>
                <w:rFonts w:hint="default" w:ascii="宋体" w:hAnsi="宋体" w:eastAsia="宋体" w:cs="宋体"/>
                <w:sz w:val="18"/>
                <w:szCs w:val="18"/>
                <w:highlight w:val="none"/>
              </w:rPr>
            </w:pPr>
            <w:r>
              <w:rPr>
                <w:rFonts w:hint="eastAsia" w:ascii="宋体" w:hAnsi="宋体" w:eastAsia="宋体" w:cs="宋体"/>
                <w:sz w:val="18"/>
                <w:szCs w:val="18"/>
                <w:highlight w:val="none"/>
              </w:rPr>
              <w:t>技术参数</w:t>
            </w:r>
          </w:p>
        </w:tc>
        <w:tc>
          <w:tcPr>
            <w:tcW w:w="372" w:type="pct"/>
            <w:noWrap w:val="0"/>
            <w:vAlign w:val="center"/>
          </w:tcPr>
          <w:p>
            <w:pPr>
              <w:keepNext w:val="0"/>
              <w:keepLines w:val="0"/>
              <w:suppressLineNumbers w:val="0"/>
              <w:spacing w:before="0" w:beforeAutospacing="0" w:after="0" w:afterAutospacing="0" w:line="300" w:lineRule="exact"/>
              <w:ind w:left="0" w:right="0"/>
              <w:jc w:val="center"/>
              <w:rPr>
                <w:rFonts w:hint="default" w:ascii="宋体" w:hAnsi="宋体" w:eastAsia="宋体" w:cs="宋体"/>
                <w:color w:val="000000"/>
                <w:sz w:val="18"/>
                <w:szCs w:val="18"/>
                <w:highlight w:val="none"/>
              </w:rPr>
            </w:pPr>
            <w:r>
              <w:rPr>
                <w:rFonts w:hint="eastAsia" w:ascii="宋体" w:hAnsi="宋体" w:eastAsia="宋体" w:cs="宋体"/>
                <w:color w:val="000000"/>
                <w:sz w:val="18"/>
                <w:szCs w:val="18"/>
                <w:highlight w:val="none"/>
              </w:rPr>
              <w:t>40</w:t>
            </w:r>
          </w:p>
        </w:tc>
        <w:tc>
          <w:tcPr>
            <w:tcW w:w="2960" w:type="pct"/>
            <w:noWrap w:val="0"/>
            <w:vAlign w:val="center"/>
          </w:tcPr>
          <w:p>
            <w:pPr>
              <w:keepNext w:val="0"/>
              <w:keepLines w:val="0"/>
              <w:suppressLineNumbers w:val="0"/>
              <w:spacing w:before="0" w:beforeAutospacing="0" w:after="0" w:afterAutospacing="0" w:line="420" w:lineRule="exact"/>
              <w:ind w:left="0" w:right="0"/>
              <w:jc w:val="left"/>
              <w:rPr>
                <w:rFonts w:hint="default" w:ascii="宋体" w:hAnsi="宋体" w:eastAsia="宋体" w:cs="宋体"/>
                <w:bCs/>
                <w:sz w:val="18"/>
                <w:szCs w:val="18"/>
                <w:highlight w:val="none"/>
              </w:rPr>
            </w:pPr>
            <w:r>
              <w:rPr>
                <w:rFonts w:hint="eastAsia" w:ascii="宋体" w:hAnsi="宋体" w:eastAsia="宋体" w:cs="宋体"/>
                <w:bCs/>
                <w:sz w:val="18"/>
                <w:szCs w:val="18"/>
                <w:highlight w:val="none"/>
              </w:rPr>
              <w:t>投标文件中技术参数符合招标文件的要求</w:t>
            </w:r>
            <w:r>
              <w:rPr>
                <w:rFonts w:hint="eastAsia" w:ascii="宋体" w:hAnsi="宋体" w:eastAsia="宋体" w:cs="宋体"/>
                <w:bCs/>
                <w:sz w:val="18"/>
                <w:szCs w:val="18"/>
                <w:highlight w:val="none"/>
                <w:lang w:eastAsia="zh-CN"/>
              </w:rPr>
              <w:t>，</w:t>
            </w:r>
            <w:r>
              <w:rPr>
                <w:rFonts w:hint="eastAsia" w:ascii="宋体" w:hAnsi="宋体" w:eastAsia="宋体" w:cs="宋体"/>
                <w:bCs/>
                <w:sz w:val="18"/>
                <w:szCs w:val="18"/>
                <w:highlight w:val="none"/>
                <w:lang w:val="en-US" w:eastAsia="zh-CN"/>
              </w:rPr>
              <w:t>无偏离</w:t>
            </w:r>
            <w:r>
              <w:rPr>
                <w:rFonts w:hint="eastAsia" w:ascii="宋体" w:hAnsi="宋体" w:eastAsia="宋体" w:cs="宋体"/>
                <w:bCs/>
                <w:sz w:val="18"/>
                <w:szCs w:val="18"/>
                <w:highlight w:val="none"/>
              </w:rPr>
              <w:t>赋</w:t>
            </w:r>
            <w:r>
              <w:rPr>
                <w:rFonts w:hint="eastAsia" w:ascii="宋体" w:hAnsi="宋体" w:eastAsia="宋体" w:cs="宋体"/>
                <w:bCs/>
                <w:sz w:val="18"/>
                <w:szCs w:val="18"/>
                <w:highlight w:val="none"/>
                <w:lang w:val="en-US" w:eastAsia="zh-CN"/>
              </w:rPr>
              <w:t>3</w:t>
            </w:r>
            <w:r>
              <w:rPr>
                <w:rFonts w:hint="eastAsia" w:ascii="宋体" w:hAnsi="宋体" w:eastAsia="宋体" w:cs="宋体"/>
                <w:bCs/>
                <w:sz w:val="18"/>
                <w:szCs w:val="18"/>
                <w:highlight w:val="none"/>
              </w:rPr>
              <w:t>0分</w:t>
            </w:r>
            <w:r>
              <w:rPr>
                <w:rFonts w:hint="eastAsia" w:ascii="宋体" w:hAnsi="宋体" w:eastAsia="宋体" w:cs="宋体"/>
                <w:bCs/>
                <w:sz w:val="18"/>
                <w:szCs w:val="18"/>
                <w:highlight w:val="none"/>
                <w:lang w:eastAsia="zh-CN"/>
              </w:rPr>
              <w:t>。</w:t>
            </w:r>
            <w:r>
              <w:rPr>
                <w:rFonts w:hint="eastAsia" w:ascii="宋体" w:hAnsi="宋体" w:eastAsia="宋体" w:cs="宋体"/>
                <w:bCs/>
                <w:sz w:val="18"/>
                <w:szCs w:val="18"/>
                <w:highlight w:val="none"/>
                <w:lang w:val="en-US" w:eastAsia="zh-CN"/>
              </w:rPr>
              <w:t>其方案中有优于技术标书中标注具体参数内容，每项加2分，</w:t>
            </w:r>
            <w:r>
              <w:rPr>
                <w:rFonts w:hint="eastAsia" w:ascii="宋体" w:hAnsi="宋体" w:eastAsia="宋体" w:cs="宋体"/>
                <w:bCs/>
                <w:sz w:val="18"/>
                <w:szCs w:val="18"/>
                <w:highlight w:val="none"/>
                <w:lang w:eastAsia="zh-CN"/>
              </w:rPr>
              <w:t>本项</w:t>
            </w:r>
            <w:r>
              <w:rPr>
                <w:rFonts w:hint="eastAsia" w:ascii="宋体" w:hAnsi="宋体" w:eastAsia="宋体" w:cs="宋体"/>
                <w:bCs/>
                <w:sz w:val="18"/>
                <w:szCs w:val="18"/>
                <w:highlight w:val="none"/>
              </w:rPr>
              <w:t>得分上限</w:t>
            </w:r>
            <w:r>
              <w:rPr>
                <w:rFonts w:hint="eastAsia" w:ascii="宋体" w:hAnsi="宋体" w:eastAsia="宋体" w:cs="宋体"/>
                <w:bCs/>
                <w:sz w:val="18"/>
                <w:szCs w:val="18"/>
                <w:highlight w:val="none"/>
                <w:lang w:val="en-US" w:eastAsia="zh-CN"/>
              </w:rPr>
              <w:t>40</w:t>
            </w:r>
            <w:r>
              <w:rPr>
                <w:rFonts w:hint="eastAsia" w:ascii="宋体" w:hAnsi="宋体" w:eastAsia="宋体" w:cs="宋体"/>
                <w:bCs/>
                <w:sz w:val="18"/>
                <w:szCs w:val="18"/>
                <w:highlight w:val="none"/>
              </w:rPr>
              <w:t>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6" w:hRule="atLeast"/>
        </w:trPr>
        <w:tc>
          <w:tcPr>
            <w:tcW w:w="351" w:type="pct"/>
            <w:vMerge w:val="continue"/>
            <w:noWrap w:val="0"/>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highlight w:val="none"/>
              </w:rPr>
            </w:pPr>
          </w:p>
        </w:tc>
        <w:tc>
          <w:tcPr>
            <w:tcW w:w="297" w:type="pct"/>
            <w:noWrap w:val="0"/>
            <w:vAlign w:val="center"/>
          </w:tcPr>
          <w:p>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highlight w:val="none"/>
              </w:rPr>
            </w:pPr>
            <w:r>
              <w:rPr>
                <w:rFonts w:hint="eastAsia" w:ascii="宋体" w:hAnsi="宋体" w:eastAsia="宋体" w:cs="宋体"/>
                <w:sz w:val="18"/>
                <w:szCs w:val="18"/>
                <w:highlight w:val="none"/>
              </w:rPr>
              <w:t>2</w:t>
            </w:r>
          </w:p>
        </w:tc>
        <w:tc>
          <w:tcPr>
            <w:tcW w:w="1017" w:type="pct"/>
            <w:noWrap w:val="0"/>
            <w:vAlign w:val="center"/>
          </w:tcPr>
          <w:p>
            <w:pPr>
              <w:keepNext w:val="0"/>
              <w:keepLines w:val="0"/>
              <w:suppressLineNumbers w:val="0"/>
              <w:spacing w:before="0" w:beforeAutospacing="0" w:after="0" w:afterAutospacing="0" w:line="420" w:lineRule="exact"/>
              <w:ind w:left="0" w:right="0"/>
              <w:rPr>
                <w:rFonts w:hint="default" w:ascii="宋体" w:hAnsi="宋体" w:eastAsia="宋体" w:cs="宋体"/>
                <w:bCs/>
                <w:sz w:val="18"/>
                <w:szCs w:val="18"/>
                <w:highlight w:val="none"/>
              </w:rPr>
            </w:pPr>
            <w:r>
              <w:rPr>
                <w:rFonts w:hint="default" w:ascii="宋体" w:hAnsi="宋体" w:eastAsia="宋体" w:cs="宋体"/>
                <w:bCs/>
                <w:sz w:val="18"/>
                <w:szCs w:val="18"/>
                <w:highlight w:val="none"/>
              </w:rPr>
              <w:t>设备制造商装备制造能力、生产设备、加工工艺、完善程度</w:t>
            </w:r>
          </w:p>
        </w:tc>
        <w:tc>
          <w:tcPr>
            <w:tcW w:w="372" w:type="pct"/>
            <w:noWrap w:val="0"/>
            <w:vAlign w:val="center"/>
          </w:tcPr>
          <w:p>
            <w:pPr>
              <w:keepNext w:val="0"/>
              <w:keepLines w:val="0"/>
              <w:suppressLineNumbers w:val="0"/>
              <w:spacing w:before="0" w:beforeAutospacing="0" w:after="0" w:afterAutospacing="0" w:line="300" w:lineRule="exact"/>
              <w:ind w:left="0" w:right="0"/>
              <w:jc w:val="center"/>
              <w:rPr>
                <w:rFonts w:hint="default" w:ascii="宋体" w:hAnsi="宋体" w:eastAsia="宋体" w:cs="宋体"/>
                <w:color w:val="000000"/>
                <w:sz w:val="18"/>
                <w:szCs w:val="18"/>
                <w:highlight w:val="none"/>
              </w:rPr>
            </w:pPr>
            <w:r>
              <w:rPr>
                <w:rFonts w:hint="eastAsia" w:ascii="宋体" w:hAnsi="宋体" w:eastAsia="宋体" w:cs="宋体"/>
                <w:color w:val="000000"/>
                <w:sz w:val="18"/>
                <w:szCs w:val="18"/>
                <w:highlight w:val="none"/>
              </w:rPr>
              <w:t>10</w:t>
            </w:r>
          </w:p>
        </w:tc>
        <w:tc>
          <w:tcPr>
            <w:tcW w:w="2960" w:type="pct"/>
            <w:noWrap w:val="0"/>
            <w:vAlign w:val="center"/>
          </w:tcPr>
          <w:p>
            <w:pPr>
              <w:keepNext w:val="0"/>
              <w:keepLines w:val="0"/>
              <w:suppressLineNumbers w:val="0"/>
              <w:spacing w:before="0" w:beforeAutospacing="0" w:after="0" w:afterAutospacing="0" w:line="420" w:lineRule="exact"/>
              <w:ind w:left="0" w:right="0"/>
              <w:jc w:val="left"/>
              <w:rPr>
                <w:rFonts w:hint="default" w:ascii="宋体" w:hAnsi="宋体" w:eastAsia="宋体" w:cs="宋体"/>
                <w:bCs/>
                <w:sz w:val="18"/>
                <w:szCs w:val="18"/>
                <w:highlight w:val="none"/>
                <w:lang w:val="en-US" w:eastAsia="zh-CN"/>
              </w:rPr>
            </w:pPr>
            <w:r>
              <w:rPr>
                <w:rFonts w:hint="eastAsia" w:ascii="宋体" w:hAnsi="宋体" w:eastAsia="宋体" w:cs="宋体"/>
                <w:bCs/>
                <w:sz w:val="18"/>
                <w:szCs w:val="18"/>
                <w:highlight w:val="none"/>
              </w:rPr>
              <w:t>对</w:t>
            </w:r>
            <w:r>
              <w:rPr>
                <w:rFonts w:hint="eastAsia" w:ascii="宋体" w:hAnsi="宋体" w:eastAsia="宋体" w:cs="宋体"/>
                <w:bCs/>
                <w:sz w:val="18"/>
                <w:szCs w:val="18"/>
                <w:highlight w:val="none"/>
                <w:lang w:val="en-US" w:eastAsia="zh-CN"/>
              </w:rPr>
              <w:t>设备制造商企业规模，业绩表现进行评价</w:t>
            </w:r>
            <w:r>
              <w:rPr>
                <w:rFonts w:hint="eastAsia" w:ascii="宋体" w:hAnsi="宋体" w:eastAsia="宋体" w:cs="宋体"/>
                <w:bCs/>
                <w:sz w:val="18"/>
                <w:szCs w:val="18"/>
                <w:highlight w:val="none"/>
              </w:rPr>
              <w:t>。</w:t>
            </w:r>
            <w:r>
              <w:rPr>
                <w:rFonts w:hint="eastAsia" w:ascii="宋体" w:hAnsi="宋体" w:eastAsia="宋体" w:cs="宋体"/>
                <w:bCs/>
                <w:sz w:val="18"/>
                <w:szCs w:val="18"/>
                <w:highlight w:val="none"/>
                <w:lang w:val="en-US" w:eastAsia="zh-CN"/>
              </w:rPr>
              <w:t>视情况赋0-10分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46" w:hRule="atLeast"/>
        </w:trPr>
        <w:tc>
          <w:tcPr>
            <w:tcW w:w="351" w:type="pct"/>
            <w:vMerge w:val="continue"/>
            <w:noWrap w:val="0"/>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highlight w:val="none"/>
              </w:rPr>
            </w:pPr>
          </w:p>
        </w:tc>
        <w:tc>
          <w:tcPr>
            <w:tcW w:w="297" w:type="pct"/>
            <w:noWrap w:val="0"/>
            <w:vAlign w:val="center"/>
          </w:tcPr>
          <w:p>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highlight w:val="none"/>
              </w:rPr>
            </w:pPr>
            <w:r>
              <w:rPr>
                <w:rFonts w:hint="eastAsia" w:ascii="宋体" w:hAnsi="宋体" w:eastAsia="宋体" w:cs="宋体"/>
                <w:sz w:val="18"/>
                <w:szCs w:val="18"/>
                <w:highlight w:val="none"/>
              </w:rPr>
              <w:t>3</w:t>
            </w:r>
          </w:p>
        </w:tc>
        <w:tc>
          <w:tcPr>
            <w:tcW w:w="1017" w:type="pct"/>
            <w:noWrap w:val="0"/>
            <w:vAlign w:val="center"/>
          </w:tcPr>
          <w:p>
            <w:pPr>
              <w:keepNext w:val="0"/>
              <w:keepLines w:val="0"/>
              <w:suppressLineNumbers w:val="0"/>
              <w:spacing w:before="0" w:beforeAutospacing="0" w:after="0" w:afterAutospacing="0" w:line="420" w:lineRule="exact"/>
              <w:ind w:left="0" w:right="0"/>
              <w:rPr>
                <w:rFonts w:hint="default" w:ascii="宋体" w:hAnsi="宋体" w:eastAsia="宋体" w:cs="宋体"/>
                <w:bCs/>
                <w:sz w:val="18"/>
                <w:szCs w:val="18"/>
                <w:highlight w:val="none"/>
                <w:lang w:val="en-US" w:eastAsia="zh-CN"/>
              </w:rPr>
            </w:pPr>
            <w:r>
              <w:rPr>
                <w:rFonts w:hint="eastAsia" w:ascii="宋体" w:hAnsi="宋体" w:eastAsia="宋体" w:cs="宋体"/>
                <w:bCs/>
                <w:sz w:val="18"/>
                <w:szCs w:val="18"/>
                <w:highlight w:val="none"/>
                <w:lang w:val="en-US" w:eastAsia="zh-CN"/>
              </w:rPr>
              <w:t>产品寿命、易耗品数量</w:t>
            </w:r>
          </w:p>
        </w:tc>
        <w:tc>
          <w:tcPr>
            <w:tcW w:w="372" w:type="pct"/>
            <w:noWrap w:val="0"/>
            <w:vAlign w:val="center"/>
          </w:tcPr>
          <w:p>
            <w:pPr>
              <w:keepNext w:val="0"/>
              <w:keepLines w:val="0"/>
              <w:suppressLineNumbers w:val="0"/>
              <w:spacing w:before="0" w:beforeAutospacing="0" w:after="0" w:afterAutospacing="0" w:line="300" w:lineRule="exact"/>
              <w:ind w:left="0" w:right="0"/>
              <w:jc w:val="center"/>
              <w:rPr>
                <w:rFonts w:hint="eastAsia" w:ascii="宋体" w:hAnsi="宋体" w:eastAsia="宋体" w:cs="宋体"/>
                <w:color w:val="000000"/>
                <w:sz w:val="18"/>
                <w:szCs w:val="18"/>
                <w:highlight w:val="none"/>
                <w:lang w:eastAsia="zh-CN"/>
              </w:rPr>
            </w:pPr>
            <w:r>
              <w:rPr>
                <w:rFonts w:hint="eastAsia" w:ascii="宋体" w:hAnsi="宋体" w:eastAsia="宋体" w:cs="宋体"/>
                <w:color w:val="000000"/>
                <w:sz w:val="18"/>
                <w:szCs w:val="18"/>
                <w:highlight w:val="none"/>
                <w:lang w:val="en-US" w:eastAsia="zh-CN"/>
              </w:rPr>
              <w:t>5</w:t>
            </w:r>
          </w:p>
        </w:tc>
        <w:tc>
          <w:tcPr>
            <w:tcW w:w="2960" w:type="pct"/>
            <w:noWrap w:val="0"/>
            <w:vAlign w:val="center"/>
          </w:tcPr>
          <w:p>
            <w:pPr>
              <w:keepNext w:val="0"/>
              <w:keepLines w:val="0"/>
              <w:suppressLineNumbers w:val="0"/>
              <w:spacing w:before="0" w:beforeAutospacing="0" w:after="0" w:afterAutospacing="0" w:line="420" w:lineRule="exact"/>
              <w:ind w:left="0" w:right="0"/>
              <w:jc w:val="left"/>
              <w:rPr>
                <w:rFonts w:hint="default" w:ascii="宋体" w:hAnsi="宋体" w:eastAsia="宋体" w:cs="宋体"/>
                <w:bCs/>
                <w:sz w:val="18"/>
                <w:szCs w:val="18"/>
                <w:highlight w:val="none"/>
              </w:rPr>
            </w:pPr>
            <w:r>
              <w:rPr>
                <w:rFonts w:hint="eastAsia" w:ascii="宋体" w:hAnsi="宋体" w:eastAsia="宋体" w:cs="宋体"/>
                <w:bCs/>
                <w:sz w:val="18"/>
                <w:szCs w:val="18"/>
                <w:highlight w:val="none"/>
                <w:lang w:val="en-US" w:eastAsia="zh-CN"/>
              </w:rPr>
              <w:t>考查供应商对产品寿命保证及提供易耗品清单数量，视情况赋0-5分</w:t>
            </w:r>
            <w:r>
              <w:rPr>
                <w:rFonts w:hint="eastAsia" w:ascii="宋体" w:hAnsi="宋体" w:eastAsia="宋体" w:cs="宋体"/>
                <w:bCs/>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3" w:hRule="atLeast"/>
        </w:trPr>
        <w:tc>
          <w:tcPr>
            <w:tcW w:w="351" w:type="pct"/>
            <w:vMerge w:val="continue"/>
            <w:noWrap w:val="0"/>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highlight w:val="none"/>
              </w:rPr>
            </w:pPr>
          </w:p>
        </w:tc>
        <w:tc>
          <w:tcPr>
            <w:tcW w:w="297" w:type="pct"/>
            <w:noWrap w:val="0"/>
            <w:vAlign w:val="center"/>
          </w:tcPr>
          <w:p>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highlight w:val="none"/>
              </w:rPr>
            </w:pPr>
            <w:r>
              <w:rPr>
                <w:rFonts w:hint="eastAsia" w:ascii="宋体" w:hAnsi="宋体" w:eastAsia="宋体" w:cs="宋体"/>
                <w:sz w:val="18"/>
                <w:szCs w:val="18"/>
                <w:highlight w:val="none"/>
              </w:rPr>
              <w:t>4</w:t>
            </w:r>
          </w:p>
        </w:tc>
        <w:tc>
          <w:tcPr>
            <w:tcW w:w="1017" w:type="pct"/>
            <w:noWrap w:val="0"/>
            <w:vAlign w:val="center"/>
          </w:tcPr>
          <w:p>
            <w:pPr>
              <w:keepNext w:val="0"/>
              <w:keepLines w:val="0"/>
              <w:suppressLineNumbers w:val="0"/>
              <w:spacing w:before="0" w:beforeAutospacing="0" w:after="0" w:afterAutospacing="0" w:line="420" w:lineRule="exact"/>
              <w:ind w:left="0" w:right="0"/>
              <w:rPr>
                <w:rFonts w:hint="default" w:ascii="宋体" w:hAnsi="宋体" w:eastAsia="宋体" w:cs="宋体"/>
                <w:bCs/>
                <w:sz w:val="18"/>
                <w:szCs w:val="18"/>
                <w:highlight w:val="none"/>
                <w:lang w:val="en-US" w:eastAsia="zh-CN"/>
              </w:rPr>
            </w:pPr>
            <w:r>
              <w:rPr>
                <w:rFonts w:hint="eastAsia" w:ascii="宋体" w:hAnsi="宋体" w:eastAsia="宋体" w:cs="宋体"/>
                <w:bCs/>
                <w:sz w:val="18"/>
                <w:szCs w:val="18"/>
                <w:highlight w:val="none"/>
                <w:lang w:val="en-US" w:eastAsia="zh-CN"/>
              </w:rPr>
              <w:t>对项目了解情况</w:t>
            </w:r>
          </w:p>
        </w:tc>
        <w:tc>
          <w:tcPr>
            <w:tcW w:w="372" w:type="pct"/>
            <w:noWrap w:val="0"/>
            <w:vAlign w:val="center"/>
          </w:tcPr>
          <w:p>
            <w:pPr>
              <w:keepNext w:val="0"/>
              <w:keepLines w:val="0"/>
              <w:suppressLineNumbers w:val="0"/>
              <w:spacing w:before="0" w:beforeAutospacing="0" w:after="0" w:afterAutospacing="0" w:line="300" w:lineRule="exact"/>
              <w:ind w:left="0" w:right="0"/>
              <w:jc w:val="center"/>
              <w:rPr>
                <w:rFonts w:hint="default" w:ascii="宋体" w:hAnsi="宋体" w:eastAsia="宋体" w:cs="宋体"/>
                <w:color w:val="000000"/>
                <w:sz w:val="18"/>
                <w:szCs w:val="18"/>
                <w:highlight w:val="none"/>
              </w:rPr>
            </w:pPr>
            <w:r>
              <w:rPr>
                <w:rFonts w:hint="eastAsia" w:ascii="宋体" w:hAnsi="宋体" w:eastAsia="宋体" w:cs="宋体"/>
                <w:color w:val="000000"/>
                <w:sz w:val="18"/>
                <w:szCs w:val="18"/>
                <w:highlight w:val="none"/>
              </w:rPr>
              <w:t>10</w:t>
            </w:r>
          </w:p>
        </w:tc>
        <w:tc>
          <w:tcPr>
            <w:tcW w:w="2960" w:type="pct"/>
            <w:noWrap w:val="0"/>
            <w:vAlign w:val="center"/>
          </w:tcPr>
          <w:p>
            <w:pPr>
              <w:keepNext w:val="0"/>
              <w:keepLines w:val="0"/>
              <w:suppressLineNumbers w:val="0"/>
              <w:spacing w:before="0" w:beforeAutospacing="0" w:after="0" w:afterAutospacing="0" w:line="420" w:lineRule="exact"/>
              <w:ind w:left="0" w:right="0"/>
              <w:jc w:val="left"/>
              <w:rPr>
                <w:rFonts w:hint="default" w:ascii="宋体" w:hAnsi="宋体" w:eastAsia="宋体" w:cs="宋体"/>
                <w:bCs/>
                <w:sz w:val="18"/>
                <w:szCs w:val="18"/>
                <w:highlight w:val="none"/>
                <w:lang w:val="en-US" w:eastAsia="zh-CN"/>
              </w:rPr>
            </w:pPr>
            <w:r>
              <w:rPr>
                <w:rFonts w:hint="eastAsia" w:ascii="宋体" w:hAnsi="宋体" w:eastAsia="宋体" w:cs="宋体"/>
                <w:bCs/>
                <w:sz w:val="18"/>
                <w:szCs w:val="18"/>
                <w:highlight w:val="none"/>
                <w:lang w:val="en-US" w:eastAsia="zh-CN"/>
              </w:rPr>
              <w:t>根据供应商现场技术方案讲解过程中对本项目了解程度，视情况赋0-10分。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1" w:hRule="atLeast"/>
        </w:trPr>
        <w:tc>
          <w:tcPr>
            <w:tcW w:w="351" w:type="pct"/>
            <w:vMerge w:val="continue"/>
            <w:noWrap w:val="0"/>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highlight w:val="none"/>
              </w:rPr>
            </w:pPr>
          </w:p>
        </w:tc>
        <w:tc>
          <w:tcPr>
            <w:tcW w:w="297" w:type="pct"/>
            <w:noWrap w:val="0"/>
            <w:vAlign w:val="center"/>
          </w:tcPr>
          <w:p>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highlight w:val="none"/>
              </w:rPr>
            </w:pPr>
            <w:r>
              <w:rPr>
                <w:rFonts w:hint="eastAsia" w:ascii="宋体" w:hAnsi="宋体" w:eastAsia="宋体" w:cs="宋体"/>
                <w:sz w:val="18"/>
                <w:szCs w:val="18"/>
                <w:highlight w:val="none"/>
              </w:rPr>
              <w:t>5</w:t>
            </w:r>
          </w:p>
        </w:tc>
        <w:tc>
          <w:tcPr>
            <w:tcW w:w="1017" w:type="pct"/>
            <w:noWrap w:val="0"/>
            <w:vAlign w:val="center"/>
          </w:tcPr>
          <w:p>
            <w:pPr>
              <w:keepNext w:val="0"/>
              <w:keepLines w:val="0"/>
              <w:suppressLineNumbers w:val="0"/>
              <w:spacing w:before="0" w:beforeAutospacing="0" w:after="0" w:afterAutospacing="0" w:line="420" w:lineRule="exact"/>
              <w:ind w:left="0" w:right="0"/>
              <w:rPr>
                <w:rFonts w:hint="default" w:ascii="宋体" w:hAnsi="宋体" w:eastAsia="宋体" w:cs="宋体"/>
                <w:sz w:val="18"/>
                <w:szCs w:val="18"/>
                <w:highlight w:val="none"/>
                <w:lang w:val="en-US" w:eastAsia="zh-CN"/>
              </w:rPr>
            </w:pPr>
            <w:r>
              <w:rPr>
                <w:rFonts w:hint="eastAsia" w:ascii="宋体" w:hAnsi="宋体" w:eastAsia="宋体" w:cs="宋体"/>
                <w:bCs/>
                <w:sz w:val="18"/>
                <w:szCs w:val="18"/>
                <w:highlight w:val="none"/>
                <w:lang w:val="en-US" w:eastAsia="zh-CN"/>
              </w:rPr>
              <w:t>售后服务及质保</w:t>
            </w:r>
          </w:p>
        </w:tc>
        <w:tc>
          <w:tcPr>
            <w:tcW w:w="372" w:type="pct"/>
            <w:noWrap w:val="0"/>
            <w:vAlign w:val="center"/>
          </w:tcPr>
          <w:p>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15</w:t>
            </w:r>
          </w:p>
        </w:tc>
        <w:tc>
          <w:tcPr>
            <w:tcW w:w="2960" w:type="pct"/>
            <w:noWrap w:val="0"/>
            <w:vAlign w:val="center"/>
          </w:tcPr>
          <w:p>
            <w:pPr>
              <w:keepNext w:val="0"/>
              <w:keepLines w:val="0"/>
              <w:suppressLineNumbers w:val="0"/>
              <w:spacing w:before="0" w:beforeAutospacing="0" w:after="0" w:afterAutospacing="0" w:line="420" w:lineRule="exact"/>
              <w:ind w:left="0" w:right="0"/>
              <w:jc w:val="left"/>
              <w:rPr>
                <w:rFonts w:hint="default" w:ascii="宋体" w:hAnsi="宋体" w:eastAsia="宋体" w:cs="宋体"/>
                <w:bCs/>
                <w:sz w:val="18"/>
                <w:szCs w:val="18"/>
                <w:highlight w:val="none"/>
              </w:rPr>
            </w:pPr>
            <w:r>
              <w:rPr>
                <w:rFonts w:hint="eastAsia" w:ascii="宋体" w:hAnsi="宋体" w:eastAsia="宋体" w:cs="宋体"/>
                <w:bCs/>
                <w:sz w:val="18"/>
                <w:szCs w:val="18"/>
                <w:highlight w:val="none"/>
                <w:lang w:val="en-US" w:eastAsia="zh-CN"/>
              </w:rPr>
              <w:t>根据供应商提供售后服务期限及条款，质保期限长短，情况赋0-15分</w:t>
            </w:r>
            <w:r>
              <w:rPr>
                <w:rFonts w:hint="eastAsia" w:ascii="宋体" w:hAnsi="宋体" w:eastAsia="宋体" w:cs="宋体"/>
                <w:bCs/>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263" w:hRule="atLeast"/>
        </w:trPr>
        <w:tc>
          <w:tcPr>
            <w:tcW w:w="351" w:type="pct"/>
            <w:vMerge w:val="continue"/>
            <w:noWrap w:val="0"/>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highlight w:val="none"/>
              </w:rPr>
            </w:pPr>
          </w:p>
        </w:tc>
        <w:tc>
          <w:tcPr>
            <w:tcW w:w="297" w:type="pct"/>
            <w:noWrap w:val="0"/>
            <w:vAlign w:val="center"/>
          </w:tcPr>
          <w:p>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highlight w:val="none"/>
              </w:rPr>
            </w:pPr>
            <w:r>
              <w:rPr>
                <w:rFonts w:hint="eastAsia" w:ascii="宋体" w:hAnsi="宋体" w:eastAsia="宋体" w:cs="宋体"/>
                <w:sz w:val="18"/>
                <w:szCs w:val="18"/>
                <w:highlight w:val="none"/>
              </w:rPr>
              <w:t>6</w:t>
            </w:r>
          </w:p>
        </w:tc>
        <w:tc>
          <w:tcPr>
            <w:tcW w:w="1017" w:type="pct"/>
            <w:noWrap w:val="0"/>
            <w:vAlign w:val="center"/>
          </w:tcPr>
          <w:p>
            <w:pPr>
              <w:keepNext w:val="0"/>
              <w:keepLines w:val="0"/>
              <w:suppressLineNumbers w:val="0"/>
              <w:spacing w:before="0" w:beforeAutospacing="0" w:after="0" w:afterAutospacing="0" w:line="420" w:lineRule="exact"/>
              <w:ind w:left="0" w:right="0"/>
              <w:rPr>
                <w:rFonts w:hint="default" w:ascii="宋体" w:hAnsi="宋体" w:eastAsia="宋体" w:cs="宋体"/>
                <w:sz w:val="18"/>
                <w:szCs w:val="18"/>
                <w:highlight w:val="none"/>
              </w:rPr>
            </w:pPr>
            <w:r>
              <w:rPr>
                <w:rFonts w:hint="eastAsia" w:ascii="宋体" w:hAnsi="宋体" w:eastAsia="宋体" w:cs="宋体"/>
                <w:sz w:val="18"/>
                <w:szCs w:val="18"/>
                <w:highlight w:val="none"/>
              </w:rPr>
              <w:t>技术培训方案</w:t>
            </w:r>
          </w:p>
        </w:tc>
        <w:tc>
          <w:tcPr>
            <w:tcW w:w="372" w:type="pct"/>
            <w:noWrap w:val="0"/>
            <w:vAlign w:val="center"/>
          </w:tcPr>
          <w:p>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highlight w:val="none"/>
                <w:lang w:val="en-US" w:eastAsia="zh-CN"/>
              </w:rPr>
            </w:pPr>
            <w:r>
              <w:rPr>
                <w:rFonts w:hint="eastAsia" w:ascii="宋体" w:hAnsi="宋体" w:eastAsia="宋体" w:cs="宋体"/>
                <w:sz w:val="18"/>
                <w:szCs w:val="18"/>
                <w:highlight w:val="none"/>
                <w:lang w:val="en-US" w:eastAsia="zh-CN"/>
              </w:rPr>
              <w:t>10</w:t>
            </w:r>
          </w:p>
        </w:tc>
        <w:tc>
          <w:tcPr>
            <w:tcW w:w="2960" w:type="pct"/>
            <w:noWrap w:val="0"/>
            <w:vAlign w:val="center"/>
          </w:tcPr>
          <w:p>
            <w:pPr>
              <w:keepNext w:val="0"/>
              <w:keepLines w:val="0"/>
              <w:suppressLineNumbers w:val="0"/>
              <w:spacing w:before="0" w:beforeAutospacing="0" w:after="0" w:afterAutospacing="0" w:line="420" w:lineRule="exact"/>
              <w:ind w:left="0" w:right="0"/>
              <w:rPr>
                <w:rFonts w:hint="default" w:ascii="宋体" w:hAnsi="宋体" w:eastAsia="宋体" w:cs="宋体"/>
                <w:bCs/>
                <w:sz w:val="18"/>
                <w:szCs w:val="18"/>
                <w:highlight w:val="none"/>
              </w:rPr>
            </w:pPr>
            <w:r>
              <w:rPr>
                <w:rFonts w:hint="eastAsia" w:ascii="宋体" w:hAnsi="宋体" w:eastAsia="宋体" w:cs="宋体"/>
                <w:sz w:val="18"/>
                <w:szCs w:val="18"/>
                <w:highlight w:val="none"/>
                <w:lang w:val="en-US" w:eastAsia="zh-CN"/>
              </w:rPr>
              <w:t>根据供应商提供技术服务及培训期限，视情况赋0-10分</w:t>
            </w:r>
            <w:r>
              <w:rPr>
                <w:rFonts w:hint="eastAsia" w:ascii="宋体" w:hAnsi="宋体" w:eastAsia="宋体" w:cs="宋体"/>
                <w:bCs/>
                <w:sz w:val="18"/>
                <w:szCs w:val="18"/>
                <w:highlight w:val="none"/>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681" w:hRule="atLeast"/>
        </w:trPr>
        <w:tc>
          <w:tcPr>
            <w:tcW w:w="351" w:type="pct"/>
            <w:vMerge w:val="continue"/>
            <w:noWrap w:val="0"/>
            <w:vAlign w:val="center"/>
          </w:tcPr>
          <w:p>
            <w:pPr>
              <w:keepNext w:val="0"/>
              <w:keepLines w:val="0"/>
              <w:suppressLineNumbers w:val="0"/>
              <w:spacing w:before="0" w:beforeAutospacing="0" w:after="0" w:afterAutospacing="0" w:line="360" w:lineRule="auto"/>
              <w:ind w:left="0" w:right="0"/>
              <w:jc w:val="center"/>
              <w:rPr>
                <w:rFonts w:hint="default" w:ascii="宋体" w:hAnsi="宋体" w:eastAsia="宋体" w:cs="宋体"/>
                <w:sz w:val="18"/>
                <w:szCs w:val="18"/>
                <w:highlight w:val="none"/>
              </w:rPr>
            </w:pPr>
          </w:p>
        </w:tc>
        <w:tc>
          <w:tcPr>
            <w:tcW w:w="297" w:type="pct"/>
            <w:noWrap w:val="0"/>
            <w:vAlign w:val="center"/>
          </w:tcPr>
          <w:p>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highlight w:val="none"/>
              </w:rPr>
            </w:pPr>
            <w:r>
              <w:rPr>
                <w:rFonts w:hint="eastAsia" w:ascii="宋体" w:hAnsi="宋体" w:eastAsia="宋体" w:cs="宋体"/>
                <w:sz w:val="18"/>
                <w:szCs w:val="18"/>
                <w:highlight w:val="none"/>
              </w:rPr>
              <w:t>7</w:t>
            </w:r>
          </w:p>
        </w:tc>
        <w:tc>
          <w:tcPr>
            <w:tcW w:w="1017" w:type="pct"/>
            <w:noWrap w:val="0"/>
            <w:vAlign w:val="center"/>
          </w:tcPr>
          <w:p>
            <w:pPr>
              <w:keepNext w:val="0"/>
              <w:keepLines w:val="0"/>
              <w:suppressLineNumbers w:val="0"/>
              <w:spacing w:before="0" w:beforeAutospacing="0" w:after="0" w:afterAutospacing="0" w:line="420" w:lineRule="exact"/>
              <w:ind w:left="0" w:right="0"/>
              <w:rPr>
                <w:rFonts w:hint="eastAsia" w:ascii="宋体" w:hAnsi="宋体" w:eastAsia="宋体" w:cs="宋体"/>
                <w:sz w:val="18"/>
                <w:szCs w:val="18"/>
                <w:highlight w:val="none"/>
                <w:lang w:eastAsia="zh-CN"/>
              </w:rPr>
            </w:pPr>
            <w:r>
              <w:rPr>
                <w:rFonts w:hint="eastAsia" w:ascii="宋体" w:hAnsi="宋体" w:eastAsia="宋体" w:cs="宋体"/>
                <w:bCs/>
                <w:sz w:val="18"/>
                <w:szCs w:val="18"/>
                <w:highlight w:val="none"/>
                <w:lang w:val="en-US" w:eastAsia="zh-CN"/>
              </w:rPr>
              <w:t>供货时间</w:t>
            </w:r>
          </w:p>
        </w:tc>
        <w:tc>
          <w:tcPr>
            <w:tcW w:w="372" w:type="pct"/>
            <w:noWrap w:val="0"/>
            <w:vAlign w:val="center"/>
          </w:tcPr>
          <w:p>
            <w:pPr>
              <w:keepNext w:val="0"/>
              <w:keepLines w:val="0"/>
              <w:suppressLineNumbers w:val="0"/>
              <w:spacing w:before="0" w:beforeAutospacing="0" w:after="0" w:afterAutospacing="0" w:line="420" w:lineRule="exact"/>
              <w:ind w:left="0" w:right="0"/>
              <w:jc w:val="center"/>
              <w:rPr>
                <w:rFonts w:hint="default" w:ascii="宋体" w:hAnsi="宋体" w:eastAsia="宋体" w:cs="宋体"/>
                <w:sz w:val="18"/>
                <w:szCs w:val="18"/>
                <w:highlight w:val="none"/>
                <w:lang w:val="en-US" w:eastAsia="zh-CN"/>
              </w:rPr>
            </w:pPr>
            <w:r>
              <w:rPr>
                <w:rFonts w:hint="eastAsia" w:ascii="宋体" w:hAnsi="宋体" w:eastAsia="宋体" w:cs="宋体"/>
                <w:bCs/>
                <w:sz w:val="18"/>
                <w:szCs w:val="18"/>
                <w:highlight w:val="none"/>
                <w:lang w:val="en-US" w:eastAsia="zh-CN"/>
              </w:rPr>
              <w:t>10</w:t>
            </w:r>
          </w:p>
        </w:tc>
        <w:tc>
          <w:tcPr>
            <w:tcW w:w="2960" w:type="pct"/>
            <w:noWrap w:val="0"/>
            <w:vAlign w:val="center"/>
          </w:tcPr>
          <w:p>
            <w:pPr>
              <w:keepNext w:val="0"/>
              <w:keepLines w:val="0"/>
              <w:suppressLineNumbers w:val="0"/>
              <w:spacing w:before="0" w:beforeAutospacing="0" w:after="0" w:afterAutospacing="0" w:line="420" w:lineRule="exact"/>
              <w:ind w:left="0" w:right="0"/>
              <w:rPr>
                <w:rFonts w:hint="default" w:ascii="宋体" w:hAnsi="宋体" w:eastAsia="宋体" w:cs="宋体"/>
                <w:bCs/>
                <w:sz w:val="18"/>
                <w:szCs w:val="18"/>
                <w:highlight w:val="none"/>
              </w:rPr>
            </w:pPr>
            <w:r>
              <w:rPr>
                <w:rFonts w:hint="eastAsia" w:ascii="宋体" w:hAnsi="宋体" w:eastAsia="宋体" w:cs="宋体"/>
                <w:bCs/>
                <w:sz w:val="18"/>
                <w:szCs w:val="18"/>
                <w:highlight w:val="none"/>
                <w:lang w:val="en-US" w:eastAsia="zh-CN"/>
              </w:rPr>
              <w:t>根据供货时间长短，视情况赋0-10分</w:t>
            </w:r>
            <w:r>
              <w:rPr>
                <w:rFonts w:hint="eastAsia" w:ascii="宋体" w:hAnsi="宋体" w:eastAsia="宋体" w:cs="宋体"/>
                <w:bCs/>
                <w:sz w:val="18"/>
                <w:szCs w:val="18"/>
                <w:highlight w:val="none"/>
              </w:rPr>
              <w:t>。</w:t>
            </w:r>
          </w:p>
        </w:tc>
      </w:tr>
    </w:tbl>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pStyle w:val="76"/>
        <w:rPr>
          <w:b/>
          <w:bCs/>
          <w:highlight w:val="none"/>
        </w:rPr>
      </w:pPr>
    </w:p>
    <w:p>
      <w:pPr>
        <w:pStyle w:val="76"/>
        <w:rPr>
          <w:highlight w:val="none"/>
        </w:rPr>
      </w:pPr>
    </w:p>
    <w:p>
      <w:pPr>
        <w:pStyle w:val="71"/>
        <w:rPr>
          <w:highlight w:val="none"/>
        </w:rPr>
      </w:pPr>
      <w:bookmarkStart w:id="67" w:name="_Toc47976609"/>
      <w:bookmarkStart w:id="68" w:name="_Toc20595"/>
      <w:r>
        <w:rPr>
          <w:rFonts w:hint="eastAsia"/>
          <w:highlight w:val="none"/>
        </w:rPr>
        <w:t>第三部分　合同主要条款</w:t>
      </w:r>
      <w:bookmarkEnd w:id="67"/>
      <w:bookmarkEnd w:id="68"/>
    </w:p>
    <w:p>
      <w:pPr>
        <w:pStyle w:val="72"/>
        <w:numPr>
          <w:ilvl w:val="0"/>
          <w:numId w:val="29"/>
        </w:numPr>
        <w:ind w:left="420"/>
        <w:rPr>
          <w:highlight w:val="none"/>
        </w:rPr>
      </w:pPr>
      <w:bookmarkStart w:id="69" w:name="_Toc47976610"/>
      <w:r>
        <w:rPr>
          <w:rFonts w:hint="eastAsia"/>
          <w:highlight w:val="none"/>
          <w:lang w:val="en-US" w:eastAsia="zh-CN"/>
        </w:rPr>
        <w:t>标的、数量、</w:t>
      </w:r>
      <w:r>
        <w:rPr>
          <w:rFonts w:hint="eastAsia"/>
          <w:highlight w:val="none"/>
        </w:rPr>
        <w:t>交货期</w:t>
      </w:r>
      <w:bookmarkEnd w:id="69"/>
    </w:p>
    <w:p>
      <w:pPr>
        <w:pStyle w:val="72"/>
        <w:rPr>
          <w:highlight w:val="none"/>
        </w:rPr>
      </w:pPr>
      <w:bookmarkStart w:id="70" w:name="_Toc47976611"/>
      <w:r>
        <w:rPr>
          <w:rFonts w:hint="eastAsia"/>
          <w:highlight w:val="none"/>
        </w:rPr>
        <w:t>交货地点</w:t>
      </w:r>
      <w:bookmarkEnd w:id="70"/>
    </w:p>
    <w:p>
      <w:pPr>
        <w:pStyle w:val="72"/>
        <w:rPr>
          <w:highlight w:val="none"/>
        </w:rPr>
      </w:pPr>
      <w:bookmarkStart w:id="71" w:name="_Toc47976612"/>
      <w:r>
        <w:rPr>
          <w:rFonts w:hint="eastAsia"/>
          <w:highlight w:val="none"/>
          <w:lang w:val="en-US" w:eastAsia="zh-CN"/>
        </w:rPr>
        <w:t>价款及</w:t>
      </w:r>
      <w:r>
        <w:rPr>
          <w:rFonts w:hint="eastAsia"/>
          <w:highlight w:val="none"/>
        </w:rPr>
        <w:t>付款方式</w:t>
      </w:r>
      <w:bookmarkEnd w:id="71"/>
    </w:p>
    <w:p>
      <w:pPr>
        <w:pStyle w:val="72"/>
        <w:rPr>
          <w:highlight w:val="none"/>
        </w:rPr>
      </w:pPr>
      <w:bookmarkStart w:id="72" w:name="_Toc47976613"/>
      <w:r>
        <w:rPr>
          <w:rFonts w:hint="eastAsia"/>
          <w:highlight w:val="none"/>
          <w:lang w:val="en-US" w:eastAsia="zh-CN"/>
        </w:rPr>
        <w:t>质量要求、</w:t>
      </w:r>
      <w:r>
        <w:rPr>
          <w:rFonts w:hint="eastAsia"/>
          <w:highlight w:val="none"/>
        </w:rPr>
        <w:t>保修期及售后服务</w:t>
      </w:r>
      <w:bookmarkEnd w:id="72"/>
    </w:p>
    <w:p>
      <w:pPr>
        <w:pStyle w:val="72"/>
        <w:rPr>
          <w:highlight w:val="none"/>
        </w:rPr>
      </w:pPr>
      <w:bookmarkStart w:id="73" w:name="_Toc47976614"/>
      <w:r>
        <w:rPr>
          <w:rFonts w:hint="eastAsia"/>
          <w:highlight w:val="none"/>
        </w:rPr>
        <w:t>安装、调试及验收要求</w:t>
      </w:r>
      <w:bookmarkEnd w:id="73"/>
    </w:p>
    <w:p>
      <w:pPr>
        <w:pStyle w:val="72"/>
        <w:rPr>
          <w:highlight w:val="none"/>
        </w:rPr>
      </w:pPr>
      <w:r>
        <w:rPr>
          <w:rFonts w:hint="eastAsia"/>
          <w:highlight w:val="none"/>
          <w:lang w:val="en-US" w:eastAsia="zh-CN"/>
        </w:rPr>
        <w:t>违约责任</w:t>
      </w:r>
    </w:p>
    <w:p>
      <w:pPr>
        <w:pStyle w:val="72"/>
        <w:rPr>
          <w:highlight w:val="none"/>
        </w:rPr>
      </w:pPr>
      <w:r>
        <w:rPr>
          <w:rFonts w:hint="eastAsia"/>
          <w:highlight w:val="none"/>
          <w:lang w:val="en-US" w:eastAsia="zh-CN"/>
        </w:rPr>
        <w:t>争议解决方式</w:t>
      </w:r>
    </w:p>
    <w:p>
      <w:pPr>
        <w:pStyle w:val="76"/>
        <w:rPr>
          <w:highlight w:val="none"/>
        </w:rPr>
      </w:pPr>
    </w:p>
    <w:p>
      <w:pPr>
        <w:pStyle w:val="76"/>
        <w:rPr>
          <w:highlight w:val="none"/>
        </w:rPr>
      </w:pPr>
    </w:p>
    <w:p>
      <w:pPr>
        <w:pStyle w:val="76"/>
        <w:rPr>
          <w:highlight w:val="none"/>
        </w:rPr>
      </w:pPr>
    </w:p>
    <w:p>
      <w:pPr>
        <w:pStyle w:val="76"/>
        <w:rPr>
          <w:highlight w:val="none"/>
        </w:rPr>
      </w:pPr>
    </w:p>
    <w:p>
      <w:pPr>
        <w:pStyle w:val="76"/>
        <w:rPr>
          <w:highlight w:val="none"/>
        </w:rPr>
      </w:pPr>
    </w:p>
    <w:p>
      <w:pPr>
        <w:pStyle w:val="76"/>
        <w:rPr>
          <w:highlight w:val="none"/>
        </w:rPr>
      </w:pPr>
    </w:p>
    <w:p>
      <w:pPr>
        <w:pStyle w:val="76"/>
        <w:rPr>
          <w:highlight w:val="none"/>
        </w:rPr>
      </w:pPr>
    </w:p>
    <w:p>
      <w:pPr>
        <w:pStyle w:val="76"/>
        <w:rPr>
          <w:highlight w:val="none"/>
        </w:rPr>
      </w:pPr>
    </w:p>
    <w:p>
      <w:pPr>
        <w:pStyle w:val="76"/>
        <w:rPr>
          <w:highlight w:val="none"/>
        </w:rPr>
      </w:pPr>
    </w:p>
    <w:p>
      <w:pPr>
        <w:pStyle w:val="76"/>
        <w:rPr>
          <w:highlight w:val="none"/>
        </w:rPr>
      </w:pPr>
    </w:p>
    <w:p>
      <w:pPr>
        <w:pStyle w:val="76"/>
        <w:rPr>
          <w:highlight w:val="none"/>
        </w:rPr>
      </w:pPr>
    </w:p>
    <w:p>
      <w:pPr>
        <w:pStyle w:val="76"/>
        <w:rPr>
          <w:highlight w:val="none"/>
        </w:rPr>
      </w:pPr>
    </w:p>
    <w:p>
      <w:pPr>
        <w:pStyle w:val="76"/>
        <w:rPr>
          <w:highlight w:val="none"/>
        </w:rPr>
      </w:pPr>
    </w:p>
    <w:p>
      <w:pPr>
        <w:pStyle w:val="76"/>
        <w:rPr>
          <w:highlight w:val="none"/>
        </w:rPr>
      </w:pPr>
    </w:p>
    <w:p>
      <w:pPr>
        <w:pStyle w:val="76"/>
        <w:rPr>
          <w:highlight w:val="none"/>
        </w:rPr>
      </w:pPr>
    </w:p>
    <w:p>
      <w:pPr>
        <w:pStyle w:val="76"/>
        <w:rPr>
          <w:highlight w:val="none"/>
        </w:rPr>
      </w:pPr>
    </w:p>
    <w:p>
      <w:pPr>
        <w:pStyle w:val="76"/>
        <w:rPr>
          <w:highlight w:val="none"/>
        </w:rPr>
      </w:pPr>
    </w:p>
    <w:p>
      <w:pPr>
        <w:pStyle w:val="76"/>
        <w:rPr>
          <w:highlight w:val="none"/>
        </w:rPr>
      </w:pPr>
    </w:p>
    <w:p>
      <w:pPr>
        <w:pStyle w:val="76"/>
        <w:rPr>
          <w:highlight w:val="none"/>
        </w:rPr>
      </w:pPr>
    </w:p>
    <w:p>
      <w:pPr>
        <w:pStyle w:val="71"/>
        <w:rPr>
          <w:rFonts w:hint="default" w:eastAsia="黑体"/>
          <w:highlight w:val="none"/>
          <w:lang w:val="en-US" w:eastAsia="zh-CN"/>
        </w:rPr>
      </w:pPr>
      <w:bookmarkStart w:id="74" w:name="_Toc47976615"/>
      <w:bookmarkStart w:id="75" w:name="_Toc5925"/>
      <w:r>
        <w:rPr>
          <w:rFonts w:hint="eastAsia"/>
          <w:highlight w:val="none"/>
        </w:rPr>
        <w:t>第四部分　</w:t>
      </w:r>
      <w:bookmarkEnd w:id="74"/>
      <w:r>
        <w:rPr>
          <w:rFonts w:hint="eastAsia"/>
          <w:highlight w:val="none"/>
          <w:lang w:val="en-US" w:eastAsia="zh-CN"/>
        </w:rPr>
        <w:t>投标文件附件</w:t>
      </w:r>
      <w:bookmarkEnd w:id="75"/>
    </w:p>
    <w:p>
      <w:pPr>
        <w:pStyle w:val="71"/>
        <w:jc w:val="left"/>
        <w:rPr>
          <w:rFonts w:hint="eastAsia" w:ascii="宋体" w:hAnsi="宋体" w:eastAsia="宋体" w:cs="宋体"/>
          <w:sz w:val="32"/>
          <w:szCs w:val="32"/>
          <w:highlight w:val="none"/>
          <w:lang w:eastAsia="zh-CN"/>
        </w:rPr>
      </w:pPr>
      <w:bookmarkStart w:id="76" w:name="_Toc4225"/>
      <w:bookmarkStart w:id="77" w:name="_Toc47976616"/>
      <w:r>
        <w:rPr>
          <w:rFonts w:hint="eastAsia" w:ascii="宋体" w:hAnsi="宋体" w:eastAsia="宋体" w:cs="宋体"/>
          <w:sz w:val="32"/>
          <w:szCs w:val="32"/>
          <w:highlight w:val="none"/>
        </w:rPr>
        <w:t>附件</w:t>
      </w:r>
      <w:bookmarkEnd w:id="76"/>
      <w:bookmarkEnd w:id="77"/>
      <w:r>
        <w:rPr>
          <w:rFonts w:hint="eastAsia" w:ascii="宋体" w:hAnsi="宋体" w:eastAsia="宋体" w:cs="宋体"/>
          <w:sz w:val="32"/>
          <w:szCs w:val="32"/>
          <w:highlight w:val="none"/>
          <w:lang w:val="en-US" w:eastAsia="zh-CN"/>
        </w:rPr>
        <w:t>1</w:t>
      </w:r>
    </w:p>
    <w:p>
      <w:pPr>
        <w:keepNext/>
        <w:keepLines/>
        <w:jc w:val="center"/>
        <w:outlineLvl w:val="2"/>
        <w:rPr>
          <w:rFonts w:hint="eastAsia" w:ascii="宋体" w:hAnsi="宋体" w:eastAsia="宋体" w:cs="宋体"/>
          <w:b/>
          <w:bCs/>
          <w:color w:val="000000"/>
          <w:sz w:val="32"/>
          <w:szCs w:val="32"/>
          <w:highlight w:val="none"/>
        </w:rPr>
      </w:pPr>
      <w:r>
        <w:rPr>
          <w:rFonts w:hint="eastAsia" w:ascii="宋体" w:hAnsi="宋体" w:eastAsia="宋体" w:cs="宋体"/>
          <w:b/>
          <w:bCs/>
          <w:color w:val="000000"/>
          <w:sz w:val="32"/>
          <w:szCs w:val="32"/>
          <w:highlight w:val="none"/>
        </w:rPr>
        <w:t>投标函</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致：中国重汽集团</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有限公司：</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根据贵方</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bCs/>
          <w:snapToGrid w:val="0"/>
          <w:color w:val="000000"/>
          <w:kern w:val="0"/>
          <w:sz w:val="24"/>
          <w:szCs w:val="24"/>
          <w:highlight w:val="none"/>
        </w:rPr>
        <w:t>招标公告</w:t>
      </w:r>
      <w:r>
        <w:rPr>
          <w:rFonts w:hint="eastAsia" w:ascii="宋体" w:hAnsi="宋体" w:eastAsia="宋体" w:cs="Times New Roman"/>
          <w:color w:val="000000"/>
          <w:sz w:val="24"/>
          <w:szCs w:val="24"/>
          <w:highlight w:val="none"/>
        </w:rPr>
        <w:t>，</w:t>
      </w:r>
      <w:r>
        <w:rPr>
          <w:rFonts w:ascii="宋体" w:hAnsi="宋体" w:eastAsia="宋体" w:cs="Times New Roman"/>
          <w:b/>
          <w:color w:val="000000"/>
          <w:sz w:val="24"/>
          <w:szCs w:val="24"/>
          <w:highlight w:val="none"/>
          <w:u w:val="single"/>
        </w:rPr>
        <w:t xml:space="preserve">            </w:t>
      </w:r>
      <w:r>
        <w:rPr>
          <w:rFonts w:hint="eastAsia" w:ascii="宋体" w:hAnsi="宋体" w:eastAsia="宋体" w:cs="Times New Roman"/>
          <w:color w:val="000000"/>
          <w:sz w:val="24"/>
          <w:szCs w:val="24"/>
          <w:highlight w:val="none"/>
        </w:rPr>
        <w:t>投标公司，</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法人代表人为</w:t>
      </w:r>
      <w:r>
        <w:rPr>
          <w:rFonts w:ascii="宋体" w:hAnsi="宋体" w:eastAsia="宋体" w:cs="Times New Roman"/>
          <w:color w:val="000000"/>
          <w:sz w:val="24"/>
          <w:szCs w:val="24"/>
          <w:highlight w:val="none"/>
          <w:u w:val="single"/>
        </w:rPr>
        <w:t xml:space="preserve">         </w:t>
      </w:r>
      <w:r>
        <w:rPr>
          <w:rFonts w:hint="eastAsia" w:ascii="宋体" w:hAnsi="宋体" w:eastAsia="宋体" w:cs="Times New Roman"/>
          <w:color w:val="000000"/>
          <w:sz w:val="24"/>
          <w:szCs w:val="24"/>
          <w:highlight w:val="none"/>
        </w:rPr>
        <w:t>，正式授权</w:t>
      </w:r>
      <w:r>
        <w:rPr>
          <w:rFonts w:ascii="宋体" w:hAnsi="宋体" w:eastAsia="宋体" w:cs="Times New Roman"/>
          <w:color w:val="000000"/>
          <w:sz w:val="24"/>
          <w:szCs w:val="24"/>
          <w:highlight w:val="none"/>
          <w:u w:val="single"/>
        </w:rPr>
        <w:t xml:space="preserve">           </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提交纸质投标文件：资质证明文件、商务文件和技术文件正本</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份、副本</w:t>
      </w:r>
      <w:r>
        <w:rPr>
          <w:rFonts w:hint="eastAsia" w:ascii="宋体" w:hAnsi="宋体" w:cs="Times New Roman"/>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份；电子版投标文件一份。</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据此函，签字代表宣布同意如下：</w:t>
      </w:r>
    </w:p>
    <w:p>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1</w:t>
      </w:r>
      <w:r>
        <w:rPr>
          <w:rFonts w:hint="eastAsia" w:ascii="宋体" w:hAnsi="宋体" w:eastAsia="宋体" w:cs="Times New Roman"/>
          <w:color w:val="000000"/>
          <w:sz w:val="24"/>
          <w:szCs w:val="24"/>
          <w:highlight w:val="none"/>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2</w:t>
      </w:r>
      <w:r>
        <w:rPr>
          <w:rFonts w:hint="eastAsia" w:ascii="宋体" w:hAnsi="宋体" w:eastAsia="宋体" w:cs="Times New Roman"/>
          <w:color w:val="000000"/>
          <w:sz w:val="24"/>
          <w:szCs w:val="24"/>
          <w:highlight w:val="none"/>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3</w:t>
      </w:r>
      <w:r>
        <w:rPr>
          <w:rFonts w:hint="eastAsia" w:ascii="宋体" w:hAnsi="宋体" w:eastAsia="宋体" w:cs="Times New Roman"/>
          <w:color w:val="000000"/>
          <w:sz w:val="24"/>
          <w:szCs w:val="24"/>
          <w:highlight w:val="none"/>
        </w:rPr>
        <w:t>.本投标有效期自开标日起</w:t>
      </w:r>
      <w:r>
        <w:rPr>
          <w:rFonts w:ascii="宋体" w:hAnsi="宋体" w:eastAsia="宋体" w:cs="Times New Roman"/>
          <w:bCs/>
          <w:color w:val="000000"/>
          <w:sz w:val="24"/>
          <w:szCs w:val="24"/>
          <w:highlight w:val="none"/>
          <w:u w:val="single"/>
        </w:rPr>
        <w:t xml:space="preserve"> </w:t>
      </w:r>
      <w:r>
        <w:rPr>
          <w:rFonts w:hint="eastAsia" w:ascii="宋体" w:hAnsi="宋体" w:cs="Times New Roman"/>
          <w:bCs/>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个日历日。</w:t>
      </w:r>
    </w:p>
    <w:p>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4</w:t>
      </w:r>
      <w:r>
        <w:rPr>
          <w:rFonts w:hint="eastAsia" w:ascii="宋体" w:hAnsi="宋体" w:eastAsia="宋体" w:cs="Times New Roman"/>
          <w:color w:val="000000"/>
          <w:sz w:val="24"/>
          <w:szCs w:val="24"/>
          <w:highlight w:val="none"/>
        </w:rPr>
        <w:t>.如中标，本投标文件至本项目合同履行完毕止均保持有效，本投标人将按“招标文件”及政府采购法律、法规的规定履行合同责任和义务。</w:t>
      </w:r>
    </w:p>
    <w:p>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5</w:t>
      </w:r>
      <w:r>
        <w:rPr>
          <w:rFonts w:hint="eastAsia" w:ascii="宋体" w:hAnsi="宋体" w:eastAsia="宋体" w:cs="Times New Roman"/>
          <w:color w:val="000000"/>
          <w:sz w:val="24"/>
          <w:szCs w:val="24"/>
          <w:highlight w:val="none"/>
        </w:rPr>
        <w:t>.投标人同意按照贵方要求提供与投标有关的一切数据或资料。</w:t>
      </w:r>
    </w:p>
    <w:p>
      <w:pPr>
        <w:spacing w:line="360" w:lineRule="auto"/>
        <w:ind w:firstLine="480" w:firstLineChars="200"/>
        <w:rPr>
          <w:rFonts w:ascii="宋体" w:hAnsi="宋体" w:eastAsia="宋体" w:cs="Times New Roman"/>
          <w:color w:val="000000"/>
          <w:sz w:val="24"/>
          <w:szCs w:val="24"/>
          <w:highlight w:val="none"/>
        </w:rPr>
      </w:pPr>
      <w:r>
        <w:rPr>
          <w:rFonts w:ascii="宋体" w:hAnsi="宋体" w:eastAsia="宋体" w:cs="Times New Roman"/>
          <w:color w:val="000000"/>
          <w:sz w:val="24"/>
          <w:szCs w:val="24"/>
          <w:highlight w:val="none"/>
        </w:rPr>
        <w:t>6</w:t>
      </w:r>
      <w:r>
        <w:rPr>
          <w:rFonts w:hint="eastAsia" w:ascii="宋体" w:hAnsi="宋体" w:eastAsia="宋体" w:cs="Times New Roman"/>
          <w:color w:val="000000"/>
          <w:sz w:val="24"/>
          <w:szCs w:val="24"/>
          <w:highlight w:val="none"/>
        </w:rPr>
        <w:t>.与本投标有关的一切正式往来信函请寄：</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地址：</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邮编：</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电话：</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传真：</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投标人代表姓名：</w:t>
      </w:r>
      <w:r>
        <w:rPr>
          <w:rFonts w:hint="eastAsia" w:ascii="宋体" w:hAnsi="宋体" w:eastAsia="宋体" w:cs="Times New Roman"/>
          <w:color w:val="000000"/>
          <w:sz w:val="24"/>
          <w:szCs w:val="24"/>
          <w:highlight w:val="none"/>
          <w:u w:val="single"/>
        </w:rPr>
        <w:t xml:space="preserve">         </w:t>
      </w:r>
      <w:r>
        <w:rPr>
          <w:rFonts w:hint="eastAsia" w:ascii="宋体" w:hAnsi="宋体" w:eastAsia="宋体" w:cs="Times New Roman"/>
          <w:color w:val="000000"/>
          <w:sz w:val="24"/>
          <w:szCs w:val="24"/>
          <w:highlight w:val="none"/>
        </w:rPr>
        <w:t>职务：</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开户银行：</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银行帐号：</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w:t>
      </w:r>
      <w:r>
        <w:rPr>
          <w:rFonts w:hint="eastAsia" w:ascii="宋体" w:hAnsi="宋体" w:eastAsia="宋体" w:cs="Times New Roman"/>
          <w:bCs/>
          <w:color w:val="000000"/>
          <w:sz w:val="24"/>
          <w:szCs w:val="24"/>
          <w:highlight w:val="none"/>
        </w:rPr>
        <w:t>盖章）</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授权代表签字</w:t>
      </w:r>
      <w:r>
        <w:rPr>
          <w:rFonts w:hint="eastAsia" w:ascii="宋体" w:hAnsi="宋体" w:eastAsia="宋体" w:cs="Times New Roman"/>
          <w:bCs/>
          <w:color w:val="000000"/>
          <w:sz w:val="24"/>
          <w:szCs w:val="24"/>
          <w:highlight w:val="none"/>
        </w:rPr>
        <w:t>：</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日期：</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月</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日</w:t>
      </w:r>
    </w:p>
    <w:p>
      <w:pPr>
        <w:rPr>
          <w:rFonts w:ascii="黑体" w:hAnsi="Calibri" w:eastAsia="黑体" w:cs="Times New Roman"/>
          <w:color w:val="000000"/>
          <w:sz w:val="24"/>
          <w:szCs w:val="24"/>
          <w:highlight w:val="none"/>
        </w:rPr>
      </w:pPr>
    </w:p>
    <w:p>
      <w:pPr>
        <w:jc w:val="both"/>
        <w:rPr>
          <w:rFonts w:ascii="宋体"/>
          <w:b/>
          <w:color w:val="000000"/>
          <w:szCs w:val="24"/>
          <w:highlight w:val="none"/>
        </w:rPr>
      </w:pPr>
    </w:p>
    <w:p>
      <w:pPr>
        <w:pStyle w:val="72"/>
        <w:numPr>
          <w:ilvl w:val="0"/>
          <w:numId w:val="0"/>
        </w:numPr>
        <w:ind w:leftChars="0"/>
        <w:rPr>
          <w:rFonts w:hint="eastAsia" w:ascii="宋体" w:hAnsi="宋体" w:eastAsia="宋体" w:cs="宋体"/>
          <w:sz w:val="32"/>
          <w:szCs w:val="32"/>
          <w:highlight w:val="none"/>
          <w:lang w:val="en-US" w:eastAsia="zh-CN"/>
        </w:rPr>
      </w:pPr>
      <w:bookmarkStart w:id="78" w:name="_Toc47976618"/>
      <w:bookmarkStart w:id="79" w:name="_Toc29366869"/>
      <w:bookmarkStart w:id="80" w:name="_Toc29366865"/>
      <w:r>
        <w:rPr>
          <w:rFonts w:hint="eastAsia" w:ascii="宋体" w:hAnsi="宋体" w:eastAsia="宋体" w:cs="宋体"/>
          <w:sz w:val="32"/>
          <w:szCs w:val="32"/>
          <w:highlight w:val="none"/>
          <w:lang w:val="en-US" w:eastAsia="zh-CN"/>
        </w:rPr>
        <w:t>附件2</w:t>
      </w:r>
    </w:p>
    <w:bookmarkEnd w:id="78"/>
    <w:p>
      <w:pPr>
        <w:spacing w:line="360" w:lineRule="auto"/>
        <w:jc w:val="center"/>
        <w:rPr>
          <w:rFonts w:hint="eastAsia" w:ascii="宋体" w:hAnsi="宋体" w:eastAsia="宋体" w:cs="宋体"/>
          <w:color w:val="000000"/>
          <w:sz w:val="32"/>
          <w:szCs w:val="32"/>
          <w:highlight w:val="none"/>
        </w:rPr>
      </w:pPr>
      <w:r>
        <w:rPr>
          <w:rFonts w:hint="eastAsia" w:ascii="宋体" w:hAnsi="宋体" w:eastAsia="宋体" w:cs="宋体"/>
          <w:b/>
          <w:bCs/>
          <w:color w:val="000000"/>
          <w:sz w:val="32"/>
          <w:szCs w:val="32"/>
          <w:highlight w:val="none"/>
        </w:rPr>
        <w:t>法定代表人授权委托书</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本授权委托书声明：我＿＿＿＿＿＿＿（姓名）系＿＿＿＿＿＿＿＿＿＿＿＿＿＿＿＿＿＿＿＿＿＿＿＿（投标人全称）的法定代表人，就</w:t>
      </w:r>
      <w:r>
        <w:rPr>
          <w:rFonts w:ascii="宋体" w:hAnsi="宋体" w:eastAsia="宋体" w:cs="Times New Roman"/>
          <w:b/>
          <w:bCs/>
          <w:color w:val="000000"/>
          <w:sz w:val="24"/>
          <w:szCs w:val="24"/>
          <w:highlight w:val="none"/>
          <w:u w:val="single"/>
        </w:rPr>
        <w:t xml:space="preserve"> </w:t>
      </w:r>
      <w:r>
        <w:rPr>
          <w:rFonts w:hint="eastAsia" w:ascii="宋体" w:hAnsi="宋体" w:cs="Times New Roman"/>
          <w:b/>
          <w:bCs/>
          <w:color w:val="000000"/>
          <w:sz w:val="24"/>
          <w:szCs w:val="24"/>
          <w:highlight w:val="none"/>
          <w:u w:val="single"/>
          <w:lang w:val="en-US" w:eastAsia="zh-CN"/>
        </w:rPr>
        <w:t xml:space="preserve">                      </w:t>
      </w:r>
      <w:r>
        <w:rPr>
          <w:rFonts w:hint="eastAsia" w:ascii="宋体" w:hAnsi="宋体" w:eastAsia="宋体" w:cs="Times New Roman"/>
          <w:color w:val="000000"/>
          <w:sz w:val="24"/>
          <w:szCs w:val="24"/>
          <w:highlight w:val="none"/>
        </w:rPr>
        <w:t>现授权委托＿＿＿＿＿＿＿＿＿＿＿＿＿＿＿＿＿＿＿＿＿＿＿＿＿＿＿＿（单位名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全权代表无转委权。特此委托。</w:t>
      </w:r>
    </w:p>
    <w:tbl>
      <w:tblPr>
        <w:tblStyle w:val="30"/>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highlight w:val="none"/>
                <w:u w:val="none"/>
              </w:rPr>
            </w:pPr>
            <w:r>
              <w:rPr>
                <w:rFonts w:hint="eastAsia" w:ascii="宋体" w:hAnsi="宋体" w:eastAsia="宋体" w:cs="Times New Roman"/>
                <w:sz w:val="24"/>
                <w:szCs w:val="20"/>
                <w:highlight w:val="none"/>
              </w:rPr>
              <w:t>附法人身份证明复印件</w:t>
            </w:r>
            <w:r>
              <w:rPr>
                <w:rFonts w:hint="eastAsia" w:ascii="宋体" w:hAnsi="宋体" w:eastAsia="宋体" w:cs="Times New Roman"/>
                <w:sz w:val="24"/>
                <w:szCs w:val="20"/>
                <w:highlight w:val="none"/>
                <w:u w:val="none"/>
                <w:lang w:eastAsia="zh-CN"/>
              </w:rPr>
              <w:t>（</w:t>
            </w:r>
            <w:r>
              <w:rPr>
                <w:rFonts w:hint="eastAsia" w:ascii="宋体" w:hAnsi="宋体" w:eastAsia="宋体" w:cs="Times New Roman"/>
                <w:color w:val="000000" w:themeColor="text1"/>
                <w:sz w:val="24"/>
                <w:szCs w:val="20"/>
                <w:highlight w:val="none"/>
                <w:u w:val="none"/>
                <w:lang w:val="en-US" w:eastAsia="zh-CN"/>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highlight w:val="none"/>
              </w:rPr>
            </w:pPr>
            <w:r>
              <w:rPr>
                <w:rFonts w:hint="eastAsia" w:ascii="宋体" w:hAnsi="宋体" w:eastAsia="宋体" w:cs="Times New Roman"/>
                <w:sz w:val="24"/>
                <w:szCs w:val="20"/>
                <w:highlight w:val="none"/>
              </w:rPr>
              <w:t>附授权代理人身份证明复印件</w:t>
            </w:r>
            <w:r>
              <w:rPr>
                <w:rFonts w:hint="eastAsia" w:ascii="宋体" w:hAnsi="宋体" w:eastAsia="宋体" w:cs="Times New Roman"/>
                <w:sz w:val="24"/>
                <w:szCs w:val="20"/>
                <w:highlight w:val="none"/>
                <w:lang w:eastAsia="zh-CN"/>
              </w:rPr>
              <w:t>（</w:t>
            </w:r>
            <w:r>
              <w:rPr>
                <w:rFonts w:hint="eastAsia" w:ascii="宋体" w:hAnsi="宋体" w:eastAsia="宋体" w:cs="Times New Roman"/>
                <w:sz w:val="24"/>
                <w:szCs w:val="20"/>
                <w:highlight w:val="none"/>
                <w:lang w:val="en-US" w:eastAsia="zh-CN"/>
              </w:rPr>
              <w:t>正反面</w:t>
            </w:r>
            <w:r>
              <w:rPr>
                <w:rFonts w:hint="eastAsia" w:ascii="宋体" w:hAnsi="宋体" w:eastAsia="宋体" w:cs="Times New Roman"/>
                <w:sz w:val="24"/>
                <w:szCs w:val="20"/>
                <w:highlight w:val="none"/>
                <w:lang w:eastAsia="zh-CN"/>
              </w:rPr>
              <w:t>）</w:t>
            </w:r>
          </w:p>
        </w:tc>
      </w:tr>
    </w:tbl>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全权代表姓名：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性别：</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年龄：</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单位：</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部门：</w:t>
      </w:r>
      <w:r>
        <w:rPr>
          <w:rFonts w:ascii="宋体" w:hAnsi="宋体" w:eastAsia="宋体" w:cs="Times New Roman"/>
          <w:color w:val="000000"/>
          <w:sz w:val="24"/>
          <w:szCs w:val="24"/>
          <w:highlight w:val="none"/>
        </w:rPr>
        <w:t xml:space="preserve">          </w:t>
      </w:r>
      <w:r>
        <w:rPr>
          <w:rFonts w:hint="eastAsia" w:ascii="宋体" w:hAnsi="宋体" w:eastAsia="宋体" w:cs="Times New Roman"/>
          <w:color w:val="000000"/>
          <w:sz w:val="24"/>
          <w:szCs w:val="24"/>
          <w:highlight w:val="none"/>
        </w:rPr>
        <w:t>职务：</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法定代表人签字或盖章</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被授权人签字</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被授权人电话：</w:t>
      </w:r>
      <w:r>
        <w:rPr>
          <w:rFonts w:ascii="宋体" w:hAnsi="宋体" w:eastAsia="宋体" w:cs="Times New Roman"/>
          <w:color w:val="000000"/>
          <w:sz w:val="24"/>
          <w:szCs w:val="24"/>
          <w:highlight w:val="none"/>
        </w:rPr>
        <w:t xml:space="preserve">   </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投标人名称（公章）</w:t>
      </w:r>
      <w:r>
        <w:rPr>
          <w:rFonts w:ascii="宋体" w:hAnsi="宋体" w:eastAsia="宋体" w:cs="Times New Roman"/>
          <w:color w:val="000000"/>
          <w:sz w:val="24"/>
          <w:szCs w:val="24"/>
          <w:highlight w:val="none"/>
        </w:rPr>
        <w:t xml:space="preserve">                       </w:t>
      </w:r>
    </w:p>
    <w:p>
      <w:pPr>
        <w:spacing w:line="460" w:lineRule="exact"/>
        <w:ind w:firstLine="5520" w:firstLineChars="2300"/>
        <w:rPr>
          <w:rFonts w:ascii="宋体" w:hAnsi="Calibri" w:eastAsia="宋体" w:cs="Times New Roman"/>
          <w:sz w:val="24"/>
          <w:szCs w:val="20"/>
          <w:highlight w:val="none"/>
          <w:u w:val="single"/>
        </w:rPr>
      </w:pP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pPr>
        <w:spacing w:line="360" w:lineRule="auto"/>
        <w:ind w:firstLine="4800" w:firstLineChars="2000"/>
        <w:rPr>
          <w:rFonts w:ascii="宋体" w:hAnsi="宋体" w:cs="宋体"/>
          <w:sz w:val="24"/>
          <w:szCs w:val="21"/>
          <w:highlight w:val="none"/>
        </w:rPr>
      </w:pPr>
    </w:p>
    <w:p>
      <w:pPr>
        <w:spacing w:line="360" w:lineRule="auto"/>
        <w:ind w:firstLine="4800" w:firstLineChars="2000"/>
        <w:rPr>
          <w:rFonts w:ascii="宋体" w:hAnsi="宋体" w:cs="宋体"/>
          <w:sz w:val="24"/>
          <w:szCs w:val="21"/>
          <w:highlight w:val="none"/>
        </w:rPr>
      </w:pPr>
    </w:p>
    <w:p>
      <w:pPr>
        <w:spacing w:line="360" w:lineRule="auto"/>
        <w:ind w:firstLine="4800" w:firstLineChars="2000"/>
        <w:rPr>
          <w:rFonts w:ascii="宋体" w:hAnsi="宋体" w:cs="宋体"/>
          <w:sz w:val="24"/>
          <w:szCs w:val="21"/>
          <w:highlight w:val="none"/>
        </w:rPr>
      </w:pPr>
    </w:p>
    <w:p>
      <w:pPr>
        <w:spacing w:line="360" w:lineRule="auto"/>
        <w:ind w:firstLine="4800" w:firstLineChars="2000"/>
        <w:rPr>
          <w:rFonts w:ascii="宋体" w:hAnsi="宋体" w:cs="宋体"/>
          <w:sz w:val="24"/>
          <w:szCs w:val="21"/>
          <w:highlight w:val="none"/>
        </w:rPr>
      </w:pPr>
    </w:p>
    <w:p>
      <w:pPr>
        <w:pStyle w:val="14"/>
        <w:rPr>
          <w:highlight w:val="none"/>
        </w:rPr>
      </w:pPr>
    </w:p>
    <w:p>
      <w:pPr>
        <w:spacing w:line="360" w:lineRule="auto"/>
        <w:rPr>
          <w:rFonts w:ascii="宋体" w:hAnsi="宋体" w:cs="宋体"/>
          <w:sz w:val="24"/>
          <w:szCs w:val="21"/>
          <w:highlight w:val="none"/>
        </w:rPr>
      </w:pPr>
    </w:p>
    <w:bookmarkEnd w:id="79"/>
    <w:bookmarkEnd w:id="80"/>
    <w:p>
      <w:pPr>
        <w:pStyle w:val="72"/>
        <w:numPr>
          <w:ilvl w:val="0"/>
          <w:numId w:val="0"/>
        </w:numPr>
        <w:ind w:leftChars="0"/>
        <w:rPr>
          <w:rFonts w:hint="eastAsia" w:ascii="宋体" w:hAnsi="宋体" w:eastAsia="宋体" w:cs="宋体"/>
          <w:sz w:val="32"/>
          <w:szCs w:val="32"/>
          <w:highlight w:val="none"/>
          <w:lang w:val="en-US" w:eastAsia="zh-CN"/>
        </w:rPr>
      </w:pPr>
      <w:r>
        <w:rPr>
          <w:rFonts w:hint="eastAsia" w:ascii="宋体" w:hAnsi="宋体" w:eastAsia="宋体" w:cs="宋体"/>
          <w:sz w:val="32"/>
          <w:szCs w:val="32"/>
          <w:highlight w:val="none"/>
          <w:lang w:val="en-US" w:eastAsia="zh-CN"/>
        </w:rPr>
        <w:t>附件3</w:t>
      </w:r>
    </w:p>
    <w:p>
      <w:pPr>
        <w:pStyle w:val="72"/>
        <w:numPr>
          <w:ilvl w:val="0"/>
          <w:numId w:val="0"/>
        </w:numPr>
        <w:ind w:leftChars="0"/>
        <w:jc w:val="center"/>
        <w:rPr>
          <w:rFonts w:hint="eastAsia"/>
          <w:highlight w:val="none"/>
          <w:lang w:val="en-US" w:eastAsia="zh-CN"/>
        </w:rPr>
      </w:pPr>
      <w:r>
        <w:rPr>
          <w:rFonts w:hint="eastAsia"/>
          <w:highlight w:val="none"/>
          <w:lang w:val="en-US" w:eastAsia="zh-CN"/>
        </w:rPr>
        <w:t>开标一览表</w:t>
      </w:r>
    </w:p>
    <w:p>
      <w:pPr>
        <w:spacing w:line="360" w:lineRule="auto"/>
        <w:ind w:firstLine="480" w:firstLineChars="200"/>
        <w:rPr>
          <w:rFonts w:ascii="宋体" w:hAnsi="宋体" w:eastAsia="宋体" w:cs="Times New Roman"/>
          <w:color w:val="000000"/>
          <w:sz w:val="24"/>
          <w:szCs w:val="24"/>
          <w:highlight w:val="none"/>
        </w:rPr>
      </w:pPr>
      <w:r>
        <w:rPr>
          <w:rFonts w:hint="eastAsia" w:ascii="宋体" w:hAnsi="宋体" w:eastAsia="宋体" w:cs="Times New Roman"/>
          <w:color w:val="000000"/>
          <w:sz w:val="24"/>
          <w:szCs w:val="24"/>
          <w:highlight w:val="none"/>
        </w:rPr>
        <w:t>项目名称：</w:t>
      </w:r>
      <w:r>
        <w:rPr>
          <w:rFonts w:hint="eastAsia" w:ascii="宋体" w:hAnsi="宋体" w:cs="Times New Roman"/>
          <w:color w:val="000000"/>
          <w:sz w:val="24"/>
          <w:szCs w:val="24"/>
          <w:highlight w:val="none"/>
          <w:u w:val="single"/>
          <w:lang w:val="en-US" w:eastAsia="zh-CN"/>
        </w:rPr>
        <w:t xml:space="preserve">                          </w:t>
      </w:r>
      <w:r>
        <w:rPr>
          <w:rFonts w:ascii="宋体" w:hAnsi="宋体" w:eastAsia="宋体" w:cs="Times New Roman"/>
          <w:color w:val="000000"/>
          <w:sz w:val="24"/>
          <w:szCs w:val="24"/>
          <w:highlight w:val="none"/>
        </w:rPr>
        <w:t xml:space="preserve">                                                        </w:t>
      </w:r>
    </w:p>
    <w:tbl>
      <w:tblPr>
        <w:tblStyle w:val="30"/>
        <w:tblW w:w="775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5"/>
        <w:gridCol w:w="2644"/>
        <w:gridCol w:w="848"/>
        <w:gridCol w:w="2270"/>
        <w:gridCol w:w="117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825" w:type="dxa"/>
            <w:vAlign w:val="center"/>
          </w:tcPr>
          <w:p>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序号</w:t>
            </w:r>
          </w:p>
        </w:tc>
        <w:tc>
          <w:tcPr>
            <w:tcW w:w="2644" w:type="dxa"/>
            <w:vAlign w:val="center"/>
          </w:tcPr>
          <w:p>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货物名称</w:t>
            </w:r>
          </w:p>
        </w:tc>
        <w:tc>
          <w:tcPr>
            <w:tcW w:w="848" w:type="dxa"/>
            <w:vAlign w:val="center"/>
          </w:tcPr>
          <w:p>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数量</w:t>
            </w:r>
          </w:p>
        </w:tc>
        <w:tc>
          <w:tcPr>
            <w:tcW w:w="2270" w:type="dxa"/>
            <w:vAlign w:val="center"/>
          </w:tcPr>
          <w:p>
            <w:pPr>
              <w:jc w:val="center"/>
              <w:rPr>
                <w:rFonts w:ascii="Times New Roman" w:hAnsi="Times New Roman" w:eastAsia="宋体" w:cs="Times New Roman"/>
                <w:b/>
                <w:szCs w:val="20"/>
                <w:highlight w:val="none"/>
              </w:rPr>
            </w:pPr>
            <w:r>
              <w:rPr>
                <w:rFonts w:hint="eastAsia" w:ascii="Times New Roman" w:hAnsi="Times New Roman" w:eastAsia="宋体" w:cs="Times New Roman"/>
                <w:b/>
                <w:szCs w:val="20"/>
                <w:highlight w:val="none"/>
              </w:rPr>
              <w:t>投标总价</w:t>
            </w:r>
            <w:r>
              <w:rPr>
                <w:rFonts w:hint="eastAsia" w:ascii="等线" w:hAnsi="等线" w:eastAsia="等线" w:cs="Times New Roman"/>
                <w:b/>
                <w:szCs w:val="20"/>
                <w:highlight w:val="none"/>
              </w:rPr>
              <w:t>（元）</w:t>
            </w:r>
          </w:p>
        </w:tc>
        <w:tc>
          <w:tcPr>
            <w:tcW w:w="1171" w:type="dxa"/>
            <w:vAlign w:val="center"/>
          </w:tcPr>
          <w:p>
            <w:pPr>
              <w:jc w:val="center"/>
              <w:rPr>
                <w:rFonts w:hint="default" w:ascii="等线" w:hAnsi="等线" w:eastAsia="等线" w:cs="Times New Roman"/>
                <w:b/>
                <w:szCs w:val="20"/>
                <w:highlight w:val="none"/>
                <w:lang w:val="en-US"/>
              </w:rPr>
            </w:pPr>
            <w:r>
              <w:rPr>
                <w:rFonts w:hint="eastAsia" w:cs="Times New Roman"/>
                <w:b/>
                <w:szCs w:val="20"/>
                <w:highlight w:val="none"/>
                <w:lang w:val="en-US" w:eastAsia="zh-CN"/>
              </w:rPr>
              <w:t>商务条款是否偏离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825" w:type="dxa"/>
            <w:vAlign w:val="center"/>
          </w:tcPr>
          <w:p>
            <w:pPr>
              <w:jc w:val="center"/>
              <w:rPr>
                <w:rFonts w:ascii="Times New Roman" w:hAnsi="Times New Roman" w:eastAsia="宋体" w:cs="Times New Roman"/>
                <w:b/>
                <w:szCs w:val="20"/>
                <w:highlight w:val="none"/>
              </w:rPr>
            </w:pPr>
          </w:p>
        </w:tc>
        <w:tc>
          <w:tcPr>
            <w:tcW w:w="2644" w:type="dxa"/>
            <w:vAlign w:val="center"/>
          </w:tcPr>
          <w:p>
            <w:pPr>
              <w:jc w:val="center"/>
              <w:rPr>
                <w:rFonts w:hint="eastAsia" w:ascii="Times New Roman" w:hAnsi="Times New Roman" w:eastAsia="宋体" w:cs="Times New Roman"/>
                <w:b/>
                <w:szCs w:val="20"/>
                <w:highlight w:val="none"/>
                <w:lang w:eastAsia="zh-CN"/>
              </w:rPr>
            </w:pPr>
          </w:p>
        </w:tc>
        <w:tc>
          <w:tcPr>
            <w:tcW w:w="848" w:type="dxa"/>
            <w:vAlign w:val="center"/>
          </w:tcPr>
          <w:p>
            <w:pPr>
              <w:jc w:val="center"/>
              <w:rPr>
                <w:rFonts w:hint="eastAsia" w:ascii="Times New Roman" w:hAnsi="Times New Roman" w:eastAsia="宋体" w:cs="Times New Roman"/>
                <w:b/>
                <w:szCs w:val="20"/>
                <w:highlight w:val="none"/>
                <w:lang w:val="en-US" w:eastAsia="zh-CN"/>
              </w:rPr>
            </w:pPr>
          </w:p>
        </w:tc>
        <w:tc>
          <w:tcPr>
            <w:tcW w:w="2270" w:type="dxa"/>
            <w:vAlign w:val="center"/>
          </w:tcPr>
          <w:p>
            <w:pPr>
              <w:jc w:val="left"/>
              <w:rPr>
                <w:rFonts w:hint="eastAsia" w:ascii="等线" w:hAnsi="等线" w:eastAsia="等线" w:cs="Times New Roman"/>
                <w:b/>
                <w:szCs w:val="20"/>
                <w:highlight w:val="none"/>
                <w:lang w:val="en-US" w:eastAsia="zh-CN"/>
              </w:rPr>
            </w:pPr>
            <w:r>
              <w:rPr>
                <w:rFonts w:hint="eastAsia" w:ascii="等线" w:hAnsi="等线" w:eastAsia="等线" w:cs="Times New Roman"/>
                <w:b/>
                <w:szCs w:val="20"/>
                <w:highlight w:val="none"/>
              </w:rPr>
              <w:t>不含税价</w:t>
            </w:r>
            <w:r>
              <w:rPr>
                <w:rFonts w:hint="eastAsia" w:ascii="等线" w:hAnsi="等线" w:eastAsia="等线" w:cs="Times New Roman"/>
                <w:b/>
                <w:szCs w:val="20"/>
                <w:highlight w:val="none"/>
                <w:lang w:eastAsia="zh-CN"/>
              </w:rPr>
              <w:t>：</w:t>
            </w:r>
          </w:p>
          <w:p>
            <w:pPr>
              <w:jc w:val="left"/>
              <w:rPr>
                <w:rFonts w:hint="default" w:ascii="等线" w:hAnsi="等线" w:eastAsia="等线" w:cs="Times New Roman"/>
                <w:b/>
                <w:szCs w:val="20"/>
                <w:highlight w:val="none"/>
                <w:lang w:val="en-US" w:eastAsia="zh-CN"/>
              </w:rPr>
            </w:pPr>
            <w:r>
              <w:rPr>
                <w:rFonts w:hint="eastAsia" w:ascii="等线" w:hAnsi="等线" w:eastAsia="等线" w:cs="Times New Roman"/>
                <w:b/>
                <w:szCs w:val="20"/>
                <w:highlight w:val="none"/>
              </w:rPr>
              <w:t>含税价格：</w:t>
            </w:r>
            <w:r>
              <w:rPr>
                <w:rFonts w:hint="eastAsia" w:ascii="等线" w:hAnsi="等线" w:eastAsia="等线" w:cs="Times New Roman"/>
                <w:b/>
                <w:szCs w:val="20"/>
                <w:highlight w:val="none"/>
                <w:u w:val="single"/>
                <w:lang w:val="en-US" w:eastAsia="zh-CN"/>
              </w:rPr>
              <w:t xml:space="preserve">    （大写：    ）</w:t>
            </w:r>
          </w:p>
          <w:p>
            <w:pPr>
              <w:jc w:val="left"/>
              <w:rPr>
                <w:rFonts w:ascii="Times New Roman" w:hAnsi="Times New Roman" w:eastAsia="宋体" w:cs="Times New Roman"/>
                <w:b/>
                <w:szCs w:val="20"/>
                <w:highlight w:val="none"/>
              </w:rPr>
            </w:pPr>
            <w:r>
              <w:rPr>
                <w:rFonts w:hint="eastAsia" w:ascii="等线" w:hAnsi="等线" w:eastAsia="等线" w:cs="Times New Roman"/>
                <w:b/>
                <w:szCs w:val="20"/>
                <w:highlight w:val="none"/>
              </w:rPr>
              <w:t>税率：</w:t>
            </w:r>
          </w:p>
        </w:tc>
        <w:tc>
          <w:tcPr>
            <w:tcW w:w="1171" w:type="dxa"/>
            <w:vAlign w:val="center"/>
          </w:tcPr>
          <w:p>
            <w:pPr>
              <w:jc w:val="center"/>
              <w:rPr>
                <w:rFonts w:ascii="Times New Roman" w:hAnsi="Times New Roman" w:eastAsia="宋体" w:cs="Times New Roman"/>
                <w:b/>
                <w:szCs w:val="20"/>
                <w:highlight w:val="none"/>
              </w:rPr>
            </w:pPr>
          </w:p>
        </w:tc>
      </w:tr>
    </w:tbl>
    <w:p>
      <w:pPr>
        <w:rPr>
          <w:rFonts w:ascii="宋体" w:hAnsi="Arial" w:eastAsia="宋体" w:cs="Times New Roman"/>
          <w:sz w:val="24"/>
          <w:szCs w:val="24"/>
          <w:highlight w:val="none"/>
        </w:rPr>
      </w:pPr>
    </w:p>
    <w:p>
      <w:pPr>
        <w:spacing w:line="400" w:lineRule="exact"/>
        <w:rPr>
          <w:rFonts w:ascii="宋体" w:hAnsi="Calibri" w:eastAsia="宋体" w:cs="Times New Roman"/>
          <w:szCs w:val="21"/>
          <w:highlight w:val="none"/>
        </w:rPr>
      </w:pPr>
      <w:r>
        <w:rPr>
          <w:rFonts w:hint="eastAsia" w:ascii="宋体" w:hAnsi="宋体" w:eastAsia="宋体" w:cs="Times New Roman"/>
          <w:b/>
          <w:bCs/>
          <w:szCs w:val="21"/>
          <w:highlight w:val="none"/>
        </w:rPr>
        <w:t>注：</w:t>
      </w:r>
    </w:p>
    <w:p>
      <w:pPr>
        <w:spacing w:line="520" w:lineRule="exact"/>
        <w:rPr>
          <w:rFonts w:ascii="宋体" w:hAnsi="Calibri" w:eastAsia="宋体" w:cs="Times New Roman"/>
          <w:b/>
          <w:bCs/>
          <w:szCs w:val="21"/>
          <w:highlight w:val="none"/>
        </w:rPr>
      </w:pPr>
      <w:r>
        <w:rPr>
          <w:rFonts w:ascii="宋体" w:hAnsi="宋体" w:eastAsia="宋体" w:cs="Times New Roman"/>
          <w:b/>
          <w:bCs/>
          <w:szCs w:val="21"/>
          <w:highlight w:val="none"/>
        </w:rPr>
        <w:t>1</w:t>
      </w:r>
      <w:r>
        <w:rPr>
          <w:rFonts w:hint="eastAsia" w:ascii="宋体" w:hAnsi="宋体" w:eastAsia="宋体" w:cs="Times New Roman"/>
          <w:b/>
          <w:bCs/>
          <w:szCs w:val="21"/>
          <w:highlight w:val="none"/>
        </w:rPr>
        <w:t>.此表中的报价必须与相应的报价明细表中的报价一致。</w:t>
      </w:r>
    </w:p>
    <w:p>
      <w:pPr>
        <w:spacing w:line="300" w:lineRule="auto"/>
        <w:rPr>
          <w:rFonts w:ascii="宋体" w:hAnsi="宋体" w:eastAsia="宋体" w:cs="宋体"/>
          <w:b/>
          <w:szCs w:val="20"/>
          <w:highlight w:val="none"/>
        </w:rPr>
      </w:pPr>
      <w:r>
        <w:rPr>
          <w:rFonts w:hint="eastAsia" w:ascii="宋体" w:hAnsi="宋体" w:cs="宋体"/>
          <w:b/>
          <w:szCs w:val="20"/>
          <w:highlight w:val="none"/>
          <w:lang w:val="en-US" w:eastAsia="zh-CN"/>
        </w:rPr>
        <w:t>2</w:t>
      </w:r>
      <w:r>
        <w:rPr>
          <w:rFonts w:hint="eastAsia" w:ascii="宋体" w:hAnsi="宋体" w:eastAsia="宋体" w:cs="宋体"/>
          <w:b/>
          <w:szCs w:val="20"/>
          <w:highlight w:val="none"/>
        </w:rPr>
        <w:t>.需写明含税价、不含税价格、税率。</w:t>
      </w:r>
    </w:p>
    <w:p>
      <w:pPr>
        <w:pStyle w:val="14"/>
        <w:rPr>
          <w:rFonts w:hint="eastAsia" w:hAnsi="宋体" w:eastAsia="宋体" w:cs="Times New Roman"/>
          <w:b/>
          <w:bCs/>
          <w:szCs w:val="21"/>
          <w:highlight w:val="none"/>
        </w:rPr>
      </w:pPr>
      <w:r>
        <w:rPr>
          <w:rFonts w:hint="eastAsia" w:hAnsi="宋体" w:cs="宋体"/>
          <w:b/>
          <w:szCs w:val="20"/>
          <w:highlight w:val="none"/>
          <w:lang w:val="en-US" w:eastAsia="zh-CN"/>
        </w:rPr>
        <w:t>3</w:t>
      </w:r>
      <w:r>
        <w:rPr>
          <w:rFonts w:hint="eastAsia" w:hAnsi="宋体" w:eastAsia="宋体" w:cs="宋体"/>
          <w:b/>
          <w:szCs w:val="20"/>
          <w:highlight w:val="none"/>
        </w:rPr>
        <w:t>.</w:t>
      </w:r>
      <w:r>
        <w:rPr>
          <w:rFonts w:hint="eastAsia" w:hAnsi="宋体" w:eastAsia="宋体" w:cs="Times New Roman"/>
          <w:b/>
          <w:bCs/>
          <w:szCs w:val="21"/>
          <w:highlight w:val="none"/>
        </w:rPr>
        <w:t>投标总价包括</w:t>
      </w:r>
      <w:r>
        <w:rPr>
          <w:rFonts w:hint="eastAsia" w:hAnsi="宋体" w:cs="Times New Roman"/>
          <w:b/>
          <w:bCs/>
          <w:szCs w:val="21"/>
          <w:highlight w:val="none"/>
          <w:u w:val="single"/>
          <w:lang w:val="en-US" w:eastAsia="zh-CN"/>
        </w:rPr>
        <w:t xml:space="preserve">                                             </w:t>
      </w:r>
      <w:r>
        <w:rPr>
          <w:rFonts w:hint="eastAsia" w:hAnsi="宋体" w:cs="Times New Roman"/>
          <w:b/>
          <w:bCs/>
          <w:szCs w:val="21"/>
          <w:highlight w:val="none"/>
          <w:u w:val="none"/>
          <w:lang w:val="en-US" w:eastAsia="zh-CN"/>
        </w:rPr>
        <w:t>全部费用</w:t>
      </w:r>
      <w:r>
        <w:rPr>
          <w:rFonts w:hint="eastAsia" w:hAnsi="宋体" w:eastAsia="宋体" w:cs="Times New Roman"/>
          <w:b/>
          <w:bCs/>
          <w:szCs w:val="21"/>
          <w:highlight w:val="none"/>
        </w:rPr>
        <w:t>。</w:t>
      </w:r>
    </w:p>
    <w:p>
      <w:pPr>
        <w:pStyle w:val="14"/>
        <w:rPr>
          <w:rFonts w:hint="eastAsia" w:hAnsi="宋体" w:eastAsia="宋体" w:cs="Times New Roman"/>
          <w:b/>
          <w:bCs/>
          <w:szCs w:val="21"/>
          <w:highlight w:val="none"/>
        </w:rPr>
      </w:pPr>
    </w:p>
    <w:p>
      <w:pPr>
        <w:spacing w:line="660" w:lineRule="exact"/>
        <w:jc w:val="center"/>
        <w:rPr>
          <w:rFonts w:ascii="宋体" w:hAnsi="Calibri" w:eastAsia="宋体" w:cs="Times New Roman"/>
          <w:sz w:val="24"/>
          <w:szCs w:val="20"/>
          <w:highlight w:val="none"/>
        </w:rPr>
      </w:pPr>
      <w:r>
        <w:rPr>
          <w:rFonts w:hint="eastAsia" w:ascii="宋体" w:hAnsi="宋体" w:cs="Times New Roman"/>
          <w:sz w:val="24"/>
          <w:szCs w:val="20"/>
          <w:highlight w:val="none"/>
          <w:lang w:val="en-US" w:eastAsia="zh-CN"/>
        </w:rPr>
        <w:t xml:space="preserve">                        </w:t>
      </w:r>
      <w:r>
        <w:rPr>
          <w:rFonts w:hint="eastAsia" w:ascii="宋体" w:hAnsi="宋体" w:eastAsia="宋体" w:cs="Times New Roman"/>
          <w:sz w:val="24"/>
          <w:szCs w:val="20"/>
          <w:highlight w:val="none"/>
        </w:rPr>
        <w:t>投标人：（盖章）</w:t>
      </w:r>
    </w:p>
    <w:p>
      <w:pPr>
        <w:spacing w:line="660" w:lineRule="exact"/>
        <w:jc w:val="right"/>
        <w:rPr>
          <w:rFonts w:ascii="宋体" w:hAnsi="Calibri" w:eastAsia="宋体" w:cs="Times New Roman"/>
          <w:sz w:val="24"/>
          <w:szCs w:val="20"/>
          <w:highlight w:val="none"/>
        </w:rPr>
      </w:pPr>
      <w:r>
        <w:rPr>
          <w:rFonts w:hint="eastAsia" w:ascii="宋体" w:hAnsi="宋体" w:eastAsia="宋体" w:cs="Times New Roman"/>
          <w:sz w:val="24"/>
          <w:szCs w:val="20"/>
          <w:highlight w:val="none"/>
        </w:rPr>
        <w:t>法定代表人（委托代理人）：（签字）</w:t>
      </w:r>
    </w:p>
    <w:p>
      <w:pPr>
        <w:spacing w:line="660" w:lineRule="exact"/>
        <w:jc w:val="center"/>
        <w:rPr>
          <w:rFonts w:ascii="宋体" w:hAnsi="Calibri" w:eastAsia="宋体" w:cs="Times New Roman"/>
          <w:sz w:val="24"/>
          <w:szCs w:val="20"/>
          <w:highlight w:val="none"/>
        </w:rPr>
      </w:pPr>
      <w:r>
        <w:rPr>
          <w:rFonts w:hint="eastAsia" w:ascii="宋体" w:hAnsi="宋体" w:cs="Times New Roman"/>
          <w:sz w:val="24"/>
          <w:szCs w:val="20"/>
          <w:highlight w:val="none"/>
          <w:lang w:val="en-US" w:eastAsia="zh-CN"/>
        </w:rPr>
        <w:t xml:space="preserve">                                     </w:t>
      </w:r>
      <w:r>
        <w:rPr>
          <w:rFonts w:hint="eastAsia" w:ascii="宋体" w:hAnsi="宋体" w:eastAsia="宋体" w:cs="Times New Roman"/>
          <w:sz w:val="24"/>
          <w:szCs w:val="20"/>
          <w:highlight w:val="none"/>
        </w:rPr>
        <w:t>日</w:t>
      </w:r>
      <w:r>
        <w:rPr>
          <w:rFonts w:ascii="宋体" w:hAnsi="宋体" w:eastAsia="宋体" w:cs="Times New Roman"/>
          <w:sz w:val="24"/>
          <w:szCs w:val="20"/>
          <w:highlight w:val="none"/>
        </w:rPr>
        <w:t xml:space="preserve">  </w:t>
      </w:r>
      <w:r>
        <w:rPr>
          <w:rFonts w:hint="eastAsia" w:ascii="宋体" w:hAnsi="宋体" w:eastAsia="宋体" w:cs="Times New Roman"/>
          <w:sz w:val="24"/>
          <w:szCs w:val="20"/>
          <w:highlight w:val="none"/>
        </w:rPr>
        <w:t>期：</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年</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月</w:t>
      </w:r>
      <w:r>
        <w:rPr>
          <w:rFonts w:ascii="宋体" w:hAnsi="宋体" w:eastAsia="宋体" w:cs="Times New Roman"/>
          <w:sz w:val="24"/>
          <w:szCs w:val="20"/>
          <w:highlight w:val="none"/>
          <w:u w:val="single"/>
        </w:rPr>
        <w:t xml:space="preserve">    </w:t>
      </w:r>
      <w:r>
        <w:rPr>
          <w:rFonts w:hint="eastAsia" w:ascii="宋体" w:hAnsi="宋体" w:eastAsia="宋体" w:cs="Times New Roman"/>
          <w:sz w:val="24"/>
          <w:szCs w:val="20"/>
          <w:highlight w:val="none"/>
        </w:rPr>
        <w:t>日</w:t>
      </w:r>
    </w:p>
    <w:p>
      <w:pPr>
        <w:pStyle w:val="72"/>
        <w:numPr>
          <w:ilvl w:val="0"/>
          <w:numId w:val="0"/>
        </w:numPr>
        <w:ind w:leftChars="0"/>
        <w:rPr>
          <w:highlight w:val="none"/>
        </w:rPr>
      </w:pPr>
      <w:r>
        <w:rPr>
          <w:highlight w:val="none"/>
        </w:rPr>
        <w:t xml:space="preserve"> </w:t>
      </w:r>
    </w:p>
    <w:p>
      <w:pPr>
        <w:pStyle w:val="72"/>
        <w:numPr>
          <w:ilvl w:val="0"/>
          <w:numId w:val="0"/>
        </w:numPr>
        <w:ind w:leftChars="0"/>
        <w:rPr>
          <w:highlight w:val="none"/>
        </w:rPr>
      </w:pPr>
    </w:p>
    <w:p>
      <w:pPr>
        <w:pStyle w:val="72"/>
        <w:numPr>
          <w:ilvl w:val="0"/>
          <w:numId w:val="0"/>
        </w:numPr>
        <w:ind w:leftChars="0"/>
        <w:rPr>
          <w:highlight w:val="none"/>
        </w:rPr>
      </w:pPr>
    </w:p>
    <w:p>
      <w:pPr>
        <w:pStyle w:val="72"/>
        <w:numPr>
          <w:ilvl w:val="0"/>
          <w:numId w:val="0"/>
        </w:numPr>
        <w:ind w:leftChars="0"/>
        <w:rPr>
          <w:highlight w:val="none"/>
        </w:rPr>
      </w:pPr>
    </w:p>
    <w:p>
      <w:pPr>
        <w:pStyle w:val="76"/>
        <w:rPr>
          <w:rFonts w:hint="eastAsia"/>
          <w:highlight w:val="none"/>
        </w:rPr>
      </w:pPr>
    </w:p>
    <w:p>
      <w:pPr>
        <w:rPr>
          <w:rFonts w:ascii="宋体" w:hAnsi="宋体"/>
          <w:highlight w:val="none"/>
        </w:rPr>
      </w:pPr>
      <w:r>
        <w:rPr>
          <w:rFonts w:hint="eastAsia" w:ascii="宋体" w:hAnsi="宋体" w:eastAsia="宋体" w:cs="宋体"/>
          <w:b/>
          <w:bCs/>
          <w:kern w:val="2"/>
          <w:sz w:val="32"/>
          <w:szCs w:val="32"/>
          <w:highlight w:val="none"/>
          <w:lang w:val="en-US" w:eastAsia="zh-CN" w:bidi="ar-SA"/>
        </w:rPr>
        <w:t>附件4</w:t>
      </w:r>
      <w:r>
        <w:rPr>
          <w:rFonts w:hint="eastAsia" w:ascii="宋体" w:hAnsi="宋体"/>
          <w:highlight w:val="none"/>
        </w:rPr>
        <w:t>项目名称：(XX项目)</w:t>
      </w:r>
    </w:p>
    <w:p>
      <w:pPr>
        <w:rPr>
          <w:rFonts w:ascii="宋体" w:hAnsi="宋体"/>
          <w:highlight w:val="none"/>
        </w:rPr>
      </w:pPr>
    </w:p>
    <w:p>
      <w:pPr>
        <w:rPr>
          <w:rFonts w:ascii="宋体" w:hAnsi="宋体"/>
          <w:szCs w:val="21"/>
          <w:highlight w:val="none"/>
        </w:rPr>
      </w:pPr>
      <w:r>
        <w:rPr>
          <w:rFonts w:hint="eastAsia" w:ascii="宋体" w:hAnsi="宋体"/>
          <w:szCs w:val="21"/>
          <w:highlight w:val="none"/>
        </w:rPr>
        <w:t>日期：  年   月   日</w:t>
      </w:r>
    </w:p>
    <w:p>
      <w:pPr>
        <w:jc w:val="center"/>
        <w:rPr>
          <w:rFonts w:eastAsia="黑体"/>
          <w:b/>
          <w:bCs/>
          <w:sz w:val="28"/>
          <w:highlight w:val="none"/>
        </w:rPr>
      </w:pPr>
    </w:p>
    <w:p>
      <w:pPr>
        <w:jc w:val="center"/>
        <w:rPr>
          <w:rFonts w:eastAsia="黑体"/>
          <w:b/>
          <w:bCs/>
          <w:sz w:val="28"/>
          <w:highlight w:val="none"/>
        </w:rPr>
      </w:pPr>
      <w:r>
        <w:rPr>
          <w:rFonts w:hint="eastAsia" w:eastAsia="黑体"/>
          <w:b/>
          <w:bCs/>
          <w:sz w:val="28"/>
          <w:highlight w:val="none"/>
        </w:rPr>
        <w:t>相关条款偏离表</w:t>
      </w:r>
    </w:p>
    <w:tbl>
      <w:tblPr>
        <w:tblStyle w:val="30"/>
        <w:tblW w:w="8522"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28"/>
        <w:gridCol w:w="1080"/>
        <w:gridCol w:w="3060"/>
        <w:gridCol w:w="3554"/>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restart"/>
            <w:vAlign w:val="center"/>
          </w:tcPr>
          <w:p>
            <w:pPr>
              <w:jc w:val="center"/>
              <w:rPr>
                <w:rFonts w:ascii="宋体" w:hAnsi="宋体"/>
                <w:sz w:val="24"/>
                <w:highlight w:val="none"/>
              </w:rPr>
            </w:pPr>
            <w:r>
              <w:rPr>
                <w:rFonts w:hint="eastAsia" w:ascii="宋体" w:hAnsi="宋体"/>
                <w:sz w:val="24"/>
                <w:highlight w:val="none"/>
              </w:rPr>
              <w:t>序号</w:t>
            </w:r>
          </w:p>
        </w:tc>
        <w:tc>
          <w:tcPr>
            <w:tcW w:w="4140" w:type="dxa"/>
            <w:gridSpan w:val="2"/>
            <w:vAlign w:val="center"/>
          </w:tcPr>
          <w:p>
            <w:pPr>
              <w:jc w:val="center"/>
              <w:rPr>
                <w:rFonts w:ascii="宋体" w:hAnsi="宋体"/>
                <w:sz w:val="24"/>
                <w:highlight w:val="none"/>
              </w:rPr>
            </w:pPr>
            <w:r>
              <w:rPr>
                <w:rFonts w:hint="eastAsia" w:ascii="宋体" w:hAnsi="宋体"/>
                <w:sz w:val="24"/>
                <w:highlight w:val="none"/>
              </w:rPr>
              <w:t>招标文件条款</w:t>
            </w:r>
          </w:p>
        </w:tc>
        <w:tc>
          <w:tcPr>
            <w:tcW w:w="3554" w:type="dxa"/>
            <w:vMerge w:val="restart"/>
            <w:vAlign w:val="center"/>
          </w:tcPr>
          <w:p>
            <w:pPr>
              <w:jc w:val="center"/>
              <w:rPr>
                <w:rFonts w:ascii="宋体" w:hAnsi="宋体"/>
                <w:sz w:val="24"/>
                <w:highlight w:val="none"/>
              </w:rPr>
            </w:pPr>
            <w:r>
              <w:rPr>
                <w:rFonts w:hint="eastAsia" w:ascii="宋体" w:hAnsi="宋体"/>
                <w:sz w:val="24"/>
                <w:highlight w:val="none"/>
              </w:rPr>
              <w:t>偏离内容</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Merge w:val="continue"/>
            <w:vAlign w:val="center"/>
          </w:tcPr>
          <w:p>
            <w:pPr>
              <w:rPr>
                <w:rFonts w:ascii="宋体" w:hAnsi="宋体"/>
                <w:sz w:val="24"/>
                <w:highlight w:val="none"/>
              </w:rPr>
            </w:pPr>
          </w:p>
        </w:tc>
        <w:tc>
          <w:tcPr>
            <w:tcW w:w="1080" w:type="dxa"/>
            <w:vAlign w:val="center"/>
          </w:tcPr>
          <w:p>
            <w:pPr>
              <w:jc w:val="center"/>
              <w:rPr>
                <w:rFonts w:ascii="宋体" w:hAnsi="宋体"/>
                <w:sz w:val="24"/>
                <w:highlight w:val="none"/>
              </w:rPr>
            </w:pPr>
            <w:r>
              <w:rPr>
                <w:rFonts w:hint="eastAsia" w:ascii="宋体" w:hAnsi="宋体"/>
                <w:sz w:val="24"/>
                <w:highlight w:val="none"/>
              </w:rPr>
              <w:t>条款号</w:t>
            </w:r>
          </w:p>
        </w:tc>
        <w:tc>
          <w:tcPr>
            <w:tcW w:w="3060" w:type="dxa"/>
            <w:vAlign w:val="center"/>
          </w:tcPr>
          <w:p>
            <w:pPr>
              <w:jc w:val="center"/>
              <w:rPr>
                <w:rFonts w:ascii="宋体" w:hAnsi="宋体"/>
                <w:sz w:val="24"/>
                <w:highlight w:val="none"/>
              </w:rPr>
            </w:pPr>
            <w:r>
              <w:rPr>
                <w:rFonts w:hint="eastAsia" w:ascii="宋体" w:hAnsi="宋体"/>
                <w:sz w:val="24"/>
                <w:highlight w:val="none"/>
              </w:rPr>
              <w:t>条款要求</w:t>
            </w:r>
          </w:p>
        </w:tc>
        <w:tc>
          <w:tcPr>
            <w:tcW w:w="3554" w:type="dxa"/>
            <w:vMerge w:val="continue"/>
            <w:vAlign w:val="center"/>
          </w:tcPr>
          <w:p>
            <w:pPr>
              <w:jc w:val="center"/>
              <w:rPr>
                <w:rFonts w:ascii="宋体" w:hAnsi="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highlight w:val="none"/>
              </w:rPr>
            </w:pPr>
            <w:r>
              <w:rPr>
                <w:rFonts w:hint="eastAsia" w:ascii="宋体" w:hAnsi="宋体"/>
                <w:sz w:val="24"/>
                <w:highlight w:val="none"/>
              </w:rPr>
              <w:t>1</w:t>
            </w:r>
          </w:p>
        </w:tc>
        <w:tc>
          <w:tcPr>
            <w:tcW w:w="1080" w:type="dxa"/>
            <w:vAlign w:val="center"/>
          </w:tcPr>
          <w:p>
            <w:pPr>
              <w:rPr>
                <w:rFonts w:ascii="宋体" w:hAnsi="宋体"/>
                <w:sz w:val="24"/>
                <w:highlight w:val="none"/>
              </w:rPr>
            </w:pPr>
          </w:p>
        </w:tc>
        <w:tc>
          <w:tcPr>
            <w:tcW w:w="3060" w:type="dxa"/>
            <w:vAlign w:val="center"/>
          </w:tcPr>
          <w:p>
            <w:pPr>
              <w:rPr>
                <w:rFonts w:ascii="宋体" w:hAnsi="宋体"/>
                <w:sz w:val="24"/>
                <w:highlight w:val="none"/>
              </w:rPr>
            </w:pPr>
          </w:p>
        </w:tc>
        <w:tc>
          <w:tcPr>
            <w:tcW w:w="3554" w:type="dxa"/>
            <w:vAlign w:val="center"/>
          </w:tcPr>
          <w:p>
            <w:pPr>
              <w:rPr>
                <w:rFonts w:ascii="宋体" w:hAnsi="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highlight w:val="none"/>
              </w:rPr>
            </w:pPr>
            <w:r>
              <w:rPr>
                <w:rFonts w:hint="eastAsia" w:ascii="宋体" w:hAnsi="宋体"/>
                <w:sz w:val="24"/>
                <w:highlight w:val="none"/>
              </w:rPr>
              <w:t>2</w:t>
            </w:r>
          </w:p>
        </w:tc>
        <w:tc>
          <w:tcPr>
            <w:tcW w:w="1080" w:type="dxa"/>
            <w:vAlign w:val="center"/>
          </w:tcPr>
          <w:p>
            <w:pPr>
              <w:rPr>
                <w:rFonts w:ascii="宋体" w:hAnsi="宋体"/>
                <w:sz w:val="24"/>
                <w:highlight w:val="none"/>
              </w:rPr>
            </w:pPr>
          </w:p>
        </w:tc>
        <w:tc>
          <w:tcPr>
            <w:tcW w:w="3060" w:type="dxa"/>
            <w:vAlign w:val="center"/>
          </w:tcPr>
          <w:p>
            <w:pPr>
              <w:rPr>
                <w:rFonts w:ascii="宋体" w:hAnsi="宋体"/>
                <w:sz w:val="24"/>
                <w:highlight w:val="none"/>
              </w:rPr>
            </w:pPr>
          </w:p>
        </w:tc>
        <w:tc>
          <w:tcPr>
            <w:tcW w:w="3554" w:type="dxa"/>
            <w:vAlign w:val="center"/>
          </w:tcPr>
          <w:p>
            <w:pPr>
              <w:rPr>
                <w:rFonts w:ascii="宋体" w:hAnsi="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highlight w:val="none"/>
              </w:rPr>
            </w:pPr>
            <w:r>
              <w:rPr>
                <w:rFonts w:hint="eastAsia" w:ascii="宋体" w:hAnsi="宋体"/>
                <w:sz w:val="24"/>
                <w:highlight w:val="none"/>
              </w:rPr>
              <w:t>3</w:t>
            </w:r>
          </w:p>
        </w:tc>
        <w:tc>
          <w:tcPr>
            <w:tcW w:w="1080" w:type="dxa"/>
            <w:vAlign w:val="center"/>
          </w:tcPr>
          <w:p>
            <w:pPr>
              <w:rPr>
                <w:rFonts w:ascii="宋体" w:hAnsi="宋体"/>
                <w:sz w:val="24"/>
                <w:highlight w:val="none"/>
              </w:rPr>
            </w:pPr>
          </w:p>
        </w:tc>
        <w:tc>
          <w:tcPr>
            <w:tcW w:w="3060" w:type="dxa"/>
            <w:vAlign w:val="center"/>
          </w:tcPr>
          <w:p>
            <w:pPr>
              <w:rPr>
                <w:rFonts w:ascii="宋体" w:hAnsi="宋体"/>
                <w:sz w:val="24"/>
                <w:highlight w:val="none"/>
              </w:rPr>
            </w:pPr>
          </w:p>
        </w:tc>
        <w:tc>
          <w:tcPr>
            <w:tcW w:w="3554" w:type="dxa"/>
            <w:vAlign w:val="center"/>
          </w:tcPr>
          <w:p>
            <w:pPr>
              <w:rPr>
                <w:rFonts w:ascii="宋体" w:hAnsi="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highlight w:val="none"/>
              </w:rPr>
            </w:pPr>
            <w:r>
              <w:rPr>
                <w:rFonts w:hint="eastAsia" w:ascii="宋体" w:hAnsi="宋体"/>
                <w:sz w:val="24"/>
                <w:highlight w:val="none"/>
              </w:rPr>
              <w:t>4</w:t>
            </w:r>
          </w:p>
        </w:tc>
        <w:tc>
          <w:tcPr>
            <w:tcW w:w="1080" w:type="dxa"/>
            <w:vAlign w:val="center"/>
          </w:tcPr>
          <w:p>
            <w:pPr>
              <w:rPr>
                <w:rFonts w:ascii="宋体" w:hAnsi="宋体"/>
                <w:sz w:val="24"/>
                <w:highlight w:val="none"/>
              </w:rPr>
            </w:pPr>
          </w:p>
        </w:tc>
        <w:tc>
          <w:tcPr>
            <w:tcW w:w="3060" w:type="dxa"/>
            <w:vAlign w:val="center"/>
          </w:tcPr>
          <w:p>
            <w:pPr>
              <w:rPr>
                <w:rFonts w:ascii="宋体" w:hAnsi="宋体"/>
                <w:sz w:val="24"/>
                <w:highlight w:val="none"/>
              </w:rPr>
            </w:pPr>
          </w:p>
        </w:tc>
        <w:tc>
          <w:tcPr>
            <w:tcW w:w="3554" w:type="dxa"/>
            <w:vAlign w:val="center"/>
          </w:tcPr>
          <w:p>
            <w:pPr>
              <w:rPr>
                <w:rFonts w:ascii="宋体" w:hAnsi="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highlight w:val="none"/>
              </w:rPr>
            </w:pPr>
            <w:r>
              <w:rPr>
                <w:rFonts w:hint="eastAsia" w:ascii="宋体" w:hAnsi="宋体"/>
                <w:sz w:val="24"/>
                <w:highlight w:val="none"/>
              </w:rPr>
              <w:t>5</w:t>
            </w:r>
          </w:p>
        </w:tc>
        <w:tc>
          <w:tcPr>
            <w:tcW w:w="1080" w:type="dxa"/>
            <w:vAlign w:val="center"/>
          </w:tcPr>
          <w:p>
            <w:pPr>
              <w:rPr>
                <w:rFonts w:ascii="宋体" w:hAnsi="宋体"/>
                <w:sz w:val="24"/>
                <w:highlight w:val="none"/>
              </w:rPr>
            </w:pPr>
          </w:p>
        </w:tc>
        <w:tc>
          <w:tcPr>
            <w:tcW w:w="3060" w:type="dxa"/>
            <w:vAlign w:val="center"/>
          </w:tcPr>
          <w:p>
            <w:pPr>
              <w:rPr>
                <w:rFonts w:ascii="宋体" w:hAnsi="宋体"/>
                <w:sz w:val="24"/>
                <w:highlight w:val="none"/>
              </w:rPr>
            </w:pPr>
          </w:p>
        </w:tc>
        <w:tc>
          <w:tcPr>
            <w:tcW w:w="3554" w:type="dxa"/>
            <w:vAlign w:val="center"/>
          </w:tcPr>
          <w:p>
            <w:pPr>
              <w:rPr>
                <w:rFonts w:ascii="宋体" w:hAnsi="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highlight w:val="none"/>
              </w:rPr>
            </w:pPr>
            <w:r>
              <w:rPr>
                <w:rFonts w:hint="eastAsia" w:ascii="宋体" w:hAnsi="宋体"/>
                <w:sz w:val="24"/>
                <w:highlight w:val="none"/>
              </w:rPr>
              <w:t>6</w:t>
            </w:r>
          </w:p>
        </w:tc>
        <w:tc>
          <w:tcPr>
            <w:tcW w:w="1080" w:type="dxa"/>
            <w:vAlign w:val="center"/>
          </w:tcPr>
          <w:p>
            <w:pPr>
              <w:rPr>
                <w:rFonts w:ascii="宋体" w:hAnsi="宋体"/>
                <w:sz w:val="24"/>
                <w:highlight w:val="none"/>
              </w:rPr>
            </w:pPr>
          </w:p>
        </w:tc>
        <w:tc>
          <w:tcPr>
            <w:tcW w:w="3060" w:type="dxa"/>
            <w:vAlign w:val="center"/>
          </w:tcPr>
          <w:p>
            <w:pPr>
              <w:rPr>
                <w:rFonts w:ascii="宋体" w:hAnsi="宋体"/>
                <w:sz w:val="24"/>
                <w:highlight w:val="none"/>
              </w:rPr>
            </w:pPr>
          </w:p>
        </w:tc>
        <w:tc>
          <w:tcPr>
            <w:tcW w:w="3554" w:type="dxa"/>
            <w:vAlign w:val="center"/>
          </w:tcPr>
          <w:p>
            <w:pPr>
              <w:rPr>
                <w:rFonts w:ascii="宋体" w:hAnsi="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highlight w:val="none"/>
              </w:rPr>
            </w:pPr>
            <w:r>
              <w:rPr>
                <w:rFonts w:hint="eastAsia" w:ascii="宋体" w:hAnsi="宋体"/>
                <w:sz w:val="24"/>
                <w:highlight w:val="none"/>
              </w:rPr>
              <w:t>7</w:t>
            </w:r>
          </w:p>
        </w:tc>
        <w:tc>
          <w:tcPr>
            <w:tcW w:w="1080" w:type="dxa"/>
            <w:vAlign w:val="center"/>
          </w:tcPr>
          <w:p>
            <w:pPr>
              <w:rPr>
                <w:rFonts w:ascii="宋体" w:hAnsi="宋体"/>
                <w:sz w:val="24"/>
                <w:highlight w:val="none"/>
              </w:rPr>
            </w:pPr>
          </w:p>
        </w:tc>
        <w:tc>
          <w:tcPr>
            <w:tcW w:w="3060" w:type="dxa"/>
            <w:vAlign w:val="center"/>
          </w:tcPr>
          <w:p>
            <w:pPr>
              <w:rPr>
                <w:rFonts w:ascii="宋体" w:hAnsi="宋体"/>
                <w:sz w:val="24"/>
                <w:highlight w:val="none"/>
              </w:rPr>
            </w:pPr>
          </w:p>
        </w:tc>
        <w:tc>
          <w:tcPr>
            <w:tcW w:w="3554" w:type="dxa"/>
            <w:vAlign w:val="center"/>
          </w:tcPr>
          <w:p>
            <w:pPr>
              <w:rPr>
                <w:rFonts w:ascii="宋体" w:hAnsi="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highlight w:val="none"/>
              </w:rPr>
            </w:pPr>
            <w:r>
              <w:rPr>
                <w:rFonts w:hint="eastAsia" w:ascii="宋体" w:hAnsi="宋体"/>
                <w:sz w:val="24"/>
                <w:highlight w:val="none"/>
              </w:rPr>
              <w:t>8</w:t>
            </w:r>
          </w:p>
        </w:tc>
        <w:tc>
          <w:tcPr>
            <w:tcW w:w="1080" w:type="dxa"/>
            <w:vAlign w:val="center"/>
          </w:tcPr>
          <w:p>
            <w:pPr>
              <w:rPr>
                <w:rFonts w:ascii="宋体" w:hAnsi="宋体"/>
                <w:sz w:val="24"/>
                <w:highlight w:val="none"/>
              </w:rPr>
            </w:pPr>
          </w:p>
        </w:tc>
        <w:tc>
          <w:tcPr>
            <w:tcW w:w="3060" w:type="dxa"/>
            <w:vAlign w:val="center"/>
          </w:tcPr>
          <w:p>
            <w:pPr>
              <w:rPr>
                <w:rFonts w:ascii="宋体" w:hAnsi="宋体"/>
                <w:sz w:val="24"/>
                <w:highlight w:val="none"/>
              </w:rPr>
            </w:pPr>
          </w:p>
        </w:tc>
        <w:tc>
          <w:tcPr>
            <w:tcW w:w="3554" w:type="dxa"/>
            <w:vAlign w:val="center"/>
          </w:tcPr>
          <w:p>
            <w:pPr>
              <w:rPr>
                <w:rFonts w:ascii="宋体" w:hAnsi="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highlight w:val="none"/>
              </w:rPr>
            </w:pPr>
            <w:r>
              <w:rPr>
                <w:rFonts w:hint="eastAsia" w:ascii="宋体" w:hAnsi="宋体"/>
                <w:sz w:val="24"/>
                <w:highlight w:val="none"/>
              </w:rPr>
              <w:t>9</w:t>
            </w:r>
          </w:p>
        </w:tc>
        <w:tc>
          <w:tcPr>
            <w:tcW w:w="1080" w:type="dxa"/>
            <w:vAlign w:val="center"/>
          </w:tcPr>
          <w:p>
            <w:pPr>
              <w:rPr>
                <w:rFonts w:ascii="宋体" w:hAnsi="宋体"/>
                <w:sz w:val="24"/>
                <w:highlight w:val="none"/>
              </w:rPr>
            </w:pPr>
          </w:p>
        </w:tc>
        <w:tc>
          <w:tcPr>
            <w:tcW w:w="3060" w:type="dxa"/>
            <w:vAlign w:val="center"/>
          </w:tcPr>
          <w:p>
            <w:pPr>
              <w:rPr>
                <w:rFonts w:ascii="宋体" w:hAnsi="宋体"/>
                <w:sz w:val="24"/>
                <w:highlight w:val="none"/>
              </w:rPr>
            </w:pPr>
          </w:p>
        </w:tc>
        <w:tc>
          <w:tcPr>
            <w:tcW w:w="3554" w:type="dxa"/>
            <w:vAlign w:val="center"/>
          </w:tcPr>
          <w:p>
            <w:pPr>
              <w:rPr>
                <w:rFonts w:ascii="宋体" w:hAnsi="宋体"/>
                <w:sz w:val="24"/>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0" w:hRule="atLeast"/>
          <w:jc w:val="center"/>
        </w:trPr>
        <w:tc>
          <w:tcPr>
            <w:tcW w:w="828" w:type="dxa"/>
            <w:vAlign w:val="center"/>
          </w:tcPr>
          <w:p>
            <w:pPr>
              <w:jc w:val="center"/>
              <w:rPr>
                <w:rFonts w:ascii="宋体" w:hAnsi="宋体"/>
                <w:sz w:val="24"/>
                <w:highlight w:val="none"/>
              </w:rPr>
            </w:pPr>
            <w:r>
              <w:rPr>
                <w:rFonts w:hint="eastAsia" w:ascii="宋体" w:hAnsi="宋体"/>
                <w:sz w:val="24"/>
                <w:highlight w:val="none"/>
              </w:rPr>
              <w:t>10</w:t>
            </w:r>
          </w:p>
        </w:tc>
        <w:tc>
          <w:tcPr>
            <w:tcW w:w="1080" w:type="dxa"/>
            <w:vAlign w:val="center"/>
          </w:tcPr>
          <w:p>
            <w:pPr>
              <w:rPr>
                <w:rFonts w:ascii="宋体" w:hAnsi="宋体"/>
                <w:sz w:val="24"/>
                <w:highlight w:val="none"/>
              </w:rPr>
            </w:pPr>
          </w:p>
        </w:tc>
        <w:tc>
          <w:tcPr>
            <w:tcW w:w="3060" w:type="dxa"/>
            <w:vAlign w:val="center"/>
          </w:tcPr>
          <w:p>
            <w:pPr>
              <w:rPr>
                <w:rFonts w:ascii="宋体" w:hAnsi="宋体"/>
                <w:sz w:val="24"/>
                <w:highlight w:val="none"/>
              </w:rPr>
            </w:pPr>
          </w:p>
        </w:tc>
        <w:tc>
          <w:tcPr>
            <w:tcW w:w="3554" w:type="dxa"/>
            <w:vAlign w:val="center"/>
          </w:tcPr>
          <w:p>
            <w:pPr>
              <w:rPr>
                <w:rFonts w:ascii="宋体" w:hAnsi="宋体"/>
                <w:sz w:val="24"/>
                <w:highlight w:val="none"/>
              </w:rPr>
            </w:pPr>
          </w:p>
        </w:tc>
      </w:tr>
    </w:tbl>
    <w:p>
      <w:pPr>
        <w:rPr>
          <w:rFonts w:ascii="宋体" w:hAnsi="宋体"/>
          <w:sz w:val="24"/>
          <w:highlight w:val="none"/>
        </w:rPr>
      </w:pPr>
    </w:p>
    <w:p>
      <w:pPr>
        <w:rPr>
          <w:rFonts w:ascii="仿宋_GB2312" w:hAnsi="宋体" w:eastAsia="仿宋_GB2312"/>
          <w:sz w:val="24"/>
          <w:highlight w:val="none"/>
        </w:rPr>
      </w:pPr>
      <w:r>
        <w:rPr>
          <w:rFonts w:hint="eastAsia" w:ascii="仿宋_GB2312" w:hAnsi="宋体" w:eastAsia="仿宋_GB2312"/>
          <w:sz w:val="24"/>
          <w:highlight w:val="none"/>
        </w:rPr>
        <w:t>投标人名称（盖章）：              法定代表人或授权代表签字：</w:t>
      </w:r>
    </w:p>
    <w:p>
      <w:pPr>
        <w:rPr>
          <w:rFonts w:ascii="宋体" w:hAnsi="宋体"/>
          <w:sz w:val="24"/>
          <w:highlight w:val="none"/>
        </w:rPr>
      </w:pPr>
    </w:p>
    <w:p>
      <w:pPr>
        <w:rPr>
          <w:rFonts w:ascii="宋体" w:hAnsi="宋体"/>
          <w:sz w:val="24"/>
          <w:highlight w:val="none"/>
        </w:rPr>
      </w:pPr>
    </w:p>
    <w:p>
      <w:pPr>
        <w:pStyle w:val="76"/>
        <w:rPr>
          <w:rFonts w:hint="default" w:hAnsi="宋体"/>
          <w:sz w:val="24"/>
          <w:highlight w:val="none"/>
          <w:lang w:val="en-US"/>
        </w:rPr>
      </w:pPr>
      <w:r>
        <w:rPr>
          <w:rFonts w:hint="eastAsia" w:ascii="宋体" w:hAnsi="宋体"/>
          <w:b/>
          <w:sz w:val="24"/>
          <w:highlight w:val="none"/>
        </w:rPr>
        <w:t>注：</w:t>
      </w:r>
      <w:r>
        <w:rPr>
          <w:rFonts w:hint="eastAsia" w:ascii="宋体" w:hAnsi="宋体"/>
          <w:sz w:val="24"/>
          <w:highlight w:val="none"/>
        </w:rPr>
        <w:t>为避免歧义，无偏离也应要提报该表，并注明“无”字。如无该表则即使在其它部分已反映，将也被视为“无偏离”。</w:t>
      </w:r>
    </w:p>
    <w:sectPr>
      <w:headerReference r:id="rId9" w:type="first"/>
      <w:footerReference r:id="rId10" w:type="first"/>
      <w:pgSz w:w="11906" w:h="16838"/>
      <w:pgMar w:top="1701" w:right="1418" w:bottom="1134" w:left="1418" w:header="851" w:footer="992" w:gutter="0"/>
      <w:pgNumType w:fmt="numberInDash" w:start="1"/>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52"/>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等线 Light">
    <w:panose1 w:val="02010600030101010101"/>
    <w:charset w:val="86"/>
    <w:family w:val="auto"/>
    <w:pitch w:val="default"/>
    <w:sig w:usb0="A00002BF" w:usb1="38CF7CFA" w:usb2="00000016" w:usb3="00000000" w:csb0="0004000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Cambria">
    <w:panose1 w:val="02040503050406030204"/>
    <w:charset w:val="00"/>
    <w:family w:val="roman"/>
    <w:pitch w:val="default"/>
    <w:sig w:usb0="E00006FF" w:usb1="420024FF" w:usb2="02000000" w:usb3="00000000" w:csb0="2000019F" w:csb1="00000000"/>
  </w:font>
  <w:font w:name="Verdana">
    <w:panose1 w:val="020B0604030504040204"/>
    <w:charset w:val="00"/>
    <w:family w:val="swiss"/>
    <w:pitch w:val="default"/>
    <w:sig w:usb0="A00006FF" w:usb1="4000205B" w:usb2="00000010" w:usb3="00000000" w:csb0="2000019F" w:csb1="00000000"/>
  </w:font>
  <w:font w:name="ˎ̥">
    <w:altName w:val="Times New Roman"/>
    <w:panose1 w:val="00000000000000000000"/>
    <w:charset w:val="00"/>
    <w:family w:val="roman"/>
    <w:pitch w:val="default"/>
    <w:sig w:usb0="00000000" w:usb1="00000000" w:usb2="00000000" w:usb3="00000000" w:csb0="00040001" w:csb1="00000000"/>
  </w:font>
  <w:font w:name="Tahoma">
    <w:panose1 w:val="020B0604030504040204"/>
    <w:charset w:val="00"/>
    <w:family w:val="swiss"/>
    <w:pitch w:val="default"/>
    <w:sig w:usb0="E1002EFF" w:usb1="C000605B" w:usb2="00000029" w:usb3="00000000" w:csb0="200101FF" w:csb1="20280000"/>
  </w:font>
  <w:font w:name="Microsoft YaHei UI">
    <w:panose1 w:val="020B0503020204020204"/>
    <w:charset w:val="86"/>
    <w:family w:val="swiss"/>
    <w:pitch w:val="default"/>
    <w:sig w:usb0="80000287" w:usb1="2ACF3C50" w:usb2="00000016" w:usb3="00000000" w:csb0="0004001F" w:csb1="00000000"/>
  </w:font>
  <w:font w:name="楷体_GB2312">
    <w:altName w:val="楷体"/>
    <w:panose1 w:val="00000000000000000000"/>
    <w:charset w:val="86"/>
    <w:family w:val="modern"/>
    <w:pitch w:val="default"/>
    <w:sig w:usb0="00000000" w:usb1="00000000" w:usb2="00000016" w:usb3="00000000" w:csb0="00040001" w:csb1="00000000"/>
  </w:font>
  <w:font w:name="楷体">
    <w:panose1 w:val="02010609060101010101"/>
    <w:charset w:val="86"/>
    <w:family w:val="auto"/>
    <w:pitch w:val="default"/>
    <w:sig w:usb0="800002BF" w:usb1="38CF7CFA" w:usb2="00000016" w:usb3="00000000" w:csb0="00040001" w:csb1="00000000"/>
  </w:font>
  <w:font w:name="??">
    <w:altName w:val="Times New Roman"/>
    <w:panose1 w:val="00000000000000000000"/>
    <w:charset w:val="00"/>
    <w:family w:val="roman"/>
    <w:pitch w:val="default"/>
    <w:sig w:usb0="00000000" w:usb1="00000000" w:usb2="00000000" w:usb3="00000000" w:csb0="00000001" w:csb1="00000000"/>
  </w:font>
  <w:font w:name="Cambria Math">
    <w:panose1 w:val="02040503050406030204"/>
    <w:charset w:val="00"/>
    <w:family w:val="roman"/>
    <w:pitch w:val="default"/>
    <w:sig w:usb0="E00006FF" w:usb1="420024FF" w:usb2="02000000" w:usb3="00000000" w:csb0="2000019F" w:csb1="00000000"/>
  </w:font>
  <w:font w:name="等线">
    <w:panose1 w:val="02010600030101010101"/>
    <w:charset w:val="86"/>
    <w:family w:val="auto"/>
    <w:pitch w:val="default"/>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698291327"/>
    </w:sdtPr>
    <w:sdtContent>
      <w:p>
        <w:pPr>
          <w:pStyle w:val="18"/>
          <w:jc w:val="center"/>
          <w:rPr>
            <w:sz w:val="21"/>
            <w:szCs w:val="20"/>
          </w:rP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- 18 -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framePr w:wrap="around" w:vAnchor="text" w:hAnchor="margin" w:xAlign="center" w:y="1"/>
      <w:rPr>
        <w:rStyle w:val="34"/>
      </w:rPr>
    </w:pPr>
    <w:r>
      <w:fldChar w:fldCharType="begin"/>
    </w:r>
    <w:r>
      <w:rPr>
        <w:rStyle w:val="34"/>
      </w:rPr>
      <w:instrText xml:space="preserve">PAGE  </w:instrText>
    </w:r>
    <w:r>
      <w:fldChar w:fldCharType="end"/>
    </w:r>
  </w:p>
  <w:p>
    <w:pPr>
      <w:pStyle w:val="18"/>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cen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8"/>
      <w:jc w:val="right"/>
      <w:rPr>
        <w:rFonts w:hint="eastAsia"/>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968472429"/>
    </w:sdtPr>
    <w:sdtContent>
      <w:sdt>
        <w:sdtPr>
          <w:id w:val="1728636285"/>
        </w:sdtPr>
        <w:sdtContent>
          <w:p>
            <w:pPr>
              <w:pStyle w:val="18"/>
              <w:jc w:val="center"/>
            </w:pPr>
            <w:r>
              <w:rPr>
                <w:rFonts w:hint="eastAsia"/>
                <w:lang w:val="zh-CN"/>
              </w:rPr>
              <w:t>第</w:t>
            </w:r>
            <w:r>
              <w:rPr>
                <w:lang w:val="zh-CN"/>
              </w:rPr>
              <w:fldChar w:fldCharType="begin"/>
            </w:r>
            <w:r>
              <w:rPr>
                <w:lang w:val="zh-CN"/>
              </w:rPr>
              <w:instrText xml:space="preserve">PAGE</w:instrText>
            </w:r>
            <w:r>
              <w:rPr>
                <w:lang w:val="zh-CN"/>
              </w:rPr>
              <w:fldChar w:fldCharType="separate"/>
            </w:r>
            <w:r>
              <w:rPr>
                <w:lang w:val="zh-CN"/>
              </w:rPr>
              <w:t>- 1 -</w:t>
            </w:r>
            <w:r>
              <w:rPr>
                <w:lang w:val="zh-CN"/>
              </w:rPr>
              <w:fldChar w:fldCharType="end"/>
            </w:r>
            <w:r>
              <w:rPr>
                <w:rFonts w:hint="eastAsia"/>
                <w:lang w:val="zh-CN"/>
              </w:rPr>
              <w:t>页，共</w:t>
            </w:r>
            <w:r>
              <w:rPr>
                <w:lang w:val="zh-CN"/>
              </w:rPr>
              <w:fldChar w:fldCharType="begin"/>
            </w:r>
            <w:r>
              <w:rPr>
                <w:lang w:val="zh-CN"/>
              </w:rPr>
              <w:instrText xml:space="preserve">NUMPAGES</w:instrText>
            </w:r>
            <w:r>
              <w:rPr>
                <w:lang w:val="zh-CN"/>
              </w:rPr>
              <w:fldChar w:fldCharType="separate"/>
            </w:r>
            <w:r>
              <w:rPr>
                <w:lang w:val="zh-CN"/>
              </w:rPr>
              <w:t>32</w:t>
            </w:r>
            <w:r>
              <w:rPr>
                <w:lang w:val="zh-CN"/>
              </w:rPr>
              <w:fldChar w:fldCharType="end"/>
            </w:r>
            <w:r>
              <w:rPr>
                <w:rFonts w:hint="eastAsia"/>
                <w:lang w:val="zh-CN"/>
              </w:rPr>
              <w:t>页</w:t>
            </w:r>
          </w:p>
        </w:sdtContent>
      </w:sdt>
    </w:sdtContent>
  </w:sdt>
  <w:p>
    <w:pPr>
      <w:pStyle w:val="18"/>
      <w:jc w:val="center"/>
    </w:pPr>
  </w:p>
  <w:p/>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ind w:firstLine="360"/>
      <w:jc w:val="right"/>
    </w:pPr>
    <w:r>
      <w:rPr>
        <w:rFonts w:hint="eastAsia"/>
      </w:rPr>
      <w:t>中国重型汽车集团*</w:t>
    </w:r>
    <w:r>
      <w:t>*****</w:t>
    </w:r>
    <w:r>
      <w:rPr>
        <w:rFonts w:hint="eastAsia"/>
      </w:rPr>
      <w:t>采购项目招标书</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9"/>
      <w:pBdr>
        <w:bottom w:val="single" w:color="auto" w:sz="12" w:space="9"/>
      </w:pBdr>
      <w:jc w:val="both"/>
    </w:pPr>
    <w:r>
      <w:object>
        <v:shape id="_x0000_i1025" o:spt="75" type="#_x0000_t75" style="height:28.5pt;width:112.9pt;" o:ole="t" filled="f" stroked="f" coordsize="21600,21600">
          <v:path/>
          <v:fill on="f" focussize="0,0"/>
          <v:stroke on="f"/>
          <v:imagedata r:id="rId2" o:title=""/>
          <o:lock v:ext="edit" grouping="f" rotation="f" text="f" aspectratio="t"/>
          <w10:wrap type="none"/>
          <w10:anchorlock/>
        </v:shape>
        <o:OLEObject Type="Embed" ProgID="PBrush" ShapeID="_x0000_i1025" DrawAspect="Content" ObjectID="_1468075725" r:id="rId1">
          <o:LockedField>false</o:LockedField>
        </o:OLEObject>
      </w:object>
    </w:r>
    <w:r>
      <w:rPr>
        <w:rFonts w:hint="eastAsia" w:ascii="黑体" w:eastAsia="黑体"/>
        <w:sz w:val="24"/>
      </w:rPr>
      <w:t xml:space="preserve"> </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370076E"/>
    <w:multiLevelType w:val="singleLevel"/>
    <w:tmpl w:val="8370076E"/>
    <w:lvl w:ilvl="0" w:tentative="0">
      <w:start w:val="1"/>
      <w:numFmt w:val="chineseCounting"/>
      <w:suff w:val="nothing"/>
      <w:lvlText w:val="（%1）"/>
      <w:lvlJc w:val="left"/>
      <w:pPr>
        <w:ind w:left="0" w:firstLine="420"/>
      </w:pPr>
      <w:rPr>
        <w:rFonts w:hint="eastAsia"/>
      </w:rPr>
    </w:lvl>
  </w:abstractNum>
  <w:abstractNum w:abstractNumId="1">
    <w:nsid w:val="863E6579"/>
    <w:multiLevelType w:val="singleLevel"/>
    <w:tmpl w:val="863E6579"/>
    <w:lvl w:ilvl="0" w:tentative="0">
      <w:start w:val="1"/>
      <w:numFmt w:val="decimal"/>
      <w:lvlText w:val="(%1)"/>
      <w:lvlJc w:val="left"/>
      <w:pPr>
        <w:ind w:left="425" w:hanging="425"/>
      </w:pPr>
      <w:rPr>
        <w:rFonts w:hint="default"/>
        <w:b w:val="0"/>
        <w:bCs w:val="0"/>
        <w:color w:val="auto"/>
      </w:rPr>
    </w:lvl>
  </w:abstractNum>
  <w:abstractNum w:abstractNumId="2">
    <w:nsid w:val="93852671"/>
    <w:multiLevelType w:val="singleLevel"/>
    <w:tmpl w:val="93852671"/>
    <w:lvl w:ilvl="0" w:tentative="0">
      <w:start w:val="1"/>
      <w:numFmt w:val="decimal"/>
      <w:lvlText w:val="%1."/>
      <w:lvlJc w:val="left"/>
      <w:pPr>
        <w:ind w:left="425" w:hanging="425"/>
      </w:pPr>
      <w:rPr>
        <w:rFonts w:hint="default"/>
      </w:rPr>
    </w:lvl>
  </w:abstractNum>
  <w:abstractNum w:abstractNumId="3">
    <w:nsid w:val="9E1BA4F3"/>
    <w:multiLevelType w:val="singleLevel"/>
    <w:tmpl w:val="9E1BA4F3"/>
    <w:lvl w:ilvl="0" w:tentative="0">
      <w:start w:val="1"/>
      <w:numFmt w:val="decimal"/>
      <w:lvlText w:val="%1."/>
      <w:lvlJc w:val="left"/>
      <w:pPr>
        <w:tabs>
          <w:tab w:val="left" w:pos="312"/>
        </w:tabs>
      </w:pPr>
      <w:rPr>
        <w:rFonts w:hint="default" w:ascii="宋体" w:hAnsi="宋体" w:eastAsia="宋体" w:cs="宋体"/>
        <w:sz w:val="21"/>
        <w:szCs w:val="21"/>
      </w:rPr>
    </w:lvl>
  </w:abstractNum>
  <w:abstractNum w:abstractNumId="4">
    <w:nsid w:val="B12C4597"/>
    <w:multiLevelType w:val="singleLevel"/>
    <w:tmpl w:val="B12C4597"/>
    <w:lvl w:ilvl="0" w:tentative="0">
      <w:start w:val="1"/>
      <w:numFmt w:val="decimal"/>
      <w:lvlText w:val="%1."/>
      <w:lvlJc w:val="left"/>
      <w:pPr>
        <w:ind w:left="425" w:hanging="425"/>
      </w:pPr>
      <w:rPr>
        <w:rFonts w:hint="default"/>
      </w:rPr>
    </w:lvl>
  </w:abstractNum>
  <w:abstractNum w:abstractNumId="5">
    <w:nsid w:val="B301A340"/>
    <w:multiLevelType w:val="singleLevel"/>
    <w:tmpl w:val="B301A340"/>
    <w:lvl w:ilvl="0" w:tentative="0">
      <w:start w:val="1"/>
      <w:numFmt w:val="chineseCounting"/>
      <w:suff w:val="nothing"/>
      <w:lvlText w:val="（%1）"/>
      <w:lvlJc w:val="left"/>
      <w:pPr>
        <w:ind w:left="0" w:firstLine="420"/>
      </w:pPr>
      <w:rPr>
        <w:rFonts w:hint="eastAsia"/>
      </w:rPr>
    </w:lvl>
  </w:abstractNum>
  <w:abstractNum w:abstractNumId="6">
    <w:nsid w:val="BD4C6742"/>
    <w:multiLevelType w:val="singleLevel"/>
    <w:tmpl w:val="BD4C6742"/>
    <w:lvl w:ilvl="0" w:tentative="0">
      <w:start w:val="1"/>
      <w:numFmt w:val="decimal"/>
      <w:lvlText w:val="%1."/>
      <w:lvlJc w:val="left"/>
      <w:pPr>
        <w:ind w:left="425" w:hanging="425"/>
      </w:pPr>
      <w:rPr>
        <w:rFonts w:hint="default"/>
      </w:rPr>
    </w:lvl>
  </w:abstractNum>
  <w:abstractNum w:abstractNumId="7">
    <w:nsid w:val="D9A4530E"/>
    <w:multiLevelType w:val="singleLevel"/>
    <w:tmpl w:val="D9A4530E"/>
    <w:lvl w:ilvl="0" w:tentative="0">
      <w:start w:val="1"/>
      <w:numFmt w:val="decimal"/>
      <w:lvlText w:val="(%1)"/>
      <w:lvlJc w:val="left"/>
      <w:pPr>
        <w:ind w:left="425" w:hanging="425"/>
      </w:pPr>
      <w:rPr>
        <w:rFonts w:hint="default"/>
      </w:rPr>
    </w:lvl>
  </w:abstractNum>
  <w:abstractNum w:abstractNumId="8">
    <w:nsid w:val="DC3F8C8B"/>
    <w:multiLevelType w:val="singleLevel"/>
    <w:tmpl w:val="DC3F8C8B"/>
    <w:lvl w:ilvl="0" w:tentative="0">
      <w:start w:val="1"/>
      <w:numFmt w:val="decimal"/>
      <w:lvlText w:val="%1."/>
      <w:lvlJc w:val="left"/>
      <w:pPr>
        <w:ind w:left="425" w:hanging="425"/>
      </w:pPr>
      <w:rPr>
        <w:rFonts w:hint="default"/>
      </w:rPr>
    </w:lvl>
  </w:abstractNum>
  <w:abstractNum w:abstractNumId="9">
    <w:nsid w:val="ECCC98A1"/>
    <w:multiLevelType w:val="singleLevel"/>
    <w:tmpl w:val="ECCC98A1"/>
    <w:lvl w:ilvl="0" w:tentative="0">
      <w:start w:val="1"/>
      <w:numFmt w:val="decimal"/>
      <w:suff w:val="nothing"/>
      <w:lvlText w:val="%1、"/>
      <w:lvlJc w:val="left"/>
    </w:lvl>
  </w:abstractNum>
  <w:abstractNum w:abstractNumId="10">
    <w:nsid w:val="FE574647"/>
    <w:multiLevelType w:val="multilevel"/>
    <w:tmpl w:val="FE57464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abstractNum w:abstractNumId="11">
    <w:nsid w:val="06882CE3"/>
    <w:multiLevelType w:val="multilevel"/>
    <w:tmpl w:val="06882CE3"/>
    <w:lvl w:ilvl="0" w:tentative="0">
      <w:start w:val="1"/>
      <w:numFmt w:val="decimal"/>
      <w:pStyle w:val="75"/>
      <w:suff w:val="nothing"/>
      <w:lvlText w:val="（%1）"/>
      <w:lvlJc w:val="left"/>
      <w:pPr>
        <w:ind w:left="1270" w:hanging="420"/>
      </w:pPr>
      <w:rPr>
        <w:b w:val="0"/>
        <w:bCs w:val="0"/>
        <w:i w:val="0"/>
        <w:iCs w:val="0"/>
        <w:caps w:val="0"/>
        <w:smallCaps w:val="0"/>
        <w:strike w:val="0"/>
        <w:dstrike w:val="0"/>
        <w:outline w:val="0"/>
        <w:shadow w:val="0"/>
        <w:emboss w:val="0"/>
        <w:imprint w:val="0"/>
        <w:vanish w:val="0"/>
        <w:spacing w:val="0"/>
        <w:position w:val="0"/>
        <w:u w:val="none"/>
        <w:vertAlign w:val="baseline"/>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props3d w14:extrusionH="0" w14:contourW="0" w14:prstMaterial="none"/>
        <w14:scene3d>
          <w14:lightRig w14:rig="threePt" w14:dir="t">
            <w14:rot w14:lat="0" w14:lon="0" w14:rev="0"/>
          </w14:lightRig>
        </w14:scene3d>
        <w14:ligatures w14:val="none"/>
        <w14:numForm w14:val="default"/>
        <w14:numSpacing w14:val="default"/>
      </w:rPr>
    </w:lvl>
    <w:lvl w:ilvl="1" w:tentative="0">
      <w:start w:val="1"/>
      <w:numFmt w:val="lowerLetter"/>
      <w:lvlText w:val="%2)"/>
      <w:lvlJc w:val="left"/>
      <w:pPr>
        <w:ind w:left="1254" w:hanging="420"/>
      </w:pPr>
    </w:lvl>
    <w:lvl w:ilvl="2" w:tentative="0">
      <w:start w:val="1"/>
      <w:numFmt w:val="lowerRoman"/>
      <w:lvlText w:val="%3."/>
      <w:lvlJc w:val="right"/>
      <w:pPr>
        <w:ind w:left="1674" w:hanging="420"/>
      </w:pPr>
    </w:lvl>
    <w:lvl w:ilvl="3" w:tentative="0">
      <w:start w:val="1"/>
      <w:numFmt w:val="decimal"/>
      <w:lvlText w:val="%4."/>
      <w:lvlJc w:val="left"/>
      <w:pPr>
        <w:ind w:left="2094" w:hanging="420"/>
      </w:pPr>
    </w:lvl>
    <w:lvl w:ilvl="4" w:tentative="0">
      <w:start w:val="1"/>
      <w:numFmt w:val="lowerLetter"/>
      <w:lvlText w:val="%5)"/>
      <w:lvlJc w:val="left"/>
      <w:pPr>
        <w:ind w:left="2514" w:hanging="420"/>
      </w:pPr>
    </w:lvl>
    <w:lvl w:ilvl="5" w:tentative="0">
      <w:start w:val="1"/>
      <w:numFmt w:val="lowerRoman"/>
      <w:lvlText w:val="%6."/>
      <w:lvlJc w:val="right"/>
      <w:pPr>
        <w:ind w:left="2934" w:hanging="420"/>
      </w:pPr>
    </w:lvl>
    <w:lvl w:ilvl="6" w:tentative="0">
      <w:start w:val="1"/>
      <w:numFmt w:val="decimal"/>
      <w:lvlText w:val="%7."/>
      <w:lvlJc w:val="left"/>
      <w:pPr>
        <w:ind w:left="3354" w:hanging="420"/>
      </w:pPr>
    </w:lvl>
    <w:lvl w:ilvl="7" w:tentative="0">
      <w:start w:val="1"/>
      <w:numFmt w:val="lowerLetter"/>
      <w:lvlText w:val="%8)"/>
      <w:lvlJc w:val="left"/>
      <w:pPr>
        <w:ind w:left="3774" w:hanging="420"/>
      </w:pPr>
    </w:lvl>
    <w:lvl w:ilvl="8" w:tentative="0">
      <w:start w:val="1"/>
      <w:numFmt w:val="lowerRoman"/>
      <w:lvlText w:val="%9."/>
      <w:lvlJc w:val="right"/>
      <w:pPr>
        <w:ind w:left="4194" w:hanging="420"/>
      </w:pPr>
    </w:lvl>
  </w:abstractNum>
  <w:abstractNum w:abstractNumId="12">
    <w:nsid w:val="080F9E25"/>
    <w:multiLevelType w:val="singleLevel"/>
    <w:tmpl w:val="080F9E25"/>
    <w:lvl w:ilvl="0" w:tentative="0">
      <w:start w:val="1"/>
      <w:numFmt w:val="decimal"/>
      <w:lvlText w:val="%1."/>
      <w:lvlJc w:val="left"/>
      <w:pPr>
        <w:tabs>
          <w:tab w:val="left" w:pos="312"/>
        </w:tabs>
      </w:pPr>
    </w:lvl>
  </w:abstractNum>
  <w:abstractNum w:abstractNumId="13">
    <w:nsid w:val="178D3D0E"/>
    <w:multiLevelType w:val="multilevel"/>
    <w:tmpl w:val="178D3D0E"/>
    <w:lvl w:ilvl="0" w:tentative="0">
      <w:start w:val="1"/>
      <w:numFmt w:val="bullet"/>
      <w:pStyle w:val="91"/>
      <w:lvlText w:val=""/>
      <w:lvlJc w:val="left"/>
      <w:pPr>
        <w:tabs>
          <w:tab w:val="left" w:pos="367"/>
        </w:tabs>
        <w:ind w:left="367" w:hanging="360"/>
      </w:pPr>
      <w:rPr>
        <w:rFonts w:hint="default" w:ascii="Symbol" w:hAnsi="Symbol"/>
      </w:rPr>
    </w:lvl>
    <w:lvl w:ilvl="1" w:tentative="0">
      <w:start w:val="1"/>
      <w:numFmt w:val="bullet"/>
      <w:lvlText w:val="o"/>
      <w:lvlJc w:val="left"/>
      <w:pPr>
        <w:tabs>
          <w:tab w:val="left" w:pos="1087"/>
        </w:tabs>
        <w:ind w:left="1087" w:hanging="360"/>
      </w:pPr>
      <w:rPr>
        <w:rFonts w:hint="default" w:ascii="Courier New" w:hAnsi="Courier New" w:cs="Courier New"/>
      </w:rPr>
    </w:lvl>
    <w:lvl w:ilvl="2" w:tentative="0">
      <w:start w:val="1"/>
      <w:numFmt w:val="bullet"/>
      <w:lvlText w:val=""/>
      <w:lvlJc w:val="left"/>
      <w:pPr>
        <w:tabs>
          <w:tab w:val="left" w:pos="1807"/>
        </w:tabs>
        <w:ind w:left="1807" w:hanging="360"/>
      </w:pPr>
      <w:rPr>
        <w:rFonts w:hint="default" w:ascii="Wingdings" w:hAnsi="Wingdings"/>
      </w:rPr>
    </w:lvl>
    <w:lvl w:ilvl="3" w:tentative="0">
      <w:start w:val="1"/>
      <w:numFmt w:val="bullet"/>
      <w:lvlText w:val=""/>
      <w:lvlJc w:val="left"/>
      <w:pPr>
        <w:tabs>
          <w:tab w:val="left" w:pos="2527"/>
        </w:tabs>
        <w:ind w:left="2527" w:hanging="360"/>
      </w:pPr>
      <w:rPr>
        <w:rFonts w:hint="default" w:ascii="Symbol" w:hAnsi="Symbol"/>
      </w:rPr>
    </w:lvl>
    <w:lvl w:ilvl="4" w:tentative="0">
      <w:start w:val="1"/>
      <w:numFmt w:val="bullet"/>
      <w:lvlText w:val="o"/>
      <w:lvlJc w:val="left"/>
      <w:pPr>
        <w:tabs>
          <w:tab w:val="left" w:pos="3247"/>
        </w:tabs>
        <w:ind w:left="3247" w:hanging="360"/>
      </w:pPr>
      <w:rPr>
        <w:rFonts w:hint="default" w:ascii="Courier New" w:hAnsi="Courier New" w:cs="Courier New"/>
      </w:rPr>
    </w:lvl>
    <w:lvl w:ilvl="5" w:tentative="0">
      <w:start w:val="1"/>
      <w:numFmt w:val="bullet"/>
      <w:lvlText w:val=""/>
      <w:lvlJc w:val="left"/>
      <w:pPr>
        <w:tabs>
          <w:tab w:val="left" w:pos="3967"/>
        </w:tabs>
        <w:ind w:left="3967" w:hanging="360"/>
      </w:pPr>
      <w:rPr>
        <w:rFonts w:hint="default" w:ascii="Wingdings" w:hAnsi="Wingdings"/>
      </w:rPr>
    </w:lvl>
    <w:lvl w:ilvl="6" w:tentative="0">
      <w:start w:val="1"/>
      <w:numFmt w:val="bullet"/>
      <w:lvlText w:val=""/>
      <w:lvlJc w:val="left"/>
      <w:pPr>
        <w:tabs>
          <w:tab w:val="left" w:pos="4687"/>
        </w:tabs>
        <w:ind w:left="4687" w:hanging="360"/>
      </w:pPr>
      <w:rPr>
        <w:rFonts w:hint="default" w:ascii="Symbol" w:hAnsi="Symbol"/>
      </w:rPr>
    </w:lvl>
    <w:lvl w:ilvl="7" w:tentative="0">
      <w:start w:val="1"/>
      <w:numFmt w:val="bullet"/>
      <w:lvlText w:val="o"/>
      <w:lvlJc w:val="left"/>
      <w:pPr>
        <w:tabs>
          <w:tab w:val="left" w:pos="5407"/>
        </w:tabs>
        <w:ind w:left="5407" w:hanging="360"/>
      </w:pPr>
      <w:rPr>
        <w:rFonts w:hint="default" w:ascii="Courier New" w:hAnsi="Courier New" w:cs="Courier New"/>
      </w:rPr>
    </w:lvl>
    <w:lvl w:ilvl="8" w:tentative="0">
      <w:start w:val="1"/>
      <w:numFmt w:val="bullet"/>
      <w:lvlText w:val=""/>
      <w:lvlJc w:val="left"/>
      <w:pPr>
        <w:tabs>
          <w:tab w:val="left" w:pos="6127"/>
        </w:tabs>
        <w:ind w:left="6127" w:hanging="360"/>
      </w:pPr>
      <w:rPr>
        <w:rFonts w:hint="default" w:ascii="Wingdings" w:hAnsi="Wingdings"/>
      </w:rPr>
    </w:lvl>
  </w:abstractNum>
  <w:abstractNum w:abstractNumId="14">
    <w:nsid w:val="1DECDA7B"/>
    <w:multiLevelType w:val="singleLevel"/>
    <w:tmpl w:val="1DECDA7B"/>
    <w:lvl w:ilvl="0" w:tentative="0">
      <w:start w:val="3"/>
      <w:numFmt w:val="chineseCounting"/>
      <w:suff w:val="nothing"/>
      <w:lvlText w:val="%1、"/>
      <w:lvlJc w:val="left"/>
      <w:rPr>
        <w:rFonts w:hint="eastAsia"/>
      </w:rPr>
    </w:lvl>
  </w:abstractNum>
  <w:abstractNum w:abstractNumId="15">
    <w:nsid w:val="1E7B065C"/>
    <w:multiLevelType w:val="multilevel"/>
    <w:tmpl w:val="1E7B065C"/>
    <w:lvl w:ilvl="0" w:tentative="0">
      <w:start w:val="1"/>
      <w:numFmt w:val="decimal"/>
      <w:pStyle w:val="96"/>
      <w:lvlText w:val="%1)"/>
      <w:lvlJc w:val="left"/>
      <w:pPr>
        <w:ind w:left="1695" w:hanging="420"/>
      </w:pPr>
    </w:lvl>
    <w:lvl w:ilvl="1" w:tentative="0">
      <w:start w:val="1"/>
      <w:numFmt w:val="lowerLetter"/>
      <w:lvlText w:val="%2)"/>
      <w:lvlJc w:val="left"/>
      <w:pPr>
        <w:ind w:left="2115" w:hanging="420"/>
      </w:pPr>
    </w:lvl>
    <w:lvl w:ilvl="2" w:tentative="0">
      <w:start w:val="1"/>
      <w:numFmt w:val="lowerRoman"/>
      <w:lvlText w:val="%3."/>
      <w:lvlJc w:val="right"/>
      <w:pPr>
        <w:ind w:left="2535" w:hanging="420"/>
      </w:pPr>
    </w:lvl>
    <w:lvl w:ilvl="3" w:tentative="0">
      <w:start w:val="1"/>
      <w:numFmt w:val="decimal"/>
      <w:lvlText w:val="%4."/>
      <w:lvlJc w:val="left"/>
      <w:pPr>
        <w:ind w:left="2955" w:hanging="420"/>
      </w:pPr>
    </w:lvl>
    <w:lvl w:ilvl="4" w:tentative="0">
      <w:start w:val="1"/>
      <w:numFmt w:val="lowerLetter"/>
      <w:lvlText w:val="%5)"/>
      <w:lvlJc w:val="left"/>
      <w:pPr>
        <w:ind w:left="3375" w:hanging="420"/>
      </w:pPr>
    </w:lvl>
    <w:lvl w:ilvl="5" w:tentative="0">
      <w:start w:val="1"/>
      <w:numFmt w:val="lowerRoman"/>
      <w:lvlText w:val="%6."/>
      <w:lvlJc w:val="right"/>
      <w:pPr>
        <w:ind w:left="3795" w:hanging="420"/>
      </w:pPr>
    </w:lvl>
    <w:lvl w:ilvl="6" w:tentative="0">
      <w:start w:val="1"/>
      <w:numFmt w:val="decimal"/>
      <w:lvlText w:val="%7."/>
      <w:lvlJc w:val="left"/>
      <w:pPr>
        <w:ind w:left="4215" w:hanging="420"/>
      </w:pPr>
    </w:lvl>
    <w:lvl w:ilvl="7" w:tentative="0">
      <w:start w:val="1"/>
      <w:numFmt w:val="lowerLetter"/>
      <w:lvlText w:val="%8)"/>
      <w:lvlJc w:val="left"/>
      <w:pPr>
        <w:ind w:left="4635" w:hanging="420"/>
      </w:pPr>
    </w:lvl>
    <w:lvl w:ilvl="8" w:tentative="0">
      <w:start w:val="1"/>
      <w:numFmt w:val="lowerRoman"/>
      <w:lvlText w:val="%9."/>
      <w:lvlJc w:val="right"/>
      <w:pPr>
        <w:ind w:left="5055" w:hanging="420"/>
      </w:pPr>
    </w:lvl>
  </w:abstractNum>
  <w:abstractNum w:abstractNumId="16">
    <w:nsid w:val="3265E1EC"/>
    <w:multiLevelType w:val="singleLevel"/>
    <w:tmpl w:val="3265E1EC"/>
    <w:lvl w:ilvl="0" w:tentative="0">
      <w:start w:val="1"/>
      <w:numFmt w:val="decimal"/>
      <w:lvlText w:val="(%1)"/>
      <w:lvlJc w:val="left"/>
      <w:pPr>
        <w:ind w:left="425" w:hanging="425"/>
      </w:pPr>
      <w:rPr>
        <w:rFonts w:hint="default"/>
      </w:rPr>
    </w:lvl>
  </w:abstractNum>
  <w:abstractNum w:abstractNumId="17">
    <w:nsid w:val="3CF6EF77"/>
    <w:multiLevelType w:val="singleLevel"/>
    <w:tmpl w:val="3CF6EF77"/>
    <w:lvl w:ilvl="0" w:tentative="0">
      <w:start w:val="1"/>
      <w:numFmt w:val="decimal"/>
      <w:lvlText w:val="%1."/>
      <w:lvlJc w:val="left"/>
      <w:pPr>
        <w:ind w:left="425" w:hanging="425"/>
      </w:pPr>
      <w:rPr>
        <w:rFonts w:hint="default"/>
      </w:rPr>
    </w:lvl>
  </w:abstractNum>
  <w:abstractNum w:abstractNumId="18">
    <w:nsid w:val="3D2537F8"/>
    <w:multiLevelType w:val="singleLevel"/>
    <w:tmpl w:val="3D2537F8"/>
    <w:lvl w:ilvl="0" w:tentative="0">
      <w:start w:val="1"/>
      <w:numFmt w:val="decimal"/>
      <w:lvlText w:val="%1."/>
      <w:lvlJc w:val="left"/>
      <w:pPr>
        <w:ind w:left="425" w:hanging="425"/>
      </w:pPr>
      <w:rPr>
        <w:rFonts w:hint="default"/>
        <w:b w:val="0"/>
        <w:bCs w:val="0"/>
        <w:color w:val="auto"/>
      </w:rPr>
    </w:lvl>
  </w:abstractNum>
  <w:abstractNum w:abstractNumId="19">
    <w:nsid w:val="4A8DA4C5"/>
    <w:multiLevelType w:val="singleLevel"/>
    <w:tmpl w:val="4A8DA4C5"/>
    <w:lvl w:ilvl="0" w:tentative="0">
      <w:start w:val="1"/>
      <w:numFmt w:val="bullet"/>
      <w:lvlText w:val=""/>
      <w:lvlJc w:val="left"/>
      <w:pPr>
        <w:ind w:left="0" w:leftChars="0" w:firstLine="0" w:firstLineChars="0"/>
      </w:pPr>
      <w:rPr>
        <w:rFonts w:hint="default" w:ascii="Wingdings" w:hAnsi="Wingdings"/>
      </w:rPr>
    </w:lvl>
  </w:abstractNum>
  <w:abstractNum w:abstractNumId="20">
    <w:nsid w:val="4CB32FC8"/>
    <w:multiLevelType w:val="multilevel"/>
    <w:tmpl w:val="4CB32FC8"/>
    <w:lvl w:ilvl="0" w:tentative="0">
      <w:start w:val="1"/>
      <w:numFmt w:val="upperLetter"/>
      <w:pStyle w:val="8"/>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1">
    <w:nsid w:val="520018B0"/>
    <w:multiLevelType w:val="multilevel"/>
    <w:tmpl w:val="520018B0"/>
    <w:lvl w:ilvl="0" w:tentative="0">
      <w:start w:val="1"/>
      <w:numFmt w:val="decimal"/>
      <w:pStyle w:val="74"/>
      <w:lvlText w:val="%1."/>
      <w:lvlJc w:val="left"/>
      <w:pPr>
        <w:ind w:left="1260" w:hanging="420"/>
      </w:pPr>
      <w:rPr>
        <w:b w:val="0"/>
      </w:r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2">
    <w:nsid w:val="560F40FB"/>
    <w:multiLevelType w:val="multilevel"/>
    <w:tmpl w:val="560F40FB"/>
    <w:lvl w:ilvl="0" w:tentative="0">
      <w:start w:val="1"/>
      <w:numFmt w:val="lowerLetter"/>
      <w:pStyle w:val="101"/>
      <w:lvlText w:val="%1)"/>
      <w:lvlJc w:val="left"/>
      <w:pPr>
        <w:ind w:left="1260" w:hanging="420"/>
      </w:pPr>
    </w:lvl>
    <w:lvl w:ilvl="1" w:tentative="0">
      <w:start w:val="1"/>
      <w:numFmt w:val="lowerLetter"/>
      <w:lvlText w:val="%2)"/>
      <w:lvlJc w:val="left"/>
      <w:pPr>
        <w:ind w:left="1680" w:hanging="420"/>
      </w:pPr>
    </w:lvl>
    <w:lvl w:ilvl="2" w:tentative="0">
      <w:start w:val="1"/>
      <w:numFmt w:val="lowerRoman"/>
      <w:lvlText w:val="%3."/>
      <w:lvlJc w:val="right"/>
      <w:pPr>
        <w:ind w:left="2100" w:hanging="420"/>
      </w:pPr>
    </w:lvl>
    <w:lvl w:ilvl="3" w:tentative="0">
      <w:start w:val="1"/>
      <w:numFmt w:val="decimal"/>
      <w:lvlText w:val="%4."/>
      <w:lvlJc w:val="left"/>
      <w:pPr>
        <w:ind w:left="2520" w:hanging="420"/>
      </w:pPr>
    </w:lvl>
    <w:lvl w:ilvl="4" w:tentative="0">
      <w:start w:val="1"/>
      <w:numFmt w:val="lowerLetter"/>
      <w:lvlText w:val="%5)"/>
      <w:lvlJc w:val="left"/>
      <w:pPr>
        <w:ind w:left="2940" w:hanging="420"/>
      </w:pPr>
    </w:lvl>
    <w:lvl w:ilvl="5" w:tentative="0">
      <w:start w:val="1"/>
      <w:numFmt w:val="lowerRoman"/>
      <w:lvlText w:val="%6."/>
      <w:lvlJc w:val="right"/>
      <w:pPr>
        <w:ind w:left="3360" w:hanging="420"/>
      </w:pPr>
    </w:lvl>
    <w:lvl w:ilvl="6" w:tentative="0">
      <w:start w:val="1"/>
      <w:numFmt w:val="decimal"/>
      <w:lvlText w:val="%7."/>
      <w:lvlJc w:val="left"/>
      <w:pPr>
        <w:ind w:left="3780" w:hanging="420"/>
      </w:pPr>
    </w:lvl>
    <w:lvl w:ilvl="7" w:tentative="0">
      <w:start w:val="1"/>
      <w:numFmt w:val="lowerLetter"/>
      <w:lvlText w:val="%8)"/>
      <w:lvlJc w:val="left"/>
      <w:pPr>
        <w:ind w:left="4200" w:hanging="420"/>
      </w:pPr>
    </w:lvl>
    <w:lvl w:ilvl="8" w:tentative="0">
      <w:start w:val="1"/>
      <w:numFmt w:val="lowerRoman"/>
      <w:lvlText w:val="%9."/>
      <w:lvlJc w:val="right"/>
      <w:pPr>
        <w:ind w:left="4620" w:hanging="420"/>
      </w:pPr>
    </w:lvl>
  </w:abstractNum>
  <w:abstractNum w:abstractNumId="23">
    <w:nsid w:val="56D20133"/>
    <w:multiLevelType w:val="multilevel"/>
    <w:tmpl w:val="56D20133"/>
    <w:lvl w:ilvl="0" w:tentative="0">
      <w:start w:val="1"/>
      <w:numFmt w:val="chineseCountingThousand"/>
      <w:pStyle w:val="73"/>
      <w:lvlText w:val="(%1)"/>
      <w:lvlJc w:val="left"/>
      <w:pPr>
        <w:ind w:left="1130" w:hanging="420"/>
      </w:pPr>
      <w:rPr>
        <w:rFonts w:hint="eastAsia"/>
        <w:b/>
      </w:rPr>
    </w:lvl>
    <w:lvl w:ilvl="1" w:tentative="0">
      <w:start w:val="1"/>
      <w:numFmt w:val="decimal"/>
      <w:lvlText w:val="%2."/>
      <w:lvlJc w:val="left"/>
      <w:pPr>
        <w:ind w:left="1200" w:hanging="360"/>
      </w:pPr>
      <w:rPr>
        <w:rFonts w:hint="default"/>
        <w:b w:val="0"/>
      </w:rPr>
    </w:lvl>
    <w:lvl w:ilvl="2" w:tentative="0">
      <w:start w:val="1"/>
      <w:numFmt w:val="lowerRoman"/>
      <w:lvlText w:val="%3."/>
      <w:lvlJc w:val="right"/>
      <w:pPr>
        <w:ind w:left="1680" w:hanging="420"/>
      </w:pPr>
      <w:rPr>
        <w:rFonts w:hint="eastAsia"/>
      </w:rPr>
    </w:lvl>
    <w:lvl w:ilvl="3" w:tentative="0">
      <w:start w:val="1"/>
      <w:numFmt w:val="decimal"/>
      <w:lvlText w:val="（%4）"/>
      <w:lvlJc w:val="left"/>
      <w:pPr>
        <w:ind w:left="2400" w:hanging="720"/>
      </w:pPr>
      <w:rPr>
        <w:rFonts w:hint="default"/>
      </w:rPr>
    </w:lvl>
    <w:lvl w:ilvl="4" w:tentative="0">
      <w:start w:val="1"/>
      <w:numFmt w:val="lowerLetter"/>
      <w:lvlText w:val="%5)"/>
      <w:lvlJc w:val="left"/>
      <w:pPr>
        <w:ind w:left="2520" w:hanging="420"/>
      </w:pPr>
      <w:rPr>
        <w:rFonts w:hint="eastAsia"/>
      </w:rPr>
    </w:lvl>
    <w:lvl w:ilvl="5" w:tentative="0">
      <w:start w:val="1"/>
      <w:numFmt w:val="lowerRoman"/>
      <w:lvlText w:val="%6."/>
      <w:lvlJc w:val="right"/>
      <w:pPr>
        <w:ind w:left="2940" w:hanging="420"/>
      </w:pPr>
      <w:rPr>
        <w:rFonts w:hint="eastAsia"/>
      </w:rPr>
    </w:lvl>
    <w:lvl w:ilvl="6" w:tentative="0">
      <w:start w:val="1"/>
      <w:numFmt w:val="decimal"/>
      <w:lvlText w:val="%7."/>
      <w:lvlJc w:val="left"/>
      <w:pPr>
        <w:ind w:left="3360" w:hanging="420"/>
      </w:pPr>
      <w:rPr>
        <w:rFonts w:hint="eastAsia"/>
      </w:rPr>
    </w:lvl>
    <w:lvl w:ilvl="7" w:tentative="0">
      <w:start w:val="1"/>
      <w:numFmt w:val="lowerLetter"/>
      <w:lvlText w:val="%8)"/>
      <w:lvlJc w:val="left"/>
      <w:pPr>
        <w:ind w:left="3780" w:hanging="420"/>
      </w:pPr>
      <w:rPr>
        <w:rFonts w:hint="eastAsia"/>
      </w:rPr>
    </w:lvl>
    <w:lvl w:ilvl="8" w:tentative="0">
      <w:start w:val="1"/>
      <w:numFmt w:val="lowerRoman"/>
      <w:lvlText w:val="%9."/>
      <w:lvlJc w:val="right"/>
      <w:pPr>
        <w:ind w:left="4200" w:hanging="420"/>
      </w:pPr>
      <w:rPr>
        <w:rFonts w:hint="eastAsia"/>
      </w:rPr>
    </w:lvl>
  </w:abstractNum>
  <w:abstractNum w:abstractNumId="24">
    <w:nsid w:val="5983D379"/>
    <w:multiLevelType w:val="singleLevel"/>
    <w:tmpl w:val="5983D379"/>
    <w:lvl w:ilvl="0" w:tentative="0">
      <w:start w:val="1"/>
      <w:numFmt w:val="decimal"/>
      <w:lvlText w:val="(%1)"/>
      <w:lvlJc w:val="left"/>
      <w:pPr>
        <w:ind w:left="425" w:hanging="425"/>
      </w:pPr>
      <w:rPr>
        <w:rFonts w:hint="default"/>
      </w:rPr>
    </w:lvl>
  </w:abstractNum>
  <w:abstractNum w:abstractNumId="25">
    <w:nsid w:val="656A6EAE"/>
    <w:multiLevelType w:val="multilevel"/>
    <w:tmpl w:val="656A6EAE"/>
    <w:lvl w:ilvl="0" w:tentative="0">
      <w:start w:val="1"/>
      <w:numFmt w:val="chineseCountingThousand"/>
      <w:pStyle w:val="72"/>
      <w:suff w:val="nothing"/>
      <w:lvlText w:val="%1、"/>
      <w:lvlJc w:val="left"/>
      <w:pPr>
        <w:ind w:left="2972" w:hanging="420"/>
      </w:pPr>
      <w:rPr>
        <w:rFonts w:hint="eastAsia" w:ascii="黑体" w:hAnsi="黑体" w:eastAsia="黑体"/>
        <w:sz w:val="28"/>
        <w:szCs w:val="28"/>
        <w:highlight w:val="none"/>
        <w:lang w:val="en-US"/>
      </w:rPr>
    </w:lvl>
    <w:lvl w:ilvl="1" w:tentative="0">
      <w:start w:val="1"/>
      <w:numFmt w:val="lowerLetter"/>
      <w:lvlText w:val="%2)"/>
      <w:lvlJc w:val="left"/>
      <w:pPr>
        <w:ind w:left="840" w:hanging="420"/>
      </w:pPr>
      <w:rPr>
        <w:rFonts w:hint="eastAsia"/>
      </w:rPr>
    </w:lvl>
    <w:lvl w:ilvl="2" w:tentative="0">
      <w:start w:val="1"/>
      <w:numFmt w:val="lowerRoman"/>
      <w:lvlText w:val="%3."/>
      <w:lvlJc w:val="right"/>
      <w:pPr>
        <w:ind w:left="1260" w:hanging="420"/>
      </w:pPr>
      <w:rPr>
        <w:rFonts w:hint="eastAsia"/>
      </w:rPr>
    </w:lvl>
    <w:lvl w:ilvl="3" w:tentative="0">
      <w:start w:val="1"/>
      <w:numFmt w:val="decimal"/>
      <w:lvlText w:val="%4."/>
      <w:lvlJc w:val="left"/>
      <w:pPr>
        <w:ind w:left="1680" w:hanging="420"/>
      </w:pPr>
      <w:rPr>
        <w:rFonts w:hint="eastAsia"/>
      </w:rPr>
    </w:lvl>
    <w:lvl w:ilvl="4" w:tentative="0">
      <w:start w:val="1"/>
      <w:numFmt w:val="lowerLetter"/>
      <w:lvlText w:val="%5)"/>
      <w:lvlJc w:val="left"/>
      <w:pPr>
        <w:ind w:left="2100" w:hanging="420"/>
      </w:pPr>
      <w:rPr>
        <w:rFonts w:hint="eastAsia"/>
      </w:rPr>
    </w:lvl>
    <w:lvl w:ilvl="5" w:tentative="0">
      <w:start w:val="1"/>
      <w:numFmt w:val="lowerRoman"/>
      <w:lvlText w:val="%6."/>
      <w:lvlJc w:val="right"/>
      <w:pPr>
        <w:ind w:left="2520" w:hanging="420"/>
      </w:pPr>
      <w:rPr>
        <w:rFonts w:hint="eastAsia"/>
      </w:rPr>
    </w:lvl>
    <w:lvl w:ilvl="6" w:tentative="0">
      <w:start w:val="1"/>
      <w:numFmt w:val="decimal"/>
      <w:lvlText w:val="%7."/>
      <w:lvlJc w:val="left"/>
      <w:pPr>
        <w:ind w:left="2940" w:hanging="420"/>
      </w:pPr>
      <w:rPr>
        <w:rFonts w:hint="eastAsia"/>
      </w:rPr>
    </w:lvl>
    <w:lvl w:ilvl="7" w:tentative="0">
      <w:start w:val="1"/>
      <w:numFmt w:val="lowerLetter"/>
      <w:lvlText w:val="%8)"/>
      <w:lvlJc w:val="left"/>
      <w:pPr>
        <w:ind w:left="3360" w:hanging="420"/>
      </w:pPr>
      <w:rPr>
        <w:rFonts w:hint="eastAsia"/>
      </w:rPr>
    </w:lvl>
    <w:lvl w:ilvl="8" w:tentative="0">
      <w:start w:val="1"/>
      <w:numFmt w:val="lowerRoman"/>
      <w:lvlText w:val="%9."/>
      <w:lvlJc w:val="right"/>
      <w:pPr>
        <w:ind w:left="3780" w:hanging="420"/>
      </w:pPr>
      <w:rPr>
        <w:rFonts w:hint="eastAsia"/>
      </w:rPr>
    </w:lvl>
  </w:abstractNum>
  <w:abstractNum w:abstractNumId="26">
    <w:nsid w:val="7AE44757"/>
    <w:multiLevelType w:val="multilevel"/>
    <w:tmpl w:val="7AE44757"/>
    <w:lvl w:ilvl="0" w:tentative="0">
      <w:start w:val="1"/>
      <w:numFmt w:val="bullet"/>
      <w:lvlText w:val=""/>
      <w:lvlJc w:val="left"/>
      <w:pPr>
        <w:tabs>
          <w:tab w:val="left" w:pos="-840"/>
        </w:tabs>
        <w:ind w:left="430" w:hanging="420"/>
      </w:pPr>
      <w:rPr>
        <w:rFonts w:hint="default" w:ascii="Wingdings" w:hAnsi="Wingdings"/>
      </w:rPr>
    </w:lvl>
    <w:lvl w:ilvl="1" w:tentative="0">
      <w:start w:val="1"/>
      <w:numFmt w:val="bullet"/>
      <w:lvlText w:val=""/>
      <w:lvlJc w:val="left"/>
      <w:pPr>
        <w:tabs>
          <w:tab w:val="left" w:pos="-840"/>
        </w:tabs>
        <w:ind w:left="850" w:hanging="420"/>
      </w:pPr>
      <w:rPr>
        <w:rFonts w:hint="default" w:ascii="Wingdings" w:hAnsi="Wingdings"/>
      </w:rPr>
    </w:lvl>
    <w:lvl w:ilvl="2" w:tentative="0">
      <w:start w:val="1"/>
      <w:numFmt w:val="bullet"/>
      <w:lvlText w:val=""/>
      <w:lvlJc w:val="left"/>
      <w:pPr>
        <w:tabs>
          <w:tab w:val="left" w:pos="-840"/>
        </w:tabs>
        <w:ind w:left="1270" w:hanging="420"/>
      </w:pPr>
      <w:rPr>
        <w:rFonts w:hint="default" w:ascii="Wingdings" w:hAnsi="Wingdings"/>
      </w:rPr>
    </w:lvl>
    <w:lvl w:ilvl="3" w:tentative="0">
      <w:start w:val="1"/>
      <w:numFmt w:val="bullet"/>
      <w:lvlText w:val=""/>
      <w:lvlJc w:val="left"/>
      <w:pPr>
        <w:tabs>
          <w:tab w:val="left" w:pos="-840"/>
        </w:tabs>
        <w:ind w:left="1690" w:hanging="420"/>
      </w:pPr>
      <w:rPr>
        <w:rFonts w:hint="default" w:ascii="Wingdings" w:hAnsi="Wingdings"/>
      </w:rPr>
    </w:lvl>
    <w:lvl w:ilvl="4" w:tentative="0">
      <w:start w:val="1"/>
      <w:numFmt w:val="bullet"/>
      <w:lvlText w:val=""/>
      <w:lvlJc w:val="left"/>
      <w:pPr>
        <w:tabs>
          <w:tab w:val="left" w:pos="-840"/>
        </w:tabs>
        <w:ind w:left="2110" w:hanging="420"/>
      </w:pPr>
      <w:rPr>
        <w:rFonts w:hint="default" w:ascii="Wingdings" w:hAnsi="Wingdings"/>
      </w:rPr>
    </w:lvl>
    <w:lvl w:ilvl="5" w:tentative="0">
      <w:start w:val="1"/>
      <w:numFmt w:val="bullet"/>
      <w:lvlText w:val=""/>
      <w:lvlJc w:val="left"/>
      <w:pPr>
        <w:tabs>
          <w:tab w:val="left" w:pos="-840"/>
        </w:tabs>
        <w:ind w:left="2530" w:hanging="420"/>
      </w:pPr>
      <w:rPr>
        <w:rFonts w:hint="default" w:ascii="Wingdings" w:hAnsi="Wingdings"/>
      </w:rPr>
    </w:lvl>
    <w:lvl w:ilvl="6" w:tentative="0">
      <w:start w:val="1"/>
      <w:numFmt w:val="bullet"/>
      <w:lvlText w:val=""/>
      <w:lvlJc w:val="left"/>
      <w:pPr>
        <w:tabs>
          <w:tab w:val="left" w:pos="-840"/>
        </w:tabs>
        <w:ind w:left="2950" w:hanging="420"/>
      </w:pPr>
      <w:rPr>
        <w:rFonts w:hint="default" w:ascii="Wingdings" w:hAnsi="Wingdings"/>
      </w:rPr>
    </w:lvl>
    <w:lvl w:ilvl="7" w:tentative="0">
      <w:start w:val="1"/>
      <w:numFmt w:val="bullet"/>
      <w:lvlText w:val=""/>
      <w:lvlJc w:val="left"/>
      <w:pPr>
        <w:tabs>
          <w:tab w:val="left" w:pos="-840"/>
        </w:tabs>
        <w:ind w:left="3370" w:hanging="420"/>
      </w:pPr>
      <w:rPr>
        <w:rFonts w:hint="default" w:ascii="Wingdings" w:hAnsi="Wingdings"/>
      </w:rPr>
    </w:lvl>
    <w:lvl w:ilvl="8" w:tentative="0">
      <w:start w:val="1"/>
      <w:numFmt w:val="bullet"/>
      <w:lvlText w:val=""/>
      <w:lvlJc w:val="left"/>
      <w:pPr>
        <w:tabs>
          <w:tab w:val="left" w:pos="-840"/>
        </w:tabs>
        <w:ind w:left="3790" w:hanging="420"/>
      </w:pPr>
      <w:rPr>
        <w:rFonts w:hint="default" w:ascii="Wingdings" w:hAnsi="Wingdings"/>
      </w:rPr>
    </w:lvl>
  </w:abstractNum>
  <w:num w:numId="1">
    <w:abstractNumId w:val="20"/>
  </w:num>
  <w:num w:numId="2">
    <w:abstractNumId w:val="25"/>
  </w:num>
  <w:num w:numId="3">
    <w:abstractNumId w:val="23"/>
  </w:num>
  <w:num w:numId="4">
    <w:abstractNumId w:val="21"/>
  </w:num>
  <w:num w:numId="5">
    <w:abstractNumId w:val="11"/>
  </w:num>
  <w:num w:numId="6">
    <w:abstractNumId w:val="13"/>
  </w:num>
  <w:num w:numId="7">
    <w:abstractNumId w:val="15"/>
  </w:num>
  <w:num w:numId="8">
    <w:abstractNumId w:val="22"/>
  </w:num>
  <w:num w:numId="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
  </w:num>
  <w:num w:numId="11">
    <w:abstractNumId w:val="18"/>
  </w:num>
  <w:num w:numId="12">
    <w:abstractNumId w:val="4"/>
  </w:num>
  <w:num w:numId="13">
    <w:abstractNumId w:val="0"/>
  </w:num>
  <w:num w:numId="14">
    <w:abstractNumId w:val="2"/>
  </w:num>
  <w:num w:numId="15">
    <w:abstractNumId w:val="24"/>
  </w:num>
  <w:num w:numId="16">
    <w:abstractNumId w:val="26"/>
  </w:num>
  <w:num w:numId="17">
    <w:abstractNumId w:val="16"/>
  </w:num>
  <w:num w:numId="18">
    <w:abstractNumId w:val="7"/>
  </w:num>
  <w:num w:numId="19">
    <w:abstractNumId w:val="12"/>
  </w:num>
  <w:num w:numId="20">
    <w:abstractNumId w:val="3"/>
  </w:num>
  <w:num w:numId="21">
    <w:abstractNumId w:val="1"/>
  </w:num>
  <w:num w:numId="22">
    <w:abstractNumId w:val="5"/>
  </w:num>
  <w:num w:numId="23">
    <w:abstractNumId w:val="10"/>
  </w:num>
  <w:num w:numId="24">
    <w:abstractNumId w:val="8"/>
  </w:num>
  <w:num w:numId="25">
    <w:abstractNumId w:val="19"/>
  </w:num>
  <w:num w:numId="26">
    <w:abstractNumId w:val="17"/>
  </w:num>
  <w:num w:numId="27">
    <w:abstractNumId w:val="14"/>
  </w:num>
  <w:num w:numId="28">
    <w:abstractNumId w:val="9"/>
  </w:num>
  <w:num w:numId="29">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0"/>
  <w:drawingGridHorizontalSpacing w:val="105"/>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MDM5NzVkY2ZiNmVhZjEwNmU0Nzc3NzJiMDMzOTNhN2YifQ=="/>
  </w:docVars>
  <w:rsids>
    <w:rsidRoot w:val="003447BF"/>
    <w:rsid w:val="0000027A"/>
    <w:rsid w:val="00000F16"/>
    <w:rsid w:val="00001A3D"/>
    <w:rsid w:val="00002019"/>
    <w:rsid w:val="00002207"/>
    <w:rsid w:val="0000340B"/>
    <w:rsid w:val="000035F7"/>
    <w:rsid w:val="00003F46"/>
    <w:rsid w:val="000048DB"/>
    <w:rsid w:val="00005610"/>
    <w:rsid w:val="000056AD"/>
    <w:rsid w:val="00006391"/>
    <w:rsid w:val="000066B1"/>
    <w:rsid w:val="00007938"/>
    <w:rsid w:val="000109D5"/>
    <w:rsid w:val="000126A7"/>
    <w:rsid w:val="00013B94"/>
    <w:rsid w:val="00013CCE"/>
    <w:rsid w:val="00013EAD"/>
    <w:rsid w:val="000140D2"/>
    <w:rsid w:val="00015473"/>
    <w:rsid w:val="00015598"/>
    <w:rsid w:val="00016598"/>
    <w:rsid w:val="00016CB2"/>
    <w:rsid w:val="000176E1"/>
    <w:rsid w:val="00017D18"/>
    <w:rsid w:val="0002035A"/>
    <w:rsid w:val="000203CA"/>
    <w:rsid w:val="00022189"/>
    <w:rsid w:val="000226D8"/>
    <w:rsid w:val="00022BFC"/>
    <w:rsid w:val="000235F1"/>
    <w:rsid w:val="00027A64"/>
    <w:rsid w:val="000305C9"/>
    <w:rsid w:val="000307EF"/>
    <w:rsid w:val="00030FFD"/>
    <w:rsid w:val="0003105F"/>
    <w:rsid w:val="00031718"/>
    <w:rsid w:val="0003264D"/>
    <w:rsid w:val="0003278E"/>
    <w:rsid w:val="00033243"/>
    <w:rsid w:val="00033657"/>
    <w:rsid w:val="00033970"/>
    <w:rsid w:val="00034F4C"/>
    <w:rsid w:val="00035188"/>
    <w:rsid w:val="00035689"/>
    <w:rsid w:val="00035E1B"/>
    <w:rsid w:val="0003685E"/>
    <w:rsid w:val="000368DB"/>
    <w:rsid w:val="000370BC"/>
    <w:rsid w:val="00037DE7"/>
    <w:rsid w:val="00041058"/>
    <w:rsid w:val="0004181F"/>
    <w:rsid w:val="000418B4"/>
    <w:rsid w:val="000423FB"/>
    <w:rsid w:val="00042463"/>
    <w:rsid w:val="00042AB2"/>
    <w:rsid w:val="000433A7"/>
    <w:rsid w:val="00043A88"/>
    <w:rsid w:val="00043CE0"/>
    <w:rsid w:val="00043FE0"/>
    <w:rsid w:val="00045598"/>
    <w:rsid w:val="00045889"/>
    <w:rsid w:val="00046197"/>
    <w:rsid w:val="00046326"/>
    <w:rsid w:val="0004713F"/>
    <w:rsid w:val="0005010C"/>
    <w:rsid w:val="00050BF7"/>
    <w:rsid w:val="00050FAE"/>
    <w:rsid w:val="0005230D"/>
    <w:rsid w:val="00052373"/>
    <w:rsid w:val="0005298D"/>
    <w:rsid w:val="00052C94"/>
    <w:rsid w:val="00053A3B"/>
    <w:rsid w:val="00054226"/>
    <w:rsid w:val="000547D0"/>
    <w:rsid w:val="000551E5"/>
    <w:rsid w:val="00055490"/>
    <w:rsid w:val="00057C2D"/>
    <w:rsid w:val="000602B2"/>
    <w:rsid w:val="0006147C"/>
    <w:rsid w:val="0006230D"/>
    <w:rsid w:val="000629E2"/>
    <w:rsid w:val="00062D25"/>
    <w:rsid w:val="00064E83"/>
    <w:rsid w:val="000656D0"/>
    <w:rsid w:val="00066685"/>
    <w:rsid w:val="00066946"/>
    <w:rsid w:val="000702C7"/>
    <w:rsid w:val="0007042D"/>
    <w:rsid w:val="00070E1E"/>
    <w:rsid w:val="000711E0"/>
    <w:rsid w:val="000711E8"/>
    <w:rsid w:val="00071B86"/>
    <w:rsid w:val="00072BC3"/>
    <w:rsid w:val="00073F28"/>
    <w:rsid w:val="00074924"/>
    <w:rsid w:val="000752C4"/>
    <w:rsid w:val="00075794"/>
    <w:rsid w:val="00075EE4"/>
    <w:rsid w:val="00076460"/>
    <w:rsid w:val="000769C0"/>
    <w:rsid w:val="0008030B"/>
    <w:rsid w:val="00080724"/>
    <w:rsid w:val="0008074A"/>
    <w:rsid w:val="00080AC1"/>
    <w:rsid w:val="00080FDE"/>
    <w:rsid w:val="00080FEA"/>
    <w:rsid w:val="0008127C"/>
    <w:rsid w:val="00081392"/>
    <w:rsid w:val="00081757"/>
    <w:rsid w:val="000825CD"/>
    <w:rsid w:val="00082C65"/>
    <w:rsid w:val="00082E41"/>
    <w:rsid w:val="00083710"/>
    <w:rsid w:val="00083B90"/>
    <w:rsid w:val="00083C90"/>
    <w:rsid w:val="00083F30"/>
    <w:rsid w:val="00084463"/>
    <w:rsid w:val="00084746"/>
    <w:rsid w:val="000850E9"/>
    <w:rsid w:val="000859E7"/>
    <w:rsid w:val="00085F92"/>
    <w:rsid w:val="00086313"/>
    <w:rsid w:val="00086CF7"/>
    <w:rsid w:val="00086DF0"/>
    <w:rsid w:val="000903E0"/>
    <w:rsid w:val="00090426"/>
    <w:rsid w:val="0009085D"/>
    <w:rsid w:val="000915B5"/>
    <w:rsid w:val="0009177F"/>
    <w:rsid w:val="000924E1"/>
    <w:rsid w:val="00092ABD"/>
    <w:rsid w:val="00093597"/>
    <w:rsid w:val="00093F23"/>
    <w:rsid w:val="000940E3"/>
    <w:rsid w:val="0009563B"/>
    <w:rsid w:val="00095825"/>
    <w:rsid w:val="000977D2"/>
    <w:rsid w:val="00097E39"/>
    <w:rsid w:val="000A23F5"/>
    <w:rsid w:val="000A2765"/>
    <w:rsid w:val="000A424B"/>
    <w:rsid w:val="000A477E"/>
    <w:rsid w:val="000A5072"/>
    <w:rsid w:val="000A5F66"/>
    <w:rsid w:val="000A6D9E"/>
    <w:rsid w:val="000A6ED8"/>
    <w:rsid w:val="000A70C0"/>
    <w:rsid w:val="000A76FF"/>
    <w:rsid w:val="000B005C"/>
    <w:rsid w:val="000B08E0"/>
    <w:rsid w:val="000B0F49"/>
    <w:rsid w:val="000B1025"/>
    <w:rsid w:val="000B1727"/>
    <w:rsid w:val="000B1922"/>
    <w:rsid w:val="000B2779"/>
    <w:rsid w:val="000B47AD"/>
    <w:rsid w:val="000B6146"/>
    <w:rsid w:val="000B663B"/>
    <w:rsid w:val="000B6DD8"/>
    <w:rsid w:val="000C0825"/>
    <w:rsid w:val="000C17A9"/>
    <w:rsid w:val="000C3ED3"/>
    <w:rsid w:val="000C530E"/>
    <w:rsid w:val="000C542C"/>
    <w:rsid w:val="000C6390"/>
    <w:rsid w:val="000C6793"/>
    <w:rsid w:val="000C6B8A"/>
    <w:rsid w:val="000C7700"/>
    <w:rsid w:val="000C775D"/>
    <w:rsid w:val="000C79E7"/>
    <w:rsid w:val="000C7F80"/>
    <w:rsid w:val="000D0155"/>
    <w:rsid w:val="000D01FA"/>
    <w:rsid w:val="000D07ED"/>
    <w:rsid w:val="000D14A9"/>
    <w:rsid w:val="000D191B"/>
    <w:rsid w:val="000D1930"/>
    <w:rsid w:val="000D2866"/>
    <w:rsid w:val="000D2F21"/>
    <w:rsid w:val="000D3FBC"/>
    <w:rsid w:val="000D402B"/>
    <w:rsid w:val="000D486A"/>
    <w:rsid w:val="000D486E"/>
    <w:rsid w:val="000D4B05"/>
    <w:rsid w:val="000D4D7C"/>
    <w:rsid w:val="000D4D91"/>
    <w:rsid w:val="000D4EA2"/>
    <w:rsid w:val="000D55C4"/>
    <w:rsid w:val="000D696D"/>
    <w:rsid w:val="000D6EF1"/>
    <w:rsid w:val="000D6F72"/>
    <w:rsid w:val="000D7392"/>
    <w:rsid w:val="000D789A"/>
    <w:rsid w:val="000D7A5B"/>
    <w:rsid w:val="000E0577"/>
    <w:rsid w:val="000E0D71"/>
    <w:rsid w:val="000E2607"/>
    <w:rsid w:val="000E353F"/>
    <w:rsid w:val="000E3A8A"/>
    <w:rsid w:val="000E406C"/>
    <w:rsid w:val="000E444B"/>
    <w:rsid w:val="000E5428"/>
    <w:rsid w:val="000E5A9F"/>
    <w:rsid w:val="000F02A3"/>
    <w:rsid w:val="000F0526"/>
    <w:rsid w:val="000F1557"/>
    <w:rsid w:val="000F16A9"/>
    <w:rsid w:val="000F1864"/>
    <w:rsid w:val="000F259B"/>
    <w:rsid w:val="000F42DF"/>
    <w:rsid w:val="000F4402"/>
    <w:rsid w:val="000F4554"/>
    <w:rsid w:val="000F456F"/>
    <w:rsid w:val="000F47D9"/>
    <w:rsid w:val="000F513A"/>
    <w:rsid w:val="000F53D5"/>
    <w:rsid w:val="000F59FE"/>
    <w:rsid w:val="000F653C"/>
    <w:rsid w:val="000F7555"/>
    <w:rsid w:val="001005DF"/>
    <w:rsid w:val="00100B27"/>
    <w:rsid w:val="00102526"/>
    <w:rsid w:val="0010264B"/>
    <w:rsid w:val="00102A52"/>
    <w:rsid w:val="001043B1"/>
    <w:rsid w:val="00104A1E"/>
    <w:rsid w:val="00104B25"/>
    <w:rsid w:val="001057C3"/>
    <w:rsid w:val="00105D37"/>
    <w:rsid w:val="00106C22"/>
    <w:rsid w:val="00107537"/>
    <w:rsid w:val="001112B1"/>
    <w:rsid w:val="0011183F"/>
    <w:rsid w:val="00112A18"/>
    <w:rsid w:val="00112B20"/>
    <w:rsid w:val="00112C44"/>
    <w:rsid w:val="0011354F"/>
    <w:rsid w:val="00113C11"/>
    <w:rsid w:val="00114457"/>
    <w:rsid w:val="00114A6A"/>
    <w:rsid w:val="00114E84"/>
    <w:rsid w:val="00115384"/>
    <w:rsid w:val="0011558A"/>
    <w:rsid w:val="001158C7"/>
    <w:rsid w:val="001160D8"/>
    <w:rsid w:val="00117FBD"/>
    <w:rsid w:val="00120F1C"/>
    <w:rsid w:val="001222AB"/>
    <w:rsid w:val="001228DF"/>
    <w:rsid w:val="00123312"/>
    <w:rsid w:val="00123E58"/>
    <w:rsid w:val="00125049"/>
    <w:rsid w:val="001258FA"/>
    <w:rsid w:val="001263DC"/>
    <w:rsid w:val="0012656C"/>
    <w:rsid w:val="001277F0"/>
    <w:rsid w:val="001302A7"/>
    <w:rsid w:val="001302DE"/>
    <w:rsid w:val="001306E4"/>
    <w:rsid w:val="00131E0F"/>
    <w:rsid w:val="001328C8"/>
    <w:rsid w:val="0013423B"/>
    <w:rsid w:val="00134F74"/>
    <w:rsid w:val="00136356"/>
    <w:rsid w:val="0013681A"/>
    <w:rsid w:val="001369FF"/>
    <w:rsid w:val="00136D53"/>
    <w:rsid w:val="00140089"/>
    <w:rsid w:val="0014056C"/>
    <w:rsid w:val="001408DD"/>
    <w:rsid w:val="00140987"/>
    <w:rsid w:val="001410DE"/>
    <w:rsid w:val="00142434"/>
    <w:rsid w:val="00144EE4"/>
    <w:rsid w:val="001450B9"/>
    <w:rsid w:val="00146A76"/>
    <w:rsid w:val="00146B9A"/>
    <w:rsid w:val="001471B2"/>
    <w:rsid w:val="001471D4"/>
    <w:rsid w:val="00147997"/>
    <w:rsid w:val="0015024C"/>
    <w:rsid w:val="00152E22"/>
    <w:rsid w:val="0015365C"/>
    <w:rsid w:val="00154D0D"/>
    <w:rsid w:val="0015566D"/>
    <w:rsid w:val="001560B9"/>
    <w:rsid w:val="00156A1E"/>
    <w:rsid w:val="00156FFD"/>
    <w:rsid w:val="00157933"/>
    <w:rsid w:val="001608A1"/>
    <w:rsid w:val="00160CA8"/>
    <w:rsid w:val="00160CB4"/>
    <w:rsid w:val="00161267"/>
    <w:rsid w:val="00161531"/>
    <w:rsid w:val="001616BC"/>
    <w:rsid w:val="00161CFF"/>
    <w:rsid w:val="00161D40"/>
    <w:rsid w:val="00161DA3"/>
    <w:rsid w:val="00162435"/>
    <w:rsid w:val="00162D8B"/>
    <w:rsid w:val="001637D7"/>
    <w:rsid w:val="00163D64"/>
    <w:rsid w:val="0016432A"/>
    <w:rsid w:val="0016482D"/>
    <w:rsid w:val="00164ED6"/>
    <w:rsid w:val="001652C8"/>
    <w:rsid w:val="00165631"/>
    <w:rsid w:val="001656BB"/>
    <w:rsid w:val="001670D7"/>
    <w:rsid w:val="001708B6"/>
    <w:rsid w:val="00171392"/>
    <w:rsid w:val="00171559"/>
    <w:rsid w:val="00172ADC"/>
    <w:rsid w:val="001730A9"/>
    <w:rsid w:val="00175B6B"/>
    <w:rsid w:val="00176026"/>
    <w:rsid w:val="001764BB"/>
    <w:rsid w:val="00177487"/>
    <w:rsid w:val="001778BA"/>
    <w:rsid w:val="00177CEC"/>
    <w:rsid w:val="001801B1"/>
    <w:rsid w:val="00180DE7"/>
    <w:rsid w:val="001813B3"/>
    <w:rsid w:val="00181668"/>
    <w:rsid w:val="00181780"/>
    <w:rsid w:val="0018208D"/>
    <w:rsid w:val="001825E7"/>
    <w:rsid w:val="0018438A"/>
    <w:rsid w:val="0018443E"/>
    <w:rsid w:val="00184A4E"/>
    <w:rsid w:val="001851E0"/>
    <w:rsid w:val="001853C2"/>
    <w:rsid w:val="00185A05"/>
    <w:rsid w:val="00185FEE"/>
    <w:rsid w:val="001864A2"/>
    <w:rsid w:val="001866B6"/>
    <w:rsid w:val="00187848"/>
    <w:rsid w:val="00187F43"/>
    <w:rsid w:val="00190182"/>
    <w:rsid w:val="0019057F"/>
    <w:rsid w:val="00191F3F"/>
    <w:rsid w:val="0019365A"/>
    <w:rsid w:val="001953D9"/>
    <w:rsid w:val="00196915"/>
    <w:rsid w:val="001A0476"/>
    <w:rsid w:val="001A0538"/>
    <w:rsid w:val="001A0FCA"/>
    <w:rsid w:val="001A15A7"/>
    <w:rsid w:val="001A3DE7"/>
    <w:rsid w:val="001A65C4"/>
    <w:rsid w:val="001A703C"/>
    <w:rsid w:val="001A70BD"/>
    <w:rsid w:val="001A7DCC"/>
    <w:rsid w:val="001A7F57"/>
    <w:rsid w:val="001B00E7"/>
    <w:rsid w:val="001B1B87"/>
    <w:rsid w:val="001B26F2"/>
    <w:rsid w:val="001B6A93"/>
    <w:rsid w:val="001B7533"/>
    <w:rsid w:val="001C109C"/>
    <w:rsid w:val="001C31F0"/>
    <w:rsid w:val="001C3E8E"/>
    <w:rsid w:val="001C67D3"/>
    <w:rsid w:val="001C70F9"/>
    <w:rsid w:val="001C7893"/>
    <w:rsid w:val="001C7D91"/>
    <w:rsid w:val="001D06C5"/>
    <w:rsid w:val="001D0776"/>
    <w:rsid w:val="001D09BD"/>
    <w:rsid w:val="001D1CE6"/>
    <w:rsid w:val="001D1DF0"/>
    <w:rsid w:val="001D2121"/>
    <w:rsid w:val="001D3404"/>
    <w:rsid w:val="001D5539"/>
    <w:rsid w:val="001D59EF"/>
    <w:rsid w:val="001D6A5D"/>
    <w:rsid w:val="001D71CD"/>
    <w:rsid w:val="001D7B27"/>
    <w:rsid w:val="001E0B5C"/>
    <w:rsid w:val="001E174C"/>
    <w:rsid w:val="001E1FE5"/>
    <w:rsid w:val="001E2AFF"/>
    <w:rsid w:val="001E345D"/>
    <w:rsid w:val="001E39F6"/>
    <w:rsid w:val="001E3C1B"/>
    <w:rsid w:val="001E4164"/>
    <w:rsid w:val="001E4691"/>
    <w:rsid w:val="001E516F"/>
    <w:rsid w:val="001E5607"/>
    <w:rsid w:val="001E5675"/>
    <w:rsid w:val="001E5BFD"/>
    <w:rsid w:val="001E70F0"/>
    <w:rsid w:val="001E79B9"/>
    <w:rsid w:val="001F0C45"/>
    <w:rsid w:val="001F0E74"/>
    <w:rsid w:val="001F139E"/>
    <w:rsid w:val="001F245F"/>
    <w:rsid w:val="001F2532"/>
    <w:rsid w:val="001F25F8"/>
    <w:rsid w:val="001F2BB0"/>
    <w:rsid w:val="001F2BB6"/>
    <w:rsid w:val="001F337F"/>
    <w:rsid w:val="001F3A41"/>
    <w:rsid w:val="001F421A"/>
    <w:rsid w:val="001F46E7"/>
    <w:rsid w:val="001F6864"/>
    <w:rsid w:val="001F7DFE"/>
    <w:rsid w:val="002008FE"/>
    <w:rsid w:val="00201AF3"/>
    <w:rsid w:val="00203CF7"/>
    <w:rsid w:val="00203E0E"/>
    <w:rsid w:val="002047D2"/>
    <w:rsid w:val="002049D9"/>
    <w:rsid w:val="00205850"/>
    <w:rsid w:val="00206BBC"/>
    <w:rsid w:val="002071C3"/>
    <w:rsid w:val="002106C9"/>
    <w:rsid w:val="00210E98"/>
    <w:rsid w:val="00211EEF"/>
    <w:rsid w:val="00212730"/>
    <w:rsid w:val="00213214"/>
    <w:rsid w:val="002140B9"/>
    <w:rsid w:val="00214855"/>
    <w:rsid w:val="00215B5E"/>
    <w:rsid w:val="0021691A"/>
    <w:rsid w:val="00216AA3"/>
    <w:rsid w:val="00221870"/>
    <w:rsid w:val="002230A3"/>
    <w:rsid w:val="00223BB6"/>
    <w:rsid w:val="00223BD3"/>
    <w:rsid w:val="00223D75"/>
    <w:rsid w:val="00225886"/>
    <w:rsid w:val="00225B3C"/>
    <w:rsid w:val="002272FC"/>
    <w:rsid w:val="00227783"/>
    <w:rsid w:val="00227E8F"/>
    <w:rsid w:val="0023041A"/>
    <w:rsid w:val="002332EF"/>
    <w:rsid w:val="00233517"/>
    <w:rsid w:val="00233CAC"/>
    <w:rsid w:val="00234927"/>
    <w:rsid w:val="00234ABD"/>
    <w:rsid w:val="00234FBE"/>
    <w:rsid w:val="00234FC1"/>
    <w:rsid w:val="00235792"/>
    <w:rsid w:val="00236056"/>
    <w:rsid w:val="002363AE"/>
    <w:rsid w:val="0023657F"/>
    <w:rsid w:val="00236F49"/>
    <w:rsid w:val="00237B23"/>
    <w:rsid w:val="00237E16"/>
    <w:rsid w:val="002401A4"/>
    <w:rsid w:val="002404EF"/>
    <w:rsid w:val="00240742"/>
    <w:rsid w:val="00240890"/>
    <w:rsid w:val="0024103C"/>
    <w:rsid w:val="002418C4"/>
    <w:rsid w:val="00241F46"/>
    <w:rsid w:val="0024334D"/>
    <w:rsid w:val="002437BF"/>
    <w:rsid w:val="00243ABB"/>
    <w:rsid w:val="00243AF4"/>
    <w:rsid w:val="002444B8"/>
    <w:rsid w:val="00244CAA"/>
    <w:rsid w:val="00245A2F"/>
    <w:rsid w:val="00245CCD"/>
    <w:rsid w:val="00245E2D"/>
    <w:rsid w:val="00245F4A"/>
    <w:rsid w:val="00246113"/>
    <w:rsid w:val="00247266"/>
    <w:rsid w:val="00247518"/>
    <w:rsid w:val="002479FB"/>
    <w:rsid w:val="002504AA"/>
    <w:rsid w:val="002504C0"/>
    <w:rsid w:val="002515E1"/>
    <w:rsid w:val="002516D9"/>
    <w:rsid w:val="0025278D"/>
    <w:rsid w:val="002536E2"/>
    <w:rsid w:val="00253B8D"/>
    <w:rsid w:val="0025474D"/>
    <w:rsid w:val="0025548A"/>
    <w:rsid w:val="00256532"/>
    <w:rsid w:val="00256680"/>
    <w:rsid w:val="00256758"/>
    <w:rsid w:val="002575B7"/>
    <w:rsid w:val="00257BC9"/>
    <w:rsid w:val="0026150E"/>
    <w:rsid w:val="00261D7B"/>
    <w:rsid w:val="00261FDD"/>
    <w:rsid w:val="0026276C"/>
    <w:rsid w:val="00262D2F"/>
    <w:rsid w:val="00263675"/>
    <w:rsid w:val="002638BB"/>
    <w:rsid w:val="0026442A"/>
    <w:rsid w:val="0026483C"/>
    <w:rsid w:val="002650E7"/>
    <w:rsid w:val="002664F7"/>
    <w:rsid w:val="0026753F"/>
    <w:rsid w:val="002678C2"/>
    <w:rsid w:val="00270292"/>
    <w:rsid w:val="00270705"/>
    <w:rsid w:val="00271240"/>
    <w:rsid w:val="002718A9"/>
    <w:rsid w:val="00271A2C"/>
    <w:rsid w:val="002726E6"/>
    <w:rsid w:val="00273123"/>
    <w:rsid w:val="0027316E"/>
    <w:rsid w:val="002740CA"/>
    <w:rsid w:val="00274153"/>
    <w:rsid w:val="00274683"/>
    <w:rsid w:val="0027477C"/>
    <w:rsid w:val="00274F6E"/>
    <w:rsid w:val="002758D8"/>
    <w:rsid w:val="00275B67"/>
    <w:rsid w:val="00276A6F"/>
    <w:rsid w:val="00277AAF"/>
    <w:rsid w:val="00277FD4"/>
    <w:rsid w:val="002806B7"/>
    <w:rsid w:val="00281775"/>
    <w:rsid w:val="0028179E"/>
    <w:rsid w:val="00281AA6"/>
    <w:rsid w:val="002833D0"/>
    <w:rsid w:val="00285C1C"/>
    <w:rsid w:val="00285CB2"/>
    <w:rsid w:val="00285D9D"/>
    <w:rsid w:val="002860C6"/>
    <w:rsid w:val="00286D70"/>
    <w:rsid w:val="00287E26"/>
    <w:rsid w:val="002908CC"/>
    <w:rsid w:val="00290995"/>
    <w:rsid w:val="002922B8"/>
    <w:rsid w:val="00292AAB"/>
    <w:rsid w:val="00292AEF"/>
    <w:rsid w:val="00292CAA"/>
    <w:rsid w:val="00293545"/>
    <w:rsid w:val="00293E14"/>
    <w:rsid w:val="00295456"/>
    <w:rsid w:val="00296619"/>
    <w:rsid w:val="00296699"/>
    <w:rsid w:val="00297CE2"/>
    <w:rsid w:val="002A00A4"/>
    <w:rsid w:val="002A00F9"/>
    <w:rsid w:val="002A2078"/>
    <w:rsid w:val="002A2153"/>
    <w:rsid w:val="002A2208"/>
    <w:rsid w:val="002A2AAF"/>
    <w:rsid w:val="002A310F"/>
    <w:rsid w:val="002A3BF8"/>
    <w:rsid w:val="002A3F0B"/>
    <w:rsid w:val="002A3FFA"/>
    <w:rsid w:val="002A421A"/>
    <w:rsid w:val="002A564E"/>
    <w:rsid w:val="002A5D95"/>
    <w:rsid w:val="002A5DB0"/>
    <w:rsid w:val="002A63F2"/>
    <w:rsid w:val="002A7007"/>
    <w:rsid w:val="002B01E2"/>
    <w:rsid w:val="002B09DE"/>
    <w:rsid w:val="002B12F1"/>
    <w:rsid w:val="002B18B8"/>
    <w:rsid w:val="002B1CE6"/>
    <w:rsid w:val="002B2899"/>
    <w:rsid w:val="002B4D3C"/>
    <w:rsid w:val="002B5016"/>
    <w:rsid w:val="002B5135"/>
    <w:rsid w:val="002B5881"/>
    <w:rsid w:val="002B5BE4"/>
    <w:rsid w:val="002B6529"/>
    <w:rsid w:val="002B6E49"/>
    <w:rsid w:val="002C05CA"/>
    <w:rsid w:val="002C0B22"/>
    <w:rsid w:val="002C1DA8"/>
    <w:rsid w:val="002C243C"/>
    <w:rsid w:val="002C296F"/>
    <w:rsid w:val="002C2972"/>
    <w:rsid w:val="002C364F"/>
    <w:rsid w:val="002C4010"/>
    <w:rsid w:val="002C44D2"/>
    <w:rsid w:val="002C4507"/>
    <w:rsid w:val="002C48E5"/>
    <w:rsid w:val="002C4A24"/>
    <w:rsid w:val="002C662D"/>
    <w:rsid w:val="002C6DD5"/>
    <w:rsid w:val="002C7038"/>
    <w:rsid w:val="002C7783"/>
    <w:rsid w:val="002D037B"/>
    <w:rsid w:val="002D046C"/>
    <w:rsid w:val="002D15B4"/>
    <w:rsid w:val="002D185A"/>
    <w:rsid w:val="002D1D78"/>
    <w:rsid w:val="002D1F57"/>
    <w:rsid w:val="002D2A91"/>
    <w:rsid w:val="002D32FC"/>
    <w:rsid w:val="002D34FF"/>
    <w:rsid w:val="002D3628"/>
    <w:rsid w:val="002D3F28"/>
    <w:rsid w:val="002D4284"/>
    <w:rsid w:val="002D478F"/>
    <w:rsid w:val="002D50D1"/>
    <w:rsid w:val="002D5583"/>
    <w:rsid w:val="002D5723"/>
    <w:rsid w:val="002D59E9"/>
    <w:rsid w:val="002D5AF4"/>
    <w:rsid w:val="002D700F"/>
    <w:rsid w:val="002D79E9"/>
    <w:rsid w:val="002D7D93"/>
    <w:rsid w:val="002E123C"/>
    <w:rsid w:val="002E1A3C"/>
    <w:rsid w:val="002E206E"/>
    <w:rsid w:val="002E24B9"/>
    <w:rsid w:val="002E2A22"/>
    <w:rsid w:val="002E3F33"/>
    <w:rsid w:val="002E4AB6"/>
    <w:rsid w:val="002E50E3"/>
    <w:rsid w:val="002E556A"/>
    <w:rsid w:val="002E7155"/>
    <w:rsid w:val="002F0C2A"/>
    <w:rsid w:val="002F1CFC"/>
    <w:rsid w:val="002F36BB"/>
    <w:rsid w:val="002F48AA"/>
    <w:rsid w:val="002F48AC"/>
    <w:rsid w:val="002F4AC5"/>
    <w:rsid w:val="002F4DAA"/>
    <w:rsid w:val="002F4F1E"/>
    <w:rsid w:val="002F5213"/>
    <w:rsid w:val="002F7B85"/>
    <w:rsid w:val="002F7BA7"/>
    <w:rsid w:val="002F7CFF"/>
    <w:rsid w:val="0030183C"/>
    <w:rsid w:val="00301F28"/>
    <w:rsid w:val="00302ADA"/>
    <w:rsid w:val="00303AD0"/>
    <w:rsid w:val="0030419C"/>
    <w:rsid w:val="00304399"/>
    <w:rsid w:val="0030440D"/>
    <w:rsid w:val="00304740"/>
    <w:rsid w:val="00304D04"/>
    <w:rsid w:val="0030503D"/>
    <w:rsid w:val="003058C6"/>
    <w:rsid w:val="003058F1"/>
    <w:rsid w:val="003059FD"/>
    <w:rsid w:val="0030792A"/>
    <w:rsid w:val="00311F53"/>
    <w:rsid w:val="00312AD3"/>
    <w:rsid w:val="00312C29"/>
    <w:rsid w:val="00313E78"/>
    <w:rsid w:val="00313F9C"/>
    <w:rsid w:val="00314F83"/>
    <w:rsid w:val="003154DE"/>
    <w:rsid w:val="0031577A"/>
    <w:rsid w:val="00316501"/>
    <w:rsid w:val="0031711A"/>
    <w:rsid w:val="0031770E"/>
    <w:rsid w:val="003210EA"/>
    <w:rsid w:val="0032300C"/>
    <w:rsid w:val="00323607"/>
    <w:rsid w:val="00323CEF"/>
    <w:rsid w:val="00323D93"/>
    <w:rsid w:val="00324522"/>
    <w:rsid w:val="00324AF8"/>
    <w:rsid w:val="00324E43"/>
    <w:rsid w:val="003250CA"/>
    <w:rsid w:val="003257B8"/>
    <w:rsid w:val="003275B3"/>
    <w:rsid w:val="003275C9"/>
    <w:rsid w:val="003276D0"/>
    <w:rsid w:val="00327747"/>
    <w:rsid w:val="00327831"/>
    <w:rsid w:val="00327895"/>
    <w:rsid w:val="00327E98"/>
    <w:rsid w:val="00330680"/>
    <w:rsid w:val="00330689"/>
    <w:rsid w:val="00331F81"/>
    <w:rsid w:val="00332BD5"/>
    <w:rsid w:val="00332D92"/>
    <w:rsid w:val="003331CD"/>
    <w:rsid w:val="00333EF5"/>
    <w:rsid w:val="00334FCD"/>
    <w:rsid w:val="00335731"/>
    <w:rsid w:val="00335BD2"/>
    <w:rsid w:val="00335CFC"/>
    <w:rsid w:val="00335FDD"/>
    <w:rsid w:val="00336698"/>
    <w:rsid w:val="0033708F"/>
    <w:rsid w:val="003372AA"/>
    <w:rsid w:val="00337328"/>
    <w:rsid w:val="003379B7"/>
    <w:rsid w:val="00337C82"/>
    <w:rsid w:val="00337D1A"/>
    <w:rsid w:val="00340410"/>
    <w:rsid w:val="00341DDB"/>
    <w:rsid w:val="003439EC"/>
    <w:rsid w:val="003447BF"/>
    <w:rsid w:val="00344B0C"/>
    <w:rsid w:val="003453AC"/>
    <w:rsid w:val="003453B7"/>
    <w:rsid w:val="003456EA"/>
    <w:rsid w:val="00347301"/>
    <w:rsid w:val="003509D8"/>
    <w:rsid w:val="003513DF"/>
    <w:rsid w:val="003517BF"/>
    <w:rsid w:val="003517E2"/>
    <w:rsid w:val="00353563"/>
    <w:rsid w:val="003539CF"/>
    <w:rsid w:val="003539D5"/>
    <w:rsid w:val="00354518"/>
    <w:rsid w:val="003548F6"/>
    <w:rsid w:val="00354936"/>
    <w:rsid w:val="00355F34"/>
    <w:rsid w:val="00360B4A"/>
    <w:rsid w:val="0036161B"/>
    <w:rsid w:val="003620EE"/>
    <w:rsid w:val="00362A01"/>
    <w:rsid w:val="00362AA0"/>
    <w:rsid w:val="00363894"/>
    <w:rsid w:val="0036441D"/>
    <w:rsid w:val="003670E6"/>
    <w:rsid w:val="003673B8"/>
    <w:rsid w:val="00367488"/>
    <w:rsid w:val="003704BC"/>
    <w:rsid w:val="003705D4"/>
    <w:rsid w:val="003712A8"/>
    <w:rsid w:val="00371C55"/>
    <w:rsid w:val="0037221C"/>
    <w:rsid w:val="00372CDD"/>
    <w:rsid w:val="00372F98"/>
    <w:rsid w:val="003730E5"/>
    <w:rsid w:val="0037345E"/>
    <w:rsid w:val="0037431E"/>
    <w:rsid w:val="0037444F"/>
    <w:rsid w:val="0037492B"/>
    <w:rsid w:val="00376454"/>
    <w:rsid w:val="00376E6B"/>
    <w:rsid w:val="00377C5E"/>
    <w:rsid w:val="00380AC9"/>
    <w:rsid w:val="00380F99"/>
    <w:rsid w:val="0038148A"/>
    <w:rsid w:val="003814D2"/>
    <w:rsid w:val="0038248B"/>
    <w:rsid w:val="00382E34"/>
    <w:rsid w:val="00385AF6"/>
    <w:rsid w:val="00385B5E"/>
    <w:rsid w:val="00385DB1"/>
    <w:rsid w:val="003865BF"/>
    <w:rsid w:val="00387BFB"/>
    <w:rsid w:val="003903BA"/>
    <w:rsid w:val="0039049F"/>
    <w:rsid w:val="00391251"/>
    <w:rsid w:val="00391CBF"/>
    <w:rsid w:val="00391FA7"/>
    <w:rsid w:val="00392271"/>
    <w:rsid w:val="0039243F"/>
    <w:rsid w:val="00393515"/>
    <w:rsid w:val="003936E5"/>
    <w:rsid w:val="00394FDC"/>
    <w:rsid w:val="00395111"/>
    <w:rsid w:val="00396005"/>
    <w:rsid w:val="003962B6"/>
    <w:rsid w:val="00396471"/>
    <w:rsid w:val="00397485"/>
    <w:rsid w:val="003A0D2D"/>
    <w:rsid w:val="003A157A"/>
    <w:rsid w:val="003A1CA9"/>
    <w:rsid w:val="003A22A0"/>
    <w:rsid w:val="003A238B"/>
    <w:rsid w:val="003A31B0"/>
    <w:rsid w:val="003A4916"/>
    <w:rsid w:val="003A4B24"/>
    <w:rsid w:val="003A5AB3"/>
    <w:rsid w:val="003A616E"/>
    <w:rsid w:val="003A6EA0"/>
    <w:rsid w:val="003A7020"/>
    <w:rsid w:val="003B0112"/>
    <w:rsid w:val="003B030C"/>
    <w:rsid w:val="003B0768"/>
    <w:rsid w:val="003B12E1"/>
    <w:rsid w:val="003B12F5"/>
    <w:rsid w:val="003B155E"/>
    <w:rsid w:val="003B2025"/>
    <w:rsid w:val="003B403D"/>
    <w:rsid w:val="003B4186"/>
    <w:rsid w:val="003B43AE"/>
    <w:rsid w:val="003B4A6D"/>
    <w:rsid w:val="003B554A"/>
    <w:rsid w:val="003B5EAE"/>
    <w:rsid w:val="003B6086"/>
    <w:rsid w:val="003B6F25"/>
    <w:rsid w:val="003B707F"/>
    <w:rsid w:val="003B7877"/>
    <w:rsid w:val="003C0548"/>
    <w:rsid w:val="003C0D3E"/>
    <w:rsid w:val="003C1101"/>
    <w:rsid w:val="003C1A89"/>
    <w:rsid w:val="003C1FDE"/>
    <w:rsid w:val="003C2ADE"/>
    <w:rsid w:val="003C2FD4"/>
    <w:rsid w:val="003C43BB"/>
    <w:rsid w:val="003C4BB9"/>
    <w:rsid w:val="003C51CE"/>
    <w:rsid w:val="003C5891"/>
    <w:rsid w:val="003C5CB8"/>
    <w:rsid w:val="003C5EE4"/>
    <w:rsid w:val="003C7426"/>
    <w:rsid w:val="003C78AD"/>
    <w:rsid w:val="003C7AC5"/>
    <w:rsid w:val="003D06B5"/>
    <w:rsid w:val="003D0FAC"/>
    <w:rsid w:val="003D24E4"/>
    <w:rsid w:val="003D3562"/>
    <w:rsid w:val="003D35E4"/>
    <w:rsid w:val="003D3921"/>
    <w:rsid w:val="003D427E"/>
    <w:rsid w:val="003D5694"/>
    <w:rsid w:val="003D5D8B"/>
    <w:rsid w:val="003D5F94"/>
    <w:rsid w:val="003D627C"/>
    <w:rsid w:val="003D692F"/>
    <w:rsid w:val="003D6C0E"/>
    <w:rsid w:val="003D77DF"/>
    <w:rsid w:val="003D7BF1"/>
    <w:rsid w:val="003D7CB5"/>
    <w:rsid w:val="003D7FC8"/>
    <w:rsid w:val="003E079B"/>
    <w:rsid w:val="003E104B"/>
    <w:rsid w:val="003E1132"/>
    <w:rsid w:val="003E13BA"/>
    <w:rsid w:val="003E23C3"/>
    <w:rsid w:val="003E2B07"/>
    <w:rsid w:val="003E2CD9"/>
    <w:rsid w:val="003E2F40"/>
    <w:rsid w:val="003E499F"/>
    <w:rsid w:val="003E4CFF"/>
    <w:rsid w:val="003E5280"/>
    <w:rsid w:val="003E61F1"/>
    <w:rsid w:val="003E7138"/>
    <w:rsid w:val="003E7A55"/>
    <w:rsid w:val="003F01B1"/>
    <w:rsid w:val="003F1410"/>
    <w:rsid w:val="003F1823"/>
    <w:rsid w:val="003F18EF"/>
    <w:rsid w:val="003F2A8C"/>
    <w:rsid w:val="003F3000"/>
    <w:rsid w:val="003F336E"/>
    <w:rsid w:val="003F698E"/>
    <w:rsid w:val="003F6A26"/>
    <w:rsid w:val="003F7389"/>
    <w:rsid w:val="00400481"/>
    <w:rsid w:val="00400E6A"/>
    <w:rsid w:val="00402622"/>
    <w:rsid w:val="00402B19"/>
    <w:rsid w:val="00404624"/>
    <w:rsid w:val="00404B70"/>
    <w:rsid w:val="00405CED"/>
    <w:rsid w:val="00405DA3"/>
    <w:rsid w:val="00405ED8"/>
    <w:rsid w:val="004060A3"/>
    <w:rsid w:val="00406610"/>
    <w:rsid w:val="004066C6"/>
    <w:rsid w:val="00406D84"/>
    <w:rsid w:val="00407ECD"/>
    <w:rsid w:val="004103AB"/>
    <w:rsid w:val="00410A29"/>
    <w:rsid w:val="00410BB9"/>
    <w:rsid w:val="00411996"/>
    <w:rsid w:val="00411CDC"/>
    <w:rsid w:val="00412DC6"/>
    <w:rsid w:val="00413830"/>
    <w:rsid w:val="00413CB8"/>
    <w:rsid w:val="00413DB2"/>
    <w:rsid w:val="00413FEB"/>
    <w:rsid w:val="00414A75"/>
    <w:rsid w:val="0041517A"/>
    <w:rsid w:val="00417894"/>
    <w:rsid w:val="00417AE1"/>
    <w:rsid w:val="0042005F"/>
    <w:rsid w:val="004202F8"/>
    <w:rsid w:val="00420A69"/>
    <w:rsid w:val="004210D1"/>
    <w:rsid w:val="00421609"/>
    <w:rsid w:val="00421618"/>
    <w:rsid w:val="00422C17"/>
    <w:rsid w:val="00422E18"/>
    <w:rsid w:val="00425505"/>
    <w:rsid w:val="00425890"/>
    <w:rsid w:val="00425B13"/>
    <w:rsid w:val="0042623C"/>
    <w:rsid w:val="004267EC"/>
    <w:rsid w:val="00426915"/>
    <w:rsid w:val="00426AFE"/>
    <w:rsid w:val="004275E9"/>
    <w:rsid w:val="00427859"/>
    <w:rsid w:val="0042794B"/>
    <w:rsid w:val="00427FCD"/>
    <w:rsid w:val="0043102F"/>
    <w:rsid w:val="00431625"/>
    <w:rsid w:val="004318F8"/>
    <w:rsid w:val="00431BD5"/>
    <w:rsid w:val="00432D73"/>
    <w:rsid w:val="00432D9A"/>
    <w:rsid w:val="00432F85"/>
    <w:rsid w:val="004331B4"/>
    <w:rsid w:val="004338F3"/>
    <w:rsid w:val="004339F6"/>
    <w:rsid w:val="00433B7C"/>
    <w:rsid w:val="00434598"/>
    <w:rsid w:val="0043469A"/>
    <w:rsid w:val="00434883"/>
    <w:rsid w:val="00434B58"/>
    <w:rsid w:val="0043550A"/>
    <w:rsid w:val="00435A74"/>
    <w:rsid w:val="00435C8F"/>
    <w:rsid w:val="00436CD2"/>
    <w:rsid w:val="004374EB"/>
    <w:rsid w:val="00437FAC"/>
    <w:rsid w:val="00440142"/>
    <w:rsid w:val="004408FF"/>
    <w:rsid w:val="00440B29"/>
    <w:rsid w:val="00441522"/>
    <w:rsid w:val="004419A1"/>
    <w:rsid w:val="00441A97"/>
    <w:rsid w:val="00441CBC"/>
    <w:rsid w:val="00441EA6"/>
    <w:rsid w:val="004438E7"/>
    <w:rsid w:val="004439A5"/>
    <w:rsid w:val="00443C70"/>
    <w:rsid w:val="00443ED8"/>
    <w:rsid w:val="004442B5"/>
    <w:rsid w:val="004443B1"/>
    <w:rsid w:val="00444776"/>
    <w:rsid w:val="00445021"/>
    <w:rsid w:val="00445613"/>
    <w:rsid w:val="004465C6"/>
    <w:rsid w:val="00447DCD"/>
    <w:rsid w:val="004502D4"/>
    <w:rsid w:val="00450742"/>
    <w:rsid w:val="0045099D"/>
    <w:rsid w:val="0045181F"/>
    <w:rsid w:val="004525CF"/>
    <w:rsid w:val="00452AF5"/>
    <w:rsid w:val="00453A33"/>
    <w:rsid w:val="0045478F"/>
    <w:rsid w:val="00454AB3"/>
    <w:rsid w:val="00454E8E"/>
    <w:rsid w:val="00454EE0"/>
    <w:rsid w:val="00455615"/>
    <w:rsid w:val="004558A9"/>
    <w:rsid w:val="0045620D"/>
    <w:rsid w:val="004563BF"/>
    <w:rsid w:val="00456A3C"/>
    <w:rsid w:val="004577FB"/>
    <w:rsid w:val="0046137C"/>
    <w:rsid w:val="00461CDA"/>
    <w:rsid w:val="00461D9C"/>
    <w:rsid w:val="00461E1E"/>
    <w:rsid w:val="00462BD9"/>
    <w:rsid w:val="00463340"/>
    <w:rsid w:val="00463F84"/>
    <w:rsid w:val="00464298"/>
    <w:rsid w:val="00464654"/>
    <w:rsid w:val="004650B1"/>
    <w:rsid w:val="00465860"/>
    <w:rsid w:val="004661C7"/>
    <w:rsid w:val="004661E3"/>
    <w:rsid w:val="00466E68"/>
    <w:rsid w:val="00467023"/>
    <w:rsid w:val="004673B9"/>
    <w:rsid w:val="0046758A"/>
    <w:rsid w:val="00471B0F"/>
    <w:rsid w:val="0047223E"/>
    <w:rsid w:val="00472462"/>
    <w:rsid w:val="0047256B"/>
    <w:rsid w:val="00472EA5"/>
    <w:rsid w:val="00473468"/>
    <w:rsid w:val="00474213"/>
    <w:rsid w:val="004742E3"/>
    <w:rsid w:val="004748B0"/>
    <w:rsid w:val="00474F95"/>
    <w:rsid w:val="004752F0"/>
    <w:rsid w:val="00475809"/>
    <w:rsid w:val="00480D01"/>
    <w:rsid w:val="00482D97"/>
    <w:rsid w:val="004841A4"/>
    <w:rsid w:val="004843CF"/>
    <w:rsid w:val="00484890"/>
    <w:rsid w:val="00484D5F"/>
    <w:rsid w:val="004859B1"/>
    <w:rsid w:val="00485C5C"/>
    <w:rsid w:val="00486281"/>
    <w:rsid w:val="00486766"/>
    <w:rsid w:val="00487AA4"/>
    <w:rsid w:val="00487DEE"/>
    <w:rsid w:val="00490A89"/>
    <w:rsid w:val="00492103"/>
    <w:rsid w:val="00492A36"/>
    <w:rsid w:val="00492C5C"/>
    <w:rsid w:val="00493A11"/>
    <w:rsid w:val="004940D8"/>
    <w:rsid w:val="00494697"/>
    <w:rsid w:val="00494E61"/>
    <w:rsid w:val="00495B7E"/>
    <w:rsid w:val="00495CBA"/>
    <w:rsid w:val="00495DBB"/>
    <w:rsid w:val="00496126"/>
    <w:rsid w:val="00496877"/>
    <w:rsid w:val="004A023A"/>
    <w:rsid w:val="004A0562"/>
    <w:rsid w:val="004A142B"/>
    <w:rsid w:val="004A2863"/>
    <w:rsid w:val="004A2FE3"/>
    <w:rsid w:val="004A362C"/>
    <w:rsid w:val="004A67D7"/>
    <w:rsid w:val="004A6A34"/>
    <w:rsid w:val="004A78E9"/>
    <w:rsid w:val="004A7E98"/>
    <w:rsid w:val="004B0197"/>
    <w:rsid w:val="004B07C3"/>
    <w:rsid w:val="004B09C6"/>
    <w:rsid w:val="004B2233"/>
    <w:rsid w:val="004B2F5D"/>
    <w:rsid w:val="004B31F9"/>
    <w:rsid w:val="004B3759"/>
    <w:rsid w:val="004B4033"/>
    <w:rsid w:val="004B486A"/>
    <w:rsid w:val="004B58F5"/>
    <w:rsid w:val="004B64AF"/>
    <w:rsid w:val="004B691A"/>
    <w:rsid w:val="004B787F"/>
    <w:rsid w:val="004B7898"/>
    <w:rsid w:val="004B7CFB"/>
    <w:rsid w:val="004C0025"/>
    <w:rsid w:val="004C096A"/>
    <w:rsid w:val="004C0D82"/>
    <w:rsid w:val="004C15BD"/>
    <w:rsid w:val="004C1798"/>
    <w:rsid w:val="004C36C6"/>
    <w:rsid w:val="004C3EB7"/>
    <w:rsid w:val="004C41CE"/>
    <w:rsid w:val="004C443E"/>
    <w:rsid w:val="004C485E"/>
    <w:rsid w:val="004C5A4B"/>
    <w:rsid w:val="004C5B41"/>
    <w:rsid w:val="004C5B91"/>
    <w:rsid w:val="004C654B"/>
    <w:rsid w:val="004C6AA1"/>
    <w:rsid w:val="004C6D3B"/>
    <w:rsid w:val="004C7285"/>
    <w:rsid w:val="004D12A5"/>
    <w:rsid w:val="004D1C44"/>
    <w:rsid w:val="004D22A8"/>
    <w:rsid w:val="004D26A6"/>
    <w:rsid w:val="004D278C"/>
    <w:rsid w:val="004D286B"/>
    <w:rsid w:val="004D38CE"/>
    <w:rsid w:val="004D3E8B"/>
    <w:rsid w:val="004D52BE"/>
    <w:rsid w:val="004D5F57"/>
    <w:rsid w:val="004D6094"/>
    <w:rsid w:val="004D753B"/>
    <w:rsid w:val="004D7EB9"/>
    <w:rsid w:val="004E130F"/>
    <w:rsid w:val="004E237E"/>
    <w:rsid w:val="004E277C"/>
    <w:rsid w:val="004E2F31"/>
    <w:rsid w:val="004E3AEB"/>
    <w:rsid w:val="004E3BE8"/>
    <w:rsid w:val="004E4538"/>
    <w:rsid w:val="004E5730"/>
    <w:rsid w:val="004E66C9"/>
    <w:rsid w:val="004E7146"/>
    <w:rsid w:val="004E7463"/>
    <w:rsid w:val="004E77B6"/>
    <w:rsid w:val="004E7C0A"/>
    <w:rsid w:val="004F087B"/>
    <w:rsid w:val="004F08D6"/>
    <w:rsid w:val="004F1E74"/>
    <w:rsid w:val="004F2FD2"/>
    <w:rsid w:val="004F3524"/>
    <w:rsid w:val="004F36AB"/>
    <w:rsid w:val="004F47A8"/>
    <w:rsid w:val="004F50BC"/>
    <w:rsid w:val="004F521E"/>
    <w:rsid w:val="004F5278"/>
    <w:rsid w:val="004F5630"/>
    <w:rsid w:val="004F6792"/>
    <w:rsid w:val="004F726A"/>
    <w:rsid w:val="004F78CE"/>
    <w:rsid w:val="004F7A1A"/>
    <w:rsid w:val="00500066"/>
    <w:rsid w:val="00502165"/>
    <w:rsid w:val="0050287F"/>
    <w:rsid w:val="005038C5"/>
    <w:rsid w:val="00503E88"/>
    <w:rsid w:val="00505669"/>
    <w:rsid w:val="00505C66"/>
    <w:rsid w:val="005076C6"/>
    <w:rsid w:val="00507DB0"/>
    <w:rsid w:val="00510353"/>
    <w:rsid w:val="005104ED"/>
    <w:rsid w:val="005108DF"/>
    <w:rsid w:val="00510ABF"/>
    <w:rsid w:val="0051210D"/>
    <w:rsid w:val="005129D7"/>
    <w:rsid w:val="00512A10"/>
    <w:rsid w:val="00513345"/>
    <w:rsid w:val="0051428E"/>
    <w:rsid w:val="00514AE0"/>
    <w:rsid w:val="00514C00"/>
    <w:rsid w:val="0051575E"/>
    <w:rsid w:val="00516023"/>
    <w:rsid w:val="0051656A"/>
    <w:rsid w:val="005207CB"/>
    <w:rsid w:val="00520A52"/>
    <w:rsid w:val="005212AA"/>
    <w:rsid w:val="005215CB"/>
    <w:rsid w:val="005225BE"/>
    <w:rsid w:val="00522791"/>
    <w:rsid w:val="005233CF"/>
    <w:rsid w:val="00523559"/>
    <w:rsid w:val="005235C5"/>
    <w:rsid w:val="00523C97"/>
    <w:rsid w:val="00524D3B"/>
    <w:rsid w:val="005258B1"/>
    <w:rsid w:val="00527CA1"/>
    <w:rsid w:val="005303F9"/>
    <w:rsid w:val="00530470"/>
    <w:rsid w:val="0053060F"/>
    <w:rsid w:val="00530F7A"/>
    <w:rsid w:val="00531335"/>
    <w:rsid w:val="005317B8"/>
    <w:rsid w:val="00531E60"/>
    <w:rsid w:val="00532530"/>
    <w:rsid w:val="00532678"/>
    <w:rsid w:val="00532796"/>
    <w:rsid w:val="00534FD6"/>
    <w:rsid w:val="00535A9E"/>
    <w:rsid w:val="00536068"/>
    <w:rsid w:val="00537577"/>
    <w:rsid w:val="005377B7"/>
    <w:rsid w:val="0053797B"/>
    <w:rsid w:val="00537F86"/>
    <w:rsid w:val="00540261"/>
    <w:rsid w:val="005404C5"/>
    <w:rsid w:val="00540D46"/>
    <w:rsid w:val="00541DDC"/>
    <w:rsid w:val="005429E3"/>
    <w:rsid w:val="005435FD"/>
    <w:rsid w:val="00543615"/>
    <w:rsid w:val="00544E08"/>
    <w:rsid w:val="0054574F"/>
    <w:rsid w:val="00545999"/>
    <w:rsid w:val="00545A8F"/>
    <w:rsid w:val="00545F07"/>
    <w:rsid w:val="0054704E"/>
    <w:rsid w:val="0055043D"/>
    <w:rsid w:val="00550692"/>
    <w:rsid w:val="005508DB"/>
    <w:rsid w:val="00550970"/>
    <w:rsid w:val="00550B76"/>
    <w:rsid w:val="00550E03"/>
    <w:rsid w:val="00551123"/>
    <w:rsid w:val="00551492"/>
    <w:rsid w:val="005515D7"/>
    <w:rsid w:val="00551C4B"/>
    <w:rsid w:val="00551D52"/>
    <w:rsid w:val="005525F3"/>
    <w:rsid w:val="00552812"/>
    <w:rsid w:val="00552A81"/>
    <w:rsid w:val="00552C0C"/>
    <w:rsid w:val="005536C6"/>
    <w:rsid w:val="0055399F"/>
    <w:rsid w:val="00553E3D"/>
    <w:rsid w:val="005540F3"/>
    <w:rsid w:val="00554926"/>
    <w:rsid w:val="00555A6F"/>
    <w:rsid w:val="0055661F"/>
    <w:rsid w:val="00556897"/>
    <w:rsid w:val="0055796F"/>
    <w:rsid w:val="005606F1"/>
    <w:rsid w:val="00560818"/>
    <w:rsid w:val="00560ED1"/>
    <w:rsid w:val="00561B00"/>
    <w:rsid w:val="0056246A"/>
    <w:rsid w:val="00562D9E"/>
    <w:rsid w:val="00562F3F"/>
    <w:rsid w:val="00563A17"/>
    <w:rsid w:val="00563BAB"/>
    <w:rsid w:val="005642BB"/>
    <w:rsid w:val="0056430D"/>
    <w:rsid w:val="00564CDE"/>
    <w:rsid w:val="00565140"/>
    <w:rsid w:val="00565D70"/>
    <w:rsid w:val="00566160"/>
    <w:rsid w:val="00566328"/>
    <w:rsid w:val="005666BC"/>
    <w:rsid w:val="005676C4"/>
    <w:rsid w:val="00567A36"/>
    <w:rsid w:val="00567B6C"/>
    <w:rsid w:val="00567EE7"/>
    <w:rsid w:val="00570A08"/>
    <w:rsid w:val="00570BBF"/>
    <w:rsid w:val="00571094"/>
    <w:rsid w:val="00571437"/>
    <w:rsid w:val="0057183A"/>
    <w:rsid w:val="00571945"/>
    <w:rsid w:val="00572B4B"/>
    <w:rsid w:val="005737B4"/>
    <w:rsid w:val="00573965"/>
    <w:rsid w:val="00573BFD"/>
    <w:rsid w:val="00573C89"/>
    <w:rsid w:val="0057441F"/>
    <w:rsid w:val="00574F36"/>
    <w:rsid w:val="0057534A"/>
    <w:rsid w:val="00575765"/>
    <w:rsid w:val="0058006A"/>
    <w:rsid w:val="005802C4"/>
    <w:rsid w:val="00580BF4"/>
    <w:rsid w:val="00580F44"/>
    <w:rsid w:val="005819DF"/>
    <w:rsid w:val="00581E43"/>
    <w:rsid w:val="00582FC4"/>
    <w:rsid w:val="0058351A"/>
    <w:rsid w:val="00584F84"/>
    <w:rsid w:val="0058593C"/>
    <w:rsid w:val="005859B5"/>
    <w:rsid w:val="00585AB5"/>
    <w:rsid w:val="005868BF"/>
    <w:rsid w:val="00586EF8"/>
    <w:rsid w:val="0058737F"/>
    <w:rsid w:val="005877F8"/>
    <w:rsid w:val="005901DD"/>
    <w:rsid w:val="00591322"/>
    <w:rsid w:val="005917D3"/>
    <w:rsid w:val="005918E8"/>
    <w:rsid w:val="00591B98"/>
    <w:rsid w:val="00591E24"/>
    <w:rsid w:val="00591FD1"/>
    <w:rsid w:val="005922A3"/>
    <w:rsid w:val="00593200"/>
    <w:rsid w:val="005933B6"/>
    <w:rsid w:val="0059434F"/>
    <w:rsid w:val="00594B8F"/>
    <w:rsid w:val="005955F4"/>
    <w:rsid w:val="0059710B"/>
    <w:rsid w:val="005971A5"/>
    <w:rsid w:val="00597424"/>
    <w:rsid w:val="005A04F4"/>
    <w:rsid w:val="005A08C5"/>
    <w:rsid w:val="005A0B88"/>
    <w:rsid w:val="005A0FC3"/>
    <w:rsid w:val="005A2A58"/>
    <w:rsid w:val="005A2B90"/>
    <w:rsid w:val="005A2FF5"/>
    <w:rsid w:val="005A3047"/>
    <w:rsid w:val="005A30F1"/>
    <w:rsid w:val="005A3131"/>
    <w:rsid w:val="005A31D6"/>
    <w:rsid w:val="005A3A67"/>
    <w:rsid w:val="005A3C1F"/>
    <w:rsid w:val="005A473D"/>
    <w:rsid w:val="005A54E1"/>
    <w:rsid w:val="005A58E1"/>
    <w:rsid w:val="005A5BE6"/>
    <w:rsid w:val="005A686F"/>
    <w:rsid w:val="005A78A8"/>
    <w:rsid w:val="005A7B11"/>
    <w:rsid w:val="005B02C8"/>
    <w:rsid w:val="005B141F"/>
    <w:rsid w:val="005B1743"/>
    <w:rsid w:val="005B186A"/>
    <w:rsid w:val="005B2A43"/>
    <w:rsid w:val="005B3F35"/>
    <w:rsid w:val="005B46F9"/>
    <w:rsid w:val="005B4853"/>
    <w:rsid w:val="005B4FD5"/>
    <w:rsid w:val="005B5057"/>
    <w:rsid w:val="005B51F9"/>
    <w:rsid w:val="005B5FC6"/>
    <w:rsid w:val="005B7D81"/>
    <w:rsid w:val="005C0453"/>
    <w:rsid w:val="005C1667"/>
    <w:rsid w:val="005C223C"/>
    <w:rsid w:val="005C2A65"/>
    <w:rsid w:val="005C3B53"/>
    <w:rsid w:val="005C3EBF"/>
    <w:rsid w:val="005C4288"/>
    <w:rsid w:val="005C43D6"/>
    <w:rsid w:val="005C4A27"/>
    <w:rsid w:val="005C4AA7"/>
    <w:rsid w:val="005C4BDB"/>
    <w:rsid w:val="005C54EC"/>
    <w:rsid w:val="005C5A7A"/>
    <w:rsid w:val="005C65A5"/>
    <w:rsid w:val="005C79E0"/>
    <w:rsid w:val="005D0AFD"/>
    <w:rsid w:val="005D27F2"/>
    <w:rsid w:val="005D2F1F"/>
    <w:rsid w:val="005D304D"/>
    <w:rsid w:val="005D31AB"/>
    <w:rsid w:val="005D3783"/>
    <w:rsid w:val="005D3809"/>
    <w:rsid w:val="005D41F5"/>
    <w:rsid w:val="005D4C08"/>
    <w:rsid w:val="005D59EF"/>
    <w:rsid w:val="005D5A14"/>
    <w:rsid w:val="005D7040"/>
    <w:rsid w:val="005D7CEF"/>
    <w:rsid w:val="005D7E2E"/>
    <w:rsid w:val="005E0319"/>
    <w:rsid w:val="005E0C36"/>
    <w:rsid w:val="005E1353"/>
    <w:rsid w:val="005E1ABD"/>
    <w:rsid w:val="005E1C06"/>
    <w:rsid w:val="005E32F1"/>
    <w:rsid w:val="005E37E2"/>
    <w:rsid w:val="005E3B99"/>
    <w:rsid w:val="005E4D0A"/>
    <w:rsid w:val="005E5036"/>
    <w:rsid w:val="005E50FA"/>
    <w:rsid w:val="005E57C8"/>
    <w:rsid w:val="005E5937"/>
    <w:rsid w:val="005E61B5"/>
    <w:rsid w:val="005E636C"/>
    <w:rsid w:val="005E77EC"/>
    <w:rsid w:val="005F05B6"/>
    <w:rsid w:val="005F1885"/>
    <w:rsid w:val="005F2F25"/>
    <w:rsid w:val="005F3361"/>
    <w:rsid w:val="005F397E"/>
    <w:rsid w:val="005F42ED"/>
    <w:rsid w:val="005F4439"/>
    <w:rsid w:val="005F4C33"/>
    <w:rsid w:val="005F6EEB"/>
    <w:rsid w:val="005F707C"/>
    <w:rsid w:val="005F76A1"/>
    <w:rsid w:val="005F77FD"/>
    <w:rsid w:val="005F79B1"/>
    <w:rsid w:val="005F7C8D"/>
    <w:rsid w:val="0060404B"/>
    <w:rsid w:val="00604DCF"/>
    <w:rsid w:val="00606725"/>
    <w:rsid w:val="0060689B"/>
    <w:rsid w:val="00607354"/>
    <w:rsid w:val="006073AC"/>
    <w:rsid w:val="00607BA1"/>
    <w:rsid w:val="00607CCE"/>
    <w:rsid w:val="0061010C"/>
    <w:rsid w:val="00610EC5"/>
    <w:rsid w:val="00611095"/>
    <w:rsid w:val="00611561"/>
    <w:rsid w:val="006115ED"/>
    <w:rsid w:val="00611D3E"/>
    <w:rsid w:val="00612974"/>
    <w:rsid w:val="0061511E"/>
    <w:rsid w:val="00615FE1"/>
    <w:rsid w:val="00616005"/>
    <w:rsid w:val="00616BE1"/>
    <w:rsid w:val="006171F2"/>
    <w:rsid w:val="0061769B"/>
    <w:rsid w:val="00617B4C"/>
    <w:rsid w:val="0062044E"/>
    <w:rsid w:val="006204A3"/>
    <w:rsid w:val="006208FC"/>
    <w:rsid w:val="006225D9"/>
    <w:rsid w:val="00623088"/>
    <w:rsid w:val="00623524"/>
    <w:rsid w:val="00623739"/>
    <w:rsid w:val="00623FFA"/>
    <w:rsid w:val="00624CCB"/>
    <w:rsid w:val="00624DA3"/>
    <w:rsid w:val="0062511A"/>
    <w:rsid w:val="006256B2"/>
    <w:rsid w:val="00625D86"/>
    <w:rsid w:val="0062612A"/>
    <w:rsid w:val="00626988"/>
    <w:rsid w:val="0062699C"/>
    <w:rsid w:val="00627615"/>
    <w:rsid w:val="006278E0"/>
    <w:rsid w:val="00627B82"/>
    <w:rsid w:val="00630A88"/>
    <w:rsid w:val="00630EA1"/>
    <w:rsid w:val="00631290"/>
    <w:rsid w:val="00631628"/>
    <w:rsid w:val="006320CB"/>
    <w:rsid w:val="006322A6"/>
    <w:rsid w:val="00632470"/>
    <w:rsid w:val="006329B9"/>
    <w:rsid w:val="00632AFC"/>
    <w:rsid w:val="00632CE5"/>
    <w:rsid w:val="006335AA"/>
    <w:rsid w:val="00633942"/>
    <w:rsid w:val="006348DA"/>
    <w:rsid w:val="00634CD6"/>
    <w:rsid w:val="00634E9E"/>
    <w:rsid w:val="00635B90"/>
    <w:rsid w:val="006377D1"/>
    <w:rsid w:val="00637C80"/>
    <w:rsid w:val="00640339"/>
    <w:rsid w:val="006411A5"/>
    <w:rsid w:val="006422D1"/>
    <w:rsid w:val="0064270E"/>
    <w:rsid w:val="00642AEC"/>
    <w:rsid w:val="00645A30"/>
    <w:rsid w:val="00645FB2"/>
    <w:rsid w:val="0064671A"/>
    <w:rsid w:val="00646B13"/>
    <w:rsid w:val="00647A96"/>
    <w:rsid w:val="0065024D"/>
    <w:rsid w:val="0065035C"/>
    <w:rsid w:val="0065073C"/>
    <w:rsid w:val="00652F0A"/>
    <w:rsid w:val="0065326C"/>
    <w:rsid w:val="00653556"/>
    <w:rsid w:val="00654495"/>
    <w:rsid w:val="00654BCD"/>
    <w:rsid w:val="00654FBC"/>
    <w:rsid w:val="00654FCF"/>
    <w:rsid w:val="006551F0"/>
    <w:rsid w:val="006561E0"/>
    <w:rsid w:val="00656294"/>
    <w:rsid w:val="006563CD"/>
    <w:rsid w:val="006568EC"/>
    <w:rsid w:val="006570AD"/>
    <w:rsid w:val="00657E11"/>
    <w:rsid w:val="00660640"/>
    <w:rsid w:val="006606B7"/>
    <w:rsid w:val="00660D47"/>
    <w:rsid w:val="0066104F"/>
    <w:rsid w:val="00661A49"/>
    <w:rsid w:val="00661EC3"/>
    <w:rsid w:val="00661FD9"/>
    <w:rsid w:val="00662FC8"/>
    <w:rsid w:val="006639D2"/>
    <w:rsid w:val="00664009"/>
    <w:rsid w:val="006643FA"/>
    <w:rsid w:val="00664D09"/>
    <w:rsid w:val="006657CE"/>
    <w:rsid w:val="00670650"/>
    <w:rsid w:val="00670AB2"/>
    <w:rsid w:val="00670BFF"/>
    <w:rsid w:val="00670CC8"/>
    <w:rsid w:val="0067145D"/>
    <w:rsid w:val="00671B76"/>
    <w:rsid w:val="00671BAD"/>
    <w:rsid w:val="00672FCF"/>
    <w:rsid w:val="00673303"/>
    <w:rsid w:val="0067471C"/>
    <w:rsid w:val="00674A33"/>
    <w:rsid w:val="00674DF7"/>
    <w:rsid w:val="006754D0"/>
    <w:rsid w:val="00675C96"/>
    <w:rsid w:val="006764A1"/>
    <w:rsid w:val="006777B0"/>
    <w:rsid w:val="006778F7"/>
    <w:rsid w:val="00677917"/>
    <w:rsid w:val="0067795A"/>
    <w:rsid w:val="0068028B"/>
    <w:rsid w:val="006802D8"/>
    <w:rsid w:val="00680874"/>
    <w:rsid w:val="006812D6"/>
    <w:rsid w:val="00682257"/>
    <w:rsid w:val="00682704"/>
    <w:rsid w:val="00682F96"/>
    <w:rsid w:val="006843E4"/>
    <w:rsid w:val="006844FF"/>
    <w:rsid w:val="00684EAF"/>
    <w:rsid w:val="006867B2"/>
    <w:rsid w:val="00687348"/>
    <w:rsid w:val="00687798"/>
    <w:rsid w:val="00687AA3"/>
    <w:rsid w:val="00687ED7"/>
    <w:rsid w:val="00692355"/>
    <w:rsid w:val="006928A7"/>
    <w:rsid w:val="00692FF4"/>
    <w:rsid w:val="006933AB"/>
    <w:rsid w:val="00693778"/>
    <w:rsid w:val="00693B5D"/>
    <w:rsid w:val="00693E1F"/>
    <w:rsid w:val="00694336"/>
    <w:rsid w:val="00694A98"/>
    <w:rsid w:val="00695182"/>
    <w:rsid w:val="006956DB"/>
    <w:rsid w:val="00695B26"/>
    <w:rsid w:val="00695E62"/>
    <w:rsid w:val="00696044"/>
    <w:rsid w:val="006A098A"/>
    <w:rsid w:val="006A0A46"/>
    <w:rsid w:val="006A0FAC"/>
    <w:rsid w:val="006A2304"/>
    <w:rsid w:val="006A2CF2"/>
    <w:rsid w:val="006A449C"/>
    <w:rsid w:val="006A4BA4"/>
    <w:rsid w:val="006A4EC8"/>
    <w:rsid w:val="006A4EE1"/>
    <w:rsid w:val="006A599B"/>
    <w:rsid w:val="006A650D"/>
    <w:rsid w:val="006A6D40"/>
    <w:rsid w:val="006A75D9"/>
    <w:rsid w:val="006A7DC9"/>
    <w:rsid w:val="006B0EAF"/>
    <w:rsid w:val="006B1377"/>
    <w:rsid w:val="006B1B44"/>
    <w:rsid w:val="006B1B64"/>
    <w:rsid w:val="006B1E24"/>
    <w:rsid w:val="006B1F50"/>
    <w:rsid w:val="006B2BA2"/>
    <w:rsid w:val="006B5949"/>
    <w:rsid w:val="006B5DCE"/>
    <w:rsid w:val="006B61CC"/>
    <w:rsid w:val="006B633A"/>
    <w:rsid w:val="006B6C1C"/>
    <w:rsid w:val="006B6FA0"/>
    <w:rsid w:val="006B705D"/>
    <w:rsid w:val="006B79DF"/>
    <w:rsid w:val="006C0AEC"/>
    <w:rsid w:val="006C0D33"/>
    <w:rsid w:val="006C0FA6"/>
    <w:rsid w:val="006C14A8"/>
    <w:rsid w:val="006C1FAC"/>
    <w:rsid w:val="006C348B"/>
    <w:rsid w:val="006C4C60"/>
    <w:rsid w:val="006C5839"/>
    <w:rsid w:val="006C5C0F"/>
    <w:rsid w:val="006C5FAA"/>
    <w:rsid w:val="006C63BD"/>
    <w:rsid w:val="006C72FE"/>
    <w:rsid w:val="006C770D"/>
    <w:rsid w:val="006D267D"/>
    <w:rsid w:val="006D2BDC"/>
    <w:rsid w:val="006D2F9F"/>
    <w:rsid w:val="006D3D16"/>
    <w:rsid w:val="006D4A2F"/>
    <w:rsid w:val="006D4C8C"/>
    <w:rsid w:val="006D4D08"/>
    <w:rsid w:val="006D57CF"/>
    <w:rsid w:val="006D585E"/>
    <w:rsid w:val="006D6545"/>
    <w:rsid w:val="006D6805"/>
    <w:rsid w:val="006D68B9"/>
    <w:rsid w:val="006D6F56"/>
    <w:rsid w:val="006D7E84"/>
    <w:rsid w:val="006E09A9"/>
    <w:rsid w:val="006E1A8E"/>
    <w:rsid w:val="006E31B2"/>
    <w:rsid w:val="006E335D"/>
    <w:rsid w:val="006E3733"/>
    <w:rsid w:val="006E4A62"/>
    <w:rsid w:val="006E4C5B"/>
    <w:rsid w:val="006E5AF1"/>
    <w:rsid w:val="006E5FAC"/>
    <w:rsid w:val="006E5FB1"/>
    <w:rsid w:val="006E672C"/>
    <w:rsid w:val="006E71B4"/>
    <w:rsid w:val="006F0180"/>
    <w:rsid w:val="006F19B5"/>
    <w:rsid w:val="006F1AD4"/>
    <w:rsid w:val="006F1DCB"/>
    <w:rsid w:val="006F2514"/>
    <w:rsid w:val="006F29BA"/>
    <w:rsid w:val="006F2AC1"/>
    <w:rsid w:val="006F2AEB"/>
    <w:rsid w:val="006F2B22"/>
    <w:rsid w:val="006F2DCB"/>
    <w:rsid w:val="006F440A"/>
    <w:rsid w:val="006F4BA1"/>
    <w:rsid w:val="006F6435"/>
    <w:rsid w:val="006F71DC"/>
    <w:rsid w:val="00700AED"/>
    <w:rsid w:val="00700FAB"/>
    <w:rsid w:val="00700FBD"/>
    <w:rsid w:val="00701357"/>
    <w:rsid w:val="007014C1"/>
    <w:rsid w:val="007014D0"/>
    <w:rsid w:val="007015F7"/>
    <w:rsid w:val="00701A83"/>
    <w:rsid w:val="007028F0"/>
    <w:rsid w:val="00702A54"/>
    <w:rsid w:val="007033C6"/>
    <w:rsid w:val="00703D2C"/>
    <w:rsid w:val="007046E9"/>
    <w:rsid w:val="007047A8"/>
    <w:rsid w:val="007049FC"/>
    <w:rsid w:val="00705252"/>
    <w:rsid w:val="00705463"/>
    <w:rsid w:val="00705D6E"/>
    <w:rsid w:val="00706257"/>
    <w:rsid w:val="00706391"/>
    <w:rsid w:val="007066D7"/>
    <w:rsid w:val="00707A02"/>
    <w:rsid w:val="00710395"/>
    <w:rsid w:val="00710D1D"/>
    <w:rsid w:val="00710EF6"/>
    <w:rsid w:val="00711B2C"/>
    <w:rsid w:val="007139F3"/>
    <w:rsid w:val="00715110"/>
    <w:rsid w:val="00715291"/>
    <w:rsid w:val="007159A1"/>
    <w:rsid w:val="00715A95"/>
    <w:rsid w:val="0071715C"/>
    <w:rsid w:val="007172A3"/>
    <w:rsid w:val="007202E6"/>
    <w:rsid w:val="00721369"/>
    <w:rsid w:val="007213C6"/>
    <w:rsid w:val="0072186C"/>
    <w:rsid w:val="00721C57"/>
    <w:rsid w:val="0072229A"/>
    <w:rsid w:val="00722583"/>
    <w:rsid w:val="00722943"/>
    <w:rsid w:val="00722F42"/>
    <w:rsid w:val="007234BC"/>
    <w:rsid w:val="0072361D"/>
    <w:rsid w:val="00723CE5"/>
    <w:rsid w:val="00724048"/>
    <w:rsid w:val="007243B3"/>
    <w:rsid w:val="00724BDF"/>
    <w:rsid w:val="00725C8B"/>
    <w:rsid w:val="00725FFD"/>
    <w:rsid w:val="00726A37"/>
    <w:rsid w:val="00727219"/>
    <w:rsid w:val="00727292"/>
    <w:rsid w:val="00731C91"/>
    <w:rsid w:val="00731CD9"/>
    <w:rsid w:val="0073305A"/>
    <w:rsid w:val="0073383C"/>
    <w:rsid w:val="00733E32"/>
    <w:rsid w:val="0073400C"/>
    <w:rsid w:val="00734420"/>
    <w:rsid w:val="00734438"/>
    <w:rsid w:val="007344E4"/>
    <w:rsid w:val="00735288"/>
    <w:rsid w:val="00736683"/>
    <w:rsid w:val="00736948"/>
    <w:rsid w:val="00736DC6"/>
    <w:rsid w:val="00737DCF"/>
    <w:rsid w:val="00741323"/>
    <w:rsid w:val="007419A1"/>
    <w:rsid w:val="007420B8"/>
    <w:rsid w:val="00742441"/>
    <w:rsid w:val="0074303D"/>
    <w:rsid w:val="00743989"/>
    <w:rsid w:val="00743A46"/>
    <w:rsid w:val="0074486C"/>
    <w:rsid w:val="00745C2B"/>
    <w:rsid w:val="00746D34"/>
    <w:rsid w:val="00746EB4"/>
    <w:rsid w:val="00747503"/>
    <w:rsid w:val="00747509"/>
    <w:rsid w:val="007478E4"/>
    <w:rsid w:val="00750C90"/>
    <w:rsid w:val="00750F9D"/>
    <w:rsid w:val="007514B1"/>
    <w:rsid w:val="007521DE"/>
    <w:rsid w:val="00752343"/>
    <w:rsid w:val="007529ED"/>
    <w:rsid w:val="00752A6F"/>
    <w:rsid w:val="0075441B"/>
    <w:rsid w:val="00755D8C"/>
    <w:rsid w:val="0075663D"/>
    <w:rsid w:val="0075664F"/>
    <w:rsid w:val="0075702C"/>
    <w:rsid w:val="00757361"/>
    <w:rsid w:val="00760129"/>
    <w:rsid w:val="007613C3"/>
    <w:rsid w:val="00761627"/>
    <w:rsid w:val="00761C59"/>
    <w:rsid w:val="00762F64"/>
    <w:rsid w:val="00763967"/>
    <w:rsid w:val="007645E6"/>
    <w:rsid w:val="00764DE0"/>
    <w:rsid w:val="00765AEA"/>
    <w:rsid w:val="00766186"/>
    <w:rsid w:val="00767AE4"/>
    <w:rsid w:val="00767DA2"/>
    <w:rsid w:val="00770BCA"/>
    <w:rsid w:val="007721EB"/>
    <w:rsid w:val="0077270C"/>
    <w:rsid w:val="00772940"/>
    <w:rsid w:val="00772C38"/>
    <w:rsid w:val="00772D31"/>
    <w:rsid w:val="007731F9"/>
    <w:rsid w:val="00773342"/>
    <w:rsid w:val="007734B2"/>
    <w:rsid w:val="0077359E"/>
    <w:rsid w:val="0077395B"/>
    <w:rsid w:val="00773C81"/>
    <w:rsid w:val="00774D7C"/>
    <w:rsid w:val="00775CAE"/>
    <w:rsid w:val="00780F75"/>
    <w:rsid w:val="00782EC5"/>
    <w:rsid w:val="007832E9"/>
    <w:rsid w:val="0078345D"/>
    <w:rsid w:val="00785332"/>
    <w:rsid w:val="00785913"/>
    <w:rsid w:val="00786520"/>
    <w:rsid w:val="00791A1F"/>
    <w:rsid w:val="00791C48"/>
    <w:rsid w:val="00792011"/>
    <w:rsid w:val="007928D1"/>
    <w:rsid w:val="00793075"/>
    <w:rsid w:val="00794093"/>
    <w:rsid w:val="007945B4"/>
    <w:rsid w:val="007953CF"/>
    <w:rsid w:val="00795CA8"/>
    <w:rsid w:val="00795FC3"/>
    <w:rsid w:val="00796D24"/>
    <w:rsid w:val="007A1AFC"/>
    <w:rsid w:val="007A1B56"/>
    <w:rsid w:val="007A1C10"/>
    <w:rsid w:val="007A2423"/>
    <w:rsid w:val="007A2B32"/>
    <w:rsid w:val="007A34DF"/>
    <w:rsid w:val="007A4315"/>
    <w:rsid w:val="007A588A"/>
    <w:rsid w:val="007A59E0"/>
    <w:rsid w:val="007A5DEE"/>
    <w:rsid w:val="007A6B23"/>
    <w:rsid w:val="007A6E22"/>
    <w:rsid w:val="007A6E58"/>
    <w:rsid w:val="007A6EB4"/>
    <w:rsid w:val="007A7E14"/>
    <w:rsid w:val="007B0DB0"/>
    <w:rsid w:val="007B14F3"/>
    <w:rsid w:val="007B15CB"/>
    <w:rsid w:val="007B17F7"/>
    <w:rsid w:val="007B2ABF"/>
    <w:rsid w:val="007B30C9"/>
    <w:rsid w:val="007B4695"/>
    <w:rsid w:val="007B4862"/>
    <w:rsid w:val="007B4BE4"/>
    <w:rsid w:val="007B54FD"/>
    <w:rsid w:val="007B719E"/>
    <w:rsid w:val="007B7A90"/>
    <w:rsid w:val="007C32E0"/>
    <w:rsid w:val="007C54A3"/>
    <w:rsid w:val="007C60C1"/>
    <w:rsid w:val="007C76C4"/>
    <w:rsid w:val="007C7FA8"/>
    <w:rsid w:val="007D0B58"/>
    <w:rsid w:val="007D1F80"/>
    <w:rsid w:val="007D1FB0"/>
    <w:rsid w:val="007D2B27"/>
    <w:rsid w:val="007D3717"/>
    <w:rsid w:val="007D3DD0"/>
    <w:rsid w:val="007D4261"/>
    <w:rsid w:val="007D46BA"/>
    <w:rsid w:val="007D5010"/>
    <w:rsid w:val="007D537C"/>
    <w:rsid w:val="007D5D03"/>
    <w:rsid w:val="007D6102"/>
    <w:rsid w:val="007D6BE3"/>
    <w:rsid w:val="007D7AD5"/>
    <w:rsid w:val="007D7CD0"/>
    <w:rsid w:val="007E0ABF"/>
    <w:rsid w:val="007E0DED"/>
    <w:rsid w:val="007E13EB"/>
    <w:rsid w:val="007E195E"/>
    <w:rsid w:val="007E2B7E"/>
    <w:rsid w:val="007E3074"/>
    <w:rsid w:val="007E4A70"/>
    <w:rsid w:val="007E5894"/>
    <w:rsid w:val="007E5A42"/>
    <w:rsid w:val="007E645B"/>
    <w:rsid w:val="007E727A"/>
    <w:rsid w:val="007E7672"/>
    <w:rsid w:val="007F0378"/>
    <w:rsid w:val="007F039D"/>
    <w:rsid w:val="007F1875"/>
    <w:rsid w:val="007F18C4"/>
    <w:rsid w:val="007F3D7D"/>
    <w:rsid w:val="007F5CF7"/>
    <w:rsid w:val="007F6C54"/>
    <w:rsid w:val="007F7017"/>
    <w:rsid w:val="007F712D"/>
    <w:rsid w:val="007F7E0E"/>
    <w:rsid w:val="00800195"/>
    <w:rsid w:val="00801A37"/>
    <w:rsid w:val="008043A3"/>
    <w:rsid w:val="00804F5F"/>
    <w:rsid w:val="00804FAA"/>
    <w:rsid w:val="008058C3"/>
    <w:rsid w:val="00805D62"/>
    <w:rsid w:val="00806A08"/>
    <w:rsid w:val="00806BE7"/>
    <w:rsid w:val="00810754"/>
    <w:rsid w:val="00810E5C"/>
    <w:rsid w:val="00811EBD"/>
    <w:rsid w:val="00812745"/>
    <w:rsid w:val="008135EC"/>
    <w:rsid w:val="008135F1"/>
    <w:rsid w:val="00814026"/>
    <w:rsid w:val="0081428A"/>
    <w:rsid w:val="0081437F"/>
    <w:rsid w:val="008144C4"/>
    <w:rsid w:val="00815640"/>
    <w:rsid w:val="008161F5"/>
    <w:rsid w:val="008173A7"/>
    <w:rsid w:val="00817B12"/>
    <w:rsid w:val="00817C2C"/>
    <w:rsid w:val="00817D81"/>
    <w:rsid w:val="00820578"/>
    <w:rsid w:val="00820930"/>
    <w:rsid w:val="00820B1F"/>
    <w:rsid w:val="00821169"/>
    <w:rsid w:val="00821A87"/>
    <w:rsid w:val="00821E1C"/>
    <w:rsid w:val="00821EC4"/>
    <w:rsid w:val="008226B6"/>
    <w:rsid w:val="00823398"/>
    <w:rsid w:val="0082380D"/>
    <w:rsid w:val="00823992"/>
    <w:rsid w:val="00823C50"/>
    <w:rsid w:val="00825C78"/>
    <w:rsid w:val="00826F1F"/>
    <w:rsid w:val="00827065"/>
    <w:rsid w:val="00827EAD"/>
    <w:rsid w:val="0083074A"/>
    <w:rsid w:val="008313DA"/>
    <w:rsid w:val="00831A8B"/>
    <w:rsid w:val="00832E7E"/>
    <w:rsid w:val="00833EB9"/>
    <w:rsid w:val="00834014"/>
    <w:rsid w:val="0083468B"/>
    <w:rsid w:val="008349E6"/>
    <w:rsid w:val="008355E0"/>
    <w:rsid w:val="00836411"/>
    <w:rsid w:val="00836D9B"/>
    <w:rsid w:val="00836DC4"/>
    <w:rsid w:val="00836ED6"/>
    <w:rsid w:val="00837705"/>
    <w:rsid w:val="00840B0A"/>
    <w:rsid w:val="00840B93"/>
    <w:rsid w:val="00840E23"/>
    <w:rsid w:val="00841845"/>
    <w:rsid w:val="008418F3"/>
    <w:rsid w:val="008418F6"/>
    <w:rsid w:val="00841A0A"/>
    <w:rsid w:val="00841F85"/>
    <w:rsid w:val="00842C3C"/>
    <w:rsid w:val="0084302A"/>
    <w:rsid w:val="0084385B"/>
    <w:rsid w:val="00843D9C"/>
    <w:rsid w:val="00845605"/>
    <w:rsid w:val="008466E3"/>
    <w:rsid w:val="008475DC"/>
    <w:rsid w:val="00847752"/>
    <w:rsid w:val="00847ECD"/>
    <w:rsid w:val="00850544"/>
    <w:rsid w:val="00850734"/>
    <w:rsid w:val="00851CDF"/>
    <w:rsid w:val="00851F33"/>
    <w:rsid w:val="00851F89"/>
    <w:rsid w:val="00853A37"/>
    <w:rsid w:val="00853D14"/>
    <w:rsid w:val="00853EB3"/>
    <w:rsid w:val="00854656"/>
    <w:rsid w:val="008546D7"/>
    <w:rsid w:val="00854AAB"/>
    <w:rsid w:val="00854CA5"/>
    <w:rsid w:val="00856017"/>
    <w:rsid w:val="00856280"/>
    <w:rsid w:val="00856574"/>
    <w:rsid w:val="00857551"/>
    <w:rsid w:val="00857BB1"/>
    <w:rsid w:val="00862591"/>
    <w:rsid w:val="00863647"/>
    <w:rsid w:val="00863C8E"/>
    <w:rsid w:val="00863D5B"/>
    <w:rsid w:val="0086411E"/>
    <w:rsid w:val="00864252"/>
    <w:rsid w:val="00864314"/>
    <w:rsid w:val="008649D1"/>
    <w:rsid w:val="00864DDF"/>
    <w:rsid w:val="008660B9"/>
    <w:rsid w:val="00866DA7"/>
    <w:rsid w:val="00866DCB"/>
    <w:rsid w:val="0086754D"/>
    <w:rsid w:val="00867D6E"/>
    <w:rsid w:val="00870FB7"/>
    <w:rsid w:val="008710E9"/>
    <w:rsid w:val="00871774"/>
    <w:rsid w:val="00871CA0"/>
    <w:rsid w:val="008720E5"/>
    <w:rsid w:val="00872E67"/>
    <w:rsid w:val="00874949"/>
    <w:rsid w:val="00881569"/>
    <w:rsid w:val="008819D4"/>
    <w:rsid w:val="00882A65"/>
    <w:rsid w:val="00883BE6"/>
    <w:rsid w:val="008846ED"/>
    <w:rsid w:val="0088470B"/>
    <w:rsid w:val="00884B0B"/>
    <w:rsid w:val="00886123"/>
    <w:rsid w:val="008869C4"/>
    <w:rsid w:val="00886B8B"/>
    <w:rsid w:val="008871CF"/>
    <w:rsid w:val="008878FC"/>
    <w:rsid w:val="00890573"/>
    <w:rsid w:val="00890E92"/>
    <w:rsid w:val="00892132"/>
    <w:rsid w:val="00892470"/>
    <w:rsid w:val="0089388E"/>
    <w:rsid w:val="00893DA9"/>
    <w:rsid w:val="00894478"/>
    <w:rsid w:val="008945F8"/>
    <w:rsid w:val="00896120"/>
    <w:rsid w:val="0089676C"/>
    <w:rsid w:val="00897863"/>
    <w:rsid w:val="00897D64"/>
    <w:rsid w:val="008A2477"/>
    <w:rsid w:val="008A262F"/>
    <w:rsid w:val="008A28A2"/>
    <w:rsid w:val="008A5AB9"/>
    <w:rsid w:val="008A7463"/>
    <w:rsid w:val="008A748C"/>
    <w:rsid w:val="008A760C"/>
    <w:rsid w:val="008A763D"/>
    <w:rsid w:val="008A7E4D"/>
    <w:rsid w:val="008B0219"/>
    <w:rsid w:val="008B1291"/>
    <w:rsid w:val="008B181D"/>
    <w:rsid w:val="008B19A9"/>
    <w:rsid w:val="008B2A73"/>
    <w:rsid w:val="008B32C3"/>
    <w:rsid w:val="008B4B06"/>
    <w:rsid w:val="008B5338"/>
    <w:rsid w:val="008B5537"/>
    <w:rsid w:val="008B5BEF"/>
    <w:rsid w:val="008B6640"/>
    <w:rsid w:val="008B6803"/>
    <w:rsid w:val="008B6BFF"/>
    <w:rsid w:val="008B7267"/>
    <w:rsid w:val="008B77F9"/>
    <w:rsid w:val="008B7E6B"/>
    <w:rsid w:val="008C0184"/>
    <w:rsid w:val="008C10A9"/>
    <w:rsid w:val="008C35F5"/>
    <w:rsid w:val="008C40DD"/>
    <w:rsid w:val="008C5320"/>
    <w:rsid w:val="008C5715"/>
    <w:rsid w:val="008C5747"/>
    <w:rsid w:val="008C639B"/>
    <w:rsid w:val="008C6D25"/>
    <w:rsid w:val="008C7F15"/>
    <w:rsid w:val="008D001E"/>
    <w:rsid w:val="008D0337"/>
    <w:rsid w:val="008D0BA8"/>
    <w:rsid w:val="008D1856"/>
    <w:rsid w:val="008D277C"/>
    <w:rsid w:val="008D2B91"/>
    <w:rsid w:val="008D36FA"/>
    <w:rsid w:val="008D4549"/>
    <w:rsid w:val="008D45C6"/>
    <w:rsid w:val="008D4870"/>
    <w:rsid w:val="008D4E64"/>
    <w:rsid w:val="008D5C3F"/>
    <w:rsid w:val="008D667E"/>
    <w:rsid w:val="008D6821"/>
    <w:rsid w:val="008D6C84"/>
    <w:rsid w:val="008D76C0"/>
    <w:rsid w:val="008D7D37"/>
    <w:rsid w:val="008D7D6B"/>
    <w:rsid w:val="008D7FC7"/>
    <w:rsid w:val="008E04BD"/>
    <w:rsid w:val="008E09E7"/>
    <w:rsid w:val="008E0B9D"/>
    <w:rsid w:val="008E0CB3"/>
    <w:rsid w:val="008E1610"/>
    <w:rsid w:val="008E271A"/>
    <w:rsid w:val="008E28DD"/>
    <w:rsid w:val="008E32E0"/>
    <w:rsid w:val="008E3A6F"/>
    <w:rsid w:val="008E3AFB"/>
    <w:rsid w:val="008E3E38"/>
    <w:rsid w:val="008E3FDF"/>
    <w:rsid w:val="008E4839"/>
    <w:rsid w:val="008E490E"/>
    <w:rsid w:val="008E7B9F"/>
    <w:rsid w:val="008F0684"/>
    <w:rsid w:val="008F0BD1"/>
    <w:rsid w:val="008F0BD8"/>
    <w:rsid w:val="008F2568"/>
    <w:rsid w:val="008F3745"/>
    <w:rsid w:val="008F3D10"/>
    <w:rsid w:val="008F4913"/>
    <w:rsid w:val="008F4CA7"/>
    <w:rsid w:val="008F589F"/>
    <w:rsid w:val="008F5A62"/>
    <w:rsid w:val="008F601C"/>
    <w:rsid w:val="008F71B0"/>
    <w:rsid w:val="008F7C77"/>
    <w:rsid w:val="00900943"/>
    <w:rsid w:val="00900C82"/>
    <w:rsid w:val="00901E23"/>
    <w:rsid w:val="0090388F"/>
    <w:rsid w:val="00904BBE"/>
    <w:rsid w:val="00904DC5"/>
    <w:rsid w:val="009050AB"/>
    <w:rsid w:val="009066A7"/>
    <w:rsid w:val="00906D53"/>
    <w:rsid w:val="00910B9F"/>
    <w:rsid w:val="00910D53"/>
    <w:rsid w:val="00910E7B"/>
    <w:rsid w:val="00912051"/>
    <w:rsid w:val="00913832"/>
    <w:rsid w:val="00913B00"/>
    <w:rsid w:val="00913CDD"/>
    <w:rsid w:val="00914208"/>
    <w:rsid w:val="00914B8E"/>
    <w:rsid w:val="00914EFB"/>
    <w:rsid w:val="00916C78"/>
    <w:rsid w:val="00916D39"/>
    <w:rsid w:val="00917494"/>
    <w:rsid w:val="00920A48"/>
    <w:rsid w:val="00920C37"/>
    <w:rsid w:val="00921F68"/>
    <w:rsid w:val="00923766"/>
    <w:rsid w:val="009237D0"/>
    <w:rsid w:val="00923A3D"/>
    <w:rsid w:val="00924020"/>
    <w:rsid w:val="009246A9"/>
    <w:rsid w:val="00924DC1"/>
    <w:rsid w:val="00924E39"/>
    <w:rsid w:val="009254EB"/>
    <w:rsid w:val="00925A38"/>
    <w:rsid w:val="00925B08"/>
    <w:rsid w:val="00930410"/>
    <w:rsid w:val="00930E5C"/>
    <w:rsid w:val="009312DB"/>
    <w:rsid w:val="00931AFB"/>
    <w:rsid w:val="0093236D"/>
    <w:rsid w:val="00932D8E"/>
    <w:rsid w:val="00933B7C"/>
    <w:rsid w:val="0093415D"/>
    <w:rsid w:val="009341A1"/>
    <w:rsid w:val="0093430C"/>
    <w:rsid w:val="0093494E"/>
    <w:rsid w:val="00934DA3"/>
    <w:rsid w:val="00934E0E"/>
    <w:rsid w:val="00935C03"/>
    <w:rsid w:val="0093626C"/>
    <w:rsid w:val="009369B6"/>
    <w:rsid w:val="00936C4D"/>
    <w:rsid w:val="009370FD"/>
    <w:rsid w:val="00937720"/>
    <w:rsid w:val="0094039C"/>
    <w:rsid w:val="0094095B"/>
    <w:rsid w:val="0094128F"/>
    <w:rsid w:val="00941AC2"/>
    <w:rsid w:val="00941CDC"/>
    <w:rsid w:val="00941FF1"/>
    <w:rsid w:val="00942484"/>
    <w:rsid w:val="00943372"/>
    <w:rsid w:val="0094355C"/>
    <w:rsid w:val="0094424A"/>
    <w:rsid w:val="00944CC7"/>
    <w:rsid w:val="00946F98"/>
    <w:rsid w:val="0094771A"/>
    <w:rsid w:val="0095000B"/>
    <w:rsid w:val="009506F3"/>
    <w:rsid w:val="00950B08"/>
    <w:rsid w:val="009526DC"/>
    <w:rsid w:val="00953334"/>
    <w:rsid w:val="009545A8"/>
    <w:rsid w:val="00954AB8"/>
    <w:rsid w:val="00954B1E"/>
    <w:rsid w:val="00954EE9"/>
    <w:rsid w:val="009551F5"/>
    <w:rsid w:val="00955DE9"/>
    <w:rsid w:val="00956F4B"/>
    <w:rsid w:val="009572D5"/>
    <w:rsid w:val="00957BF2"/>
    <w:rsid w:val="00957C6E"/>
    <w:rsid w:val="00957D0C"/>
    <w:rsid w:val="0096038F"/>
    <w:rsid w:val="00960A7B"/>
    <w:rsid w:val="00960BD6"/>
    <w:rsid w:val="00961D6A"/>
    <w:rsid w:val="00961DDE"/>
    <w:rsid w:val="00962652"/>
    <w:rsid w:val="0096282A"/>
    <w:rsid w:val="009633D2"/>
    <w:rsid w:val="00963731"/>
    <w:rsid w:val="00964C9C"/>
    <w:rsid w:val="00965250"/>
    <w:rsid w:val="009653DD"/>
    <w:rsid w:val="00965792"/>
    <w:rsid w:val="0097098E"/>
    <w:rsid w:val="00970FEC"/>
    <w:rsid w:val="0097140A"/>
    <w:rsid w:val="00971BC1"/>
    <w:rsid w:val="00972617"/>
    <w:rsid w:val="0097318E"/>
    <w:rsid w:val="00973331"/>
    <w:rsid w:val="00973485"/>
    <w:rsid w:val="0097563E"/>
    <w:rsid w:val="00976078"/>
    <w:rsid w:val="00976125"/>
    <w:rsid w:val="009765A3"/>
    <w:rsid w:val="00977FAD"/>
    <w:rsid w:val="009805DB"/>
    <w:rsid w:val="00980AEC"/>
    <w:rsid w:val="009837D4"/>
    <w:rsid w:val="00984A7D"/>
    <w:rsid w:val="00984B9E"/>
    <w:rsid w:val="00985108"/>
    <w:rsid w:val="00986781"/>
    <w:rsid w:val="0098692D"/>
    <w:rsid w:val="0098708A"/>
    <w:rsid w:val="0098762D"/>
    <w:rsid w:val="00987C8D"/>
    <w:rsid w:val="009908F8"/>
    <w:rsid w:val="00990B62"/>
    <w:rsid w:val="00991056"/>
    <w:rsid w:val="00991477"/>
    <w:rsid w:val="009915C1"/>
    <w:rsid w:val="00991B10"/>
    <w:rsid w:val="0099211A"/>
    <w:rsid w:val="00992A60"/>
    <w:rsid w:val="00993001"/>
    <w:rsid w:val="00993A84"/>
    <w:rsid w:val="00993DC9"/>
    <w:rsid w:val="00994339"/>
    <w:rsid w:val="0099453A"/>
    <w:rsid w:val="00994F12"/>
    <w:rsid w:val="009950F1"/>
    <w:rsid w:val="00995887"/>
    <w:rsid w:val="0099636D"/>
    <w:rsid w:val="0099670B"/>
    <w:rsid w:val="00997610"/>
    <w:rsid w:val="009A029B"/>
    <w:rsid w:val="009A11C0"/>
    <w:rsid w:val="009A31B6"/>
    <w:rsid w:val="009A4A95"/>
    <w:rsid w:val="009A4DF0"/>
    <w:rsid w:val="009A5398"/>
    <w:rsid w:val="009B0CA1"/>
    <w:rsid w:val="009B2138"/>
    <w:rsid w:val="009B254B"/>
    <w:rsid w:val="009B29B7"/>
    <w:rsid w:val="009B29F9"/>
    <w:rsid w:val="009B2E92"/>
    <w:rsid w:val="009B35B4"/>
    <w:rsid w:val="009B367D"/>
    <w:rsid w:val="009B43C5"/>
    <w:rsid w:val="009B49DA"/>
    <w:rsid w:val="009B562F"/>
    <w:rsid w:val="009B56BA"/>
    <w:rsid w:val="009B6926"/>
    <w:rsid w:val="009B6E6B"/>
    <w:rsid w:val="009B73EA"/>
    <w:rsid w:val="009B7423"/>
    <w:rsid w:val="009B778D"/>
    <w:rsid w:val="009B7B42"/>
    <w:rsid w:val="009C1668"/>
    <w:rsid w:val="009C1A89"/>
    <w:rsid w:val="009C1B39"/>
    <w:rsid w:val="009C2FAB"/>
    <w:rsid w:val="009C3350"/>
    <w:rsid w:val="009C379F"/>
    <w:rsid w:val="009C570A"/>
    <w:rsid w:val="009C71E4"/>
    <w:rsid w:val="009C72E6"/>
    <w:rsid w:val="009D09F2"/>
    <w:rsid w:val="009D0DB0"/>
    <w:rsid w:val="009D185E"/>
    <w:rsid w:val="009D228D"/>
    <w:rsid w:val="009D2A95"/>
    <w:rsid w:val="009D4F7D"/>
    <w:rsid w:val="009D6653"/>
    <w:rsid w:val="009D7465"/>
    <w:rsid w:val="009D783C"/>
    <w:rsid w:val="009E1067"/>
    <w:rsid w:val="009E13B1"/>
    <w:rsid w:val="009E1AC3"/>
    <w:rsid w:val="009E263C"/>
    <w:rsid w:val="009E2842"/>
    <w:rsid w:val="009E28FF"/>
    <w:rsid w:val="009E2F43"/>
    <w:rsid w:val="009E2FDB"/>
    <w:rsid w:val="009E340B"/>
    <w:rsid w:val="009E3437"/>
    <w:rsid w:val="009E35A5"/>
    <w:rsid w:val="009E4EAE"/>
    <w:rsid w:val="009E6567"/>
    <w:rsid w:val="009E6865"/>
    <w:rsid w:val="009E6F8B"/>
    <w:rsid w:val="009F0847"/>
    <w:rsid w:val="009F09CB"/>
    <w:rsid w:val="009F0E15"/>
    <w:rsid w:val="009F2084"/>
    <w:rsid w:val="009F25B4"/>
    <w:rsid w:val="009F2FE9"/>
    <w:rsid w:val="009F36FA"/>
    <w:rsid w:val="009F4034"/>
    <w:rsid w:val="009F41E6"/>
    <w:rsid w:val="009F5980"/>
    <w:rsid w:val="009F5A22"/>
    <w:rsid w:val="009F6A28"/>
    <w:rsid w:val="009F72FF"/>
    <w:rsid w:val="009F731B"/>
    <w:rsid w:val="009F7566"/>
    <w:rsid w:val="009F7635"/>
    <w:rsid w:val="009F7713"/>
    <w:rsid w:val="009F77D9"/>
    <w:rsid w:val="00A0031F"/>
    <w:rsid w:val="00A0050C"/>
    <w:rsid w:val="00A00575"/>
    <w:rsid w:val="00A00F0F"/>
    <w:rsid w:val="00A021F4"/>
    <w:rsid w:val="00A0228D"/>
    <w:rsid w:val="00A02679"/>
    <w:rsid w:val="00A03234"/>
    <w:rsid w:val="00A037BC"/>
    <w:rsid w:val="00A0381F"/>
    <w:rsid w:val="00A03A32"/>
    <w:rsid w:val="00A042EA"/>
    <w:rsid w:val="00A056D2"/>
    <w:rsid w:val="00A060B8"/>
    <w:rsid w:val="00A06E63"/>
    <w:rsid w:val="00A103D2"/>
    <w:rsid w:val="00A10406"/>
    <w:rsid w:val="00A117D9"/>
    <w:rsid w:val="00A11942"/>
    <w:rsid w:val="00A11A2C"/>
    <w:rsid w:val="00A120D4"/>
    <w:rsid w:val="00A1339A"/>
    <w:rsid w:val="00A14DA0"/>
    <w:rsid w:val="00A15669"/>
    <w:rsid w:val="00A15917"/>
    <w:rsid w:val="00A16B92"/>
    <w:rsid w:val="00A16BFF"/>
    <w:rsid w:val="00A16D2A"/>
    <w:rsid w:val="00A17D91"/>
    <w:rsid w:val="00A17FBD"/>
    <w:rsid w:val="00A20586"/>
    <w:rsid w:val="00A20695"/>
    <w:rsid w:val="00A20DE3"/>
    <w:rsid w:val="00A21A57"/>
    <w:rsid w:val="00A22AF7"/>
    <w:rsid w:val="00A22D79"/>
    <w:rsid w:val="00A232FA"/>
    <w:rsid w:val="00A237CC"/>
    <w:rsid w:val="00A23D56"/>
    <w:rsid w:val="00A23ED3"/>
    <w:rsid w:val="00A24369"/>
    <w:rsid w:val="00A2480A"/>
    <w:rsid w:val="00A24A85"/>
    <w:rsid w:val="00A25659"/>
    <w:rsid w:val="00A26EE4"/>
    <w:rsid w:val="00A27740"/>
    <w:rsid w:val="00A279B7"/>
    <w:rsid w:val="00A31314"/>
    <w:rsid w:val="00A3191C"/>
    <w:rsid w:val="00A31948"/>
    <w:rsid w:val="00A325E6"/>
    <w:rsid w:val="00A346A6"/>
    <w:rsid w:val="00A34781"/>
    <w:rsid w:val="00A3479B"/>
    <w:rsid w:val="00A34E1A"/>
    <w:rsid w:val="00A35336"/>
    <w:rsid w:val="00A35568"/>
    <w:rsid w:val="00A35978"/>
    <w:rsid w:val="00A36E4F"/>
    <w:rsid w:val="00A37AF2"/>
    <w:rsid w:val="00A37BCD"/>
    <w:rsid w:val="00A40512"/>
    <w:rsid w:val="00A41DA1"/>
    <w:rsid w:val="00A41FA3"/>
    <w:rsid w:val="00A4220E"/>
    <w:rsid w:val="00A4241C"/>
    <w:rsid w:val="00A425B3"/>
    <w:rsid w:val="00A42998"/>
    <w:rsid w:val="00A436ED"/>
    <w:rsid w:val="00A43788"/>
    <w:rsid w:val="00A437F7"/>
    <w:rsid w:val="00A45ACB"/>
    <w:rsid w:val="00A45F55"/>
    <w:rsid w:val="00A4693F"/>
    <w:rsid w:val="00A470DF"/>
    <w:rsid w:val="00A47C42"/>
    <w:rsid w:val="00A50229"/>
    <w:rsid w:val="00A505CD"/>
    <w:rsid w:val="00A50908"/>
    <w:rsid w:val="00A51FEB"/>
    <w:rsid w:val="00A52319"/>
    <w:rsid w:val="00A52A50"/>
    <w:rsid w:val="00A530DE"/>
    <w:rsid w:val="00A5373E"/>
    <w:rsid w:val="00A55AB9"/>
    <w:rsid w:val="00A55CD0"/>
    <w:rsid w:val="00A55D75"/>
    <w:rsid w:val="00A56014"/>
    <w:rsid w:val="00A56A81"/>
    <w:rsid w:val="00A571B1"/>
    <w:rsid w:val="00A571DA"/>
    <w:rsid w:val="00A576BB"/>
    <w:rsid w:val="00A6033F"/>
    <w:rsid w:val="00A60B74"/>
    <w:rsid w:val="00A60FCE"/>
    <w:rsid w:val="00A615A1"/>
    <w:rsid w:val="00A617C1"/>
    <w:rsid w:val="00A61BE1"/>
    <w:rsid w:val="00A62309"/>
    <w:rsid w:val="00A6538B"/>
    <w:rsid w:val="00A65FBD"/>
    <w:rsid w:val="00A669EE"/>
    <w:rsid w:val="00A67071"/>
    <w:rsid w:val="00A67E94"/>
    <w:rsid w:val="00A70351"/>
    <w:rsid w:val="00A710AF"/>
    <w:rsid w:val="00A71628"/>
    <w:rsid w:val="00A71AB6"/>
    <w:rsid w:val="00A71E14"/>
    <w:rsid w:val="00A7264E"/>
    <w:rsid w:val="00A72971"/>
    <w:rsid w:val="00A7320B"/>
    <w:rsid w:val="00A73B8B"/>
    <w:rsid w:val="00A74562"/>
    <w:rsid w:val="00A74821"/>
    <w:rsid w:val="00A748B3"/>
    <w:rsid w:val="00A74A24"/>
    <w:rsid w:val="00A74A9A"/>
    <w:rsid w:val="00A759A8"/>
    <w:rsid w:val="00A75D97"/>
    <w:rsid w:val="00A76FB3"/>
    <w:rsid w:val="00A80D39"/>
    <w:rsid w:val="00A8229F"/>
    <w:rsid w:val="00A823DD"/>
    <w:rsid w:val="00A83F41"/>
    <w:rsid w:val="00A842C4"/>
    <w:rsid w:val="00A853EB"/>
    <w:rsid w:val="00A85FC3"/>
    <w:rsid w:val="00A91014"/>
    <w:rsid w:val="00A927BD"/>
    <w:rsid w:val="00A93466"/>
    <w:rsid w:val="00A93EA8"/>
    <w:rsid w:val="00A94373"/>
    <w:rsid w:val="00A9481E"/>
    <w:rsid w:val="00A94BD5"/>
    <w:rsid w:val="00A968B6"/>
    <w:rsid w:val="00A97D7D"/>
    <w:rsid w:val="00AA1A3D"/>
    <w:rsid w:val="00AA35A8"/>
    <w:rsid w:val="00AA36A7"/>
    <w:rsid w:val="00AA3E93"/>
    <w:rsid w:val="00AA504B"/>
    <w:rsid w:val="00AA5EF1"/>
    <w:rsid w:val="00AA7AB0"/>
    <w:rsid w:val="00AB09C5"/>
    <w:rsid w:val="00AB221E"/>
    <w:rsid w:val="00AB237A"/>
    <w:rsid w:val="00AB240E"/>
    <w:rsid w:val="00AB258C"/>
    <w:rsid w:val="00AB3540"/>
    <w:rsid w:val="00AB44C2"/>
    <w:rsid w:val="00AB57CC"/>
    <w:rsid w:val="00AB61C9"/>
    <w:rsid w:val="00AB6288"/>
    <w:rsid w:val="00AB64EF"/>
    <w:rsid w:val="00AB6E22"/>
    <w:rsid w:val="00AB7211"/>
    <w:rsid w:val="00AB7B0B"/>
    <w:rsid w:val="00AC0FDB"/>
    <w:rsid w:val="00AC1331"/>
    <w:rsid w:val="00AC29FD"/>
    <w:rsid w:val="00AC2F51"/>
    <w:rsid w:val="00AC3388"/>
    <w:rsid w:val="00AC37F2"/>
    <w:rsid w:val="00AC3F21"/>
    <w:rsid w:val="00AC4FA8"/>
    <w:rsid w:val="00AC5BFA"/>
    <w:rsid w:val="00AC654A"/>
    <w:rsid w:val="00AC6D2A"/>
    <w:rsid w:val="00AC7055"/>
    <w:rsid w:val="00AC7851"/>
    <w:rsid w:val="00AC7B4D"/>
    <w:rsid w:val="00AC7B7D"/>
    <w:rsid w:val="00AD0A32"/>
    <w:rsid w:val="00AD1D61"/>
    <w:rsid w:val="00AD27C3"/>
    <w:rsid w:val="00AD3735"/>
    <w:rsid w:val="00AD4212"/>
    <w:rsid w:val="00AE0EB1"/>
    <w:rsid w:val="00AE11EF"/>
    <w:rsid w:val="00AE16E7"/>
    <w:rsid w:val="00AE2D33"/>
    <w:rsid w:val="00AE2FFB"/>
    <w:rsid w:val="00AE34A3"/>
    <w:rsid w:val="00AE3D49"/>
    <w:rsid w:val="00AE5CF6"/>
    <w:rsid w:val="00AE683D"/>
    <w:rsid w:val="00AE7310"/>
    <w:rsid w:val="00AE73E3"/>
    <w:rsid w:val="00AE79CB"/>
    <w:rsid w:val="00AE7E4B"/>
    <w:rsid w:val="00AE7EE0"/>
    <w:rsid w:val="00AF00AB"/>
    <w:rsid w:val="00AF01A9"/>
    <w:rsid w:val="00AF0489"/>
    <w:rsid w:val="00AF0D76"/>
    <w:rsid w:val="00AF0F68"/>
    <w:rsid w:val="00AF13D5"/>
    <w:rsid w:val="00AF15C9"/>
    <w:rsid w:val="00AF485B"/>
    <w:rsid w:val="00AF4C11"/>
    <w:rsid w:val="00AF4C38"/>
    <w:rsid w:val="00AF5418"/>
    <w:rsid w:val="00AF573C"/>
    <w:rsid w:val="00AF6057"/>
    <w:rsid w:val="00AF63CD"/>
    <w:rsid w:val="00AF65EB"/>
    <w:rsid w:val="00AF6F18"/>
    <w:rsid w:val="00AF7E4D"/>
    <w:rsid w:val="00B000DB"/>
    <w:rsid w:val="00B000E1"/>
    <w:rsid w:val="00B009C7"/>
    <w:rsid w:val="00B0138C"/>
    <w:rsid w:val="00B01966"/>
    <w:rsid w:val="00B02217"/>
    <w:rsid w:val="00B02301"/>
    <w:rsid w:val="00B0261C"/>
    <w:rsid w:val="00B0564A"/>
    <w:rsid w:val="00B0593C"/>
    <w:rsid w:val="00B061EE"/>
    <w:rsid w:val="00B07A4D"/>
    <w:rsid w:val="00B07C22"/>
    <w:rsid w:val="00B10197"/>
    <w:rsid w:val="00B10C31"/>
    <w:rsid w:val="00B11720"/>
    <w:rsid w:val="00B11819"/>
    <w:rsid w:val="00B11FBD"/>
    <w:rsid w:val="00B12878"/>
    <w:rsid w:val="00B13884"/>
    <w:rsid w:val="00B14AAA"/>
    <w:rsid w:val="00B14B74"/>
    <w:rsid w:val="00B15B75"/>
    <w:rsid w:val="00B16689"/>
    <w:rsid w:val="00B1713A"/>
    <w:rsid w:val="00B171F3"/>
    <w:rsid w:val="00B17249"/>
    <w:rsid w:val="00B17538"/>
    <w:rsid w:val="00B203E4"/>
    <w:rsid w:val="00B203F5"/>
    <w:rsid w:val="00B222E7"/>
    <w:rsid w:val="00B22702"/>
    <w:rsid w:val="00B22BDB"/>
    <w:rsid w:val="00B23FCB"/>
    <w:rsid w:val="00B242A9"/>
    <w:rsid w:val="00B25777"/>
    <w:rsid w:val="00B25883"/>
    <w:rsid w:val="00B25F25"/>
    <w:rsid w:val="00B26002"/>
    <w:rsid w:val="00B263D3"/>
    <w:rsid w:val="00B26B32"/>
    <w:rsid w:val="00B271A7"/>
    <w:rsid w:val="00B27965"/>
    <w:rsid w:val="00B3048E"/>
    <w:rsid w:val="00B309D6"/>
    <w:rsid w:val="00B30BC8"/>
    <w:rsid w:val="00B30F71"/>
    <w:rsid w:val="00B31091"/>
    <w:rsid w:val="00B32086"/>
    <w:rsid w:val="00B32262"/>
    <w:rsid w:val="00B3361B"/>
    <w:rsid w:val="00B33D1A"/>
    <w:rsid w:val="00B34764"/>
    <w:rsid w:val="00B34D43"/>
    <w:rsid w:val="00B34DDD"/>
    <w:rsid w:val="00B351E2"/>
    <w:rsid w:val="00B35B9E"/>
    <w:rsid w:val="00B36087"/>
    <w:rsid w:val="00B361F0"/>
    <w:rsid w:val="00B365DF"/>
    <w:rsid w:val="00B36B09"/>
    <w:rsid w:val="00B36EBB"/>
    <w:rsid w:val="00B37290"/>
    <w:rsid w:val="00B37847"/>
    <w:rsid w:val="00B4056E"/>
    <w:rsid w:val="00B40AD8"/>
    <w:rsid w:val="00B41891"/>
    <w:rsid w:val="00B422BD"/>
    <w:rsid w:val="00B43A57"/>
    <w:rsid w:val="00B443CA"/>
    <w:rsid w:val="00B44D1D"/>
    <w:rsid w:val="00B456BC"/>
    <w:rsid w:val="00B46353"/>
    <w:rsid w:val="00B5076D"/>
    <w:rsid w:val="00B50BA8"/>
    <w:rsid w:val="00B50E23"/>
    <w:rsid w:val="00B5117D"/>
    <w:rsid w:val="00B51EA6"/>
    <w:rsid w:val="00B538D3"/>
    <w:rsid w:val="00B5530F"/>
    <w:rsid w:val="00B554DD"/>
    <w:rsid w:val="00B56214"/>
    <w:rsid w:val="00B56C8F"/>
    <w:rsid w:val="00B57484"/>
    <w:rsid w:val="00B60460"/>
    <w:rsid w:val="00B6108F"/>
    <w:rsid w:val="00B615BB"/>
    <w:rsid w:val="00B62336"/>
    <w:rsid w:val="00B628D5"/>
    <w:rsid w:val="00B62AF4"/>
    <w:rsid w:val="00B63B06"/>
    <w:rsid w:val="00B64077"/>
    <w:rsid w:val="00B6429A"/>
    <w:rsid w:val="00B6448C"/>
    <w:rsid w:val="00B6487F"/>
    <w:rsid w:val="00B64CB4"/>
    <w:rsid w:val="00B6519A"/>
    <w:rsid w:val="00B6620B"/>
    <w:rsid w:val="00B6651B"/>
    <w:rsid w:val="00B66B44"/>
    <w:rsid w:val="00B673A8"/>
    <w:rsid w:val="00B67504"/>
    <w:rsid w:val="00B71FF2"/>
    <w:rsid w:val="00B725A4"/>
    <w:rsid w:val="00B72E7C"/>
    <w:rsid w:val="00B72F32"/>
    <w:rsid w:val="00B72F78"/>
    <w:rsid w:val="00B731F2"/>
    <w:rsid w:val="00B732AE"/>
    <w:rsid w:val="00B737D1"/>
    <w:rsid w:val="00B7388D"/>
    <w:rsid w:val="00B73A6A"/>
    <w:rsid w:val="00B750B3"/>
    <w:rsid w:val="00B754A6"/>
    <w:rsid w:val="00B7676D"/>
    <w:rsid w:val="00B768AE"/>
    <w:rsid w:val="00B776C2"/>
    <w:rsid w:val="00B808C3"/>
    <w:rsid w:val="00B817E2"/>
    <w:rsid w:val="00B819DF"/>
    <w:rsid w:val="00B82242"/>
    <w:rsid w:val="00B82528"/>
    <w:rsid w:val="00B825B4"/>
    <w:rsid w:val="00B82778"/>
    <w:rsid w:val="00B82D99"/>
    <w:rsid w:val="00B82DE6"/>
    <w:rsid w:val="00B846E4"/>
    <w:rsid w:val="00B847D0"/>
    <w:rsid w:val="00B84948"/>
    <w:rsid w:val="00B8495C"/>
    <w:rsid w:val="00B8516E"/>
    <w:rsid w:val="00B85589"/>
    <w:rsid w:val="00B86612"/>
    <w:rsid w:val="00B86E61"/>
    <w:rsid w:val="00B86F68"/>
    <w:rsid w:val="00B87784"/>
    <w:rsid w:val="00B90362"/>
    <w:rsid w:val="00B91FB3"/>
    <w:rsid w:val="00B921C0"/>
    <w:rsid w:val="00B92250"/>
    <w:rsid w:val="00B933F6"/>
    <w:rsid w:val="00B938FD"/>
    <w:rsid w:val="00B940CE"/>
    <w:rsid w:val="00B9478C"/>
    <w:rsid w:val="00B9532A"/>
    <w:rsid w:val="00B95A8C"/>
    <w:rsid w:val="00B95ED3"/>
    <w:rsid w:val="00BA04A1"/>
    <w:rsid w:val="00BA0F95"/>
    <w:rsid w:val="00BA11EB"/>
    <w:rsid w:val="00BA1A6B"/>
    <w:rsid w:val="00BA1F9B"/>
    <w:rsid w:val="00BA2B06"/>
    <w:rsid w:val="00BA2B83"/>
    <w:rsid w:val="00BA393D"/>
    <w:rsid w:val="00BA39FD"/>
    <w:rsid w:val="00BA4377"/>
    <w:rsid w:val="00BA49D1"/>
    <w:rsid w:val="00BA5A7B"/>
    <w:rsid w:val="00BA5BBC"/>
    <w:rsid w:val="00BA62E3"/>
    <w:rsid w:val="00BA6D2B"/>
    <w:rsid w:val="00BA72AE"/>
    <w:rsid w:val="00BA76C3"/>
    <w:rsid w:val="00BA7E2B"/>
    <w:rsid w:val="00BB0061"/>
    <w:rsid w:val="00BB01CD"/>
    <w:rsid w:val="00BB024E"/>
    <w:rsid w:val="00BB1A30"/>
    <w:rsid w:val="00BB2444"/>
    <w:rsid w:val="00BB31A6"/>
    <w:rsid w:val="00BB333A"/>
    <w:rsid w:val="00BB3847"/>
    <w:rsid w:val="00BB3911"/>
    <w:rsid w:val="00BB3E28"/>
    <w:rsid w:val="00BB42E0"/>
    <w:rsid w:val="00BB447A"/>
    <w:rsid w:val="00BB4DD3"/>
    <w:rsid w:val="00BB51C9"/>
    <w:rsid w:val="00BB570C"/>
    <w:rsid w:val="00BB5947"/>
    <w:rsid w:val="00BB5B56"/>
    <w:rsid w:val="00BB6233"/>
    <w:rsid w:val="00BB66EE"/>
    <w:rsid w:val="00BB6A86"/>
    <w:rsid w:val="00BC1F6F"/>
    <w:rsid w:val="00BC2716"/>
    <w:rsid w:val="00BC2D43"/>
    <w:rsid w:val="00BC2D75"/>
    <w:rsid w:val="00BC2E03"/>
    <w:rsid w:val="00BC38E6"/>
    <w:rsid w:val="00BC3B3D"/>
    <w:rsid w:val="00BC497B"/>
    <w:rsid w:val="00BC50DC"/>
    <w:rsid w:val="00BC5594"/>
    <w:rsid w:val="00BC5B0E"/>
    <w:rsid w:val="00BC5B57"/>
    <w:rsid w:val="00BC5DCC"/>
    <w:rsid w:val="00BC6320"/>
    <w:rsid w:val="00BC66DA"/>
    <w:rsid w:val="00BC70D1"/>
    <w:rsid w:val="00BC71C9"/>
    <w:rsid w:val="00BC7319"/>
    <w:rsid w:val="00BD0255"/>
    <w:rsid w:val="00BD0296"/>
    <w:rsid w:val="00BD19B2"/>
    <w:rsid w:val="00BD3452"/>
    <w:rsid w:val="00BD3764"/>
    <w:rsid w:val="00BD421C"/>
    <w:rsid w:val="00BD5269"/>
    <w:rsid w:val="00BD64DF"/>
    <w:rsid w:val="00BD6570"/>
    <w:rsid w:val="00BD6B1E"/>
    <w:rsid w:val="00BD76F3"/>
    <w:rsid w:val="00BD7BCB"/>
    <w:rsid w:val="00BE046B"/>
    <w:rsid w:val="00BE08DE"/>
    <w:rsid w:val="00BE1167"/>
    <w:rsid w:val="00BE15F0"/>
    <w:rsid w:val="00BE1E7E"/>
    <w:rsid w:val="00BE3122"/>
    <w:rsid w:val="00BE37AD"/>
    <w:rsid w:val="00BE3B4A"/>
    <w:rsid w:val="00BE3FF8"/>
    <w:rsid w:val="00BE4511"/>
    <w:rsid w:val="00BE464F"/>
    <w:rsid w:val="00BE4FAB"/>
    <w:rsid w:val="00BE5283"/>
    <w:rsid w:val="00BE52A8"/>
    <w:rsid w:val="00BE5E8F"/>
    <w:rsid w:val="00BE5EF7"/>
    <w:rsid w:val="00BE5F01"/>
    <w:rsid w:val="00BE624B"/>
    <w:rsid w:val="00BE66C9"/>
    <w:rsid w:val="00BE6B81"/>
    <w:rsid w:val="00BF0C27"/>
    <w:rsid w:val="00BF215D"/>
    <w:rsid w:val="00BF233E"/>
    <w:rsid w:val="00BF2728"/>
    <w:rsid w:val="00BF28D4"/>
    <w:rsid w:val="00BF3274"/>
    <w:rsid w:val="00BF34E1"/>
    <w:rsid w:val="00BF3DE4"/>
    <w:rsid w:val="00BF41BD"/>
    <w:rsid w:val="00BF4C93"/>
    <w:rsid w:val="00BF4EE6"/>
    <w:rsid w:val="00BF4F71"/>
    <w:rsid w:val="00BF5123"/>
    <w:rsid w:val="00BF6DB1"/>
    <w:rsid w:val="00BF7C4E"/>
    <w:rsid w:val="00C01499"/>
    <w:rsid w:val="00C01990"/>
    <w:rsid w:val="00C034C1"/>
    <w:rsid w:val="00C03763"/>
    <w:rsid w:val="00C03F7F"/>
    <w:rsid w:val="00C04D6F"/>
    <w:rsid w:val="00C04FAD"/>
    <w:rsid w:val="00C05259"/>
    <w:rsid w:val="00C062D2"/>
    <w:rsid w:val="00C06567"/>
    <w:rsid w:val="00C06576"/>
    <w:rsid w:val="00C0667B"/>
    <w:rsid w:val="00C07A3B"/>
    <w:rsid w:val="00C1171D"/>
    <w:rsid w:val="00C11753"/>
    <w:rsid w:val="00C120E0"/>
    <w:rsid w:val="00C1294C"/>
    <w:rsid w:val="00C129DA"/>
    <w:rsid w:val="00C12C58"/>
    <w:rsid w:val="00C13335"/>
    <w:rsid w:val="00C13E20"/>
    <w:rsid w:val="00C1463E"/>
    <w:rsid w:val="00C172A8"/>
    <w:rsid w:val="00C1746F"/>
    <w:rsid w:val="00C17DA0"/>
    <w:rsid w:val="00C17DEB"/>
    <w:rsid w:val="00C17FFB"/>
    <w:rsid w:val="00C2108D"/>
    <w:rsid w:val="00C21EB8"/>
    <w:rsid w:val="00C21F7A"/>
    <w:rsid w:val="00C22543"/>
    <w:rsid w:val="00C2383C"/>
    <w:rsid w:val="00C23A62"/>
    <w:rsid w:val="00C23C69"/>
    <w:rsid w:val="00C23EB9"/>
    <w:rsid w:val="00C24C24"/>
    <w:rsid w:val="00C2594B"/>
    <w:rsid w:val="00C259EA"/>
    <w:rsid w:val="00C264B5"/>
    <w:rsid w:val="00C2781E"/>
    <w:rsid w:val="00C279BC"/>
    <w:rsid w:val="00C27B0B"/>
    <w:rsid w:val="00C3088F"/>
    <w:rsid w:val="00C3185C"/>
    <w:rsid w:val="00C318C7"/>
    <w:rsid w:val="00C31CE5"/>
    <w:rsid w:val="00C3301B"/>
    <w:rsid w:val="00C335C2"/>
    <w:rsid w:val="00C33C78"/>
    <w:rsid w:val="00C3400A"/>
    <w:rsid w:val="00C343D0"/>
    <w:rsid w:val="00C3699E"/>
    <w:rsid w:val="00C36FA9"/>
    <w:rsid w:val="00C40445"/>
    <w:rsid w:val="00C414BC"/>
    <w:rsid w:val="00C41976"/>
    <w:rsid w:val="00C419D2"/>
    <w:rsid w:val="00C42017"/>
    <w:rsid w:val="00C4274B"/>
    <w:rsid w:val="00C42766"/>
    <w:rsid w:val="00C43C1F"/>
    <w:rsid w:val="00C44156"/>
    <w:rsid w:val="00C44205"/>
    <w:rsid w:val="00C4435F"/>
    <w:rsid w:val="00C4551B"/>
    <w:rsid w:val="00C46C11"/>
    <w:rsid w:val="00C47009"/>
    <w:rsid w:val="00C47F24"/>
    <w:rsid w:val="00C50457"/>
    <w:rsid w:val="00C51545"/>
    <w:rsid w:val="00C516D5"/>
    <w:rsid w:val="00C5173C"/>
    <w:rsid w:val="00C537CB"/>
    <w:rsid w:val="00C54148"/>
    <w:rsid w:val="00C544DA"/>
    <w:rsid w:val="00C54947"/>
    <w:rsid w:val="00C553C9"/>
    <w:rsid w:val="00C55654"/>
    <w:rsid w:val="00C559FB"/>
    <w:rsid w:val="00C55E35"/>
    <w:rsid w:val="00C561BA"/>
    <w:rsid w:val="00C5690B"/>
    <w:rsid w:val="00C56D94"/>
    <w:rsid w:val="00C57273"/>
    <w:rsid w:val="00C578D8"/>
    <w:rsid w:val="00C61B7D"/>
    <w:rsid w:val="00C62150"/>
    <w:rsid w:val="00C628BB"/>
    <w:rsid w:val="00C62BAA"/>
    <w:rsid w:val="00C63199"/>
    <w:rsid w:val="00C63604"/>
    <w:rsid w:val="00C63AED"/>
    <w:rsid w:val="00C6475A"/>
    <w:rsid w:val="00C64A21"/>
    <w:rsid w:val="00C64FA5"/>
    <w:rsid w:val="00C65387"/>
    <w:rsid w:val="00C6540C"/>
    <w:rsid w:val="00C65548"/>
    <w:rsid w:val="00C65584"/>
    <w:rsid w:val="00C66C88"/>
    <w:rsid w:val="00C66D52"/>
    <w:rsid w:val="00C675C5"/>
    <w:rsid w:val="00C7012D"/>
    <w:rsid w:val="00C70151"/>
    <w:rsid w:val="00C70806"/>
    <w:rsid w:val="00C70A52"/>
    <w:rsid w:val="00C72EAD"/>
    <w:rsid w:val="00C73477"/>
    <w:rsid w:val="00C73AE2"/>
    <w:rsid w:val="00C73E25"/>
    <w:rsid w:val="00C73FD8"/>
    <w:rsid w:val="00C7485C"/>
    <w:rsid w:val="00C76299"/>
    <w:rsid w:val="00C765E8"/>
    <w:rsid w:val="00C76631"/>
    <w:rsid w:val="00C7696A"/>
    <w:rsid w:val="00C76AB6"/>
    <w:rsid w:val="00C77258"/>
    <w:rsid w:val="00C772CC"/>
    <w:rsid w:val="00C8045C"/>
    <w:rsid w:val="00C804DC"/>
    <w:rsid w:val="00C8132B"/>
    <w:rsid w:val="00C819CA"/>
    <w:rsid w:val="00C82435"/>
    <w:rsid w:val="00C82B78"/>
    <w:rsid w:val="00C82C27"/>
    <w:rsid w:val="00C82EAF"/>
    <w:rsid w:val="00C831D7"/>
    <w:rsid w:val="00C83DCB"/>
    <w:rsid w:val="00C84080"/>
    <w:rsid w:val="00C8452E"/>
    <w:rsid w:val="00C84D29"/>
    <w:rsid w:val="00C854AC"/>
    <w:rsid w:val="00C86C64"/>
    <w:rsid w:val="00C879F7"/>
    <w:rsid w:val="00C87EC8"/>
    <w:rsid w:val="00C90BB4"/>
    <w:rsid w:val="00C91164"/>
    <w:rsid w:val="00C914EF"/>
    <w:rsid w:val="00C9291E"/>
    <w:rsid w:val="00C9375E"/>
    <w:rsid w:val="00C93CCF"/>
    <w:rsid w:val="00C943DD"/>
    <w:rsid w:val="00C944C2"/>
    <w:rsid w:val="00C94F38"/>
    <w:rsid w:val="00C958B7"/>
    <w:rsid w:val="00C9595B"/>
    <w:rsid w:val="00C97C52"/>
    <w:rsid w:val="00C97D7B"/>
    <w:rsid w:val="00C97DF9"/>
    <w:rsid w:val="00C97E8C"/>
    <w:rsid w:val="00CA01E3"/>
    <w:rsid w:val="00CA02B0"/>
    <w:rsid w:val="00CA1145"/>
    <w:rsid w:val="00CA2DCF"/>
    <w:rsid w:val="00CA2DD6"/>
    <w:rsid w:val="00CA357E"/>
    <w:rsid w:val="00CA3840"/>
    <w:rsid w:val="00CA3C0E"/>
    <w:rsid w:val="00CA4235"/>
    <w:rsid w:val="00CA4544"/>
    <w:rsid w:val="00CA49F5"/>
    <w:rsid w:val="00CA51D5"/>
    <w:rsid w:val="00CA5FF2"/>
    <w:rsid w:val="00CA7468"/>
    <w:rsid w:val="00CA7B9F"/>
    <w:rsid w:val="00CA7E21"/>
    <w:rsid w:val="00CB0310"/>
    <w:rsid w:val="00CB0A82"/>
    <w:rsid w:val="00CB10A2"/>
    <w:rsid w:val="00CB130E"/>
    <w:rsid w:val="00CB137D"/>
    <w:rsid w:val="00CB1E55"/>
    <w:rsid w:val="00CB237E"/>
    <w:rsid w:val="00CB2E61"/>
    <w:rsid w:val="00CB4C4E"/>
    <w:rsid w:val="00CB4D1B"/>
    <w:rsid w:val="00CB4DFA"/>
    <w:rsid w:val="00CB6D9D"/>
    <w:rsid w:val="00CB7F4B"/>
    <w:rsid w:val="00CC017A"/>
    <w:rsid w:val="00CC03D8"/>
    <w:rsid w:val="00CC1B74"/>
    <w:rsid w:val="00CC2B87"/>
    <w:rsid w:val="00CC2E11"/>
    <w:rsid w:val="00CC489E"/>
    <w:rsid w:val="00CC505B"/>
    <w:rsid w:val="00CC549E"/>
    <w:rsid w:val="00CC5894"/>
    <w:rsid w:val="00CC7CBF"/>
    <w:rsid w:val="00CD0D67"/>
    <w:rsid w:val="00CD115A"/>
    <w:rsid w:val="00CD193E"/>
    <w:rsid w:val="00CD20B0"/>
    <w:rsid w:val="00CD2481"/>
    <w:rsid w:val="00CD28AE"/>
    <w:rsid w:val="00CD3104"/>
    <w:rsid w:val="00CD3509"/>
    <w:rsid w:val="00CD4255"/>
    <w:rsid w:val="00CD44EE"/>
    <w:rsid w:val="00CD5399"/>
    <w:rsid w:val="00CD54B3"/>
    <w:rsid w:val="00CD664D"/>
    <w:rsid w:val="00CD6843"/>
    <w:rsid w:val="00CD6DA4"/>
    <w:rsid w:val="00CD72FD"/>
    <w:rsid w:val="00CD750A"/>
    <w:rsid w:val="00CE0355"/>
    <w:rsid w:val="00CE14F2"/>
    <w:rsid w:val="00CE1897"/>
    <w:rsid w:val="00CE197C"/>
    <w:rsid w:val="00CE2660"/>
    <w:rsid w:val="00CE2CF6"/>
    <w:rsid w:val="00CE398C"/>
    <w:rsid w:val="00CE408F"/>
    <w:rsid w:val="00CE4251"/>
    <w:rsid w:val="00CE4395"/>
    <w:rsid w:val="00CE46F7"/>
    <w:rsid w:val="00CE4C27"/>
    <w:rsid w:val="00CE6B17"/>
    <w:rsid w:val="00CE7F5D"/>
    <w:rsid w:val="00CF02D4"/>
    <w:rsid w:val="00CF0BA9"/>
    <w:rsid w:val="00CF1278"/>
    <w:rsid w:val="00CF1D3D"/>
    <w:rsid w:val="00CF218B"/>
    <w:rsid w:val="00CF256A"/>
    <w:rsid w:val="00CF2681"/>
    <w:rsid w:val="00CF345B"/>
    <w:rsid w:val="00CF34E6"/>
    <w:rsid w:val="00CF35B1"/>
    <w:rsid w:val="00CF37E7"/>
    <w:rsid w:val="00CF4D5E"/>
    <w:rsid w:val="00CF508A"/>
    <w:rsid w:val="00CF531B"/>
    <w:rsid w:val="00CF5CD6"/>
    <w:rsid w:val="00CF5F6C"/>
    <w:rsid w:val="00CF6355"/>
    <w:rsid w:val="00CF6C82"/>
    <w:rsid w:val="00CF733D"/>
    <w:rsid w:val="00D002D6"/>
    <w:rsid w:val="00D005C7"/>
    <w:rsid w:val="00D011A8"/>
    <w:rsid w:val="00D0133B"/>
    <w:rsid w:val="00D017A6"/>
    <w:rsid w:val="00D01A79"/>
    <w:rsid w:val="00D01BE9"/>
    <w:rsid w:val="00D01E1C"/>
    <w:rsid w:val="00D01F53"/>
    <w:rsid w:val="00D02B80"/>
    <w:rsid w:val="00D037C4"/>
    <w:rsid w:val="00D039F7"/>
    <w:rsid w:val="00D0443D"/>
    <w:rsid w:val="00D045DB"/>
    <w:rsid w:val="00D05DA0"/>
    <w:rsid w:val="00D05EC7"/>
    <w:rsid w:val="00D06DCB"/>
    <w:rsid w:val="00D07C7B"/>
    <w:rsid w:val="00D107FD"/>
    <w:rsid w:val="00D11E92"/>
    <w:rsid w:val="00D125B6"/>
    <w:rsid w:val="00D13E39"/>
    <w:rsid w:val="00D144EF"/>
    <w:rsid w:val="00D1451E"/>
    <w:rsid w:val="00D145F5"/>
    <w:rsid w:val="00D154DC"/>
    <w:rsid w:val="00D1570E"/>
    <w:rsid w:val="00D157DF"/>
    <w:rsid w:val="00D16305"/>
    <w:rsid w:val="00D163AC"/>
    <w:rsid w:val="00D1728A"/>
    <w:rsid w:val="00D1739C"/>
    <w:rsid w:val="00D1785C"/>
    <w:rsid w:val="00D21BCE"/>
    <w:rsid w:val="00D220E4"/>
    <w:rsid w:val="00D2231A"/>
    <w:rsid w:val="00D226EB"/>
    <w:rsid w:val="00D23B07"/>
    <w:rsid w:val="00D252C3"/>
    <w:rsid w:val="00D2595E"/>
    <w:rsid w:val="00D260E4"/>
    <w:rsid w:val="00D26741"/>
    <w:rsid w:val="00D27094"/>
    <w:rsid w:val="00D2710E"/>
    <w:rsid w:val="00D274D2"/>
    <w:rsid w:val="00D27641"/>
    <w:rsid w:val="00D2784D"/>
    <w:rsid w:val="00D27AD7"/>
    <w:rsid w:val="00D3111D"/>
    <w:rsid w:val="00D316BB"/>
    <w:rsid w:val="00D32B1B"/>
    <w:rsid w:val="00D331DC"/>
    <w:rsid w:val="00D34048"/>
    <w:rsid w:val="00D340FA"/>
    <w:rsid w:val="00D34DF3"/>
    <w:rsid w:val="00D3609D"/>
    <w:rsid w:val="00D36F8D"/>
    <w:rsid w:val="00D377F8"/>
    <w:rsid w:val="00D37DC9"/>
    <w:rsid w:val="00D37E2C"/>
    <w:rsid w:val="00D40691"/>
    <w:rsid w:val="00D40F41"/>
    <w:rsid w:val="00D413EF"/>
    <w:rsid w:val="00D41A31"/>
    <w:rsid w:val="00D41D18"/>
    <w:rsid w:val="00D42813"/>
    <w:rsid w:val="00D42949"/>
    <w:rsid w:val="00D43488"/>
    <w:rsid w:val="00D43516"/>
    <w:rsid w:val="00D44329"/>
    <w:rsid w:val="00D448BD"/>
    <w:rsid w:val="00D44B78"/>
    <w:rsid w:val="00D452B9"/>
    <w:rsid w:val="00D46100"/>
    <w:rsid w:val="00D46178"/>
    <w:rsid w:val="00D50902"/>
    <w:rsid w:val="00D5132C"/>
    <w:rsid w:val="00D51AA5"/>
    <w:rsid w:val="00D52568"/>
    <w:rsid w:val="00D52987"/>
    <w:rsid w:val="00D52A0A"/>
    <w:rsid w:val="00D5586B"/>
    <w:rsid w:val="00D55F9B"/>
    <w:rsid w:val="00D56797"/>
    <w:rsid w:val="00D568F1"/>
    <w:rsid w:val="00D56D67"/>
    <w:rsid w:val="00D57A9C"/>
    <w:rsid w:val="00D57ACF"/>
    <w:rsid w:val="00D602FC"/>
    <w:rsid w:val="00D606B3"/>
    <w:rsid w:val="00D60CA1"/>
    <w:rsid w:val="00D620D2"/>
    <w:rsid w:val="00D64C89"/>
    <w:rsid w:val="00D6644F"/>
    <w:rsid w:val="00D664C2"/>
    <w:rsid w:val="00D667AC"/>
    <w:rsid w:val="00D70368"/>
    <w:rsid w:val="00D70732"/>
    <w:rsid w:val="00D707EC"/>
    <w:rsid w:val="00D71721"/>
    <w:rsid w:val="00D7244D"/>
    <w:rsid w:val="00D724C3"/>
    <w:rsid w:val="00D72636"/>
    <w:rsid w:val="00D72DD7"/>
    <w:rsid w:val="00D72EA2"/>
    <w:rsid w:val="00D72F2B"/>
    <w:rsid w:val="00D743BF"/>
    <w:rsid w:val="00D746B6"/>
    <w:rsid w:val="00D74BA9"/>
    <w:rsid w:val="00D75585"/>
    <w:rsid w:val="00D759F2"/>
    <w:rsid w:val="00D75A18"/>
    <w:rsid w:val="00D75E62"/>
    <w:rsid w:val="00D762F4"/>
    <w:rsid w:val="00D7636B"/>
    <w:rsid w:val="00D7695F"/>
    <w:rsid w:val="00D76A0A"/>
    <w:rsid w:val="00D76B4B"/>
    <w:rsid w:val="00D7732A"/>
    <w:rsid w:val="00D7768C"/>
    <w:rsid w:val="00D81419"/>
    <w:rsid w:val="00D8307C"/>
    <w:rsid w:val="00D83CD6"/>
    <w:rsid w:val="00D84BD4"/>
    <w:rsid w:val="00D850A5"/>
    <w:rsid w:val="00D85355"/>
    <w:rsid w:val="00D86209"/>
    <w:rsid w:val="00D866B8"/>
    <w:rsid w:val="00D86B70"/>
    <w:rsid w:val="00D86C28"/>
    <w:rsid w:val="00D86FE4"/>
    <w:rsid w:val="00D87800"/>
    <w:rsid w:val="00D908BD"/>
    <w:rsid w:val="00D9097F"/>
    <w:rsid w:val="00D91CF8"/>
    <w:rsid w:val="00D91F3D"/>
    <w:rsid w:val="00D92052"/>
    <w:rsid w:val="00D92932"/>
    <w:rsid w:val="00D929C9"/>
    <w:rsid w:val="00D94F75"/>
    <w:rsid w:val="00D95A18"/>
    <w:rsid w:val="00D961D1"/>
    <w:rsid w:val="00D96965"/>
    <w:rsid w:val="00D96B2F"/>
    <w:rsid w:val="00D97E89"/>
    <w:rsid w:val="00DA060C"/>
    <w:rsid w:val="00DA0CC5"/>
    <w:rsid w:val="00DA1160"/>
    <w:rsid w:val="00DA119B"/>
    <w:rsid w:val="00DA12CE"/>
    <w:rsid w:val="00DA1DA7"/>
    <w:rsid w:val="00DA1E65"/>
    <w:rsid w:val="00DA1F04"/>
    <w:rsid w:val="00DA2374"/>
    <w:rsid w:val="00DA2771"/>
    <w:rsid w:val="00DA4F47"/>
    <w:rsid w:val="00DA68B9"/>
    <w:rsid w:val="00DA6EFD"/>
    <w:rsid w:val="00DA7589"/>
    <w:rsid w:val="00DB092E"/>
    <w:rsid w:val="00DB0B3F"/>
    <w:rsid w:val="00DB1901"/>
    <w:rsid w:val="00DB1B61"/>
    <w:rsid w:val="00DB2951"/>
    <w:rsid w:val="00DB4336"/>
    <w:rsid w:val="00DB489B"/>
    <w:rsid w:val="00DB4918"/>
    <w:rsid w:val="00DB565C"/>
    <w:rsid w:val="00DB5FAB"/>
    <w:rsid w:val="00DB64A6"/>
    <w:rsid w:val="00DB66FB"/>
    <w:rsid w:val="00DB78B0"/>
    <w:rsid w:val="00DC0701"/>
    <w:rsid w:val="00DC09F2"/>
    <w:rsid w:val="00DC14D4"/>
    <w:rsid w:val="00DC2837"/>
    <w:rsid w:val="00DC46F4"/>
    <w:rsid w:val="00DC5717"/>
    <w:rsid w:val="00DC61C5"/>
    <w:rsid w:val="00DC658C"/>
    <w:rsid w:val="00DC7A96"/>
    <w:rsid w:val="00DD0063"/>
    <w:rsid w:val="00DD047C"/>
    <w:rsid w:val="00DD1145"/>
    <w:rsid w:val="00DD23C3"/>
    <w:rsid w:val="00DD33A6"/>
    <w:rsid w:val="00DD3691"/>
    <w:rsid w:val="00DD3ADD"/>
    <w:rsid w:val="00DD3B4F"/>
    <w:rsid w:val="00DD3F68"/>
    <w:rsid w:val="00DD4492"/>
    <w:rsid w:val="00DD45BF"/>
    <w:rsid w:val="00DD4657"/>
    <w:rsid w:val="00DD54AB"/>
    <w:rsid w:val="00DD570C"/>
    <w:rsid w:val="00DD58E9"/>
    <w:rsid w:val="00DD63FF"/>
    <w:rsid w:val="00DD6F85"/>
    <w:rsid w:val="00DD7248"/>
    <w:rsid w:val="00DD7558"/>
    <w:rsid w:val="00DD7BFF"/>
    <w:rsid w:val="00DD7EAE"/>
    <w:rsid w:val="00DE006A"/>
    <w:rsid w:val="00DE0455"/>
    <w:rsid w:val="00DE15EC"/>
    <w:rsid w:val="00DE26AC"/>
    <w:rsid w:val="00DE2FBE"/>
    <w:rsid w:val="00DE313E"/>
    <w:rsid w:val="00DE3B6B"/>
    <w:rsid w:val="00DE4833"/>
    <w:rsid w:val="00DE4EB9"/>
    <w:rsid w:val="00DE5664"/>
    <w:rsid w:val="00DE57D7"/>
    <w:rsid w:val="00DE5899"/>
    <w:rsid w:val="00DE7A8B"/>
    <w:rsid w:val="00DF0961"/>
    <w:rsid w:val="00DF0D8A"/>
    <w:rsid w:val="00DF0EB3"/>
    <w:rsid w:val="00DF1349"/>
    <w:rsid w:val="00DF14A6"/>
    <w:rsid w:val="00DF23CC"/>
    <w:rsid w:val="00DF2F9E"/>
    <w:rsid w:val="00DF327A"/>
    <w:rsid w:val="00DF58EF"/>
    <w:rsid w:val="00DF6302"/>
    <w:rsid w:val="00DF6B9A"/>
    <w:rsid w:val="00DF6CC7"/>
    <w:rsid w:val="00DF6D63"/>
    <w:rsid w:val="00DF70B2"/>
    <w:rsid w:val="00E001F7"/>
    <w:rsid w:val="00E01EB5"/>
    <w:rsid w:val="00E02406"/>
    <w:rsid w:val="00E029F3"/>
    <w:rsid w:val="00E02A54"/>
    <w:rsid w:val="00E032F4"/>
    <w:rsid w:val="00E03E1B"/>
    <w:rsid w:val="00E045B8"/>
    <w:rsid w:val="00E04B10"/>
    <w:rsid w:val="00E04E8A"/>
    <w:rsid w:val="00E05BF4"/>
    <w:rsid w:val="00E05ED4"/>
    <w:rsid w:val="00E060AB"/>
    <w:rsid w:val="00E062C7"/>
    <w:rsid w:val="00E06DAF"/>
    <w:rsid w:val="00E072E2"/>
    <w:rsid w:val="00E1026E"/>
    <w:rsid w:val="00E11791"/>
    <w:rsid w:val="00E1267D"/>
    <w:rsid w:val="00E128A1"/>
    <w:rsid w:val="00E1336F"/>
    <w:rsid w:val="00E144F6"/>
    <w:rsid w:val="00E148C0"/>
    <w:rsid w:val="00E1494D"/>
    <w:rsid w:val="00E14FEC"/>
    <w:rsid w:val="00E15F03"/>
    <w:rsid w:val="00E16AA1"/>
    <w:rsid w:val="00E16E25"/>
    <w:rsid w:val="00E1724D"/>
    <w:rsid w:val="00E17478"/>
    <w:rsid w:val="00E17B67"/>
    <w:rsid w:val="00E2004E"/>
    <w:rsid w:val="00E20790"/>
    <w:rsid w:val="00E219F6"/>
    <w:rsid w:val="00E21C7B"/>
    <w:rsid w:val="00E235A9"/>
    <w:rsid w:val="00E23B8E"/>
    <w:rsid w:val="00E23EE1"/>
    <w:rsid w:val="00E2477D"/>
    <w:rsid w:val="00E25F47"/>
    <w:rsid w:val="00E2609A"/>
    <w:rsid w:val="00E26247"/>
    <w:rsid w:val="00E26A55"/>
    <w:rsid w:val="00E276E1"/>
    <w:rsid w:val="00E305A8"/>
    <w:rsid w:val="00E31987"/>
    <w:rsid w:val="00E31CC7"/>
    <w:rsid w:val="00E31D45"/>
    <w:rsid w:val="00E32C01"/>
    <w:rsid w:val="00E342C7"/>
    <w:rsid w:val="00E34733"/>
    <w:rsid w:val="00E35064"/>
    <w:rsid w:val="00E35AD5"/>
    <w:rsid w:val="00E360DE"/>
    <w:rsid w:val="00E37299"/>
    <w:rsid w:val="00E41095"/>
    <w:rsid w:val="00E41101"/>
    <w:rsid w:val="00E41235"/>
    <w:rsid w:val="00E41C55"/>
    <w:rsid w:val="00E42C6E"/>
    <w:rsid w:val="00E42CA1"/>
    <w:rsid w:val="00E433D2"/>
    <w:rsid w:val="00E44151"/>
    <w:rsid w:val="00E449AA"/>
    <w:rsid w:val="00E44BD6"/>
    <w:rsid w:val="00E44FBF"/>
    <w:rsid w:val="00E45CAE"/>
    <w:rsid w:val="00E4777E"/>
    <w:rsid w:val="00E47922"/>
    <w:rsid w:val="00E47AB1"/>
    <w:rsid w:val="00E47F7C"/>
    <w:rsid w:val="00E50C5B"/>
    <w:rsid w:val="00E50FF2"/>
    <w:rsid w:val="00E51627"/>
    <w:rsid w:val="00E51726"/>
    <w:rsid w:val="00E51E8B"/>
    <w:rsid w:val="00E52FDE"/>
    <w:rsid w:val="00E53004"/>
    <w:rsid w:val="00E53D25"/>
    <w:rsid w:val="00E5514B"/>
    <w:rsid w:val="00E553C1"/>
    <w:rsid w:val="00E55A0F"/>
    <w:rsid w:val="00E562CD"/>
    <w:rsid w:val="00E56CDD"/>
    <w:rsid w:val="00E56FDC"/>
    <w:rsid w:val="00E605C0"/>
    <w:rsid w:val="00E61836"/>
    <w:rsid w:val="00E63863"/>
    <w:rsid w:val="00E647C1"/>
    <w:rsid w:val="00E66CCF"/>
    <w:rsid w:val="00E67C68"/>
    <w:rsid w:val="00E7004F"/>
    <w:rsid w:val="00E71E09"/>
    <w:rsid w:val="00E72243"/>
    <w:rsid w:val="00E7325C"/>
    <w:rsid w:val="00E732DD"/>
    <w:rsid w:val="00E73999"/>
    <w:rsid w:val="00E7400C"/>
    <w:rsid w:val="00E74506"/>
    <w:rsid w:val="00E749F5"/>
    <w:rsid w:val="00E751D1"/>
    <w:rsid w:val="00E75F6E"/>
    <w:rsid w:val="00E774FE"/>
    <w:rsid w:val="00E77760"/>
    <w:rsid w:val="00E77884"/>
    <w:rsid w:val="00E77B47"/>
    <w:rsid w:val="00E8003A"/>
    <w:rsid w:val="00E800F3"/>
    <w:rsid w:val="00E80C9D"/>
    <w:rsid w:val="00E82AF9"/>
    <w:rsid w:val="00E83915"/>
    <w:rsid w:val="00E83A68"/>
    <w:rsid w:val="00E84265"/>
    <w:rsid w:val="00E842FA"/>
    <w:rsid w:val="00E847F5"/>
    <w:rsid w:val="00E85A05"/>
    <w:rsid w:val="00E86120"/>
    <w:rsid w:val="00E862C8"/>
    <w:rsid w:val="00E87CA5"/>
    <w:rsid w:val="00E87F78"/>
    <w:rsid w:val="00E90EBC"/>
    <w:rsid w:val="00E91BA9"/>
    <w:rsid w:val="00E91C49"/>
    <w:rsid w:val="00E91C74"/>
    <w:rsid w:val="00E92233"/>
    <w:rsid w:val="00E9225B"/>
    <w:rsid w:val="00E93BFE"/>
    <w:rsid w:val="00E93DC5"/>
    <w:rsid w:val="00E950D1"/>
    <w:rsid w:val="00E954A2"/>
    <w:rsid w:val="00E9587D"/>
    <w:rsid w:val="00E959EF"/>
    <w:rsid w:val="00E962E7"/>
    <w:rsid w:val="00E96ED9"/>
    <w:rsid w:val="00E97092"/>
    <w:rsid w:val="00E979DD"/>
    <w:rsid w:val="00E97E9C"/>
    <w:rsid w:val="00E97EF9"/>
    <w:rsid w:val="00EA05E8"/>
    <w:rsid w:val="00EA10BF"/>
    <w:rsid w:val="00EA3D64"/>
    <w:rsid w:val="00EA49C2"/>
    <w:rsid w:val="00EA508B"/>
    <w:rsid w:val="00EA58BE"/>
    <w:rsid w:val="00EA6657"/>
    <w:rsid w:val="00EA72C0"/>
    <w:rsid w:val="00EA7458"/>
    <w:rsid w:val="00EA7765"/>
    <w:rsid w:val="00EB013D"/>
    <w:rsid w:val="00EB04B3"/>
    <w:rsid w:val="00EB0F75"/>
    <w:rsid w:val="00EB165A"/>
    <w:rsid w:val="00EB1AD6"/>
    <w:rsid w:val="00EB2992"/>
    <w:rsid w:val="00EB322B"/>
    <w:rsid w:val="00EB4491"/>
    <w:rsid w:val="00EB49D3"/>
    <w:rsid w:val="00EB4BB1"/>
    <w:rsid w:val="00EB5A9B"/>
    <w:rsid w:val="00EB5AB9"/>
    <w:rsid w:val="00EB5ABB"/>
    <w:rsid w:val="00EB5ED6"/>
    <w:rsid w:val="00EB6182"/>
    <w:rsid w:val="00EB7867"/>
    <w:rsid w:val="00EC0B31"/>
    <w:rsid w:val="00EC0C0A"/>
    <w:rsid w:val="00EC1BAC"/>
    <w:rsid w:val="00EC230A"/>
    <w:rsid w:val="00EC27E9"/>
    <w:rsid w:val="00EC2A3B"/>
    <w:rsid w:val="00EC3C47"/>
    <w:rsid w:val="00EC4FB8"/>
    <w:rsid w:val="00EC5633"/>
    <w:rsid w:val="00EC5C26"/>
    <w:rsid w:val="00EC60FB"/>
    <w:rsid w:val="00EC6130"/>
    <w:rsid w:val="00EC62AF"/>
    <w:rsid w:val="00EC6346"/>
    <w:rsid w:val="00EC732C"/>
    <w:rsid w:val="00EC7E26"/>
    <w:rsid w:val="00ED03F2"/>
    <w:rsid w:val="00ED0948"/>
    <w:rsid w:val="00ED2992"/>
    <w:rsid w:val="00ED3AAB"/>
    <w:rsid w:val="00ED40E5"/>
    <w:rsid w:val="00ED479D"/>
    <w:rsid w:val="00ED6513"/>
    <w:rsid w:val="00ED6F26"/>
    <w:rsid w:val="00ED73F5"/>
    <w:rsid w:val="00ED759F"/>
    <w:rsid w:val="00ED78D7"/>
    <w:rsid w:val="00ED7CF4"/>
    <w:rsid w:val="00EE054F"/>
    <w:rsid w:val="00EE175C"/>
    <w:rsid w:val="00EE19DB"/>
    <w:rsid w:val="00EE1A5F"/>
    <w:rsid w:val="00EE2218"/>
    <w:rsid w:val="00EE2495"/>
    <w:rsid w:val="00EE257D"/>
    <w:rsid w:val="00EE2DD2"/>
    <w:rsid w:val="00EE35B8"/>
    <w:rsid w:val="00EE40E7"/>
    <w:rsid w:val="00EE445F"/>
    <w:rsid w:val="00EE4977"/>
    <w:rsid w:val="00EE49AB"/>
    <w:rsid w:val="00EE4FCE"/>
    <w:rsid w:val="00EE5DB9"/>
    <w:rsid w:val="00EE65D3"/>
    <w:rsid w:val="00EE68A8"/>
    <w:rsid w:val="00EE6EFD"/>
    <w:rsid w:val="00EE72BF"/>
    <w:rsid w:val="00EE79A3"/>
    <w:rsid w:val="00EE7A87"/>
    <w:rsid w:val="00EE7E83"/>
    <w:rsid w:val="00EF07A5"/>
    <w:rsid w:val="00EF15EA"/>
    <w:rsid w:val="00EF2BCF"/>
    <w:rsid w:val="00EF325D"/>
    <w:rsid w:val="00EF32C8"/>
    <w:rsid w:val="00EF334F"/>
    <w:rsid w:val="00EF36A3"/>
    <w:rsid w:val="00EF3813"/>
    <w:rsid w:val="00EF3A05"/>
    <w:rsid w:val="00EF3CBB"/>
    <w:rsid w:val="00EF43C4"/>
    <w:rsid w:val="00EF45A9"/>
    <w:rsid w:val="00EF4D72"/>
    <w:rsid w:val="00EF50D2"/>
    <w:rsid w:val="00EF54DB"/>
    <w:rsid w:val="00EF5FD4"/>
    <w:rsid w:val="00EF6D5A"/>
    <w:rsid w:val="00EF705A"/>
    <w:rsid w:val="00EF7154"/>
    <w:rsid w:val="00EF77C5"/>
    <w:rsid w:val="00F01AD2"/>
    <w:rsid w:val="00F0275C"/>
    <w:rsid w:val="00F02A87"/>
    <w:rsid w:val="00F0362D"/>
    <w:rsid w:val="00F050E7"/>
    <w:rsid w:val="00F051FB"/>
    <w:rsid w:val="00F0623E"/>
    <w:rsid w:val="00F06E9B"/>
    <w:rsid w:val="00F070DB"/>
    <w:rsid w:val="00F07128"/>
    <w:rsid w:val="00F077B2"/>
    <w:rsid w:val="00F07B15"/>
    <w:rsid w:val="00F100B2"/>
    <w:rsid w:val="00F101C5"/>
    <w:rsid w:val="00F11CC4"/>
    <w:rsid w:val="00F1256D"/>
    <w:rsid w:val="00F126DB"/>
    <w:rsid w:val="00F12D11"/>
    <w:rsid w:val="00F138A7"/>
    <w:rsid w:val="00F14E62"/>
    <w:rsid w:val="00F15902"/>
    <w:rsid w:val="00F15D9E"/>
    <w:rsid w:val="00F1707E"/>
    <w:rsid w:val="00F17366"/>
    <w:rsid w:val="00F17DEC"/>
    <w:rsid w:val="00F203CE"/>
    <w:rsid w:val="00F206E4"/>
    <w:rsid w:val="00F20F8C"/>
    <w:rsid w:val="00F21162"/>
    <w:rsid w:val="00F227DD"/>
    <w:rsid w:val="00F22E7F"/>
    <w:rsid w:val="00F23605"/>
    <w:rsid w:val="00F24A2F"/>
    <w:rsid w:val="00F24AE1"/>
    <w:rsid w:val="00F25C15"/>
    <w:rsid w:val="00F26304"/>
    <w:rsid w:val="00F273D6"/>
    <w:rsid w:val="00F276FF"/>
    <w:rsid w:val="00F30183"/>
    <w:rsid w:val="00F30476"/>
    <w:rsid w:val="00F308BF"/>
    <w:rsid w:val="00F311DB"/>
    <w:rsid w:val="00F313FC"/>
    <w:rsid w:val="00F31648"/>
    <w:rsid w:val="00F3229F"/>
    <w:rsid w:val="00F32558"/>
    <w:rsid w:val="00F33472"/>
    <w:rsid w:val="00F339AD"/>
    <w:rsid w:val="00F33C8E"/>
    <w:rsid w:val="00F34287"/>
    <w:rsid w:val="00F34C2F"/>
    <w:rsid w:val="00F34E55"/>
    <w:rsid w:val="00F34F46"/>
    <w:rsid w:val="00F359B5"/>
    <w:rsid w:val="00F35A33"/>
    <w:rsid w:val="00F364F2"/>
    <w:rsid w:val="00F36EC0"/>
    <w:rsid w:val="00F36FC9"/>
    <w:rsid w:val="00F370B0"/>
    <w:rsid w:val="00F37562"/>
    <w:rsid w:val="00F37935"/>
    <w:rsid w:val="00F40036"/>
    <w:rsid w:val="00F401A8"/>
    <w:rsid w:val="00F403FE"/>
    <w:rsid w:val="00F40505"/>
    <w:rsid w:val="00F431C0"/>
    <w:rsid w:val="00F4320E"/>
    <w:rsid w:val="00F436D3"/>
    <w:rsid w:val="00F4397B"/>
    <w:rsid w:val="00F43C48"/>
    <w:rsid w:val="00F43E84"/>
    <w:rsid w:val="00F444B5"/>
    <w:rsid w:val="00F444E6"/>
    <w:rsid w:val="00F4456D"/>
    <w:rsid w:val="00F44954"/>
    <w:rsid w:val="00F44B1B"/>
    <w:rsid w:val="00F46491"/>
    <w:rsid w:val="00F466B6"/>
    <w:rsid w:val="00F46B8B"/>
    <w:rsid w:val="00F507FA"/>
    <w:rsid w:val="00F51130"/>
    <w:rsid w:val="00F51886"/>
    <w:rsid w:val="00F51C71"/>
    <w:rsid w:val="00F52081"/>
    <w:rsid w:val="00F52218"/>
    <w:rsid w:val="00F5252B"/>
    <w:rsid w:val="00F52F6E"/>
    <w:rsid w:val="00F53213"/>
    <w:rsid w:val="00F5356A"/>
    <w:rsid w:val="00F5359E"/>
    <w:rsid w:val="00F565BD"/>
    <w:rsid w:val="00F56ECA"/>
    <w:rsid w:val="00F56F51"/>
    <w:rsid w:val="00F56F8C"/>
    <w:rsid w:val="00F5745A"/>
    <w:rsid w:val="00F578F9"/>
    <w:rsid w:val="00F57E8C"/>
    <w:rsid w:val="00F60845"/>
    <w:rsid w:val="00F612E3"/>
    <w:rsid w:val="00F61517"/>
    <w:rsid w:val="00F617A9"/>
    <w:rsid w:val="00F62BAE"/>
    <w:rsid w:val="00F64240"/>
    <w:rsid w:val="00F642AB"/>
    <w:rsid w:val="00F649E1"/>
    <w:rsid w:val="00F64E77"/>
    <w:rsid w:val="00F652F2"/>
    <w:rsid w:val="00F70A88"/>
    <w:rsid w:val="00F71906"/>
    <w:rsid w:val="00F73041"/>
    <w:rsid w:val="00F736DC"/>
    <w:rsid w:val="00F737D4"/>
    <w:rsid w:val="00F74ED9"/>
    <w:rsid w:val="00F74FD2"/>
    <w:rsid w:val="00F756D0"/>
    <w:rsid w:val="00F76313"/>
    <w:rsid w:val="00F763CE"/>
    <w:rsid w:val="00F80CE2"/>
    <w:rsid w:val="00F811E2"/>
    <w:rsid w:val="00F81C99"/>
    <w:rsid w:val="00F821C7"/>
    <w:rsid w:val="00F82EEE"/>
    <w:rsid w:val="00F8325F"/>
    <w:rsid w:val="00F83495"/>
    <w:rsid w:val="00F84143"/>
    <w:rsid w:val="00F84A2E"/>
    <w:rsid w:val="00F86127"/>
    <w:rsid w:val="00F86F80"/>
    <w:rsid w:val="00F87063"/>
    <w:rsid w:val="00F87FCC"/>
    <w:rsid w:val="00F900BF"/>
    <w:rsid w:val="00F9098D"/>
    <w:rsid w:val="00F90A03"/>
    <w:rsid w:val="00F90D66"/>
    <w:rsid w:val="00F918E1"/>
    <w:rsid w:val="00F927DB"/>
    <w:rsid w:val="00F93C85"/>
    <w:rsid w:val="00F93D44"/>
    <w:rsid w:val="00F94AF1"/>
    <w:rsid w:val="00F95289"/>
    <w:rsid w:val="00F968CA"/>
    <w:rsid w:val="00F96AF0"/>
    <w:rsid w:val="00F970E1"/>
    <w:rsid w:val="00FA068B"/>
    <w:rsid w:val="00FA0E64"/>
    <w:rsid w:val="00FA16BA"/>
    <w:rsid w:val="00FA201C"/>
    <w:rsid w:val="00FA4B3F"/>
    <w:rsid w:val="00FA55EF"/>
    <w:rsid w:val="00FA572E"/>
    <w:rsid w:val="00FA5C60"/>
    <w:rsid w:val="00FA5DD4"/>
    <w:rsid w:val="00FA5E72"/>
    <w:rsid w:val="00FA6988"/>
    <w:rsid w:val="00FA6F25"/>
    <w:rsid w:val="00FA74DF"/>
    <w:rsid w:val="00FB1178"/>
    <w:rsid w:val="00FB166C"/>
    <w:rsid w:val="00FB169D"/>
    <w:rsid w:val="00FB20E3"/>
    <w:rsid w:val="00FB330C"/>
    <w:rsid w:val="00FB3839"/>
    <w:rsid w:val="00FB38C8"/>
    <w:rsid w:val="00FB3B05"/>
    <w:rsid w:val="00FB4620"/>
    <w:rsid w:val="00FB4866"/>
    <w:rsid w:val="00FB4F43"/>
    <w:rsid w:val="00FB50B2"/>
    <w:rsid w:val="00FB5829"/>
    <w:rsid w:val="00FB689C"/>
    <w:rsid w:val="00FB6FA7"/>
    <w:rsid w:val="00FB702F"/>
    <w:rsid w:val="00FB7DAA"/>
    <w:rsid w:val="00FC004B"/>
    <w:rsid w:val="00FC0D0E"/>
    <w:rsid w:val="00FC0D49"/>
    <w:rsid w:val="00FC0EB7"/>
    <w:rsid w:val="00FC1B80"/>
    <w:rsid w:val="00FC1FCB"/>
    <w:rsid w:val="00FC27DD"/>
    <w:rsid w:val="00FC2ABF"/>
    <w:rsid w:val="00FC2BA4"/>
    <w:rsid w:val="00FC326F"/>
    <w:rsid w:val="00FC33A6"/>
    <w:rsid w:val="00FC33CE"/>
    <w:rsid w:val="00FC39E2"/>
    <w:rsid w:val="00FC3D71"/>
    <w:rsid w:val="00FC53DC"/>
    <w:rsid w:val="00FC5FD6"/>
    <w:rsid w:val="00FC6F85"/>
    <w:rsid w:val="00FC6FA4"/>
    <w:rsid w:val="00FC75D6"/>
    <w:rsid w:val="00FC7A1D"/>
    <w:rsid w:val="00FC7D91"/>
    <w:rsid w:val="00FD14EB"/>
    <w:rsid w:val="00FD178B"/>
    <w:rsid w:val="00FD2CE2"/>
    <w:rsid w:val="00FD55D9"/>
    <w:rsid w:val="00FD5D0C"/>
    <w:rsid w:val="00FD72D8"/>
    <w:rsid w:val="00FD73AE"/>
    <w:rsid w:val="00FD7B1A"/>
    <w:rsid w:val="00FD7D7D"/>
    <w:rsid w:val="00FE144E"/>
    <w:rsid w:val="00FE1ED4"/>
    <w:rsid w:val="00FE333E"/>
    <w:rsid w:val="00FE37EE"/>
    <w:rsid w:val="00FE3D83"/>
    <w:rsid w:val="00FE4624"/>
    <w:rsid w:val="00FE5E91"/>
    <w:rsid w:val="00FE6A96"/>
    <w:rsid w:val="00FE7B37"/>
    <w:rsid w:val="00FF0426"/>
    <w:rsid w:val="00FF0DEB"/>
    <w:rsid w:val="00FF11BE"/>
    <w:rsid w:val="00FF171D"/>
    <w:rsid w:val="00FF1C1D"/>
    <w:rsid w:val="00FF20BB"/>
    <w:rsid w:val="00FF29C7"/>
    <w:rsid w:val="00FF5999"/>
    <w:rsid w:val="00FF5B28"/>
    <w:rsid w:val="00FF64DB"/>
    <w:rsid w:val="00FF69FA"/>
    <w:rsid w:val="00FF6EFD"/>
    <w:rsid w:val="00FF7D8A"/>
    <w:rsid w:val="010A12EB"/>
    <w:rsid w:val="01A670C5"/>
    <w:rsid w:val="02CC3DCA"/>
    <w:rsid w:val="02FE76EF"/>
    <w:rsid w:val="03F033B0"/>
    <w:rsid w:val="04677A9E"/>
    <w:rsid w:val="057C1D39"/>
    <w:rsid w:val="05891259"/>
    <w:rsid w:val="06473D8B"/>
    <w:rsid w:val="06935222"/>
    <w:rsid w:val="07C35693"/>
    <w:rsid w:val="08624EAC"/>
    <w:rsid w:val="08633479"/>
    <w:rsid w:val="08AC7BAA"/>
    <w:rsid w:val="08B64998"/>
    <w:rsid w:val="0ACE6829"/>
    <w:rsid w:val="0AEE0402"/>
    <w:rsid w:val="0BB2614A"/>
    <w:rsid w:val="0C29479A"/>
    <w:rsid w:val="0C3A4C9D"/>
    <w:rsid w:val="0C4B4DB9"/>
    <w:rsid w:val="0CB51572"/>
    <w:rsid w:val="0D215336"/>
    <w:rsid w:val="0D49467A"/>
    <w:rsid w:val="0D8D4779"/>
    <w:rsid w:val="0E4D31E3"/>
    <w:rsid w:val="0E7A2AF5"/>
    <w:rsid w:val="0FF46710"/>
    <w:rsid w:val="108D0FF4"/>
    <w:rsid w:val="10A33CD2"/>
    <w:rsid w:val="10DC2AA3"/>
    <w:rsid w:val="10FA7C8C"/>
    <w:rsid w:val="12250DAF"/>
    <w:rsid w:val="12DE6AF4"/>
    <w:rsid w:val="130B198F"/>
    <w:rsid w:val="13FF20B8"/>
    <w:rsid w:val="157E0E4B"/>
    <w:rsid w:val="16285A20"/>
    <w:rsid w:val="165A18B8"/>
    <w:rsid w:val="16A918E4"/>
    <w:rsid w:val="16F37B9A"/>
    <w:rsid w:val="17D966D6"/>
    <w:rsid w:val="18840350"/>
    <w:rsid w:val="19383771"/>
    <w:rsid w:val="19C21FF7"/>
    <w:rsid w:val="1B100169"/>
    <w:rsid w:val="1B197539"/>
    <w:rsid w:val="1B6E35FC"/>
    <w:rsid w:val="1BC71D3B"/>
    <w:rsid w:val="1C59115B"/>
    <w:rsid w:val="1C880AA8"/>
    <w:rsid w:val="1DF84773"/>
    <w:rsid w:val="1E313A9F"/>
    <w:rsid w:val="1EE44415"/>
    <w:rsid w:val="1FB23E60"/>
    <w:rsid w:val="219C02C4"/>
    <w:rsid w:val="21D32D3B"/>
    <w:rsid w:val="21EB5ABA"/>
    <w:rsid w:val="22C5630B"/>
    <w:rsid w:val="23EC0BA6"/>
    <w:rsid w:val="24613E12"/>
    <w:rsid w:val="24701A48"/>
    <w:rsid w:val="24D33BBD"/>
    <w:rsid w:val="25182F2D"/>
    <w:rsid w:val="25B14925"/>
    <w:rsid w:val="26094761"/>
    <w:rsid w:val="268B0052"/>
    <w:rsid w:val="26B40D32"/>
    <w:rsid w:val="27743C90"/>
    <w:rsid w:val="27F43225"/>
    <w:rsid w:val="29893B45"/>
    <w:rsid w:val="29B11398"/>
    <w:rsid w:val="29CA2459"/>
    <w:rsid w:val="2AAF2465"/>
    <w:rsid w:val="2B061D34"/>
    <w:rsid w:val="2B271A58"/>
    <w:rsid w:val="2B6304A7"/>
    <w:rsid w:val="2C0F23A5"/>
    <w:rsid w:val="2CF6734C"/>
    <w:rsid w:val="2CF77D44"/>
    <w:rsid w:val="2D48234A"/>
    <w:rsid w:val="2D663463"/>
    <w:rsid w:val="2E953036"/>
    <w:rsid w:val="2EC21BE6"/>
    <w:rsid w:val="2EF96EE4"/>
    <w:rsid w:val="3003358B"/>
    <w:rsid w:val="30E4474C"/>
    <w:rsid w:val="30E919D6"/>
    <w:rsid w:val="30F061B7"/>
    <w:rsid w:val="310B6FCD"/>
    <w:rsid w:val="334577C8"/>
    <w:rsid w:val="349F69BC"/>
    <w:rsid w:val="35374E47"/>
    <w:rsid w:val="35831E3A"/>
    <w:rsid w:val="36254FE4"/>
    <w:rsid w:val="372F61E0"/>
    <w:rsid w:val="3747215A"/>
    <w:rsid w:val="38FF3ECD"/>
    <w:rsid w:val="39177242"/>
    <w:rsid w:val="39322FCA"/>
    <w:rsid w:val="3A654204"/>
    <w:rsid w:val="3AB90991"/>
    <w:rsid w:val="3B706131"/>
    <w:rsid w:val="3B747B99"/>
    <w:rsid w:val="3B984590"/>
    <w:rsid w:val="3CEA63B8"/>
    <w:rsid w:val="3E5C1DEB"/>
    <w:rsid w:val="3E6F041E"/>
    <w:rsid w:val="408E08DA"/>
    <w:rsid w:val="41F83BB0"/>
    <w:rsid w:val="423821FE"/>
    <w:rsid w:val="42497BD2"/>
    <w:rsid w:val="4275481E"/>
    <w:rsid w:val="428B617A"/>
    <w:rsid w:val="433D7BDC"/>
    <w:rsid w:val="437E1813"/>
    <w:rsid w:val="44A771C7"/>
    <w:rsid w:val="45A81449"/>
    <w:rsid w:val="45BD47FC"/>
    <w:rsid w:val="45CC5FB2"/>
    <w:rsid w:val="45F91CA4"/>
    <w:rsid w:val="46B75BA8"/>
    <w:rsid w:val="470B1C8F"/>
    <w:rsid w:val="4710374A"/>
    <w:rsid w:val="47EB6E27"/>
    <w:rsid w:val="48C97955"/>
    <w:rsid w:val="49880C8F"/>
    <w:rsid w:val="4A484FA8"/>
    <w:rsid w:val="4A8835F7"/>
    <w:rsid w:val="4AC705C3"/>
    <w:rsid w:val="4B592E71"/>
    <w:rsid w:val="4BFF5B3B"/>
    <w:rsid w:val="4C211F55"/>
    <w:rsid w:val="4E340CEB"/>
    <w:rsid w:val="4E967856"/>
    <w:rsid w:val="4EF61477"/>
    <w:rsid w:val="4F8922EB"/>
    <w:rsid w:val="4FD92484"/>
    <w:rsid w:val="50DD28EE"/>
    <w:rsid w:val="51B353FD"/>
    <w:rsid w:val="526229B6"/>
    <w:rsid w:val="52B9239A"/>
    <w:rsid w:val="54212AB3"/>
    <w:rsid w:val="542B4EF0"/>
    <w:rsid w:val="54BD78FD"/>
    <w:rsid w:val="54D01E19"/>
    <w:rsid w:val="54F42598"/>
    <w:rsid w:val="556F5EDE"/>
    <w:rsid w:val="557E4224"/>
    <w:rsid w:val="5591033D"/>
    <w:rsid w:val="55A2552E"/>
    <w:rsid w:val="56FD1B88"/>
    <w:rsid w:val="589D2963"/>
    <w:rsid w:val="58A86DDE"/>
    <w:rsid w:val="59154AD7"/>
    <w:rsid w:val="59D81D4B"/>
    <w:rsid w:val="5A444F4F"/>
    <w:rsid w:val="5A64198B"/>
    <w:rsid w:val="5ADF548D"/>
    <w:rsid w:val="5C967DF5"/>
    <w:rsid w:val="5D283143"/>
    <w:rsid w:val="5D5C60B4"/>
    <w:rsid w:val="5FCF7699"/>
    <w:rsid w:val="62836762"/>
    <w:rsid w:val="63F04A69"/>
    <w:rsid w:val="64E17965"/>
    <w:rsid w:val="650B1E72"/>
    <w:rsid w:val="65FD637A"/>
    <w:rsid w:val="66293A88"/>
    <w:rsid w:val="66A50B1E"/>
    <w:rsid w:val="67B2063C"/>
    <w:rsid w:val="67C97AC3"/>
    <w:rsid w:val="67E30EC1"/>
    <w:rsid w:val="69BC71DC"/>
    <w:rsid w:val="69D64EFC"/>
    <w:rsid w:val="6A4E3B2B"/>
    <w:rsid w:val="6AD82C42"/>
    <w:rsid w:val="6AF73560"/>
    <w:rsid w:val="6B481C3B"/>
    <w:rsid w:val="6C1331A3"/>
    <w:rsid w:val="6CA84BC1"/>
    <w:rsid w:val="6D3E4756"/>
    <w:rsid w:val="6F241A20"/>
    <w:rsid w:val="6F643647"/>
    <w:rsid w:val="6FC523EB"/>
    <w:rsid w:val="717B538E"/>
    <w:rsid w:val="718F222F"/>
    <w:rsid w:val="721513B0"/>
    <w:rsid w:val="72895F2E"/>
    <w:rsid w:val="72C02EBE"/>
    <w:rsid w:val="72C507AD"/>
    <w:rsid w:val="72D028D8"/>
    <w:rsid w:val="73CC7170"/>
    <w:rsid w:val="745D47C3"/>
    <w:rsid w:val="755A715C"/>
    <w:rsid w:val="75835602"/>
    <w:rsid w:val="76AC3757"/>
    <w:rsid w:val="774249AA"/>
    <w:rsid w:val="78F37394"/>
    <w:rsid w:val="7A613399"/>
    <w:rsid w:val="7AC91B56"/>
    <w:rsid w:val="7B6465C2"/>
    <w:rsid w:val="7CB93F8E"/>
    <w:rsid w:val="7CF66B46"/>
    <w:rsid w:val="7DBD28BA"/>
    <w:rsid w:val="7ED00AE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98" w:name="Normal"/>
    <w:lsdException w:qFormat="1" w:unhideWhenUsed="0" w:uiPriority="0" w:name="heading 1"/>
    <w:lsdException w:qFormat="1" w:unhideWhenUsed="0" w:uiPriority="0" w:name="heading 2"/>
    <w:lsdException w:qFormat="1" w:unhideWhenUsed="0" w:uiPriority="0" w:name="heading 3"/>
    <w:lsdException w:qFormat="1" w:unhideWhenUsed="0" w:uiPriority="0" w:name="heading 4"/>
    <w:lsdException w:qFormat="1" w:unhideWhenUsed="0" w:uiPriority="0" w:name="heading 5"/>
    <w:lsdException w:qFormat="1" w:uiPriority="0" w:name="heading 6"/>
    <w:lsdException w:qFormat="1" w:uiPriority="0" w:name="heading 7"/>
    <w:lsdException w:qFormat="1" w:uiPriority="0" w:name="heading 8"/>
    <w:lsdException w:qFormat="1" w:uiPriority="0" w:name="heading 9"/>
    <w:lsdException w:unhideWhenUsed="0" w:uiPriority="98" w:name="index 1"/>
    <w:lsdException w:unhideWhenUsed="0" w:uiPriority="98" w:name="index 2"/>
    <w:lsdException w:unhideWhenUsed="0" w:uiPriority="98" w:name="index 3"/>
    <w:lsdException w:unhideWhenUsed="0" w:uiPriority="98" w:name="index 4"/>
    <w:lsdException w:unhideWhenUsed="0" w:uiPriority="98" w:name="index 5"/>
    <w:lsdException w:unhideWhenUsed="0" w:uiPriority="98" w:name="index 6"/>
    <w:lsdException w:unhideWhenUsed="0" w:uiPriority="98" w:name="index 7"/>
    <w:lsdException w:unhideWhenUsed="0" w:uiPriority="98" w:name="index 8"/>
    <w:lsdException w:qFormat="1" w:unhideWhenUsed="0" w:uiPriority="98" w:name="index 9"/>
    <w:lsdException w:qFormat="1" w:unhideWhenUsed="0" w:uiPriority="39" w:semiHidden="0" w:name="toc 1"/>
    <w:lsdException w:qFormat="1" w:unhideWhenUsed="0" w:uiPriority="39" w:semiHidden="0" w:name="toc 2"/>
    <w:lsdException w:qFormat="1" w:unhideWhenUsed="0" w:uiPriority="39" w:name="toc 3"/>
    <w:lsdException w:unhideWhenUsed="0" w:uiPriority="98" w:name="toc 4"/>
    <w:lsdException w:unhideWhenUsed="0" w:uiPriority="98" w:name="toc 5"/>
    <w:lsdException w:unhideWhenUsed="0" w:uiPriority="98" w:name="toc 6"/>
    <w:lsdException w:unhideWhenUsed="0" w:uiPriority="98" w:name="toc 7"/>
    <w:lsdException w:unhideWhenUsed="0" w:uiPriority="98" w:name="toc 8"/>
    <w:lsdException w:unhideWhenUsed="0" w:uiPriority="98" w:name="toc 9"/>
    <w:lsdException w:unhideWhenUsed="0" w:uiPriority="98" w:name="Normal Indent"/>
    <w:lsdException w:unhideWhenUsed="0" w:uiPriority="98" w:name="footnote text"/>
    <w:lsdException w:qFormat="1" w:unhideWhenUsed="0" w:uiPriority="99" w:semiHidden="0" w:name="annotation text"/>
    <w:lsdException w:qFormat="1" w:unhideWhenUsed="0" w:uiPriority="0" w:name="header"/>
    <w:lsdException w:qFormat="1" w:unhideWhenUsed="0" w:uiPriority="0" w:name="footer"/>
    <w:lsdException w:unhideWhenUsed="0" w:uiPriority="98" w:name="index heading"/>
    <w:lsdException w:qFormat="1" w:unhideWhenUsed="0" w:uiPriority="98" w:name="caption"/>
    <w:lsdException w:unhideWhenUsed="0" w:uiPriority="98" w:name="table of figures"/>
    <w:lsdException w:unhideWhenUsed="0" w:uiPriority="98" w:name="envelope address"/>
    <w:lsdException w:unhideWhenUsed="0" w:uiPriority="98" w:name="envelope return"/>
    <w:lsdException w:unhideWhenUsed="0" w:uiPriority="98" w:name="footnote reference"/>
    <w:lsdException w:qFormat="1" w:unhideWhenUsed="0" w:uiPriority="98" w:name="annotation reference"/>
    <w:lsdException w:unhideWhenUsed="0" w:uiPriority="98" w:name="line number"/>
    <w:lsdException w:qFormat="1" w:unhideWhenUsed="0" w:uiPriority="0" w:name="page number"/>
    <w:lsdException w:unhideWhenUsed="0" w:uiPriority="98" w:name="endnote reference"/>
    <w:lsdException w:unhideWhenUsed="0" w:uiPriority="98" w:name="endnote text"/>
    <w:lsdException w:unhideWhenUsed="0" w:uiPriority="98" w:name="table of authorities"/>
    <w:lsdException w:unhideWhenUsed="0" w:uiPriority="98" w:name="macro"/>
    <w:lsdException w:unhideWhenUsed="0" w:uiPriority="98" w:name="toa heading"/>
    <w:lsdException w:qFormat="1" w:unhideWhenUsed="0" w:uiPriority="0" w:semiHidden="0" w:name="List"/>
    <w:lsdException w:unhideWhenUsed="0" w:uiPriority="98" w:name="List Bullet"/>
    <w:lsdException w:unhideWhenUsed="0" w:uiPriority="98" w:name="List Number"/>
    <w:lsdException w:unhideWhenUsed="0" w:uiPriority="98" w:name="List 2"/>
    <w:lsdException w:unhideWhenUsed="0" w:uiPriority="98" w:name="List 3"/>
    <w:lsdException w:unhideWhenUsed="0" w:uiPriority="98" w:name="List 4"/>
    <w:lsdException w:unhideWhenUsed="0" w:uiPriority="98" w:name="List 5"/>
    <w:lsdException w:unhideWhenUsed="0" w:uiPriority="98" w:name="List Bullet 2"/>
    <w:lsdException w:unhideWhenUsed="0" w:uiPriority="98" w:name="List Bullet 3"/>
    <w:lsdException w:unhideWhenUsed="0" w:uiPriority="98" w:name="List Bullet 4"/>
    <w:lsdException w:unhideWhenUsed="0" w:uiPriority="98" w:name="List Bullet 5"/>
    <w:lsdException w:unhideWhenUsed="0" w:uiPriority="98" w:name="List Number 2"/>
    <w:lsdException w:unhideWhenUsed="0" w:uiPriority="98" w:name="List Number 3"/>
    <w:lsdException w:unhideWhenUsed="0" w:uiPriority="98" w:name="List Number 4"/>
    <w:lsdException w:unhideWhenUsed="0" w:uiPriority="98" w:name="List Number 5"/>
    <w:lsdException w:qFormat="1" w:unhideWhenUsed="0" w:uiPriority="0" w:name="Title"/>
    <w:lsdException w:unhideWhenUsed="0" w:uiPriority="98" w:name="Closing"/>
    <w:lsdException w:unhideWhenUsed="0" w:uiPriority="98" w:name="Signature"/>
    <w:lsdException w:qFormat="1" w:uiPriority="1" w:name="Default Paragraph Font"/>
    <w:lsdException w:qFormat="1" w:unhideWhenUsed="0" w:uiPriority="98" w:name="Body Text"/>
    <w:lsdException w:qFormat="1" w:unhideWhenUsed="0" w:uiPriority="0" w:name="Body Text Indent"/>
    <w:lsdException w:unhideWhenUsed="0" w:uiPriority="98" w:name="List Continue"/>
    <w:lsdException w:unhideWhenUsed="0" w:uiPriority="98" w:name="List Continue 2"/>
    <w:lsdException w:unhideWhenUsed="0" w:uiPriority="98" w:name="List Continue 3"/>
    <w:lsdException w:unhideWhenUsed="0" w:uiPriority="98" w:name="List Continue 4"/>
    <w:lsdException w:unhideWhenUsed="0" w:uiPriority="98" w:name="List Continue 5"/>
    <w:lsdException w:qFormat="1" w:unhideWhenUsed="0" w:uiPriority="99" w:name="Message Header"/>
    <w:lsdException w:qFormat="1" w:unhideWhenUsed="0" w:uiPriority="98" w:semiHidden="0" w:name="Subtitle"/>
    <w:lsdException w:unhideWhenUsed="0" w:uiPriority="98" w:name="Salutation"/>
    <w:lsdException w:qFormat="1" w:unhideWhenUsed="0" w:uiPriority="0" w:name="Date"/>
    <w:lsdException w:unhideWhenUsed="0" w:uiPriority="98" w:name="Body Text First Indent"/>
    <w:lsdException w:qFormat="1" w:unhideWhenUsed="0" w:uiPriority="0" w:semiHidden="0" w:name="Body Text First Indent 2"/>
    <w:lsdException w:unhideWhenUsed="0" w:uiPriority="98" w:name="Note Heading"/>
    <w:lsdException w:unhideWhenUsed="0" w:uiPriority="98" w:name="Body Text 2"/>
    <w:lsdException w:unhideWhenUsed="0" w:uiPriority="98" w:name="Body Text 3"/>
    <w:lsdException w:qFormat="1" w:unhideWhenUsed="0" w:uiPriority="0" w:name="Body Text Indent 2"/>
    <w:lsdException w:qFormat="1" w:unhideWhenUsed="0" w:uiPriority="0" w:name="Body Text Indent 3"/>
    <w:lsdException w:unhideWhenUsed="0" w:uiPriority="98" w:name="Block Text"/>
    <w:lsdException w:qFormat="1" w:unhideWhenUsed="0" w:uiPriority="99" w:semiHidden="0" w:name="Hyperlink"/>
    <w:lsdException w:qFormat="1" w:unhideWhenUsed="0" w:uiPriority="98" w:name="FollowedHyperlink"/>
    <w:lsdException w:qFormat="1" w:unhideWhenUsed="0" w:uiPriority="98" w:name="Strong"/>
    <w:lsdException w:qFormat="1" w:unhideWhenUsed="0" w:uiPriority="98" w:name="Emphasis"/>
    <w:lsdException w:qFormat="1" w:unhideWhenUsed="0" w:uiPriority="0" w:name="Document Map"/>
    <w:lsdException w:qFormat="1" w:unhideWhenUsed="0" w:uiPriority="0" w:semiHidden="0" w:name="Plain Text"/>
    <w:lsdException w:qFormat="1" w:unhideWhenUsed="0" w:uiPriority="99" w:name="E-mail Signature"/>
    <w:lsdException w:qFormat="1" w:unhideWhenUsed="0" w:uiPriority="0" w:name="Normal (Web)"/>
    <w:lsdException w:unhideWhenUsed="0" w:uiPriority="98" w:name="HTML Acronym"/>
    <w:lsdException w:unhideWhenUsed="0" w:uiPriority="98" w:name="HTML Address"/>
    <w:lsdException w:unhideWhenUsed="0" w:uiPriority="98" w:name="HTML Cite"/>
    <w:lsdException w:unhideWhenUsed="0" w:uiPriority="98" w:name="HTML Code"/>
    <w:lsdException w:unhideWhenUsed="0" w:uiPriority="98" w:name="HTML Definition"/>
    <w:lsdException w:uiPriority="0" w:name="HTML Keyboard"/>
    <w:lsdException w:unhideWhenUsed="0" w:uiPriority="98" w:name="HTML Preformatted"/>
    <w:lsdException w:unhideWhenUsed="0" w:uiPriority="98" w:name="HTML Sample"/>
    <w:lsdException w:unhideWhenUsed="0" w:uiPriority="98" w:name="HTML Typewriter"/>
    <w:lsdException w:unhideWhenUsed="0" w:uiPriority="98" w:name="HTML Variable"/>
    <w:lsdException w:qFormat="1" w:uiPriority="99" w:name="Normal Table"/>
    <w:lsdException w:qFormat="1" w:unhideWhenUsed="0" w:uiPriority="98"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8"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semiHidden/>
    <w:qFormat/>
    <w:uiPriority w:val="98"/>
    <w:pPr>
      <w:widowControl w:val="0"/>
      <w:jc w:val="both"/>
    </w:pPr>
    <w:rPr>
      <w:rFonts w:ascii="Times New Roman" w:hAnsi="Times New Roman" w:eastAsia="宋体" w:cs="Times New Roman"/>
      <w:kern w:val="2"/>
      <w:sz w:val="21"/>
      <w:lang w:val="en-US" w:eastAsia="zh-CN" w:bidi="ar-SA"/>
    </w:rPr>
  </w:style>
  <w:style w:type="paragraph" w:styleId="3">
    <w:name w:val="heading 1"/>
    <w:basedOn w:val="4"/>
    <w:next w:val="1"/>
    <w:link w:val="67"/>
    <w:semiHidden/>
    <w:qFormat/>
    <w:uiPriority w:val="0"/>
    <w:pPr>
      <w:keepNext/>
      <w:keepLines/>
      <w:spacing w:before="340" w:after="330" w:line="578" w:lineRule="auto"/>
      <w:outlineLvl w:val="0"/>
    </w:pPr>
    <w:rPr>
      <w:b/>
      <w:bCs/>
      <w:kern w:val="44"/>
      <w:sz w:val="44"/>
      <w:szCs w:val="44"/>
    </w:rPr>
  </w:style>
  <w:style w:type="paragraph" w:styleId="5">
    <w:name w:val="heading 2"/>
    <w:basedOn w:val="1"/>
    <w:next w:val="1"/>
    <w:link w:val="69"/>
    <w:semiHidden/>
    <w:qFormat/>
    <w:uiPriority w:val="0"/>
    <w:pPr>
      <w:keepNext/>
      <w:keepLines/>
      <w:spacing w:before="260" w:after="260" w:line="416" w:lineRule="auto"/>
      <w:outlineLvl w:val="1"/>
    </w:pPr>
    <w:rPr>
      <w:rFonts w:asciiTheme="majorHAnsi" w:hAnsiTheme="majorHAnsi" w:eastAsiaTheme="majorEastAsia" w:cstheme="majorBidi"/>
      <w:b/>
      <w:bCs/>
      <w:sz w:val="32"/>
      <w:szCs w:val="32"/>
    </w:rPr>
  </w:style>
  <w:style w:type="paragraph" w:styleId="6">
    <w:name w:val="heading 3"/>
    <w:basedOn w:val="1"/>
    <w:next w:val="1"/>
    <w:link w:val="43"/>
    <w:semiHidden/>
    <w:qFormat/>
    <w:uiPriority w:val="0"/>
    <w:pPr>
      <w:keepNext/>
      <w:keepLines/>
      <w:spacing w:line="416" w:lineRule="auto"/>
      <w:outlineLvl w:val="2"/>
    </w:pPr>
    <w:rPr>
      <w:b/>
      <w:bCs/>
      <w:sz w:val="32"/>
      <w:szCs w:val="32"/>
    </w:rPr>
  </w:style>
  <w:style w:type="paragraph" w:styleId="7">
    <w:name w:val="heading 4"/>
    <w:basedOn w:val="1"/>
    <w:next w:val="1"/>
    <w:link w:val="77"/>
    <w:semiHidden/>
    <w:qFormat/>
    <w:uiPriority w:val="0"/>
    <w:pPr>
      <w:keepNext/>
      <w:keepLines/>
      <w:spacing w:line="360" w:lineRule="auto"/>
      <w:outlineLvl w:val="3"/>
    </w:pPr>
    <w:rPr>
      <w:rFonts w:ascii="Arial" w:hAnsi="Arial"/>
      <w:b/>
      <w:bCs/>
      <w:szCs w:val="28"/>
    </w:rPr>
  </w:style>
  <w:style w:type="paragraph" w:styleId="8">
    <w:name w:val="heading 5"/>
    <w:basedOn w:val="1"/>
    <w:next w:val="1"/>
    <w:link w:val="78"/>
    <w:semiHidden/>
    <w:qFormat/>
    <w:uiPriority w:val="0"/>
    <w:pPr>
      <w:keepNext/>
      <w:numPr>
        <w:ilvl w:val="0"/>
        <w:numId w:val="1"/>
      </w:numPr>
      <w:autoSpaceDE w:val="0"/>
      <w:autoSpaceDN w:val="0"/>
      <w:adjustRightInd w:val="0"/>
      <w:spacing w:line="465" w:lineRule="exact"/>
      <w:jc w:val="left"/>
      <w:outlineLvl w:val="4"/>
    </w:pPr>
    <w:rPr>
      <w:rFonts w:ascii="宋体" w:hAnsi="宋体"/>
      <w:bCs/>
      <w:iCs/>
      <w:color w:val="000000"/>
      <w:kern w:val="0"/>
      <w:sz w:val="28"/>
      <w:szCs w:val="28"/>
    </w:rPr>
  </w:style>
  <w:style w:type="character" w:default="1" w:styleId="32">
    <w:name w:val="Default Paragraph Font"/>
    <w:semiHidden/>
    <w:unhideWhenUsed/>
    <w:qFormat/>
    <w:uiPriority w:val="1"/>
  </w:style>
  <w:style w:type="table" w:default="1" w:styleId="30">
    <w:name w:val="Normal Table"/>
    <w:semiHidden/>
    <w:unhideWhenUsed/>
    <w:qFormat/>
    <w:uiPriority w:val="99"/>
    <w:tblPr>
      <w:tblCellMar>
        <w:top w:w="0" w:type="dxa"/>
        <w:left w:w="108" w:type="dxa"/>
        <w:bottom w:w="0" w:type="dxa"/>
        <w:right w:w="108" w:type="dxa"/>
      </w:tblCellMar>
    </w:tblPr>
  </w:style>
  <w:style w:type="paragraph" w:styleId="2">
    <w:name w:val="Body Text"/>
    <w:basedOn w:val="1"/>
    <w:next w:val="1"/>
    <w:link w:val="41"/>
    <w:semiHidden/>
    <w:qFormat/>
    <w:uiPriority w:val="98"/>
    <w:rPr>
      <w:rFonts w:ascii="仿宋_GB2312" w:eastAsia="仿宋_GB2312"/>
      <w:sz w:val="32"/>
    </w:rPr>
  </w:style>
  <w:style w:type="paragraph" w:styleId="4">
    <w:name w:val="toc 3"/>
    <w:basedOn w:val="1"/>
    <w:next w:val="1"/>
    <w:semiHidden/>
    <w:qFormat/>
    <w:uiPriority w:val="39"/>
    <w:pPr>
      <w:adjustRightInd w:val="0"/>
      <w:spacing w:line="312" w:lineRule="atLeast"/>
      <w:ind w:left="840" w:leftChars="400"/>
      <w:textAlignment w:val="baseline"/>
    </w:pPr>
    <w:rPr>
      <w:kern w:val="0"/>
      <w:sz w:val="24"/>
    </w:rPr>
  </w:style>
  <w:style w:type="paragraph" w:styleId="9">
    <w:name w:val="E-mail Signature"/>
    <w:basedOn w:val="1"/>
    <w:link w:val="104"/>
    <w:semiHidden/>
    <w:qFormat/>
    <w:uiPriority w:val="99"/>
    <w:pPr>
      <w:spacing w:after="200" w:line="276" w:lineRule="auto"/>
      <w:jc w:val="left"/>
    </w:pPr>
    <w:rPr>
      <w:rFonts w:ascii="Calibri" w:hAnsi="Calibri"/>
      <w:kern w:val="0"/>
      <w:szCs w:val="21"/>
    </w:rPr>
  </w:style>
  <w:style w:type="paragraph" w:styleId="10">
    <w:name w:val="caption"/>
    <w:basedOn w:val="1"/>
    <w:next w:val="1"/>
    <w:semiHidden/>
    <w:qFormat/>
    <w:uiPriority w:val="98"/>
    <w:pPr>
      <w:spacing w:before="152" w:after="160"/>
    </w:pPr>
    <w:rPr>
      <w:rFonts w:ascii="Arial" w:hAnsi="Arial" w:eastAsia="黑体" w:cs="Arial"/>
      <w:sz w:val="20"/>
    </w:rPr>
  </w:style>
  <w:style w:type="paragraph" w:styleId="11">
    <w:name w:val="Document Map"/>
    <w:basedOn w:val="1"/>
    <w:link w:val="93"/>
    <w:semiHidden/>
    <w:qFormat/>
    <w:uiPriority w:val="0"/>
    <w:pPr>
      <w:adjustRightInd w:val="0"/>
      <w:spacing w:line="312" w:lineRule="atLeast"/>
      <w:textAlignment w:val="baseline"/>
    </w:pPr>
    <w:rPr>
      <w:rFonts w:ascii="宋体"/>
      <w:kern w:val="0"/>
      <w:sz w:val="18"/>
      <w:szCs w:val="18"/>
    </w:rPr>
  </w:style>
  <w:style w:type="paragraph" w:styleId="12">
    <w:name w:val="annotation text"/>
    <w:basedOn w:val="1"/>
    <w:link w:val="45"/>
    <w:qFormat/>
    <w:uiPriority w:val="99"/>
    <w:pPr>
      <w:jc w:val="left"/>
    </w:pPr>
  </w:style>
  <w:style w:type="paragraph" w:styleId="13">
    <w:name w:val="Body Text Indent"/>
    <w:basedOn w:val="1"/>
    <w:next w:val="1"/>
    <w:link w:val="48"/>
    <w:semiHidden/>
    <w:qFormat/>
    <w:uiPriority w:val="0"/>
    <w:pPr>
      <w:spacing w:after="120"/>
      <w:ind w:left="420" w:leftChars="200"/>
    </w:pPr>
    <w:rPr>
      <w:rFonts w:ascii="Calibri" w:hAnsi="Calibri"/>
      <w:szCs w:val="22"/>
    </w:rPr>
  </w:style>
  <w:style w:type="paragraph" w:styleId="14">
    <w:name w:val="Plain Text"/>
    <w:basedOn w:val="1"/>
    <w:link w:val="50"/>
    <w:qFormat/>
    <w:uiPriority w:val="0"/>
    <w:rPr>
      <w:rFonts w:ascii="宋体" w:hAnsi="Courier New"/>
    </w:rPr>
  </w:style>
  <w:style w:type="paragraph" w:styleId="15">
    <w:name w:val="Date"/>
    <w:basedOn w:val="1"/>
    <w:next w:val="1"/>
    <w:link w:val="87"/>
    <w:semiHidden/>
    <w:qFormat/>
    <w:uiPriority w:val="0"/>
    <w:pPr>
      <w:adjustRightInd w:val="0"/>
      <w:spacing w:line="312" w:lineRule="atLeast"/>
      <w:ind w:left="100" w:leftChars="2500"/>
      <w:textAlignment w:val="baseline"/>
    </w:pPr>
    <w:rPr>
      <w:kern w:val="0"/>
      <w:sz w:val="24"/>
    </w:rPr>
  </w:style>
  <w:style w:type="paragraph" w:styleId="16">
    <w:name w:val="Body Text Indent 2"/>
    <w:basedOn w:val="1"/>
    <w:link w:val="86"/>
    <w:semiHidden/>
    <w:qFormat/>
    <w:uiPriority w:val="0"/>
    <w:pPr>
      <w:adjustRightInd w:val="0"/>
      <w:spacing w:after="120" w:line="480" w:lineRule="auto"/>
      <w:ind w:left="420" w:leftChars="200"/>
      <w:textAlignment w:val="baseline"/>
    </w:pPr>
    <w:rPr>
      <w:kern w:val="0"/>
      <w:sz w:val="24"/>
    </w:rPr>
  </w:style>
  <w:style w:type="paragraph" w:styleId="17">
    <w:name w:val="Balloon Text"/>
    <w:basedOn w:val="1"/>
    <w:link w:val="47"/>
    <w:semiHidden/>
    <w:qFormat/>
    <w:uiPriority w:val="0"/>
    <w:rPr>
      <w:sz w:val="18"/>
      <w:szCs w:val="18"/>
    </w:rPr>
  </w:style>
  <w:style w:type="paragraph" w:styleId="18">
    <w:name w:val="footer"/>
    <w:basedOn w:val="1"/>
    <w:link w:val="42"/>
    <w:semiHidden/>
    <w:qFormat/>
    <w:uiPriority w:val="0"/>
    <w:pPr>
      <w:tabs>
        <w:tab w:val="center" w:pos="4153"/>
        <w:tab w:val="right" w:pos="8306"/>
      </w:tabs>
      <w:snapToGrid w:val="0"/>
      <w:jc w:val="left"/>
    </w:pPr>
    <w:rPr>
      <w:sz w:val="18"/>
      <w:szCs w:val="18"/>
    </w:rPr>
  </w:style>
  <w:style w:type="paragraph" w:styleId="19">
    <w:name w:val="header"/>
    <w:basedOn w:val="1"/>
    <w:link w:val="52"/>
    <w:semiHidden/>
    <w:qFormat/>
    <w:uiPriority w:val="0"/>
    <w:pPr>
      <w:pBdr>
        <w:bottom w:val="single" w:color="auto" w:sz="6" w:space="1"/>
      </w:pBdr>
      <w:tabs>
        <w:tab w:val="center" w:pos="4153"/>
        <w:tab w:val="right" w:pos="8306"/>
      </w:tabs>
      <w:snapToGrid w:val="0"/>
      <w:jc w:val="center"/>
    </w:pPr>
    <w:rPr>
      <w:sz w:val="18"/>
      <w:szCs w:val="18"/>
    </w:rPr>
  </w:style>
  <w:style w:type="paragraph" w:styleId="20">
    <w:name w:val="toc 1"/>
    <w:basedOn w:val="1"/>
    <w:next w:val="1"/>
    <w:qFormat/>
    <w:uiPriority w:val="39"/>
    <w:pPr>
      <w:tabs>
        <w:tab w:val="right" w:leader="dot" w:pos="8729"/>
      </w:tabs>
      <w:spacing w:line="480" w:lineRule="auto"/>
      <w:jc w:val="left"/>
    </w:pPr>
    <w:rPr>
      <w:rFonts w:ascii="宋体" w:hAnsi="宋体"/>
      <w:b/>
      <w:caps/>
      <w:sz w:val="28"/>
      <w:szCs w:val="28"/>
    </w:rPr>
  </w:style>
  <w:style w:type="paragraph" w:styleId="21">
    <w:name w:val="List"/>
    <w:basedOn w:val="1"/>
    <w:qFormat/>
    <w:uiPriority w:val="0"/>
    <w:pPr>
      <w:ind w:left="200" w:hanging="200" w:hangingChars="200"/>
    </w:pPr>
    <w:rPr>
      <w:szCs w:val="21"/>
    </w:rPr>
  </w:style>
  <w:style w:type="paragraph" w:styleId="22">
    <w:name w:val="Body Text Indent 3"/>
    <w:basedOn w:val="1"/>
    <w:link w:val="83"/>
    <w:semiHidden/>
    <w:qFormat/>
    <w:uiPriority w:val="0"/>
    <w:pPr>
      <w:spacing w:line="360" w:lineRule="auto"/>
      <w:ind w:left="1347" w:leftChars="413" w:hanging="480" w:hangingChars="200"/>
    </w:pPr>
    <w:rPr>
      <w:rFonts w:ascii="宋体" w:hAnsi="宋体"/>
      <w:color w:val="FF0000"/>
      <w:sz w:val="24"/>
      <w:szCs w:val="24"/>
    </w:rPr>
  </w:style>
  <w:style w:type="paragraph" w:styleId="23">
    <w:name w:val="index 9"/>
    <w:basedOn w:val="1"/>
    <w:next w:val="1"/>
    <w:semiHidden/>
    <w:qFormat/>
    <w:uiPriority w:val="98"/>
    <w:pPr>
      <w:ind w:left="1600" w:leftChars="1600"/>
    </w:pPr>
  </w:style>
  <w:style w:type="paragraph" w:styleId="24">
    <w:name w:val="toc 2"/>
    <w:basedOn w:val="1"/>
    <w:next w:val="1"/>
    <w:qFormat/>
    <w:uiPriority w:val="39"/>
    <w:pPr>
      <w:ind w:left="420" w:leftChars="200"/>
    </w:pPr>
  </w:style>
  <w:style w:type="paragraph" w:styleId="25">
    <w:name w:val="Message Header"/>
    <w:basedOn w:val="1"/>
    <w:link w:val="108"/>
    <w:semiHidden/>
    <w:qFormat/>
    <w:uiPriority w:val="99"/>
    <w:pPr>
      <w:pBdr>
        <w:top w:val="single" w:color="auto" w:sz="6" w:space="1"/>
        <w:left w:val="single" w:color="auto" w:sz="6" w:space="1"/>
        <w:bottom w:val="single" w:color="auto" w:sz="6" w:space="1"/>
        <w:right w:val="single" w:color="auto" w:sz="6" w:space="1"/>
      </w:pBdr>
      <w:shd w:val="pct20" w:color="auto" w:fill="auto"/>
      <w:spacing w:after="200" w:line="276" w:lineRule="auto"/>
      <w:ind w:left="1080" w:leftChars="500" w:hanging="1080" w:hangingChars="500"/>
      <w:jc w:val="left"/>
    </w:pPr>
    <w:rPr>
      <w:rFonts w:ascii="Cambria" w:hAnsi="Cambria" w:cs="Cambria"/>
      <w:kern w:val="0"/>
      <w:sz w:val="24"/>
      <w:szCs w:val="24"/>
    </w:rPr>
  </w:style>
  <w:style w:type="paragraph" w:styleId="26">
    <w:name w:val="Normal (Web)"/>
    <w:basedOn w:val="1"/>
    <w:semiHidden/>
    <w:qFormat/>
    <w:uiPriority w:val="0"/>
    <w:pPr>
      <w:widowControl/>
      <w:adjustRightInd w:val="0"/>
      <w:spacing w:before="100" w:beforeAutospacing="1" w:after="100" w:afterAutospacing="1" w:line="312" w:lineRule="atLeast"/>
      <w:jc w:val="left"/>
      <w:textAlignment w:val="baseline"/>
    </w:pPr>
    <w:rPr>
      <w:rFonts w:ascii="宋体" w:hAnsi="宋体" w:cs="宋体"/>
      <w:kern w:val="0"/>
      <w:sz w:val="24"/>
      <w:szCs w:val="24"/>
    </w:rPr>
  </w:style>
  <w:style w:type="paragraph" w:styleId="27">
    <w:name w:val="Title"/>
    <w:basedOn w:val="1"/>
    <w:next w:val="1"/>
    <w:link w:val="70"/>
    <w:semiHidden/>
    <w:qFormat/>
    <w:uiPriority w:val="0"/>
    <w:pPr>
      <w:spacing w:before="240" w:after="60"/>
      <w:jc w:val="center"/>
      <w:outlineLvl w:val="0"/>
    </w:pPr>
    <w:rPr>
      <w:rFonts w:eastAsia="黑体" w:asciiTheme="majorHAnsi" w:hAnsiTheme="majorHAnsi" w:cstheme="majorBidi"/>
      <w:b/>
      <w:bCs/>
      <w:sz w:val="36"/>
      <w:szCs w:val="32"/>
    </w:rPr>
  </w:style>
  <w:style w:type="paragraph" w:styleId="28">
    <w:name w:val="annotation subject"/>
    <w:basedOn w:val="12"/>
    <w:next w:val="12"/>
    <w:link w:val="53"/>
    <w:semiHidden/>
    <w:qFormat/>
    <w:uiPriority w:val="98"/>
    <w:rPr>
      <w:b/>
      <w:bCs/>
    </w:rPr>
  </w:style>
  <w:style w:type="paragraph" w:styleId="29">
    <w:name w:val="Body Text First Indent 2"/>
    <w:basedOn w:val="13"/>
    <w:next w:val="24"/>
    <w:qFormat/>
    <w:uiPriority w:val="0"/>
    <w:pPr>
      <w:spacing w:line="276" w:lineRule="auto"/>
      <w:ind w:left="200" w:firstLine="200" w:firstLineChars="200"/>
      <w:jc w:val="left"/>
    </w:pPr>
  </w:style>
  <w:style w:type="table" w:styleId="31">
    <w:name w:val="Table Grid"/>
    <w:basedOn w:val="3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33">
    <w:name w:val="Strong"/>
    <w:semiHidden/>
    <w:qFormat/>
    <w:uiPriority w:val="98"/>
    <w:rPr>
      <w:b/>
    </w:rPr>
  </w:style>
  <w:style w:type="character" w:styleId="34">
    <w:name w:val="page number"/>
    <w:basedOn w:val="32"/>
    <w:semiHidden/>
    <w:qFormat/>
    <w:uiPriority w:val="0"/>
  </w:style>
  <w:style w:type="character" w:styleId="35">
    <w:name w:val="FollowedHyperlink"/>
    <w:semiHidden/>
    <w:qFormat/>
    <w:uiPriority w:val="98"/>
    <w:rPr>
      <w:color w:val="800080"/>
      <w:u w:val="single"/>
    </w:rPr>
  </w:style>
  <w:style w:type="character" w:styleId="36">
    <w:name w:val="Emphasis"/>
    <w:semiHidden/>
    <w:qFormat/>
    <w:uiPriority w:val="98"/>
    <w:rPr>
      <w:i/>
      <w:iCs/>
    </w:rPr>
  </w:style>
  <w:style w:type="character" w:styleId="37">
    <w:name w:val="Hyperlink"/>
    <w:qFormat/>
    <w:uiPriority w:val="99"/>
    <w:rPr>
      <w:rFonts w:cs="Times New Roman"/>
      <w:color w:val="1F4F88"/>
      <w:u w:val="none"/>
    </w:rPr>
  </w:style>
  <w:style w:type="character" w:styleId="38">
    <w:name w:val="annotation reference"/>
    <w:semiHidden/>
    <w:qFormat/>
    <w:uiPriority w:val="98"/>
    <w:rPr>
      <w:sz w:val="21"/>
      <w:szCs w:val="21"/>
    </w:rPr>
  </w:style>
  <w:style w:type="character" w:customStyle="1" w:styleId="39">
    <w:name w:val="Char Char3"/>
    <w:semiHidden/>
    <w:qFormat/>
    <w:uiPriority w:val="98"/>
    <w:rPr>
      <w:rFonts w:ascii="宋体" w:hAnsi="Courier New" w:eastAsia="宋体"/>
      <w:kern w:val="2"/>
      <w:sz w:val="21"/>
      <w:lang w:val="en-US" w:eastAsia="zh-CN" w:bidi="ar-SA"/>
    </w:rPr>
  </w:style>
  <w:style w:type="character" w:customStyle="1" w:styleId="40">
    <w:name w:val="纯文本 Char"/>
    <w:semiHidden/>
    <w:qFormat/>
    <w:uiPriority w:val="98"/>
    <w:rPr>
      <w:rFonts w:ascii="宋体" w:hAnsi="Courier New" w:eastAsia="宋体"/>
      <w:kern w:val="2"/>
      <w:sz w:val="21"/>
      <w:lang w:val="en-US" w:eastAsia="zh-CN" w:bidi="ar-SA"/>
    </w:rPr>
  </w:style>
  <w:style w:type="character" w:customStyle="1" w:styleId="41">
    <w:name w:val="正文文本 字符"/>
    <w:link w:val="2"/>
    <w:semiHidden/>
    <w:qFormat/>
    <w:uiPriority w:val="98"/>
    <w:rPr>
      <w:rFonts w:ascii="仿宋_GB2312" w:eastAsia="仿宋_GB2312"/>
      <w:kern w:val="2"/>
      <w:sz w:val="32"/>
    </w:rPr>
  </w:style>
  <w:style w:type="character" w:customStyle="1" w:styleId="42">
    <w:name w:val="页脚 字符"/>
    <w:link w:val="18"/>
    <w:semiHidden/>
    <w:qFormat/>
    <w:uiPriority w:val="0"/>
    <w:rPr>
      <w:kern w:val="2"/>
      <w:sz w:val="18"/>
      <w:szCs w:val="18"/>
    </w:rPr>
  </w:style>
  <w:style w:type="character" w:customStyle="1" w:styleId="43">
    <w:name w:val="标题 3 字符"/>
    <w:link w:val="6"/>
    <w:semiHidden/>
    <w:qFormat/>
    <w:uiPriority w:val="0"/>
    <w:rPr>
      <w:b/>
      <w:bCs/>
      <w:kern w:val="2"/>
      <w:sz w:val="32"/>
      <w:szCs w:val="32"/>
    </w:rPr>
  </w:style>
  <w:style w:type="character" w:customStyle="1" w:styleId="44">
    <w:name w:val="正文文本 Char"/>
    <w:semiHidden/>
    <w:qFormat/>
    <w:uiPriority w:val="98"/>
    <w:rPr>
      <w:rFonts w:ascii="仿宋_GB2312" w:eastAsia="仿宋_GB2312"/>
      <w:kern w:val="2"/>
      <w:sz w:val="32"/>
    </w:rPr>
  </w:style>
  <w:style w:type="character" w:customStyle="1" w:styleId="45">
    <w:name w:val="批注文字 字符"/>
    <w:link w:val="12"/>
    <w:qFormat/>
    <w:uiPriority w:val="99"/>
    <w:rPr>
      <w:kern w:val="2"/>
      <w:sz w:val="21"/>
    </w:rPr>
  </w:style>
  <w:style w:type="character" w:customStyle="1" w:styleId="46">
    <w:name w:val="apple-converted-space"/>
    <w:basedOn w:val="32"/>
    <w:semiHidden/>
    <w:qFormat/>
    <w:uiPriority w:val="98"/>
  </w:style>
  <w:style w:type="character" w:customStyle="1" w:styleId="47">
    <w:name w:val="批注框文本 字符"/>
    <w:link w:val="17"/>
    <w:semiHidden/>
    <w:qFormat/>
    <w:uiPriority w:val="98"/>
    <w:rPr>
      <w:kern w:val="2"/>
      <w:sz w:val="18"/>
      <w:szCs w:val="18"/>
    </w:rPr>
  </w:style>
  <w:style w:type="character" w:customStyle="1" w:styleId="48">
    <w:name w:val="正文文本缩进 字符"/>
    <w:link w:val="13"/>
    <w:semiHidden/>
    <w:qFormat/>
    <w:uiPriority w:val="0"/>
    <w:rPr>
      <w:rFonts w:ascii="Calibri" w:hAnsi="Calibri"/>
      <w:kern w:val="2"/>
      <w:sz w:val="21"/>
      <w:szCs w:val="22"/>
    </w:rPr>
  </w:style>
  <w:style w:type="character" w:customStyle="1" w:styleId="49">
    <w:name w:val="Char Char5"/>
    <w:semiHidden/>
    <w:qFormat/>
    <w:uiPriority w:val="98"/>
    <w:rPr>
      <w:rFonts w:ascii="宋体" w:hAnsi="Courier New" w:eastAsia="宋体"/>
      <w:kern w:val="2"/>
      <w:sz w:val="21"/>
      <w:lang w:val="en-US" w:eastAsia="zh-CN" w:bidi="ar-SA"/>
    </w:rPr>
  </w:style>
  <w:style w:type="character" w:customStyle="1" w:styleId="50">
    <w:name w:val="纯文本 字符1"/>
    <w:link w:val="14"/>
    <w:semiHidden/>
    <w:qFormat/>
    <w:uiPriority w:val="0"/>
    <w:rPr>
      <w:rFonts w:ascii="宋体" w:hAnsi="Courier New"/>
      <w:kern w:val="2"/>
      <w:sz w:val="21"/>
    </w:rPr>
  </w:style>
  <w:style w:type="character" w:customStyle="1" w:styleId="51">
    <w:name w:val="纯文本 字符"/>
    <w:semiHidden/>
    <w:qFormat/>
    <w:uiPriority w:val="98"/>
    <w:rPr>
      <w:rFonts w:ascii="宋体" w:hAnsi="Courier New" w:eastAsia="宋体"/>
    </w:rPr>
  </w:style>
  <w:style w:type="character" w:customStyle="1" w:styleId="52">
    <w:name w:val="页眉 字符"/>
    <w:link w:val="19"/>
    <w:semiHidden/>
    <w:qFormat/>
    <w:uiPriority w:val="0"/>
    <w:rPr>
      <w:kern w:val="2"/>
      <w:sz w:val="18"/>
      <w:szCs w:val="18"/>
    </w:rPr>
  </w:style>
  <w:style w:type="character" w:customStyle="1" w:styleId="53">
    <w:name w:val="批注主题 字符"/>
    <w:link w:val="28"/>
    <w:semiHidden/>
    <w:qFormat/>
    <w:uiPriority w:val="98"/>
    <w:rPr>
      <w:b/>
      <w:bCs/>
      <w:kern w:val="2"/>
      <w:sz w:val="21"/>
    </w:rPr>
  </w:style>
  <w:style w:type="character" w:customStyle="1" w:styleId="54">
    <w:name w:val="Char Char2"/>
    <w:semiHidden/>
    <w:qFormat/>
    <w:uiPriority w:val="98"/>
    <w:rPr>
      <w:rFonts w:ascii="宋体" w:hAnsi="Courier New" w:cs="宋体"/>
      <w:kern w:val="2"/>
      <w:sz w:val="21"/>
      <w:szCs w:val="21"/>
    </w:rPr>
  </w:style>
  <w:style w:type="character" w:customStyle="1" w:styleId="55">
    <w:name w:val="HTML Markup"/>
    <w:semiHidden/>
    <w:qFormat/>
    <w:uiPriority w:val="98"/>
    <w:rPr>
      <w:vanish/>
      <w:color w:val="FF0000"/>
    </w:rPr>
  </w:style>
  <w:style w:type="character" w:customStyle="1" w:styleId="56">
    <w:name w:val="纯文本 Char3"/>
    <w:semiHidden/>
    <w:qFormat/>
    <w:uiPriority w:val="98"/>
    <w:rPr>
      <w:rFonts w:ascii="宋体" w:hAnsi="Courier New" w:eastAsia="宋体"/>
      <w:kern w:val="2"/>
      <w:sz w:val="21"/>
      <w:lang w:val="en-US" w:eastAsia="zh-CN" w:bidi="ar-SA"/>
    </w:rPr>
  </w:style>
  <w:style w:type="character" w:customStyle="1" w:styleId="57">
    <w:name w:val="正文文本缩进 Char"/>
    <w:link w:val="58"/>
    <w:semiHidden/>
    <w:qFormat/>
    <w:uiPriority w:val="98"/>
    <w:rPr>
      <w:kern w:val="2"/>
      <w:sz w:val="21"/>
    </w:rPr>
  </w:style>
  <w:style w:type="paragraph" w:customStyle="1" w:styleId="58">
    <w:name w:val="正文文本缩进1"/>
    <w:basedOn w:val="1"/>
    <w:link w:val="57"/>
    <w:semiHidden/>
    <w:qFormat/>
    <w:uiPriority w:val="98"/>
    <w:pPr>
      <w:spacing w:after="120"/>
      <w:ind w:left="420" w:leftChars="200"/>
    </w:pPr>
  </w:style>
  <w:style w:type="paragraph" w:customStyle="1" w:styleId="59">
    <w:name w:val="1"/>
    <w:basedOn w:val="1"/>
    <w:semiHidden/>
    <w:qFormat/>
    <w:uiPriority w:val="98"/>
    <w:pPr>
      <w:widowControl/>
      <w:spacing w:before="100" w:beforeAutospacing="1" w:after="100" w:afterAutospacing="1"/>
      <w:jc w:val="left"/>
    </w:pPr>
    <w:rPr>
      <w:rFonts w:hint="eastAsia" w:ascii="宋体" w:hAnsi="宋体"/>
      <w:kern w:val="0"/>
      <w:sz w:val="24"/>
      <w:szCs w:val="24"/>
    </w:rPr>
  </w:style>
  <w:style w:type="paragraph" w:customStyle="1" w:styleId="60">
    <w:name w:val="2"/>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customStyle="1" w:styleId="61">
    <w:name w:val="Char Char Char Char Char Char1 Char"/>
    <w:basedOn w:val="1"/>
    <w:semiHidden/>
    <w:qFormat/>
    <w:uiPriority w:val="98"/>
    <w:pPr>
      <w:widowControl/>
      <w:spacing w:after="160" w:line="240" w:lineRule="exact"/>
      <w:jc w:val="left"/>
    </w:pPr>
    <w:rPr>
      <w:rFonts w:ascii="Arial" w:hAnsi="Arial" w:eastAsia="Times New Roman" w:cs="Verdana"/>
      <w:b/>
      <w:kern w:val="0"/>
      <w:sz w:val="24"/>
      <w:szCs w:val="24"/>
      <w:lang w:eastAsia="en-US" w:bidi="th-TH"/>
    </w:rPr>
  </w:style>
  <w:style w:type="paragraph" w:styleId="62">
    <w:name w:val="List Paragraph"/>
    <w:basedOn w:val="1"/>
    <w:semiHidden/>
    <w:qFormat/>
    <w:uiPriority w:val="98"/>
    <w:pPr>
      <w:ind w:firstLine="420" w:firstLineChars="200"/>
    </w:pPr>
    <w:rPr>
      <w:rFonts w:ascii="Calibri" w:hAnsi="Calibri"/>
      <w:szCs w:val="22"/>
    </w:rPr>
  </w:style>
  <w:style w:type="paragraph" w:customStyle="1" w:styleId="63">
    <w:name w:val="列出段落1"/>
    <w:basedOn w:val="1"/>
    <w:semiHidden/>
    <w:qFormat/>
    <w:uiPriority w:val="98"/>
    <w:pPr>
      <w:ind w:firstLine="420" w:firstLineChars="200"/>
    </w:pPr>
    <w:rPr>
      <w:rFonts w:ascii="Calibri" w:hAnsi="Calibri"/>
      <w:szCs w:val="22"/>
    </w:rPr>
  </w:style>
  <w:style w:type="paragraph" w:customStyle="1" w:styleId="64">
    <w:name w:val="二级列表 Char"/>
    <w:basedOn w:val="1"/>
    <w:semiHidden/>
    <w:qFormat/>
    <w:uiPriority w:val="98"/>
    <w:rPr>
      <w:rFonts w:ascii="Calibri" w:hAnsi="Calibri"/>
    </w:rPr>
  </w:style>
  <w:style w:type="paragraph" w:customStyle="1" w:styleId="65">
    <w:name w:val="Default"/>
    <w:qFormat/>
    <w:uiPriority w:val="0"/>
    <w:pPr>
      <w:widowControl w:val="0"/>
      <w:autoSpaceDE w:val="0"/>
      <w:autoSpaceDN w:val="0"/>
      <w:adjustRightInd w:val="0"/>
    </w:pPr>
    <w:rPr>
      <w:rFonts w:ascii="仿宋_GB2312" w:hAnsi="Calibri" w:eastAsia="仿宋_GB2312" w:cs="仿宋_GB2312"/>
      <w:color w:val="000000"/>
      <w:sz w:val="24"/>
      <w:szCs w:val="24"/>
      <w:lang w:val="en-US" w:eastAsia="zh-CN" w:bidi="ar-SA"/>
    </w:rPr>
  </w:style>
  <w:style w:type="character" w:customStyle="1" w:styleId="66">
    <w:name w:val="style61"/>
    <w:semiHidden/>
    <w:qFormat/>
    <w:uiPriority w:val="98"/>
  </w:style>
  <w:style w:type="character" w:customStyle="1" w:styleId="67">
    <w:name w:val="标题 1 字符"/>
    <w:basedOn w:val="32"/>
    <w:link w:val="3"/>
    <w:semiHidden/>
    <w:qFormat/>
    <w:uiPriority w:val="0"/>
    <w:rPr>
      <w:b/>
      <w:bCs/>
      <w:kern w:val="44"/>
      <w:sz w:val="44"/>
      <w:szCs w:val="44"/>
    </w:rPr>
  </w:style>
  <w:style w:type="paragraph" w:customStyle="1" w:styleId="68">
    <w:name w:val="TOC 标题1"/>
    <w:basedOn w:val="3"/>
    <w:next w:val="1"/>
    <w:semiHidden/>
    <w:qFormat/>
    <w:uiPriority w:val="39"/>
    <w:pPr>
      <w:widowControl/>
      <w:spacing w:before="240" w:after="0" w:line="259" w:lineRule="auto"/>
      <w:jc w:val="left"/>
      <w:outlineLvl w:val="9"/>
    </w:pPr>
    <w:rPr>
      <w:rFonts w:asciiTheme="majorHAnsi" w:hAnsiTheme="majorHAnsi" w:eastAsiaTheme="majorEastAsia" w:cstheme="majorBidi"/>
      <w:b w:val="0"/>
      <w:bCs w:val="0"/>
      <w:color w:val="2E75B6" w:themeColor="accent1" w:themeShade="BF"/>
      <w:kern w:val="0"/>
      <w:sz w:val="32"/>
      <w:szCs w:val="32"/>
    </w:rPr>
  </w:style>
  <w:style w:type="character" w:customStyle="1" w:styleId="69">
    <w:name w:val="标题 2 字符"/>
    <w:basedOn w:val="32"/>
    <w:link w:val="5"/>
    <w:semiHidden/>
    <w:qFormat/>
    <w:uiPriority w:val="0"/>
    <w:rPr>
      <w:rFonts w:asciiTheme="majorHAnsi" w:hAnsiTheme="majorHAnsi" w:eastAsiaTheme="majorEastAsia" w:cstheme="majorBidi"/>
      <w:b/>
      <w:bCs/>
      <w:kern w:val="2"/>
      <w:sz w:val="32"/>
      <w:szCs w:val="32"/>
    </w:rPr>
  </w:style>
  <w:style w:type="character" w:customStyle="1" w:styleId="70">
    <w:name w:val="标题 字符"/>
    <w:basedOn w:val="32"/>
    <w:link w:val="27"/>
    <w:semiHidden/>
    <w:qFormat/>
    <w:uiPriority w:val="0"/>
    <w:rPr>
      <w:rFonts w:eastAsia="黑体" w:asciiTheme="majorHAnsi" w:hAnsiTheme="majorHAnsi" w:cstheme="majorBidi"/>
      <w:b/>
      <w:bCs/>
      <w:kern w:val="2"/>
      <w:sz w:val="36"/>
      <w:szCs w:val="32"/>
    </w:rPr>
  </w:style>
  <w:style w:type="paragraph" w:customStyle="1" w:styleId="71">
    <w:name w:val="章节"/>
    <w:basedOn w:val="14"/>
    <w:qFormat/>
    <w:uiPriority w:val="0"/>
    <w:pPr>
      <w:spacing w:line="360" w:lineRule="auto"/>
      <w:jc w:val="center"/>
      <w:outlineLvl w:val="0"/>
    </w:pPr>
    <w:rPr>
      <w:rFonts w:ascii="黑体" w:eastAsia="黑体"/>
      <w:b/>
      <w:bCs/>
      <w:sz w:val="36"/>
      <w:szCs w:val="36"/>
    </w:rPr>
  </w:style>
  <w:style w:type="paragraph" w:customStyle="1" w:styleId="72">
    <w:name w:val="一级标题"/>
    <w:basedOn w:val="14"/>
    <w:qFormat/>
    <w:uiPriority w:val="1"/>
    <w:pPr>
      <w:numPr>
        <w:ilvl w:val="0"/>
        <w:numId w:val="2"/>
      </w:numPr>
      <w:spacing w:line="360" w:lineRule="auto"/>
      <w:ind w:left="420"/>
      <w:outlineLvl w:val="1"/>
    </w:pPr>
    <w:rPr>
      <w:rFonts w:ascii="黑体" w:eastAsia="黑体"/>
      <w:b/>
      <w:bCs/>
      <w:sz w:val="28"/>
    </w:rPr>
  </w:style>
  <w:style w:type="paragraph" w:customStyle="1" w:styleId="73">
    <w:name w:val="（二）级标题"/>
    <w:basedOn w:val="14"/>
    <w:qFormat/>
    <w:uiPriority w:val="2"/>
    <w:pPr>
      <w:numPr>
        <w:ilvl w:val="0"/>
        <w:numId w:val="3"/>
      </w:numPr>
      <w:spacing w:line="360" w:lineRule="auto"/>
      <w:outlineLvl w:val="2"/>
    </w:pPr>
    <w:rPr>
      <w:b/>
    </w:rPr>
  </w:style>
  <w:style w:type="paragraph" w:customStyle="1" w:styleId="74">
    <w:name w:val="3级标题"/>
    <w:basedOn w:val="14"/>
    <w:link w:val="102"/>
    <w:qFormat/>
    <w:uiPriority w:val="3"/>
    <w:pPr>
      <w:numPr>
        <w:ilvl w:val="0"/>
        <w:numId w:val="4"/>
      </w:numPr>
      <w:spacing w:line="360" w:lineRule="auto"/>
      <w:outlineLvl w:val="3"/>
    </w:pPr>
    <w:rPr>
      <w:b/>
    </w:rPr>
  </w:style>
  <w:style w:type="paragraph" w:customStyle="1" w:styleId="75">
    <w:name w:val="（4）级标题"/>
    <w:basedOn w:val="14"/>
    <w:qFormat/>
    <w:uiPriority w:val="8"/>
    <w:pPr>
      <w:numPr>
        <w:ilvl w:val="0"/>
        <w:numId w:val="5"/>
      </w:numPr>
      <w:spacing w:line="360" w:lineRule="auto"/>
      <w:outlineLvl w:val="4"/>
    </w:pPr>
  </w:style>
  <w:style w:type="paragraph" w:customStyle="1" w:styleId="76">
    <w:name w:val="标书正文"/>
    <w:basedOn w:val="14"/>
    <w:link w:val="97"/>
    <w:qFormat/>
    <w:uiPriority w:val="9"/>
    <w:pPr>
      <w:spacing w:line="360" w:lineRule="auto"/>
      <w:jc w:val="left"/>
    </w:pPr>
  </w:style>
  <w:style w:type="character" w:customStyle="1" w:styleId="77">
    <w:name w:val="标题 4 字符"/>
    <w:basedOn w:val="32"/>
    <w:link w:val="7"/>
    <w:semiHidden/>
    <w:qFormat/>
    <w:uiPriority w:val="0"/>
    <w:rPr>
      <w:rFonts w:ascii="Arial" w:hAnsi="Arial"/>
      <w:b/>
      <w:bCs/>
      <w:kern w:val="2"/>
      <w:sz w:val="21"/>
      <w:szCs w:val="28"/>
    </w:rPr>
  </w:style>
  <w:style w:type="character" w:customStyle="1" w:styleId="78">
    <w:name w:val="标题 5 字符"/>
    <w:basedOn w:val="32"/>
    <w:link w:val="8"/>
    <w:semiHidden/>
    <w:qFormat/>
    <w:uiPriority w:val="0"/>
    <w:rPr>
      <w:rFonts w:ascii="宋体" w:hAnsi="宋体"/>
      <w:bCs/>
      <w:iCs/>
      <w:color w:val="000000"/>
      <w:sz w:val="28"/>
      <w:szCs w:val="28"/>
    </w:rPr>
  </w:style>
  <w:style w:type="paragraph" w:customStyle="1" w:styleId="79">
    <w:name w:val="3"/>
    <w:qFormat/>
    <w:uiPriority w:val="0"/>
    <w:pPr>
      <w:widowControl w:val="0"/>
      <w:jc w:val="both"/>
    </w:pPr>
    <w:rPr>
      <w:rFonts w:ascii="Times New Roman" w:hAnsi="Times New Roman" w:eastAsia="宋体" w:cs="Times New Roman"/>
      <w:kern w:val="2"/>
      <w:sz w:val="21"/>
      <w:lang w:val="en-US" w:eastAsia="zh-CN" w:bidi="ar-SA"/>
    </w:rPr>
  </w:style>
  <w:style w:type="character" w:customStyle="1" w:styleId="80">
    <w:name w:val="case31"/>
    <w:qFormat/>
    <w:uiPriority w:val="0"/>
    <w:rPr>
      <w:rFonts w:hint="default" w:ascii="ˎ̥" w:hAnsi="ˎ̥"/>
      <w:sz w:val="21"/>
      <w:szCs w:val="21"/>
    </w:rPr>
  </w:style>
  <w:style w:type="character" w:customStyle="1" w:styleId="81">
    <w:name w:val="标题 2 Char"/>
    <w:qFormat/>
    <w:uiPriority w:val="0"/>
    <w:rPr>
      <w:rFonts w:ascii="宋体" w:hAnsi="宋体"/>
      <w:bCs/>
      <w:sz w:val="24"/>
      <w:szCs w:val="32"/>
    </w:rPr>
  </w:style>
  <w:style w:type="character" w:customStyle="1" w:styleId="82">
    <w:name w:val="标题 Char"/>
    <w:qFormat/>
    <w:uiPriority w:val="0"/>
    <w:rPr>
      <w:rFonts w:ascii="宋体" w:hAnsi="宋体" w:cs="Times New Roman"/>
      <w:b/>
      <w:bCs/>
      <w:sz w:val="24"/>
      <w:szCs w:val="32"/>
    </w:rPr>
  </w:style>
  <w:style w:type="character" w:customStyle="1" w:styleId="83">
    <w:name w:val="正文文本缩进 3 字符"/>
    <w:basedOn w:val="32"/>
    <w:link w:val="22"/>
    <w:semiHidden/>
    <w:qFormat/>
    <w:uiPriority w:val="0"/>
    <w:rPr>
      <w:rFonts w:ascii="宋体" w:hAnsi="宋体"/>
      <w:color w:val="FF0000"/>
      <w:kern w:val="2"/>
      <w:sz w:val="24"/>
      <w:szCs w:val="24"/>
    </w:rPr>
  </w:style>
  <w:style w:type="paragraph" w:customStyle="1" w:styleId="84">
    <w:name w:val="_Style 4"/>
    <w:basedOn w:val="3"/>
    <w:next w:val="1"/>
    <w:semiHidden/>
    <w:qFormat/>
    <w:uiPriority w:val="39"/>
    <w:pPr>
      <w:keepLines w:val="0"/>
      <w:widowControl/>
      <w:tabs>
        <w:tab w:val="left" w:pos="2400"/>
      </w:tabs>
      <w:spacing w:before="480" w:after="0" w:line="276" w:lineRule="auto"/>
      <w:ind w:left="2400" w:right="206" w:rightChars="98" w:hanging="720"/>
      <w:jc w:val="left"/>
      <w:outlineLvl w:val="9"/>
    </w:pPr>
    <w:rPr>
      <w:rFonts w:ascii="Cambria" w:hAnsi="Cambria"/>
      <w:color w:val="365F91"/>
      <w:kern w:val="0"/>
      <w:sz w:val="28"/>
      <w:szCs w:val="28"/>
    </w:rPr>
  </w:style>
  <w:style w:type="paragraph" w:customStyle="1" w:styleId="85">
    <w:name w:val="Char Char Char Char Char Char Char"/>
    <w:basedOn w:val="1"/>
    <w:qFormat/>
    <w:uiPriority w:val="0"/>
    <w:pPr>
      <w:widowControl/>
      <w:snapToGrid w:val="0"/>
      <w:spacing w:after="160" w:line="360" w:lineRule="auto"/>
      <w:jc w:val="left"/>
    </w:pPr>
    <w:rPr>
      <w:kern w:val="0"/>
      <w:sz w:val="24"/>
      <w:szCs w:val="24"/>
      <w:lang w:eastAsia="en-US"/>
    </w:rPr>
  </w:style>
  <w:style w:type="character" w:customStyle="1" w:styleId="86">
    <w:name w:val="正文文本缩进 2 字符"/>
    <w:basedOn w:val="32"/>
    <w:link w:val="16"/>
    <w:semiHidden/>
    <w:qFormat/>
    <w:uiPriority w:val="0"/>
    <w:rPr>
      <w:sz w:val="24"/>
    </w:rPr>
  </w:style>
  <w:style w:type="character" w:customStyle="1" w:styleId="87">
    <w:name w:val="日期 字符"/>
    <w:basedOn w:val="32"/>
    <w:link w:val="15"/>
    <w:semiHidden/>
    <w:qFormat/>
    <w:uiPriority w:val="0"/>
    <w:rPr>
      <w:sz w:val="24"/>
    </w:rPr>
  </w:style>
  <w:style w:type="paragraph" w:customStyle="1" w:styleId="88">
    <w:name w:val="Char1 Char Char Char Char Char Char"/>
    <w:basedOn w:val="1"/>
    <w:qFormat/>
    <w:uiPriority w:val="0"/>
    <w:rPr>
      <w:rFonts w:ascii="Tahoma" w:hAnsi="Tahoma"/>
      <w:sz w:val="24"/>
    </w:rPr>
  </w:style>
  <w:style w:type="paragraph" w:customStyle="1" w:styleId="89">
    <w:name w:val="样式1"/>
    <w:basedOn w:val="1"/>
    <w:qFormat/>
    <w:uiPriority w:val="0"/>
    <w:pPr>
      <w:adjustRightInd w:val="0"/>
      <w:spacing w:line="420" w:lineRule="auto"/>
      <w:jc w:val="center"/>
      <w:textAlignment w:val="baseline"/>
    </w:pPr>
    <w:rPr>
      <w:rFonts w:ascii="宋体"/>
      <w:kern w:val="0"/>
      <w:sz w:val="24"/>
    </w:rPr>
  </w:style>
  <w:style w:type="paragraph" w:customStyle="1" w:styleId="90">
    <w:name w:val="case3"/>
    <w:basedOn w:val="1"/>
    <w:qFormat/>
    <w:uiPriority w:val="0"/>
    <w:pPr>
      <w:widowControl/>
      <w:spacing w:before="100" w:beforeAutospacing="1" w:after="100" w:afterAutospacing="1" w:line="390" w:lineRule="atLeast"/>
      <w:jc w:val="left"/>
    </w:pPr>
    <w:rPr>
      <w:rFonts w:ascii="ˎ̥" w:hAnsi="ˎ̥" w:cs="宋体"/>
      <w:color w:val="000000"/>
      <w:kern w:val="0"/>
      <w:szCs w:val="21"/>
    </w:rPr>
  </w:style>
  <w:style w:type="paragraph" w:customStyle="1" w:styleId="91">
    <w:name w:val="general normal"/>
    <w:basedOn w:val="1"/>
    <w:qFormat/>
    <w:uiPriority w:val="0"/>
    <w:pPr>
      <w:widowControl/>
      <w:numPr>
        <w:ilvl w:val="0"/>
        <w:numId w:val="6"/>
      </w:numPr>
      <w:spacing w:before="120" w:after="120" w:line="360" w:lineRule="auto"/>
    </w:pPr>
    <w:rPr>
      <w:rFonts w:ascii="Arial" w:hAnsi="Arial"/>
      <w:kern w:val="0"/>
      <w:sz w:val="24"/>
      <w:szCs w:val="24"/>
    </w:rPr>
  </w:style>
  <w:style w:type="character" w:customStyle="1" w:styleId="92">
    <w:name w:val="文档结构图 字符"/>
    <w:basedOn w:val="32"/>
    <w:semiHidden/>
    <w:qFormat/>
    <w:uiPriority w:val="98"/>
    <w:rPr>
      <w:rFonts w:ascii="Microsoft YaHei UI" w:eastAsia="Microsoft YaHei UI"/>
      <w:kern w:val="2"/>
      <w:sz w:val="18"/>
      <w:szCs w:val="18"/>
    </w:rPr>
  </w:style>
  <w:style w:type="character" w:customStyle="1" w:styleId="93">
    <w:name w:val="文档结构图 字符1"/>
    <w:basedOn w:val="32"/>
    <w:link w:val="11"/>
    <w:semiHidden/>
    <w:qFormat/>
    <w:uiPriority w:val="0"/>
    <w:rPr>
      <w:rFonts w:ascii="宋体"/>
      <w:sz w:val="18"/>
      <w:szCs w:val="18"/>
    </w:rPr>
  </w:style>
  <w:style w:type="paragraph" w:customStyle="1" w:styleId="94">
    <w:name w:val="表格"/>
    <w:basedOn w:val="1"/>
    <w:link w:val="95"/>
    <w:qFormat/>
    <w:uiPriority w:val="10"/>
    <w:rPr>
      <w:rFonts w:ascii="宋体" w:hAnsi="宋体"/>
      <w:szCs w:val="30"/>
    </w:rPr>
  </w:style>
  <w:style w:type="character" w:customStyle="1" w:styleId="95">
    <w:name w:val="表格 字符"/>
    <w:basedOn w:val="32"/>
    <w:link w:val="94"/>
    <w:qFormat/>
    <w:uiPriority w:val="10"/>
    <w:rPr>
      <w:rFonts w:ascii="宋体" w:hAnsi="宋体"/>
      <w:kern w:val="2"/>
      <w:sz w:val="21"/>
      <w:szCs w:val="30"/>
    </w:rPr>
  </w:style>
  <w:style w:type="paragraph" w:customStyle="1" w:styleId="96">
    <w:name w:val="5）级标题"/>
    <w:basedOn w:val="76"/>
    <w:link w:val="98"/>
    <w:qFormat/>
    <w:uiPriority w:val="11"/>
    <w:pPr>
      <w:numPr>
        <w:ilvl w:val="0"/>
        <w:numId w:val="7"/>
      </w:numPr>
      <w:ind w:firstLine="0"/>
    </w:pPr>
  </w:style>
  <w:style w:type="character" w:customStyle="1" w:styleId="97">
    <w:name w:val="标书正文 字符"/>
    <w:basedOn w:val="50"/>
    <w:link w:val="76"/>
    <w:qFormat/>
    <w:uiPriority w:val="9"/>
    <w:rPr>
      <w:rFonts w:ascii="宋体" w:hAnsi="Courier New"/>
      <w:kern w:val="2"/>
      <w:sz w:val="21"/>
    </w:rPr>
  </w:style>
  <w:style w:type="character" w:customStyle="1" w:styleId="98">
    <w:name w:val="5）级标题 字符"/>
    <w:basedOn w:val="97"/>
    <w:link w:val="96"/>
    <w:qFormat/>
    <w:uiPriority w:val="11"/>
    <w:rPr>
      <w:rFonts w:ascii="宋体" w:hAnsi="Courier New"/>
      <w:kern w:val="2"/>
      <w:sz w:val="21"/>
    </w:rPr>
  </w:style>
  <w:style w:type="paragraph" w:customStyle="1" w:styleId="99">
    <w:name w:val="样式 标题 4 + 段前: 5 磅 段后: 5 磅 行距: 单倍行距"/>
    <w:next w:val="23"/>
    <w:qFormat/>
    <w:uiPriority w:val="0"/>
    <w:pPr>
      <w:keepNext/>
      <w:keepLines/>
      <w:widowControl w:val="0"/>
      <w:tabs>
        <w:tab w:val="left" w:pos="780"/>
        <w:tab w:val="left" w:pos="1680"/>
      </w:tabs>
      <w:adjustRightInd w:val="0"/>
      <w:spacing w:before="100" w:after="100" w:line="372" w:lineRule="auto"/>
      <w:ind w:left="400" w:leftChars="200" w:hanging="200" w:hangingChars="200"/>
      <w:outlineLvl w:val="3"/>
    </w:pPr>
    <w:rPr>
      <w:rFonts w:ascii="Arial" w:hAnsi="Arial" w:eastAsia="黑体" w:cs="Times New Roman"/>
      <w:b/>
      <w:sz w:val="28"/>
      <w:lang w:val="en-US" w:eastAsia="zh-CN" w:bidi="ar-SA"/>
    </w:rPr>
  </w:style>
  <w:style w:type="character" w:customStyle="1" w:styleId="100">
    <w:name w:val="Subtle Emphasis"/>
    <w:basedOn w:val="32"/>
    <w:qFormat/>
    <w:uiPriority w:val="19"/>
    <w:rPr>
      <w:rFonts w:eastAsia="宋体"/>
      <w:i/>
      <w:iCs/>
      <w:color w:val="auto"/>
      <w:sz w:val="21"/>
    </w:rPr>
  </w:style>
  <w:style w:type="paragraph" w:customStyle="1" w:styleId="101">
    <w:name w:val="⑥级标题"/>
    <w:basedOn w:val="74"/>
    <w:link w:val="103"/>
    <w:qFormat/>
    <w:uiPriority w:val="12"/>
    <w:pPr>
      <w:numPr>
        <w:numId w:val="8"/>
      </w:numPr>
    </w:pPr>
  </w:style>
  <w:style w:type="character" w:customStyle="1" w:styleId="102">
    <w:name w:val="3级标题 字符"/>
    <w:basedOn w:val="50"/>
    <w:link w:val="74"/>
    <w:qFormat/>
    <w:uiPriority w:val="3"/>
    <w:rPr>
      <w:rFonts w:ascii="宋体" w:hAnsi="Courier New"/>
      <w:b/>
      <w:kern w:val="2"/>
      <w:sz w:val="21"/>
    </w:rPr>
  </w:style>
  <w:style w:type="character" w:customStyle="1" w:styleId="103">
    <w:name w:val="⑥级标题 字符"/>
    <w:basedOn w:val="102"/>
    <w:link w:val="101"/>
    <w:qFormat/>
    <w:uiPriority w:val="12"/>
    <w:rPr>
      <w:rFonts w:ascii="宋体" w:hAnsi="Courier New"/>
      <w:kern w:val="2"/>
      <w:sz w:val="21"/>
    </w:rPr>
  </w:style>
  <w:style w:type="character" w:customStyle="1" w:styleId="104">
    <w:name w:val="电子邮件签名 字符"/>
    <w:link w:val="9"/>
    <w:semiHidden/>
    <w:qFormat/>
    <w:locked/>
    <w:uiPriority w:val="99"/>
    <w:rPr>
      <w:sz w:val="21"/>
      <w:szCs w:val="21"/>
    </w:rPr>
  </w:style>
  <w:style w:type="character" w:customStyle="1" w:styleId="105">
    <w:name w:val="电子邮件签名 字符1"/>
    <w:basedOn w:val="32"/>
    <w:semiHidden/>
    <w:qFormat/>
    <w:uiPriority w:val="98"/>
    <w:rPr>
      <w:rFonts w:ascii="Times New Roman" w:hAnsi="Times New Roman"/>
      <w:kern w:val="2"/>
      <w:sz w:val="21"/>
    </w:rPr>
  </w:style>
  <w:style w:type="character" w:customStyle="1" w:styleId="106">
    <w:name w:val="HR正文 Char"/>
    <w:link w:val="107"/>
    <w:qFormat/>
    <w:uiPriority w:val="0"/>
    <w:rPr>
      <w:kern w:val="2"/>
      <w:sz w:val="24"/>
      <w:szCs w:val="24"/>
    </w:rPr>
  </w:style>
  <w:style w:type="paragraph" w:customStyle="1" w:styleId="107">
    <w:name w:val="HR正文"/>
    <w:basedOn w:val="1"/>
    <w:link w:val="106"/>
    <w:qFormat/>
    <w:uiPriority w:val="0"/>
    <w:pPr>
      <w:spacing w:line="300" w:lineRule="auto"/>
      <w:ind w:firstLine="200" w:firstLineChars="200"/>
    </w:pPr>
    <w:rPr>
      <w:rFonts w:ascii="Calibri" w:hAnsi="Calibri"/>
      <w:sz w:val="24"/>
      <w:szCs w:val="24"/>
    </w:rPr>
  </w:style>
  <w:style w:type="character" w:customStyle="1" w:styleId="108">
    <w:name w:val="信息标题 字符"/>
    <w:link w:val="25"/>
    <w:semiHidden/>
    <w:qFormat/>
    <w:locked/>
    <w:uiPriority w:val="99"/>
    <w:rPr>
      <w:rFonts w:ascii="Cambria" w:hAnsi="Cambria" w:cs="Cambria"/>
      <w:sz w:val="24"/>
      <w:szCs w:val="24"/>
      <w:shd w:val="pct20" w:color="auto" w:fill="auto"/>
    </w:rPr>
  </w:style>
  <w:style w:type="character" w:customStyle="1" w:styleId="109">
    <w:name w:val="信息标题 字符1"/>
    <w:basedOn w:val="32"/>
    <w:semiHidden/>
    <w:qFormat/>
    <w:uiPriority w:val="98"/>
    <w:rPr>
      <w:rFonts w:asciiTheme="majorHAnsi" w:hAnsiTheme="majorHAnsi" w:eastAsiaTheme="majorEastAsia" w:cstheme="majorBidi"/>
      <w:kern w:val="2"/>
      <w:sz w:val="24"/>
      <w:szCs w:val="24"/>
      <w:shd w:val="pct20" w:color="auto" w:fill="auto"/>
    </w:rPr>
  </w:style>
  <w:style w:type="character" w:customStyle="1" w:styleId="110">
    <w:name w:val="页眉 Char1"/>
    <w:semiHidden/>
    <w:qFormat/>
    <w:locked/>
    <w:uiPriority w:val="0"/>
    <w:rPr>
      <w:rFonts w:ascii="Calibri" w:hAnsi="Calibri"/>
      <w:sz w:val="18"/>
      <w:szCs w:val="18"/>
    </w:rPr>
  </w:style>
  <w:style w:type="paragraph" w:customStyle="1" w:styleId="111">
    <w:name w:val="1正文段落"/>
    <w:basedOn w:val="1"/>
    <w:qFormat/>
    <w:uiPriority w:val="0"/>
    <w:pPr>
      <w:spacing w:line="360" w:lineRule="auto"/>
      <w:ind w:firstLine="480" w:firstLineChars="200"/>
      <w:jc w:val="left"/>
    </w:pPr>
    <w:rPr>
      <w:kern w:val="0"/>
      <w:szCs w:val="20"/>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header" Target="header2.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1.xml"/><Relationship Id="rId13" Type="http://schemas.openxmlformats.org/officeDocument/2006/relationships/numbering" Target="numbering.xml"/><Relationship Id="rId12" Type="http://schemas.openxmlformats.org/officeDocument/2006/relationships/image" Target="media/image2.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2" Type="http://schemas.openxmlformats.org/officeDocument/2006/relationships/image" Target="media/image1.png"/><Relationship Id="rId1" Type="http://schemas.openxmlformats.org/officeDocument/2006/relationships/oleObject" Target="embeddings/oleObject1.bin"/></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7DF9C98-D277-4712-ADC3-6032391F0299}">
  <ds:schemaRefs/>
</ds:datastoreItem>
</file>

<file path=docProps/app.xml><?xml version="1.0" encoding="utf-8"?>
<Properties xmlns="http://schemas.openxmlformats.org/officeDocument/2006/extended-properties" xmlns:vt="http://schemas.openxmlformats.org/officeDocument/2006/docPropsVTypes">
  <Template>Normal.dotm</Template>
  <Company>Hewlett-Packard Company</Company>
  <Pages>41</Pages>
  <Words>21962</Words>
  <Characters>23086</Characters>
  <Lines>127</Lines>
  <Paragraphs>35</Paragraphs>
  <TotalTime>484</TotalTime>
  <ScaleCrop>false</ScaleCrop>
  <LinksUpToDate>false</LinksUpToDate>
  <CharactersWithSpaces>24016</CharactersWithSpaces>
  <Application>WPS Office_11.1.0.12173_F1E327BC-269C-435d-A152-05C5408002CA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2020-06-30T00:26:00Z</dcterms:created>
  <dc:creator>微软用户</dc:creator>
  <cp:lastModifiedBy>赵翊旭</cp:lastModifiedBy>
  <cp:lastPrinted>2020-06-28T02:28:00Z</cp:lastPrinted>
  <dcterms:modified xsi:type="dcterms:W3CDTF">2026-02-24T05:42:51Z</dcterms:modified>
  <cp:revision>171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2052-11.1.0.12173</vt:lpwstr>
  </property>
  <property fmtid="{D5CDD505-2E9C-101B-9397-08002B2CF9AE}" pid="3" name="ICV">
    <vt:lpwstr>C4E667CF26604F52AD561790FE42A8A8_13</vt:lpwstr>
  </property>
</Properties>
</file>