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18CBF8EA">
      <w:pPr>
        <w:ind w:right="280"/>
        <w:jc w:val="center"/>
        <w:rPr>
          <w:sz w:val="28"/>
          <w:szCs w:val="28"/>
        </w:rPr>
      </w:pPr>
      <w:r>
        <w:rPr>
          <w:rFonts w:hint="eastAsia" w:ascii="楷体_GB2312" w:hAnsi="宋体" w:eastAsia="楷体_GB2312"/>
          <w:sz w:val="52"/>
          <w:szCs w:val="52"/>
          <w:highlight w:val="yellow"/>
        </w:rPr>
        <w:t>2026年车架一部桥分装项目</w:t>
      </w: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FSCZB2025110420</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人：中国重汽集团济南卡车股份有限公司制造公司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2026年车架一部桥分装项目</w:t>
      </w:r>
    </w:p>
    <w:p w14:paraId="15020D03">
      <w:pPr>
        <w:pStyle w:val="73"/>
      </w:pPr>
      <w:r>
        <w:rPr>
          <w:rFonts w:hint="eastAsia"/>
        </w:rPr>
        <w:t>项目编号：</w:t>
      </w:r>
      <w:r>
        <w:rPr>
          <w:rFonts w:hint="eastAsia"/>
          <w:highlight w:val="yellow"/>
        </w:rPr>
        <w:t xml:space="preserve"> FSCZB2025110420</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rPr>
        <w:t>2026年车架一部桥分装项目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10</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15</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yellow"/>
          <w:lang w:eastAsia="zh-CN"/>
        </w:rPr>
        <w:t>、</w:t>
      </w:r>
      <w:r>
        <w:rPr>
          <w:rFonts w:hint="eastAsia"/>
          <w:highlight w:val="yellow"/>
          <w:lang w:val="en-US" w:eastAsia="zh-CN"/>
        </w:rPr>
        <w:t>山东省阳光采购平台</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中国重汽集团济南卡车股份有限公司制造公司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lang w:val="en-US" w:eastAsia="zh-CN"/>
        </w:rPr>
        <w:t>杨淑清</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电话：13210630938</w:t>
      </w:r>
    </w:p>
    <w:p w14:paraId="774EF198">
      <w:pPr>
        <w:pStyle w:val="72"/>
        <w:numPr>
          <w:ilvl w:val="0"/>
          <w:numId w:val="0"/>
        </w:numPr>
        <w:ind w:leftChars="0" w:firstLine="422" w:firstLineChars="200"/>
        <w:rPr>
          <w:highlight w:val="yellow"/>
        </w:rPr>
      </w:pPr>
      <w:r>
        <w:rPr>
          <w:rFonts w:hint="eastAsia" w:ascii="宋体" w:hAnsi="宋体" w:eastAsia="宋体" w:cs="宋体"/>
          <w:b/>
          <w:bCs/>
          <w:sz w:val="21"/>
          <w:szCs w:val="21"/>
        </w:rPr>
        <w:t>邮箱：yangshuqing1@sinotruk.com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26</w:t>
      </w:r>
      <w:r>
        <w:rPr>
          <w:rFonts w:hint="eastAsia"/>
        </w:rPr>
        <w:t>日</w:t>
      </w:r>
    </w:p>
    <w:p w14:paraId="04C96706">
      <w:pPr>
        <w:pStyle w:val="76"/>
      </w:pPr>
    </w:p>
    <w:p w14:paraId="3D820EEC">
      <w:pPr>
        <w:pStyle w:val="71"/>
      </w:pPr>
      <w:bookmarkStart w:id="5" w:name="_Toc7753"/>
      <w:bookmarkStart w:id="6" w:name="_Toc47976595"/>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w:t>
      </w:r>
    </w:p>
    <w:p w14:paraId="03FB8D3F">
      <w:pPr>
        <w:pStyle w:val="76"/>
        <w:numPr>
          <w:ilvl w:val="0"/>
          <w:numId w:val="0"/>
        </w:numPr>
        <w:ind w:leftChars="0"/>
        <w:rPr>
          <w:rFonts w:hint="eastAsia"/>
        </w:rPr>
      </w:pPr>
      <w:r>
        <w:rPr>
          <w:rFonts w:hint="eastAsia"/>
        </w:rPr>
        <w:t>根据生产需求，中国重汽集团济南卡车股份有限公司（莱芜工厂）拟将桥分装业务进行外包。具体情况如下：</w:t>
      </w:r>
    </w:p>
    <w:p w14:paraId="658F5C6A">
      <w:pPr>
        <w:pStyle w:val="76"/>
        <w:numPr>
          <w:ilvl w:val="0"/>
          <w:numId w:val="0"/>
        </w:numPr>
        <w:ind w:leftChars="0" w:firstLine="210" w:firstLineChars="100"/>
        <w:rPr>
          <w:rFonts w:hint="eastAsia"/>
        </w:rPr>
      </w:pPr>
      <w:r>
        <w:rPr>
          <w:rFonts w:hint="eastAsia"/>
        </w:rPr>
        <w:t>1、设备清单： 4台加注机、KBK轻型起重机及定值拧紧机若干台。</w:t>
      </w:r>
    </w:p>
    <w:p w14:paraId="23DA8254">
      <w:pPr>
        <w:pStyle w:val="76"/>
        <w:numPr>
          <w:ilvl w:val="0"/>
          <w:numId w:val="0"/>
        </w:numPr>
        <w:ind w:leftChars="0" w:firstLine="210" w:firstLineChars="100"/>
        <w:rPr>
          <w:rFonts w:hint="eastAsia"/>
        </w:rPr>
      </w:pPr>
      <w:r>
        <w:rPr>
          <w:rFonts w:hint="eastAsia"/>
        </w:rPr>
        <w:t>2、人员：前桥分装线单班定员19人，中桥分装线单班定员28人，后桥分装线单班定员30人，目前双班制，后期根据产量变化灵活调整生产班次。</w:t>
      </w:r>
    </w:p>
    <w:p w14:paraId="7FD234E8">
      <w:pPr>
        <w:pStyle w:val="76"/>
        <w:numPr>
          <w:ilvl w:val="0"/>
          <w:numId w:val="0"/>
        </w:numPr>
        <w:ind w:leftChars="0" w:firstLine="210" w:firstLineChars="100"/>
        <w:rPr>
          <w:rFonts w:hint="eastAsia"/>
        </w:rPr>
      </w:pPr>
      <w:r>
        <w:rPr>
          <w:rFonts w:hint="eastAsia"/>
        </w:rPr>
        <w:t>3、产量：桥分装的生产节拍2.46min/件，年度预计产量前桥126498件、中桥89085件，后桥114012件。</w:t>
      </w:r>
    </w:p>
    <w:p w14:paraId="2CB3E02E">
      <w:pPr>
        <w:pStyle w:val="76"/>
        <w:numPr>
          <w:ilvl w:val="0"/>
          <w:numId w:val="0"/>
        </w:numPr>
        <w:ind w:leftChars="0" w:firstLine="210" w:firstLineChars="100"/>
      </w:pPr>
      <w:r>
        <w:rPr>
          <w:rFonts w:hint="eastAsia"/>
        </w:rPr>
        <w:t>4、标的物：桥分装总成及产品件的装配。</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06E87C07">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（1）营业执照必须具有相关业务资质；投标人须具有履行合同所必须的财务、技术质量、服务等方面的资质和能力；</w:t>
      </w:r>
    </w:p>
    <w:p w14:paraId="53CB936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（2）公司注册资本不少于500万元（人民币），注册时间3年以上，以投标之日计算；</w:t>
      </w:r>
    </w:p>
    <w:p w14:paraId="2400516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（3）必须具有三年以上的相关工作经历和成功的类似工程案例；</w:t>
      </w:r>
    </w:p>
    <w:p w14:paraId="7198F35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（4）在社会上和重汽集团内的其它招标过程中没有不良行为记录</w:t>
      </w:r>
    </w:p>
    <w:p w14:paraId="0493269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（5）投标人必须是最终投标、签订合同的单位，不得以任何理由将已中标项目以任何形式转包给其他单位；</w:t>
      </w:r>
    </w:p>
    <w:p w14:paraId="7C65C32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（6）具有健全的财务会计制度，财务状况和市场行为良好。没有处于被有权机关吊销营业执照、吊销资质、停业整顿、取消投标资格以及财产被接管、冻结或进入破产程序等。</w:t>
      </w:r>
    </w:p>
    <w:p w14:paraId="12CFF719">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（7）法律法规对合格投标人的其它要求、规定；</w:t>
      </w:r>
    </w:p>
    <w:p w14:paraId="226AAFB4">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（8）不接受联合体投标。</w:t>
      </w:r>
    </w:p>
    <w:p w14:paraId="3F392B7E">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（9）满足技术、质量、资金等要求，财务状况良好、经营稳定，具有全面履约的能力，能提供相关信用等级和完税证明；</w:t>
      </w:r>
    </w:p>
    <w:p w14:paraId="19F68FB5">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（10）投标方之间必须具有充分的竞争关系；</w:t>
      </w:r>
    </w:p>
    <w:p w14:paraId="68808D2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（11）在“国家企业信用信息公示系统”、“中国执行信息公开网”、“信用中国”、“天眼查”“裁判文书网”等信息平台中，无与招标项目有关的重大行政处罚及失信记录等信息；</w:t>
      </w:r>
    </w:p>
    <w:p w14:paraId="393DCBC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（12）无招标违规、谎报年度报告信息、提供虚假资质资料等行为或其他与招标项目有关的重大行政处罚记录；</w:t>
      </w:r>
    </w:p>
    <w:p w14:paraId="7968513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（13）没有被重汽集团列入黑名单；</w:t>
      </w:r>
    </w:p>
    <w:p w14:paraId="3339A7C9">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b w:val="0"/>
          <w:bCs/>
          <w:strike w:val="0"/>
          <w:dstrike w:val="0"/>
          <w:highlight w:val="none"/>
        </w:rPr>
      </w:pPr>
      <w:r>
        <w:rPr>
          <w:rFonts w:hint="eastAsia"/>
          <w:b w:val="0"/>
          <w:bCs/>
          <w:strike w:val="0"/>
          <w:dstrike w:val="0"/>
          <w:highlight w:val="none"/>
        </w:rPr>
        <w:t>（14）投标方的直接或间接股东、法定代表人、董事、监事、高管非重汽员工及其亲属。</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26</w:t>
      </w:r>
      <w:r>
        <w:rPr>
          <w:rFonts w:hint="eastAsia" w:ascii="宋体" w:hAnsi="Courier New" w:eastAsia="宋体" w:cs="Times New Roman"/>
          <w:highlight w:val="yellow"/>
          <w:lang w:val="en-US" w:eastAsia="zh-CN"/>
        </w:rPr>
        <w:t>日</w:t>
      </w:r>
    </w:p>
    <w:p w14:paraId="39B4A55D">
      <w:pPr>
        <w:pStyle w:val="76"/>
        <w:numPr>
          <w:ilvl w:val="0"/>
          <w:numId w:val="14"/>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p>
    <w:p w14:paraId="40FAA4B7">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4"/>
        </w:numPr>
        <w:jc w:val="both"/>
        <w:rPr>
          <w:highlight w:val="yellow"/>
        </w:rPr>
      </w:pPr>
      <w:r>
        <w:rPr>
          <w:rFonts w:hint="eastAsia"/>
          <w:highlight w:val="yellow"/>
        </w:rPr>
        <w:t>报名方式：在“中国重汽e采通”平台报名</w:t>
      </w:r>
    </w:p>
    <w:p w14:paraId="36FDB5A2">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w:t>
      </w:r>
      <w:r>
        <w:rPr>
          <w:rFonts w:hint="eastAsia" w:hAnsi="宋体" w:cs="宋体"/>
          <w:sz w:val="24"/>
          <w:szCs w:val="24"/>
          <w:highlight w:val="yellow"/>
          <w:lang w:val="en-US" w:eastAsia="zh-CN"/>
        </w:rPr>
        <w:t>12</w:t>
      </w:r>
      <w:r>
        <w:rPr>
          <w:rFonts w:hint="eastAsia" w:hAnsi="宋体" w:cs="宋体"/>
          <w:sz w:val="24"/>
          <w:szCs w:val="24"/>
          <w:highlight w:val="yellow"/>
        </w:rPr>
        <w:t>月</w:t>
      </w:r>
      <w:r>
        <w:rPr>
          <w:rFonts w:hint="eastAsia" w:hAnsi="宋体" w:cs="宋体"/>
          <w:sz w:val="24"/>
          <w:szCs w:val="24"/>
          <w:highlight w:val="yellow"/>
          <w:lang w:val="en-US" w:eastAsia="zh-CN"/>
        </w:rPr>
        <w:t>10</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6"/>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19"/>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19"/>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19"/>
        </w:numPr>
        <w:ind w:left="425" w:leftChars="0" w:hanging="425" w:firstLineChars="0"/>
        <w:rPr>
          <w:b w:val="0"/>
          <w:bCs/>
          <w:highlight w:val="yellow"/>
        </w:rPr>
      </w:pPr>
      <w:r>
        <w:rPr>
          <w:rFonts w:hint="eastAsia"/>
          <w:b w:val="0"/>
          <w:bCs/>
          <w:highlight w:val="yellow"/>
        </w:rPr>
        <w:t>技术规格偏离表；</w:t>
      </w:r>
    </w:p>
    <w:p w14:paraId="47175D6D">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0"/>
        </w:numPr>
        <w:ind w:left="425" w:leftChars="0" w:hanging="425" w:firstLineChars="0"/>
        <w:rPr>
          <w:b w:val="0"/>
          <w:bCs/>
          <w:highlight w:val="yellow"/>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与技术联系人商议拟定）</w:t>
      </w:r>
      <w:r>
        <w:rPr>
          <w:rFonts w:hint="eastAsia"/>
          <w:b w:val="0"/>
          <w:bCs/>
          <w:highlight w:val="yellow"/>
        </w:rPr>
        <w:t>；</w:t>
      </w:r>
    </w:p>
    <w:p w14:paraId="53DECE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1095.21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1"/>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1"/>
        </w:numPr>
        <w:rPr>
          <w:bCs/>
        </w:rPr>
      </w:pPr>
      <w:r>
        <w:rPr>
          <w:rFonts w:hint="eastAsia"/>
          <w:bCs/>
        </w:rPr>
        <w:t>联系人及联系方式：郭朝琛/</w:t>
      </w:r>
      <w:r>
        <w:rPr>
          <w:rFonts w:hint="eastAsia"/>
          <w:bCs/>
          <w:lang w:val="en-US" w:eastAsia="zh-CN"/>
        </w:rPr>
        <w:t>17860606311</w:t>
      </w:r>
    </w:p>
    <w:p w14:paraId="38E5AAE5">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15</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20万</w:t>
      </w:r>
      <w:r>
        <w:rPr>
          <w:rFonts w:hint="eastAsia" w:ascii="宋体" w:hAnsi="宋体" w:eastAsia="宋体" w:cs="宋体"/>
          <w:b w:val="0"/>
          <w:bCs w:val="0"/>
          <w:sz w:val="21"/>
          <w:szCs w:val="21"/>
          <w:highlight w:val="none"/>
        </w:rPr>
        <w:t>元</w:t>
      </w:r>
    </w:p>
    <w:p w14:paraId="64CA6B1B">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开户名称：中国重汽集团济南卡车股份有限公司</w:t>
      </w:r>
      <w:r>
        <w:rPr>
          <w:rFonts w:ascii="宋体" w:hAnsi="宋体" w:eastAsia="宋体" w:cs="宋体"/>
          <w:sz w:val="24"/>
          <w:szCs w:val="24"/>
        </w:rPr>
        <w:br w:type="textWrapping"/>
      </w:r>
      <w:r>
        <w:rPr>
          <w:rFonts w:ascii="宋体" w:hAnsi="宋体" w:eastAsia="宋体" w:cs="宋体"/>
          <w:sz w:val="24"/>
          <w:szCs w:val="24"/>
        </w:rPr>
        <w:t>开户银行：招商银行股份有限公司济南分行营业部</w:t>
      </w:r>
      <w:r>
        <w:rPr>
          <w:rFonts w:ascii="宋体" w:hAnsi="宋体" w:eastAsia="宋体" w:cs="宋体"/>
          <w:sz w:val="24"/>
          <w:szCs w:val="24"/>
        </w:rPr>
        <w:br w:type="textWrapping"/>
      </w:r>
      <w:r>
        <w:rPr>
          <w:rFonts w:ascii="宋体" w:hAnsi="宋体" w:eastAsia="宋体" w:cs="宋体"/>
          <w:sz w:val="24"/>
          <w:szCs w:val="24"/>
        </w:rPr>
        <w:t>银行帐号：531900051810601</w:t>
      </w:r>
      <w:r>
        <w:rPr>
          <w:rFonts w:ascii="宋体" w:hAnsi="宋体" w:eastAsia="宋体" w:cs="宋体"/>
          <w:sz w:val="24"/>
          <w:szCs w:val="24"/>
        </w:rPr>
        <w:br w:type="textWrapping"/>
      </w:r>
      <w:r>
        <w:rPr>
          <w:rFonts w:ascii="宋体" w:hAnsi="宋体" w:eastAsia="宋体" w:cs="宋体"/>
          <w:sz w:val="24"/>
          <w:szCs w:val="24"/>
        </w:rPr>
        <w:t>财务电话：0531-58067031</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15</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7D70F083">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15</w:t>
      </w:r>
      <w:bookmarkStart w:id="38" w:name="_GoBack"/>
      <w:bookmarkEnd w:id="38"/>
      <w:r>
        <w:rPr>
          <w:rFonts w:hint="eastAsia" w:ascii="宋体" w:hAnsi="宋体" w:eastAsia="宋体" w:cs="宋体"/>
          <w:b w:val="0"/>
          <w:bCs w:val="0"/>
          <w:sz w:val="21"/>
          <w:szCs w:val="21"/>
          <w:highlight w:val="yellow"/>
        </w:rPr>
        <w:t>日9:00:00</w:t>
      </w:r>
    </w:p>
    <w:p w14:paraId="26008F0B">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5816947">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A3A33A9">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69021D98">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投标人得分＝∑评委评价得分/评委人数＋商务标得分</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0"/>
        <w:tblW w:w="106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831"/>
        <w:gridCol w:w="1134"/>
        <w:gridCol w:w="1134"/>
        <w:gridCol w:w="5406"/>
        <w:gridCol w:w="1276"/>
      </w:tblGrid>
      <w:tr w14:paraId="714E4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46" w:type="dxa"/>
            <w:noWrap w:val="0"/>
            <w:vAlign w:val="center"/>
          </w:tcPr>
          <w:p w14:paraId="44EC0163">
            <w:pPr>
              <w:jc w:val="center"/>
              <w:rPr>
                <w:rFonts w:hint="eastAsia" w:ascii="宋体" w:hAnsi="宋体"/>
                <w:b/>
                <w:bCs/>
                <w:sz w:val="21"/>
                <w:szCs w:val="21"/>
              </w:rPr>
            </w:pPr>
            <w:r>
              <w:rPr>
                <w:rFonts w:hint="eastAsia" w:ascii="宋体" w:hAnsi="宋体"/>
                <w:b/>
                <w:bCs/>
                <w:sz w:val="21"/>
                <w:szCs w:val="21"/>
              </w:rPr>
              <w:t>评标因素</w:t>
            </w:r>
          </w:p>
        </w:tc>
        <w:tc>
          <w:tcPr>
            <w:tcW w:w="831" w:type="dxa"/>
            <w:noWrap w:val="0"/>
            <w:vAlign w:val="center"/>
          </w:tcPr>
          <w:p w14:paraId="2C6C14FF">
            <w:pPr>
              <w:jc w:val="center"/>
              <w:rPr>
                <w:rFonts w:hint="eastAsia" w:ascii="宋体" w:hAnsi="宋体"/>
                <w:b/>
                <w:bCs/>
                <w:sz w:val="21"/>
                <w:szCs w:val="21"/>
              </w:rPr>
            </w:pPr>
            <w:r>
              <w:rPr>
                <w:rFonts w:hint="eastAsia" w:ascii="宋体" w:hAnsi="宋体"/>
                <w:b/>
                <w:bCs/>
                <w:sz w:val="21"/>
                <w:szCs w:val="21"/>
              </w:rPr>
              <w:t>总分</w:t>
            </w:r>
          </w:p>
        </w:tc>
        <w:tc>
          <w:tcPr>
            <w:tcW w:w="2268" w:type="dxa"/>
            <w:gridSpan w:val="2"/>
            <w:noWrap w:val="0"/>
            <w:vAlign w:val="center"/>
          </w:tcPr>
          <w:p w14:paraId="397987A4">
            <w:pPr>
              <w:jc w:val="center"/>
              <w:rPr>
                <w:rFonts w:hint="eastAsia" w:ascii="宋体" w:hAnsi="宋体"/>
                <w:b/>
                <w:bCs/>
                <w:sz w:val="21"/>
                <w:szCs w:val="21"/>
              </w:rPr>
            </w:pPr>
            <w:r>
              <w:rPr>
                <w:rFonts w:hint="eastAsia" w:ascii="宋体" w:hAnsi="宋体"/>
                <w:b/>
                <w:bCs/>
                <w:sz w:val="21"/>
                <w:szCs w:val="21"/>
              </w:rPr>
              <w:t>评审内容</w:t>
            </w:r>
          </w:p>
        </w:tc>
        <w:tc>
          <w:tcPr>
            <w:tcW w:w="5406" w:type="dxa"/>
            <w:noWrap w:val="0"/>
            <w:vAlign w:val="center"/>
          </w:tcPr>
          <w:p w14:paraId="30259CF1">
            <w:pPr>
              <w:jc w:val="center"/>
              <w:rPr>
                <w:rFonts w:hint="eastAsia" w:ascii="宋体" w:hAnsi="宋体"/>
                <w:b/>
                <w:bCs/>
                <w:sz w:val="21"/>
                <w:szCs w:val="21"/>
              </w:rPr>
            </w:pPr>
            <w:r>
              <w:rPr>
                <w:rFonts w:hint="eastAsia" w:ascii="宋体" w:hAnsi="宋体"/>
                <w:b/>
                <w:bCs/>
                <w:sz w:val="21"/>
                <w:szCs w:val="21"/>
              </w:rPr>
              <w:t>评分标准</w:t>
            </w:r>
          </w:p>
        </w:tc>
        <w:tc>
          <w:tcPr>
            <w:tcW w:w="1276" w:type="dxa"/>
            <w:noWrap w:val="0"/>
            <w:vAlign w:val="center"/>
          </w:tcPr>
          <w:p w14:paraId="11F33904">
            <w:pPr>
              <w:jc w:val="center"/>
              <w:rPr>
                <w:rFonts w:hint="eastAsia" w:ascii="宋体" w:hAnsi="宋体"/>
                <w:b/>
                <w:bCs/>
                <w:sz w:val="21"/>
                <w:szCs w:val="21"/>
              </w:rPr>
            </w:pPr>
            <w:r>
              <w:rPr>
                <w:rFonts w:hint="eastAsia" w:ascii="宋体" w:hAnsi="宋体"/>
                <w:b/>
                <w:bCs/>
                <w:sz w:val="21"/>
                <w:szCs w:val="21"/>
              </w:rPr>
              <w:t>最高得分</w:t>
            </w:r>
          </w:p>
        </w:tc>
      </w:tr>
      <w:tr w14:paraId="64848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10627" w:type="dxa"/>
            <w:gridSpan w:val="6"/>
            <w:noWrap w:val="0"/>
            <w:vAlign w:val="top"/>
          </w:tcPr>
          <w:p w14:paraId="3EEB824F">
            <w:pPr>
              <w:rPr>
                <w:rFonts w:hint="eastAsia" w:ascii="宋体" w:hAnsi="宋体"/>
                <w:b/>
                <w:bCs/>
                <w:sz w:val="21"/>
                <w:szCs w:val="21"/>
              </w:rPr>
            </w:pPr>
            <w:r>
              <w:rPr>
                <w:rFonts w:hint="eastAsia" w:ascii="宋体" w:hAnsi="宋体"/>
                <w:b/>
                <w:bCs/>
                <w:sz w:val="21"/>
                <w:szCs w:val="21"/>
              </w:rPr>
              <w:t>一、技术因素</w:t>
            </w:r>
          </w:p>
        </w:tc>
      </w:tr>
      <w:tr w14:paraId="4FEC5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0627" w:type="dxa"/>
            <w:gridSpan w:val="6"/>
            <w:noWrap w:val="0"/>
            <w:vAlign w:val="top"/>
          </w:tcPr>
          <w:p w14:paraId="3CFCE50E">
            <w:pPr>
              <w:rPr>
                <w:rFonts w:hint="eastAsia" w:ascii="宋体" w:hAnsi="宋体"/>
                <w:sz w:val="21"/>
                <w:szCs w:val="21"/>
              </w:rPr>
            </w:pPr>
            <w:r>
              <w:rPr>
                <w:rFonts w:hint="eastAsia" w:ascii="宋体" w:hAnsi="宋体"/>
                <w:sz w:val="21"/>
                <w:szCs w:val="21"/>
              </w:rPr>
              <w:t>1、技术评分标准要量化，各项目权重合理。</w:t>
            </w:r>
          </w:p>
        </w:tc>
      </w:tr>
      <w:tr w14:paraId="215F4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0627" w:type="dxa"/>
            <w:gridSpan w:val="6"/>
            <w:noWrap w:val="0"/>
            <w:vAlign w:val="top"/>
          </w:tcPr>
          <w:p w14:paraId="4D4A7DED">
            <w:pPr>
              <w:rPr>
                <w:rFonts w:hint="eastAsia" w:ascii="宋体" w:hAnsi="宋体"/>
                <w:sz w:val="21"/>
                <w:szCs w:val="21"/>
              </w:rPr>
            </w:pPr>
            <w:r>
              <w:rPr>
                <w:rFonts w:hint="eastAsia" w:ascii="宋体" w:hAnsi="宋体"/>
                <w:sz w:val="21"/>
                <w:szCs w:val="21"/>
              </w:rPr>
              <w:t>依照技术方案、质量保障、服务及其他评价内容的优先次序，根据分项评价值进行排名。若上述排名皆相同的，则由全体评委成员无记名投票，得票高者排序在前。</w:t>
            </w:r>
          </w:p>
        </w:tc>
      </w:tr>
      <w:tr w14:paraId="1687A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10627" w:type="dxa"/>
            <w:gridSpan w:val="6"/>
            <w:noWrap w:val="0"/>
            <w:vAlign w:val="top"/>
          </w:tcPr>
          <w:p w14:paraId="5383A575">
            <w:pPr>
              <w:rPr>
                <w:rFonts w:hint="eastAsia" w:ascii="宋体" w:hAnsi="宋体"/>
                <w:sz w:val="21"/>
                <w:szCs w:val="21"/>
              </w:rPr>
            </w:pPr>
            <w:r>
              <w:rPr>
                <w:rFonts w:hint="eastAsia" w:ascii="宋体" w:hAnsi="宋体"/>
                <w:sz w:val="21"/>
                <w:szCs w:val="21"/>
              </w:rPr>
              <w:t>2、评委打分不得超过得分界限。</w:t>
            </w:r>
          </w:p>
        </w:tc>
      </w:tr>
      <w:tr w14:paraId="75288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restart"/>
            <w:noWrap w:val="0"/>
            <w:vAlign w:val="center"/>
          </w:tcPr>
          <w:p w14:paraId="25D99478">
            <w:pPr>
              <w:jc w:val="center"/>
              <w:rPr>
                <w:rFonts w:hint="default" w:ascii="宋体" w:hAnsi="宋体" w:eastAsia="宋体"/>
                <w:sz w:val="21"/>
                <w:szCs w:val="21"/>
                <w:lang w:val="en-US" w:eastAsia="zh-CN"/>
              </w:rPr>
            </w:pPr>
            <w:r>
              <w:rPr>
                <w:rFonts w:hint="eastAsia" w:ascii="宋体" w:hAnsi="宋体"/>
                <w:sz w:val="21"/>
                <w:szCs w:val="21"/>
              </w:rPr>
              <w:t>技术因素</w:t>
            </w:r>
            <w:r>
              <w:rPr>
                <w:rFonts w:hint="eastAsia" w:ascii="宋体" w:hAnsi="宋体"/>
                <w:sz w:val="21"/>
                <w:szCs w:val="21"/>
                <w:lang w:eastAsia="zh-CN"/>
              </w:rPr>
              <w:t>（</w:t>
            </w:r>
            <w:r>
              <w:rPr>
                <w:rFonts w:hint="eastAsia" w:ascii="宋体" w:hAnsi="宋体"/>
                <w:sz w:val="21"/>
                <w:szCs w:val="21"/>
                <w:lang w:val="en-US" w:eastAsia="zh-CN"/>
              </w:rPr>
              <w:t>30%）</w:t>
            </w:r>
          </w:p>
        </w:tc>
        <w:tc>
          <w:tcPr>
            <w:tcW w:w="831" w:type="dxa"/>
            <w:vMerge w:val="restart"/>
            <w:noWrap w:val="0"/>
            <w:vAlign w:val="center"/>
          </w:tcPr>
          <w:p w14:paraId="09BE2193">
            <w:pPr>
              <w:jc w:val="center"/>
              <w:rPr>
                <w:rFonts w:hint="eastAsia" w:ascii="宋体" w:hAnsi="宋体"/>
                <w:sz w:val="21"/>
                <w:szCs w:val="21"/>
              </w:rPr>
            </w:pPr>
            <w:r>
              <w:rPr>
                <w:rFonts w:hint="eastAsia" w:ascii="宋体" w:hAnsi="宋体"/>
                <w:sz w:val="21"/>
                <w:szCs w:val="21"/>
              </w:rPr>
              <w:t>100</w:t>
            </w:r>
          </w:p>
        </w:tc>
        <w:tc>
          <w:tcPr>
            <w:tcW w:w="1134" w:type="dxa"/>
            <w:vMerge w:val="restart"/>
            <w:noWrap w:val="0"/>
            <w:vAlign w:val="center"/>
          </w:tcPr>
          <w:p w14:paraId="296561EC">
            <w:pPr>
              <w:jc w:val="center"/>
              <w:rPr>
                <w:rFonts w:hint="eastAsia" w:ascii="宋体" w:hAnsi="宋体"/>
                <w:sz w:val="21"/>
                <w:szCs w:val="21"/>
              </w:rPr>
            </w:pPr>
            <w:r>
              <w:rPr>
                <w:rFonts w:hint="eastAsia" w:ascii="宋体" w:hAnsi="宋体"/>
                <w:sz w:val="21"/>
                <w:szCs w:val="21"/>
              </w:rPr>
              <w:t>技术方案</w:t>
            </w:r>
          </w:p>
        </w:tc>
        <w:tc>
          <w:tcPr>
            <w:tcW w:w="1134" w:type="dxa"/>
            <w:vMerge w:val="restart"/>
            <w:noWrap w:val="0"/>
            <w:vAlign w:val="center"/>
          </w:tcPr>
          <w:p w14:paraId="69429541">
            <w:pPr>
              <w:jc w:val="center"/>
              <w:rPr>
                <w:rFonts w:hint="eastAsia" w:ascii="宋体" w:hAnsi="宋体"/>
                <w:sz w:val="21"/>
                <w:szCs w:val="21"/>
              </w:rPr>
            </w:pPr>
            <w:r>
              <w:rPr>
                <w:rFonts w:hint="eastAsia" w:ascii="宋体" w:hAnsi="宋体"/>
                <w:sz w:val="21"/>
                <w:szCs w:val="21"/>
              </w:rPr>
              <w:t>技术方案</w:t>
            </w:r>
          </w:p>
        </w:tc>
        <w:tc>
          <w:tcPr>
            <w:tcW w:w="5406" w:type="dxa"/>
            <w:noWrap w:val="0"/>
            <w:vAlign w:val="top"/>
          </w:tcPr>
          <w:p w14:paraId="2C138D62">
            <w:pPr>
              <w:rPr>
                <w:rFonts w:hint="eastAsia" w:ascii="宋体" w:hAnsi="宋体"/>
                <w:sz w:val="21"/>
                <w:szCs w:val="21"/>
              </w:rPr>
            </w:pPr>
            <w:r>
              <w:rPr>
                <w:rFonts w:hint="eastAsia" w:ascii="宋体" w:hAnsi="宋体"/>
                <w:sz w:val="21"/>
                <w:szCs w:val="21"/>
              </w:rPr>
              <w:t>技术标偏离情况只允许出现优于（即正偏离）、符合标书约定技术要求。</w:t>
            </w:r>
          </w:p>
        </w:tc>
        <w:tc>
          <w:tcPr>
            <w:tcW w:w="1276" w:type="dxa"/>
            <w:vMerge w:val="restart"/>
            <w:noWrap w:val="0"/>
            <w:vAlign w:val="center"/>
          </w:tcPr>
          <w:p w14:paraId="5A85D520">
            <w:pPr>
              <w:jc w:val="center"/>
              <w:rPr>
                <w:rFonts w:hint="eastAsia" w:ascii="宋体" w:hAnsi="宋体"/>
                <w:sz w:val="21"/>
                <w:szCs w:val="21"/>
              </w:rPr>
            </w:pPr>
            <w:r>
              <w:rPr>
                <w:rFonts w:hint="eastAsia" w:ascii="宋体" w:hAnsi="宋体"/>
                <w:sz w:val="21"/>
                <w:szCs w:val="21"/>
              </w:rPr>
              <w:t>10</w:t>
            </w:r>
          </w:p>
        </w:tc>
      </w:tr>
      <w:tr w14:paraId="5F60B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continue"/>
            <w:noWrap w:val="0"/>
            <w:vAlign w:val="center"/>
          </w:tcPr>
          <w:p w14:paraId="6AFD0A7D">
            <w:pPr>
              <w:jc w:val="center"/>
              <w:rPr>
                <w:rFonts w:ascii="宋体" w:hAnsi="宋体"/>
                <w:sz w:val="21"/>
                <w:szCs w:val="21"/>
              </w:rPr>
            </w:pPr>
          </w:p>
        </w:tc>
        <w:tc>
          <w:tcPr>
            <w:tcW w:w="831" w:type="dxa"/>
            <w:vMerge w:val="continue"/>
            <w:noWrap w:val="0"/>
            <w:vAlign w:val="center"/>
          </w:tcPr>
          <w:p w14:paraId="0696EEB4">
            <w:pPr>
              <w:jc w:val="center"/>
              <w:rPr>
                <w:rFonts w:ascii="宋体" w:hAnsi="宋体"/>
                <w:sz w:val="21"/>
                <w:szCs w:val="21"/>
              </w:rPr>
            </w:pPr>
          </w:p>
        </w:tc>
        <w:tc>
          <w:tcPr>
            <w:tcW w:w="1134" w:type="dxa"/>
            <w:vMerge w:val="continue"/>
            <w:noWrap w:val="0"/>
            <w:vAlign w:val="center"/>
          </w:tcPr>
          <w:p w14:paraId="2C552660">
            <w:pPr>
              <w:jc w:val="center"/>
              <w:rPr>
                <w:rFonts w:ascii="宋体" w:hAnsi="宋体"/>
                <w:sz w:val="21"/>
                <w:szCs w:val="21"/>
              </w:rPr>
            </w:pPr>
          </w:p>
        </w:tc>
        <w:tc>
          <w:tcPr>
            <w:tcW w:w="1134" w:type="dxa"/>
            <w:vMerge w:val="continue"/>
            <w:noWrap w:val="0"/>
            <w:vAlign w:val="center"/>
          </w:tcPr>
          <w:p w14:paraId="1BE4154D">
            <w:pPr>
              <w:jc w:val="center"/>
              <w:rPr>
                <w:rFonts w:ascii="宋体" w:hAnsi="宋体"/>
                <w:sz w:val="21"/>
                <w:szCs w:val="21"/>
              </w:rPr>
            </w:pPr>
          </w:p>
        </w:tc>
        <w:tc>
          <w:tcPr>
            <w:tcW w:w="5406" w:type="dxa"/>
            <w:noWrap w:val="0"/>
            <w:vAlign w:val="top"/>
          </w:tcPr>
          <w:p w14:paraId="764D2DA8">
            <w:pPr>
              <w:rPr>
                <w:rFonts w:hint="eastAsia" w:ascii="宋体" w:hAnsi="宋体"/>
                <w:sz w:val="21"/>
                <w:szCs w:val="21"/>
              </w:rPr>
            </w:pPr>
            <w:r>
              <w:rPr>
                <w:rFonts w:hint="eastAsia" w:ascii="宋体" w:hAnsi="宋体"/>
                <w:sz w:val="21"/>
                <w:szCs w:val="21"/>
              </w:rPr>
              <w:t>当所供技术服务优于招标文件要求，有具体可行性说明建议，得10分。完全满足标书要求，得8分。</w:t>
            </w:r>
          </w:p>
        </w:tc>
        <w:tc>
          <w:tcPr>
            <w:tcW w:w="1276" w:type="dxa"/>
            <w:vMerge w:val="continue"/>
            <w:noWrap w:val="0"/>
            <w:vAlign w:val="center"/>
          </w:tcPr>
          <w:p w14:paraId="248BE590">
            <w:pPr>
              <w:jc w:val="center"/>
              <w:rPr>
                <w:rFonts w:ascii="宋体" w:hAnsi="宋体"/>
                <w:sz w:val="21"/>
                <w:szCs w:val="21"/>
              </w:rPr>
            </w:pPr>
          </w:p>
        </w:tc>
      </w:tr>
      <w:tr w14:paraId="59076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846" w:type="dxa"/>
            <w:vMerge w:val="continue"/>
            <w:noWrap w:val="0"/>
            <w:vAlign w:val="center"/>
          </w:tcPr>
          <w:p w14:paraId="2D3DF3D8">
            <w:pPr>
              <w:jc w:val="center"/>
              <w:rPr>
                <w:rFonts w:ascii="宋体" w:hAnsi="宋体"/>
                <w:sz w:val="21"/>
                <w:szCs w:val="21"/>
              </w:rPr>
            </w:pPr>
          </w:p>
        </w:tc>
        <w:tc>
          <w:tcPr>
            <w:tcW w:w="831" w:type="dxa"/>
            <w:vMerge w:val="continue"/>
            <w:noWrap w:val="0"/>
            <w:vAlign w:val="center"/>
          </w:tcPr>
          <w:p w14:paraId="358367BF">
            <w:pPr>
              <w:jc w:val="center"/>
              <w:rPr>
                <w:rFonts w:ascii="宋体" w:hAnsi="宋体"/>
                <w:sz w:val="21"/>
                <w:szCs w:val="21"/>
              </w:rPr>
            </w:pPr>
          </w:p>
        </w:tc>
        <w:tc>
          <w:tcPr>
            <w:tcW w:w="1134" w:type="dxa"/>
            <w:vMerge w:val="continue"/>
            <w:noWrap w:val="0"/>
            <w:vAlign w:val="center"/>
          </w:tcPr>
          <w:p w14:paraId="2A61DE33">
            <w:pPr>
              <w:jc w:val="center"/>
              <w:rPr>
                <w:rFonts w:ascii="宋体" w:hAnsi="宋体"/>
                <w:sz w:val="21"/>
                <w:szCs w:val="21"/>
              </w:rPr>
            </w:pPr>
          </w:p>
        </w:tc>
        <w:tc>
          <w:tcPr>
            <w:tcW w:w="1134" w:type="dxa"/>
            <w:vMerge w:val="restart"/>
            <w:noWrap w:val="0"/>
            <w:vAlign w:val="center"/>
          </w:tcPr>
          <w:p w14:paraId="27D9C795">
            <w:pPr>
              <w:jc w:val="center"/>
              <w:rPr>
                <w:rFonts w:hint="eastAsia" w:ascii="宋体" w:hAnsi="宋体"/>
                <w:sz w:val="21"/>
                <w:szCs w:val="21"/>
              </w:rPr>
            </w:pPr>
            <w:r>
              <w:rPr>
                <w:rFonts w:hint="eastAsia" w:ascii="宋体" w:hAnsi="宋体"/>
                <w:sz w:val="21"/>
                <w:szCs w:val="21"/>
              </w:rPr>
              <w:t>项目规划</w:t>
            </w:r>
          </w:p>
        </w:tc>
        <w:tc>
          <w:tcPr>
            <w:tcW w:w="5406" w:type="dxa"/>
            <w:noWrap w:val="0"/>
            <w:vAlign w:val="top"/>
          </w:tcPr>
          <w:p w14:paraId="39061EA7">
            <w:pPr>
              <w:rPr>
                <w:rFonts w:hint="eastAsia" w:ascii="宋体" w:hAnsi="宋体" w:eastAsia="宋体"/>
                <w:sz w:val="21"/>
                <w:szCs w:val="21"/>
                <w:lang w:eastAsia="zh-CN"/>
              </w:rPr>
            </w:pPr>
            <w:r>
              <w:rPr>
                <w:rFonts w:hint="eastAsia" w:ascii="宋体" w:hAnsi="宋体"/>
                <w:sz w:val="21"/>
                <w:szCs w:val="21"/>
              </w:rPr>
              <w:t>项目总体规划实施方案（人员规划、作业流程设计、管理制度支持等）流程合理、完善、切实可行，视情况得0-20</w:t>
            </w:r>
            <w:r>
              <w:rPr>
                <w:rFonts w:hint="eastAsia" w:ascii="宋体" w:hAnsi="宋体"/>
                <w:sz w:val="21"/>
                <w:szCs w:val="21"/>
                <w:lang w:eastAsia="zh-CN"/>
              </w:rPr>
              <w:t>。</w:t>
            </w:r>
          </w:p>
        </w:tc>
        <w:tc>
          <w:tcPr>
            <w:tcW w:w="1276" w:type="dxa"/>
            <w:noWrap w:val="0"/>
            <w:vAlign w:val="center"/>
          </w:tcPr>
          <w:p w14:paraId="4638B69A">
            <w:pPr>
              <w:jc w:val="center"/>
              <w:rPr>
                <w:rFonts w:hint="eastAsia" w:ascii="宋体" w:hAnsi="宋体"/>
                <w:sz w:val="21"/>
                <w:szCs w:val="21"/>
              </w:rPr>
            </w:pPr>
            <w:r>
              <w:rPr>
                <w:rFonts w:hint="eastAsia" w:ascii="宋体" w:hAnsi="宋体"/>
                <w:sz w:val="21"/>
                <w:szCs w:val="21"/>
              </w:rPr>
              <w:t>20</w:t>
            </w:r>
          </w:p>
        </w:tc>
      </w:tr>
      <w:tr w14:paraId="19C14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846" w:type="dxa"/>
            <w:vMerge w:val="continue"/>
            <w:noWrap w:val="0"/>
            <w:vAlign w:val="center"/>
          </w:tcPr>
          <w:p w14:paraId="749BCD5B">
            <w:pPr>
              <w:jc w:val="center"/>
              <w:rPr>
                <w:rFonts w:ascii="宋体" w:hAnsi="宋体"/>
                <w:sz w:val="21"/>
                <w:szCs w:val="21"/>
              </w:rPr>
            </w:pPr>
          </w:p>
        </w:tc>
        <w:tc>
          <w:tcPr>
            <w:tcW w:w="831" w:type="dxa"/>
            <w:vMerge w:val="continue"/>
            <w:noWrap w:val="0"/>
            <w:vAlign w:val="center"/>
          </w:tcPr>
          <w:p w14:paraId="41DAF52A">
            <w:pPr>
              <w:jc w:val="center"/>
              <w:rPr>
                <w:rFonts w:ascii="宋体" w:hAnsi="宋体"/>
                <w:sz w:val="21"/>
                <w:szCs w:val="21"/>
              </w:rPr>
            </w:pPr>
          </w:p>
        </w:tc>
        <w:tc>
          <w:tcPr>
            <w:tcW w:w="1134" w:type="dxa"/>
            <w:vMerge w:val="continue"/>
            <w:noWrap w:val="0"/>
            <w:vAlign w:val="center"/>
          </w:tcPr>
          <w:p w14:paraId="2A7C85D3">
            <w:pPr>
              <w:jc w:val="center"/>
              <w:rPr>
                <w:rFonts w:ascii="宋体" w:hAnsi="宋体"/>
                <w:sz w:val="21"/>
                <w:szCs w:val="21"/>
              </w:rPr>
            </w:pPr>
          </w:p>
        </w:tc>
        <w:tc>
          <w:tcPr>
            <w:tcW w:w="1134" w:type="dxa"/>
            <w:vMerge w:val="continue"/>
            <w:noWrap w:val="0"/>
            <w:vAlign w:val="center"/>
          </w:tcPr>
          <w:p w14:paraId="1D7E891E">
            <w:pPr>
              <w:jc w:val="center"/>
              <w:rPr>
                <w:rFonts w:ascii="宋体" w:hAnsi="宋体"/>
                <w:sz w:val="21"/>
                <w:szCs w:val="21"/>
              </w:rPr>
            </w:pPr>
          </w:p>
        </w:tc>
        <w:tc>
          <w:tcPr>
            <w:tcW w:w="5406" w:type="dxa"/>
            <w:noWrap w:val="0"/>
            <w:vAlign w:val="top"/>
          </w:tcPr>
          <w:p w14:paraId="1802E750">
            <w:pPr>
              <w:rPr>
                <w:rFonts w:hint="eastAsia" w:ascii="宋体" w:hAnsi="宋体" w:eastAsia="宋体"/>
                <w:sz w:val="21"/>
                <w:szCs w:val="21"/>
                <w:lang w:eastAsia="zh-CN"/>
              </w:rPr>
            </w:pPr>
            <w:r>
              <w:rPr>
                <w:rFonts w:hint="eastAsia" w:ascii="宋体" w:hAnsi="宋体"/>
                <w:sz w:val="21"/>
                <w:szCs w:val="21"/>
              </w:rPr>
              <w:t>目标及预计取得效果，视情况得</w:t>
            </w:r>
            <w:r>
              <w:rPr>
                <w:rFonts w:ascii="宋体" w:hAnsi="宋体"/>
                <w:sz w:val="21"/>
                <w:szCs w:val="21"/>
              </w:rPr>
              <w:t>1-10</w:t>
            </w:r>
            <w:r>
              <w:rPr>
                <w:rFonts w:hint="eastAsia" w:ascii="宋体" w:hAnsi="宋体"/>
                <w:sz w:val="21"/>
                <w:szCs w:val="21"/>
                <w:lang w:eastAsia="zh-CN"/>
              </w:rPr>
              <w:t>。</w:t>
            </w:r>
          </w:p>
        </w:tc>
        <w:tc>
          <w:tcPr>
            <w:tcW w:w="1276" w:type="dxa"/>
            <w:noWrap w:val="0"/>
            <w:vAlign w:val="center"/>
          </w:tcPr>
          <w:p w14:paraId="1E5FD83E">
            <w:pPr>
              <w:jc w:val="center"/>
              <w:rPr>
                <w:rFonts w:hint="eastAsia" w:ascii="宋体" w:hAnsi="宋体"/>
                <w:sz w:val="21"/>
                <w:szCs w:val="21"/>
              </w:rPr>
            </w:pPr>
            <w:r>
              <w:rPr>
                <w:rFonts w:ascii="宋体" w:hAnsi="宋体"/>
                <w:sz w:val="21"/>
                <w:szCs w:val="21"/>
              </w:rPr>
              <w:t>10</w:t>
            </w:r>
          </w:p>
        </w:tc>
      </w:tr>
      <w:tr w14:paraId="635E0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846" w:type="dxa"/>
            <w:vMerge w:val="continue"/>
            <w:noWrap w:val="0"/>
            <w:vAlign w:val="center"/>
          </w:tcPr>
          <w:p w14:paraId="3C58F907">
            <w:pPr>
              <w:jc w:val="center"/>
              <w:rPr>
                <w:rFonts w:ascii="宋体" w:hAnsi="宋体"/>
                <w:sz w:val="21"/>
                <w:szCs w:val="21"/>
              </w:rPr>
            </w:pPr>
          </w:p>
        </w:tc>
        <w:tc>
          <w:tcPr>
            <w:tcW w:w="831" w:type="dxa"/>
            <w:vMerge w:val="continue"/>
            <w:noWrap w:val="0"/>
            <w:vAlign w:val="center"/>
          </w:tcPr>
          <w:p w14:paraId="12EB49DF">
            <w:pPr>
              <w:jc w:val="center"/>
              <w:rPr>
                <w:rFonts w:ascii="宋体" w:hAnsi="宋体"/>
                <w:sz w:val="21"/>
                <w:szCs w:val="21"/>
              </w:rPr>
            </w:pPr>
          </w:p>
        </w:tc>
        <w:tc>
          <w:tcPr>
            <w:tcW w:w="1134" w:type="dxa"/>
            <w:vMerge w:val="continue"/>
            <w:noWrap w:val="0"/>
            <w:vAlign w:val="center"/>
          </w:tcPr>
          <w:p w14:paraId="06D6073E">
            <w:pPr>
              <w:jc w:val="center"/>
              <w:rPr>
                <w:rFonts w:ascii="宋体" w:hAnsi="宋体"/>
                <w:sz w:val="21"/>
                <w:szCs w:val="21"/>
              </w:rPr>
            </w:pPr>
          </w:p>
        </w:tc>
        <w:tc>
          <w:tcPr>
            <w:tcW w:w="1134" w:type="dxa"/>
            <w:vMerge w:val="continue"/>
            <w:noWrap w:val="0"/>
            <w:vAlign w:val="center"/>
          </w:tcPr>
          <w:p w14:paraId="45EEF0BB">
            <w:pPr>
              <w:jc w:val="center"/>
              <w:rPr>
                <w:rFonts w:ascii="宋体" w:hAnsi="宋体"/>
                <w:sz w:val="21"/>
                <w:szCs w:val="21"/>
              </w:rPr>
            </w:pPr>
          </w:p>
        </w:tc>
        <w:tc>
          <w:tcPr>
            <w:tcW w:w="5406" w:type="dxa"/>
            <w:noWrap w:val="0"/>
            <w:vAlign w:val="top"/>
          </w:tcPr>
          <w:p w14:paraId="3A0934A4">
            <w:pPr>
              <w:rPr>
                <w:rFonts w:hint="eastAsia" w:ascii="宋体" w:hAnsi="宋体" w:eastAsia="宋体"/>
                <w:sz w:val="21"/>
                <w:szCs w:val="21"/>
                <w:lang w:eastAsia="zh-CN"/>
              </w:rPr>
            </w:pPr>
            <w:r>
              <w:rPr>
                <w:rFonts w:hint="eastAsia" w:ascii="宋体" w:hAnsi="宋体"/>
                <w:sz w:val="21"/>
                <w:szCs w:val="21"/>
              </w:rPr>
              <w:t>深度合作方案、持续降本措施，视情况得</w:t>
            </w:r>
            <w:r>
              <w:rPr>
                <w:rFonts w:ascii="宋体" w:hAnsi="宋体"/>
                <w:sz w:val="21"/>
                <w:szCs w:val="21"/>
              </w:rPr>
              <w:t>1-10</w:t>
            </w:r>
            <w:r>
              <w:rPr>
                <w:rFonts w:hint="eastAsia" w:ascii="宋体" w:hAnsi="宋体"/>
                <w:sz w:val="21"/>
                <w:szCs w:val="21"/>
                <w:lang w:eastAsia="zh-CN"/>
              </w:rPr>
              <w:t>。</w:t>
            </w:r>
          </w:p>
        </w:tc>
        <w:tc>
          <w:tcPr>
            <w:tcW w:w="1276" w:type="dxa"/>
            <w:noWrap w:val="0"/>
            <w:vAlign w:val="center"/>
          </w:tcPr>
          <w:p w14:paraId="688A8C51">
            <w:pPr>
              <w:jc w:val="center"/>
              <w:rPr>
                <w:rFonts w:hint="eastAsia" w:ascii="宋体" w:hAnsi="宋体"/>
                <w:sz w:val="21"/>
                <w:szCs w:val="21"/>
              </w:rPr>
            </w:pPr>
            <w:r>
              <w:rPr>
                <w:rFonts w:hint="eastAsia" w:ascii="宋体" w:hAnsi="宋体"/>
                <w:sz w:val="21"/>
                <w:szCs w:val="21"/>
              </w:rPr>
              <w:t>10</w:t>
            </w:r>
          </w:p>
        </w:tc>
      </w:tr>
      <w:tr w14:paraId="07C70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continue"/>
            <w:noWrap w:val="0"/>
            <w:vAlign w:val="center"/>
          </w:tcPr>
          <w:p w14:paraId="6BF34D7A">
            <w:pPr>
              <w:jc w:val="center"/>
              <w:rPr>
                <w:rFonts w:ascii="宋体" w:hAnsi="宋体"/>
                <w:sz w:val="21"/>
                <w:szCs w:val="21"/>
              </w:rPr>
            </w:pPr>
          </w:p>
        </w:tc>
        <w:tc>
          <w:tcPr>
            <w:tcW w:w="831" w:type="dxa"/>
            <w:vMerge w:val="continue"/>
            <w:noWrap w:val="0"/>
            <w:vAlign w:val="center"/>
          </w:tcPr>
          <w:p w14:paraId="5BC03861">
            <w:pPr>
              <w:jc w:val="center"/>
              <w:rPr>
                <w:rFonts w:ascii="宋体" w:hAnsi="宋体"/>
                <w:sz w:val="21"/>
                <w:szCs w:val="21"/>
              </w:rPr>
            </w:pPr>
          </w:p>
        </w:tc>
        <w:tc>
          <w:tcPr>
            <w:tcW w:w="2268" w:type="dxa"/>
            <w:gridSpan w:val="2"/>
            <w:vMerge w:val="restart"/>
            <w:noWrap w:val="0"/>
            <w:vAlign w:val="center"/>
          </w:tcPr>
          <w:p w14:paraId="68BCD11F">
            <w:pPr>
              <w:jc w:val="center"/>
              <w:rPr>
                <w:rFonts w:hint="eastAsia" w:ascii="宋体" w:hAnsi="宋体"/>
                <w:sz w:val="21"/>
                <w:szCs w:val="21"/>
              </w:rPr>
            </w:pPr>
            <w:r>
              <w:rPr>
                <w:rFonts w:hint="eastAsia" w:ascii="宋体" w:hAnsi="宋体"/>
                <w:sz w:val="21"/>
                <w:szCs w:val="21"/>
              </w:rPr>
              <w:t>质量保障</w:t>
            </w:r>
          </w:p>
        </w:tc>
        <w:tc>
          <w:tcPr>
            <w:tcW w:w="5406" w:type="dxa"/>
            <w:noWrap w:val="0"/>
            <w:vAlign w:val="top"/>
          </w:tcPr>
          <w:p w14:paraId="1D06753B">
            <w:pPr>
              <w:rPr>
                <w:rFonts w:hint="eastAsia" w:ascii="宋体" w:hAnsi="宋体"/>
                <w:sz w:val="21"/>
                <w:szCs w:val="21"/>
              </w:rPr>
            </w:pPr>
            <w:r>
              <w:rPr>
                <w:rFonts w:hint="eastAsia" w:ascii="宋体" w:hAnsi="宋体"/>
                <w:sz w:val="21"/>
                <w:szCs w:val="21"/>
              </w:rPr>
              <w:t>质量保证体系完整，措施有力，能有项目控制计划和质量保证相关承诺。根据提供的资料从优到劣进行综合评审排序，自主赋分0</w:t>
            </w:r>
            <w:r>
              <w:rPr>
                <w:rFonts w:ascii="宋体" w:hAnsi="宋体"/>
                <w:sz w:val="21"/>
                <w:szCs w:val="21"/>
              </w:rPr>
              <w:t>-20</w:t>
            </w:r>
            <w:r>
              <w:rPr>
                <w:rFonts w:hint="eastAsia" w:ascii="宋体" w:hAnsi="宋体"/>
                <w:sz w:val="21"/>
                <w:szCs w:val="21"/>
              </w:rPr>
              <w:t>。</w:t>
            </w:r>
          </w:p>
        </w:tc>
        <w:tc>
          <w:tcPr>
            <w:tcW w:w="1276" w:type="dxa"/>
            <w:noWrap w:val="0"/>
            <w:vAlign w:val="center"/>
          </w:tcPr>
          <w:p w14:paraId="1A6CC066">
            <w:pPr>
              <w:jc w:val="center"/>
              <w:rPr>
                <w:rFonts w:hint="eastAsia" w:ascii="宋体" w:hAnsi="宋体"/>
                <w:sz w:val="21"/>
                <w:szCs w:val="21"/>
              </w:rPr>
            </w:pPr>
            <w:r>
              <w:rPr>
                <w:rFonts w:hint="eastAsia" w:ascii="宋体" w:hAnsi="宋体"/>
                <w:sz w:val="21"/>
                <w:szCs w:val="21"/>
              </w:rPr>
              <w:t>20</w:t>
            </w:r>
          </w:p>
        </w:tc>
      </w:tr>
      <w:tr w14:paraId="4E582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continue"/>
            <w:noWrap w:val="0"/>
            <w:vAlign w:val="center"/>
          </w:tcPr>
          <w:p w14:paraId="5D3758E8">
            <w:pPr>
              <w:jc w:val="center"/>
              <w:rPr>
                <w:rFonts w:ascii="宋体" w:hAnsi="宋体"/>
                <w:sz w:val="21"/>
                <w:szCs w:val="21"/>
              </w:rPr>
            </w:pPr>
          </w:p>
        </w:tc>
        <w:tc>
          <w:tcPr>
            <w:tcW w:w="831" w:type="dxa"/>
            <w:vMerge w:val="continue"/>
            <w:noWrap w:val="0"/>
            <w:vAlign w:val="center"/>
          </w:tcPr>
          <w:p w14:paraId="26CABD7B">
            <w:pPr>
              <w:jc w:val="center"/>
              <w:rPr>
                <w:rFonts w:ascii="宋体" w:hAnsi="宋体"/>
                <w:sz w:val="21"/>
                <w:szCs w:val="21"/>
              </w:rPr>
            </w:pPr>
          </w:p>
        </w:tc>
        <w:tc>
          <w:tcPr>
            <w:tcW w:w="2268" w:type="dxa"/>
            <w:gridSpan w:val="2"/>
            <w:vMerge w:val="continue"/>
            <w:noWrap w:val="0"/>
            <w:vAlign w:val="center"/>
          </w:tcPr>
          <w:p w14:paraId="6EE8CC32">
            <w:pPr>
              <w:jc w:val="center"/>
              <w:rPr>
                <w:rFonts w:hint="eastAsia" w:ascii="宋体" w:hAnsi="宋体"/>
                <w:sz w:val="21"/>
                <w:szCs w:val="21"/>
              </w:rPr>
            </w:pPr>
          </w:p>
        </w:tc>
        <w:tc>
          <w:tcPr>
            <w:tcW w:w="5406" w:type="dxa"/>
            <w:noWrap w:val="0"/>
            <w:vAlign w:val="top"/>
          </w:tcPr>
          <w:p w14:paraId="0B1AA704">
            <w:pPr>
              <w:rPr>
                <w:rFonts w:hint="eastAsia" w:ascii="宋体" w:hAnsi="宋体"/>
                <w:sz w:val="21"/>
                <w:szCs w:val="21"/>
              </w:rPr>
            </w:pPr>
            <w:r>
              <w:rPr>
                <w:rFonts w:hint="eastAsia" w:ascii="宋体" w:hAnsi="宋体"/>
                <w:sz w:val="21"/>
                <w:szCs w:val="21"/>
              </w:rPr>
              <w:t>喷涂作业能力、应急服务满足招标文件要求，合理有效、切实可行，自主赋分0</w:t>
            </w:r>
            <w:r>
              <w:rPr>
                <w:rFonts w:ascii="宋体" w:hAnsi="宋体"/>
                <w:sz w:val="21"/>
                <w:szCs w:val="21"/>
              </w:rPr>
              <w:t>-10</w:t>
            </w:r>
            <w:r>
              <w:rPr>
                <w:rFonts w:hint="eastAsia" w:ascii="宋体" w:hAnsi="宋体"/>
                <w:sz w:val="21"/>
                <w:szCs w:val="21"/>
              </w:rPr>
              <w:t>。</w:t>
            </w:r>
          </w:p>
        </w:tc>
        <w:tc>
          <w:tcPr>
            <w:tcW w:w="1276" w:type="dxa"/>
            <w:noWrap w:val="0"/>
            <w:vAlign w:val="center"/>
          </w:tcPr>
          <w:p w14:paraId="387E5144">
            <w:pPr>
              <w:jc w:val="center"/>
              <w:rPr>
                <w:rFonts w:hint="eastAsia" w:ascii="宋体" w:hAnsi="宋体"/>
                <w:sz w:val="21"/>
                <w:szCs w:val="21"/>
              </w:rPr>
            </w:pPr>
            <w:r>
              <w:rPr>
                <w:rFonts w:hint="eastAsia" w:ascii="宋体" w:hAnsi="宋体"/>
                <w:sz w:val="21"/>
                <w:szCs w:val="21"/>
              </w:rPr>
              <w:t>10</w:t>
            </w:r>
          </w:p>
        </w:tc>
      </w:tr>
      <w:tr w14:paraId="1C141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846" w:type="dxa"/>
            <w:vMerge w:val="continue"/>
            <w:noWrap w:val="0"/>
            <w:vAlign w:val="center"/>
          </w:tcPr>
          <w:p w14:paraId="1EC389E5">
            <w:pPr>
              <w:jc w:val="center"/>
              <w:rPr>
                <w:rFonts w:ascii="宋体" w:hAnsi="宋体"/>
                <w:sz w:val="21"/>
                <w:szCs w:val="21"/>
              </w:rPr>
            </w:pPr>
          </w:p>
        </w:tc>
        <w:tc>
          <w:tcPr>
            <w:tcW w:w="831" w:type="dxa"/>
            <w:vMerge w:val="continue"/>
            <w:noWrap w:val="0"/>
            <w:vAlign w:val="center"/>
          </w:tcPr>
          <w:p w14:paraId="38C7ED68">
            <w:pPr>
              <w:jc w:val="center"/>
              <w:rPr>
                <w:rFonts w:ascii="宋体" w:hAnsi="宋体"/>
                <w:sz w:val="21"/>
                <w:szCs w:val="21"/>
              </w:rPr>
            </w:pPr>
          </w:p>
        </w:tc>
        <w:tc>
          <w:tcPr>
            <w:tcW w:w="2268" w:type="dxa"/>
            <w:gridSpan w:val="2"/>
            <w:noWrap w:val="0"/>
            <w:vAlign w:val="center"/>
          </w:tcPr>
          <w:p w14:paraId="2B5D395A">
            <w:pPr>
              <w:jc w:val="center"/>
              <w:rPr>
                <w:rFonts w:hint="eastAsia" w:ascii="宋体" w:hAnsi="宋体"/>
                <w:sz w:val="21"/>
                <w:szCs w:val="21"/>
              </w:rPr>
            </w:pPr>
            <w:r>
              <w:rPr>
                <w:rFonts w:hint="eastAsia" w:ascii="宋体" w:hAnsi="宋体"/>
                <w:sz w:val="21"/>
                <w:szCs w:val="21"/>
              </w:rPr>
              <w:t>项目管理</w:t>
            </w:r>
          </w:p>
        </w:tc>
        <w:tc>
          <w:tcPr>
            <w:tcW w:w="5406" w:type="dxa"/>
            <w:noWrap w:val="0"/>
            <w:vAlign w:val="top"/>
          </w:tcPr>
          <w:p w14:paraId="562B7B34">
            <w:pPr>
              <w:rPr>
                <w:rFonts w:hint="default" w:ascii="宋体" w:hAnsi="宋体" w:eastAsia="宋体"/>
                <w:sz w:val="21"/>
                <w:szCs w:val="21"/>
                <w:lang w:val="en-US" w:eastAsia="zh-CN"/>
              </w:rPr>
            </w:pPr>
            <w:r>
              <w:rPr>
                <w:rFonts w:hint="eastAsia" w:ascii="宋体" w:hAnsi="宋体"/>
                <w:sz w:val="21"/>
                <w:szCs w:val="21"/>
              </w:rPr>
              <w:t>保证现场按5S标准管理，有管理流程或文件要求，根据流程或文件覆盖度、详细度，自主赋分1-</w:t>
            </w:r>
            <w:r>
              <w:rPr>
                <w:rFonts w:hint="eastAsia" w:ascii="宋体" w:hAnsi="宋体"/>
                <w:sz w:val="21"/>
                <w:szCs w:val="21"/>
                <w:lang w:val="en-US" w:eastAsia="zh-CN"/>
              </w:rPr>
              <w:t>10。</w:t>
            </w:r>
          </w:p>
        </w:tc>
        <w:tc>
          <w:tcPr>
            <w:tcW w:w="1276" w:type="dxa"/>
            <w:noWrap w:val="0"/>
            <w:vAlign w:val="center"/>
          </w:tcPr>
          <w:p w14:paraId="587E6901">
            <w:pPr>
              <w:jc w:val="center"/>
              <w:rPr>
                <w:rFonts w:hint="default" w:ascii="宋体" w:hAnsi="宋体" w:eastAsia="宋体"/>
                <w:sz w:val="21"/>
                <w:szCs w:val="21"/>
                <w:lang w:val="en-US" w:eastAsia="zh-CN"/>
              </w:rPr>
            </w:pPr>
            <w:r>
              <w:rPr>
                <w:rFonts w:hint="eastAsia" w:ascii="宋体" w:hAnsi="宋体"/>
                <w:sz w:val="21"/>
                <w:szCs w:val="21"/>
                <w:lang w:val="en-US" w:eastAsia="zh-CN"/>
              </w:rPr>
              <w:t>10</w:t>
            </w:r>
          </w:p>
        </w:tc>
      </w:tr>
      <w:tr w14:paraId="55BC5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jc w:val="center"/>
        </w:trPr>
        <w:tc>
          <w:tcPr>
            <w:tcW w:w="846" w:type="dxa"/>
            <w:vMerge w:val="continue"/>
            <w:noWrap w:val="0"/>
            <w:vAlign w:val="center"/>
          </w:tcPr>
          <w:p w14:paraId="57EFB739">
            <w:pPr>
              <w:jc w:val="center"/>
              <w:rPr>
                <w:rFonts w:ascii="宋体" w:hAnsi="宋体"/>
                <w:sz w:val="21"/>
                <w:szCs w:val="21"/>
              </w:rPr>
            </w:pPr>
          </w:p>
        </w:tc>
        <w:tc>
          <w:tcPr>
            <w:tcW w:w="831" w:type="dxa"/>
            <w:vMerge w:val="continue"/>
            <w:noWrap w:val="0"/>
            <w:vAlign w:val="center"/>
          </w:tcPr>
          <w:p w14:paraId="3D660327">
            <w:pPr>
              <w:jc w:val="center"/>
              <w:rPr>
                <w:rFonts w:ascii="宋体" w:hAnsi="宋体"/>
                <w:sz w:val="21"/>
                <w:szCs w:val="21"/>
              </w:rPr>
            </w:pPr>
          </w:p>
        </w:tc>
        <w:tc>
          <w:tcPr>
            <w:tcW w:w="2268" w:type="dxa"/>
            <w:gridSpan w:val="2"/>
            <w:noWrap w:val="0"/>
            <w:vAlign w:val="center"/>
          </w:tcPr>
          <w:p w14:paraId="31EB007C">
            <w:pPr>
              <w:jc w:val="center"/>
              <w:rPr>
                <w:rFonts w:hint="eastAsia" w:ascii="宋体" w:hAnsi="宋体"/>
                <w:sz w:val="21"/>
                <w:szCs w:val="21"/>
              </w:rPr>
            </w:pPr>
            <w:r>
              <w:rPr>
                <w:rFonts w:hint="eastAsia" w:ascii="宋体" w:hAnsi="宋体"/>
                <w:sz w:val="21"/>
                <w:szCs w:val="21"/>
              </w:rPr>
              <w:t>业绩</w:t>
            </w:r>
          </w:p>
        </w:tc>
        <w:tc>
          <w:tcPr>
            <w:tcW w:w="5406" w:type="dxa"/>
            <w:noWrap w:val="0"/>
            <w:vAlign w:val="top"/>
          </w:tcPr>
          <w:p w14:paraId="50C21FC1">
            <w:pPr>
              <w:rPr>
                <w:rFonts w:hint="eastAsia" w:ascii="宋体" w:hAnsi="宋体"/>
                <w:sz w:val="21"/>
                <w:szCs w:val="21"/>
              </w:rPr>
            </w:pPr>
            <w:r>
              <w:rPr>
                <w:rFonts w:hint="eastAsia" w:ascii="宋体" w:hAnsi="宋体"/>
                <w:sz w:val="21"/>
                <w:szCs w:val="21"/>
              </w:rPr>
              <w:t>提供3份以上投标同类业绩，得10分；提供3份得6分；提供2份得4分；提供1份证明材料的，得2分；无证明材料的，不得分。</w:t>
            </w:r>
          </w:p>
        </w:tc>
        <w:tc>
          <w:tcPr>
            <w:tcW w:w="1276" w:type="dxa"/>
            <w:noWrap w:val="0"/>
            <w:vAlign w:val="center"/>
          </w:tcPr>
          <w:p w14:paraId="6D32FE6D">
            <w:pPr>
              <w:jc w:val="center"/>
              <w:rPr>
                <w:rFonts w:hint="eastAsia" w:ascii="宋体" w:hAnsi="宋体"/>
                <w:sz w:val="21"/>
                <w:szCs w:val="21"/>
              </w:rPr>
            </w:pPr>
            <w:r>
              <w:rPr>
                <w:rFonts w:hint="eastAsia" w:ascii="宋体" w:hAnsi="宋体"/>
                <w:sz w:val="21"/>
                <w:szCs w:val="21"/>
              </w:rPr>
              <w:t>10</w:t>
            </w:r>
          </w:p>
        </w:tc>
      </w:tr>
      <w:tr w14:paraId="09F33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10627" w:type="dxa"/>
            <w:gridSpan w:val="6"/>
            <w:noWrap w:val="0"/>
            <w:vAlign w:val="top"/>
          </w:tcPr>
          <w:p w14:paraId="3E8207FB">
            <w:pPr>
              <w:numPr>
                <w:ilvl w:val="0"/>
                <w:numId w:val="28"/>
              </w:num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技术标评分标准如上，商务标评分标准：当前轮次投标报价最低的投标报价为评标基准价，其价格分为100分（标准分）。其他投标人的价格分统一按照下列公式计算：投标报价得分=(评标基准价／投标报价)×100。</w:t>
            </w:r>
          </w:p>
          <w:p w14:paraId="04729922">
            <w:pPr>
              <w:numPr>
                <w:ilvl w:val="0"/>
                <w:numId w:val="0"/>
              </w:numPr>
              <w:rPr>
                <w:rFonts w:hint="default" w:ascii="宋体" w:hAnsi="宋体" w:eastAsia="宋体"/>
                <w:b/>
                <w:bCs/>
                <w:sz w:val="21"/>
                <w:szCs w:val="21"/>
                <w:lang w:val="en-US" w:eastAsia="zh-CN"/>
              </w:rPr>
            </w:pPr>
            <w:r>
              <w:rPr>
                <w:rFonts w:hint="eastAsia" w:ascii="宋体" w:hAnsi="宋体" w:eastAsia="宋体" w:cs="宋体"/>
                <w:sz w:val="20"/>
                <w:szCs w:val="20"/>
                <w:lang w:val="en-US" w:eastAsia="zh-CN"/>
              </w:rPr>
              <w:t>2、采用综合评标法：技术标分数占比30%；商务标分数占比：70%。小数点后保留二位，第三位四舍五入。</w:t>
            </w:r>
          </w:p>
        </w:tc>
      </w:tr>
      <w:tr w14:paraId="50CA6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10627" w:type="dxa"/>
            <w:gridSpan w:val="6"/>
            <w:noWrap w:val="0"/>
            <w:vAlign w:val="top"/>
          </w:tcPr>
          <w:p w14:paraId="69E28AD5">
            <w:pPr>
              <w:rPr>
                <w:rFonts w:hint="eastAsia" w:ascii="宋体" w:hAnsi="宋体"/>
                <w:b/>
                <w:bCs/>
                <w:sz w:val="21"/>
                <w:szCs w:val="21"/>
              </w:rPr>
            </w:pPr>
            <w:r>
              <w:rPr>
                <w:rFonts w:hint="eastAsia" w:ascii="宋体" w:hAnsi="宋体"/>
                <w:b/>
                <w:bCs/>
                <w:sz w:val="21"/>
                <w:szCs w:val="21"/>
                <w:lang w:val="en-US" w:eastAsia="zh-CN"/>
              </w:rPr>
              <w:t>二</w:t>
            </w:r>
            <w:r>
              <w:rPr>
                <w:rFonts w:hint="eastAsia" w:ascii="宋体" w:hAnsi="宋体"/>
                <w:b/>
                <w:bCs/>
                <w:sz w:val="21"/>
                <w:szCs w:val="21"/>
              </w:rPr>
              <w:t>、整体要求</w:t>
            </w:r>
          </w:p>
        </w:tc>
      </w:tr>
      <w:tr w14:paraId="65DB3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627" w:type="dxa"/>
            <w:gridSpan w:val="6"/>
            <w:noWrap w:val="0"/>
            <w:vAlign w:val="top"/>
          </w:tcPr>
          <w:p w14:paraId="4E633887">
            <w:pPr>
              <w:rPr>
                <w:rFonts w:hint="eastAsia" w:ascii="宋体" w:hAnsi="宋体"/>
                <w:sz w:val="21"/>
                <w:szCs w:val="21"/>
              </w:rPr>
            </w:pPr>
            <w:r>
              <w:rPr>
                <w:rFonts w:hint="eastAsia" w:ascii="宋体" w:hAnsi="宋体"/>
                <w:sz w:val="21"/>
                <w:szCs w:val="21"/>
              </w:rPr>
              <w:t>1、各投标单位应符合投标资格，通过资格审核且缴纳投标保证金方为有效投标。</w:t>
            </w:r>
          </w:p>
        </w:tc>
      </w:tr>
      <w:tr w14:paraId="558AF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0627" w:type="dxa"/>
            <w:gridSpan w:val="6"/>
            <w:noWrap w:val="0"/>
            <w:vAlign w:val="top"/>
          </w:tcPr>
          <w:p w14:paraId="6C152875">
            <w:pPr>
              <w:rPr>
                <w:rFonts w:hint="eastAsia" w:ascii="宋体" w:hAnsi="宋体"/>
                <w:sz w:val="21"/>
                <w:szCs w:val="21"/>
              </w:rPr>
            </w:pPr>
            <w:r>
              <w:rPr>
                <w:rFonts w:hint="eastAsia" w:ascii="宋体" w:hAnsi="宋体"/>
                <w:sz w:val="21"/>
                <w:szCs w:val="21"/>
              </w:rPr>
              <w:t>2、投标单位提交的投标文件和资料必须真实有效。</w:t>
            </w:r>
          </w:p>
        </w:tc>
      </w:tr>
      <w:tr w14:paraId="40236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0627" w:type="dxa"/>
            <w:gridSpan w:val="6"/>
            <w:noWrap w:val="0"/>
            <w:vAlign w:val="top"/>
          </w:tcPr>
          <w:p w14:paraId="7DDAF652">
            <w:pPr>
              <w:numPr>
                <w:ilvl w:val="0"/>
                <w:numId w:val="0"/>
              </w:numPr>
              <w:rPr>
                <w:rFonts w:hint="default" w:ascii="宋体" w:hAnsi="宋体" w:eastAsia="宋体"/>
                <w:sz w:val="21"/>
                <w:szCs w:val="21"/>
                <w:lang w:val="en-US" w:eastAsia="zh-CN"/>
              </w:rPr>
            </w:pPr>
            <w:r>
              <w:rPr>
                <w:rFonts w:hint="eastAsia" w:ascii="宋体" w:hAnsi="宋体"/>
                <w:sz w:val="21"/>
                <w:szCs w:val="21"/>
                <w:lang w:val="en-US" w:eastAsia="zh-CN"/>
              </w:rPr>
              <w:t>3、</w:t>
            </w:r>
            <w:r>
              <w:rPr>
                <w:rFonts w:hint="eastAsia" w:ascii="宋体" w:hAnsi="宋体"/>
                <w:sz w:val="21"/>
                <w:szCs w:val="21"/>
              </w:rPr>
              <w:t>合同签订前，招标方有权组织联合小组（财务、技术、设备、质量等）到中标候选人实地审核，如发现投标文件和资料有弄虚作假，招标方有权取消其中标候选人资格，同时招标方有权扣留其投标保证金。</w:t>
            </w:r>
          </w:p>
        </w:tc>
      </w:tr>
    </w:tbl>
    <w:p w14:paraId="375BE0C3">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5"/>
      <w:bookmarkStart w:id="12" w:name="OLE_LINK28"/>
      <w:bookmarkStart w:id="13" w:name="OLE_LINK27"/>
      <w:bookmarkStart w:id="14" w:name="OLE_LINK29"/>
      <w:bookmarkStart w:id="15" w:name="OLE_LINK26"/>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463DA3A7">
      <w:pPr>
        <w:pStyle w:val="72"/>
      </w:pPr>
      <w:r>
        <w:rPr>
          <w:rFonts w:hint="eastAsia"/>
          <w:lang w:val="en-US" w:eastAsia="zh-CN"/>
        </w:rPr>
        <w:t>交货及付款</w:t>
      </w:r>
    </w:p>
    <w:p w14:paraId="1494B402">
      <w:pPr>
        <w:pStyle w:val="72"/>
        <w:numPr>
          <w:ilvl w:val="0"/>
          <w:numId w:val="29"/>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yellow"/>
          <w:lang w:val="en-US" w:eastAsia="zh-CN"/>
        </w:rPr>
        <w:t>付款节点：</w:t>
      </w:r>
    </w:p>
    <w:p w14:paraId="16608A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45C26BF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default" w:ascii="宋体" w:hAnsi="宋体" w:eastAsia="宋体" w:cs="宋体"/>
          <w:sz w:val="21"/>
          <w:szCs w:val="21"/>
          <w:highlight w:val="yellow"/>
          <w:lang w:val="en-US" w:eastAsia="zh-CN"/>
        </w:rPr>
      </w:pPr>
      <w:r>
        <w:rPr>
          <w:rFonts w:hint="eastAsia" w:ascii="宋体" w:hAnsi="宋体" w:cs="宋体"/>
          <w:sz w:val="21"/>
          <w:szCs w:val="21"/>
          <w:highlight w:val="yellow"/>
          <w:lang w:val="en-US" w:eastAsia="zh-CN"/>
        </w:rPr>
        <w:t>2.其他</w:t>
      </w:r>
    </w:p>
    <w:p w14:paraId="557C0C1D">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投标方可以根据自身的技术、经验等优势以及对本技术规范书和招标文件的理解，写明投标方应进行的优于本技术规范书和招标文件要求的其它方案或建议意见；投标方的这些努力，委托方表示感谢，并将有助于投标方优先胜出；</w:t>
      </w:r>
    </w:p>
    <w:p w14:paraId="3E2EFEA3">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2、即使有建议意见或建议方案，仍应依据本技术规范书和招标文件要求，编写符合要求的投标文件。建议方案或建议意见，应以单独篇章或文件，予以说明。</w:t>
      </w:r>
    </w:p>
    <w:p w14:paraId="0D35D277">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3、价格与支付</w:t>
      </w:r>
    </w:p>
    <w:p w14:paraId="259AE1D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3.1结算方式</w:t>
      </w:r>
    </w:p>
    <w:p w14:paraId="48B759F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双方约定按当月系统中整车下线的桥的数量作为外包费用结算依据，按每件合同价支付外包费用，支付方式为半年商业汇票，（包括银行承兑汇票和商业承兑汇票），账期30天，60天之内付款，开具增值税发票，税率为13%。</w:t>
      </w:r>
    </w:p>
    <w:p w14:paraId="543C19CD">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注：在招标人E采通中填写的报价为总价（万元，含税）。</w:t>
      </w:r>
    </w:p>
    <w:p w14:paraId="4325D2F5">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币种为人民币，招标方支付费用的，需投标方开具增值税专用发票，增值税税率【13】%，如国家出台新政策对增值税率进行了调整，则不含税价款不变，税率根据国家最新税法进行相应的调整。</w:t>
      </w:r>
    </w:p>
    <w:p w14:paraId="4A2DF127">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3.2中标人在收到招标人的《中标通知书》后15日内，应按照招标文件合同专用条款的规定，采用招标文件中提供的履约保证金保函格式或招标人可以接受的其他形式向招标人提交履约保证金。本业务合同履约保证金为15万元。</w:t>
      </w:r>
    </w:p>
    <w:p w14:paraId="00FBE1A1">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3.3经卡车公司相关部门评审，同意供方退出的，由业务主体责任方立即组织新供方的招标和引入或与招标时第二顺位投标方作为中标方、延用第一中标方价格签订合同。在招标期间或业务交接期间（交接期为3个月），原供方须无条件配合业务交接工作，确保业务正常运转。对于交接期间出现影响生产的情况，交接期第1个月由原供方承担70%责任，新供方承担 30%责任；交接期第2 个月，由原供方承担50%责任，新供方承担50%责任；交接期第3个月，由原供方承担30%责任，新供方承担70%责任。</w:t>
      </w:r>
    </w:p>
    <w:p w14:paraId="6E0D7439">
      <w:pPr>
        <w:pStyle w:val="72"/>
        <w:rPr>
          <w:rFonts w:hint="eastAsia"/>
          <w:lang w:val="en-US" w:eastAsia="zh-CN"/>
        </w:rPr>
      </w:pPr>
      <w:r>
        <w:rPr>
          <w:rFonts w:hint="eastAsia"/>
          <w:lang w:val="en-US" w:eastAsia="zh-CN"/>
        </w:rPr>
        <w:t>本次招标最终解释权归中国重汽集团济南卡车股份有限公司制造公司。</w:t>
      </w:r>
    </w:p>
    <w:p w14:paraId="66BCACD8">
      <w:pPr>
        <w:pStyle w:val="76"/>
      </w:pPr>
    </w:p>
    <w:p w14:paraId="07A4B493">
      <w:pPr>
        <w:pStyle w:val="71"/>
        <w:jc w:val="both"/>
        <w:rPr>
          <w:rFonts w:hint="eastAsia"/>
        </w:rPr>
      </w:pPr>
      <w:bookmarkStart w:id="16" w:name="_Toc47976607"/>
    </w:p>
    <w:p w14:paraId="243FF35F">
      <w:pPr>
        <w:rPr>
          <w:rFonts w:hint="eastAsia"/>
        </w:rPr>
      </w:pPr>
      <w:r>
        <w:rPr>
          <w:rFonts w:hint="eastAsia"/>
        </w:rPr>
        <w:br w:type="page"/>
      </w:r>
    </w:p>
    <w:p w14:paraId="4D4F85A8">
      <w:pPr>
        <w:pStyle w:val="71"/>
        <w:jc w:val="both"/>
        <w:rPr>
          <w:rFonts w:hint="eastAsia"/>
        </w:rPr>
      </w:pPr>
    </w:p>
    <w:bookmarkEnd w:id="16"/>
    <w:p w14:paraId="1FB6CA61">
      <w:pPr>
        <w:pStyle w:val="71"/>
        <w:numPr>
          <w:ilvl w:val="0"/>
          <w:numId w:val="30"/>
        </w:numPr>
        <w:jc w:val="center"/>
        <w:rPr>
          <w:rFonts w:hint="eastAsia"/>
          <w:lang w:val="en-US" w:eastAsia="zh-CN"/>
        </w:rPr>
      </w:pPr>
      <w:bookmarkStart w:id="17" w:name="_Toc1910"/>
      <w:r>
        <w:rPr>
          <w:rFonts w:hint="eastAsia"/>
          <w:lang w:val="en-US" w:eastAsia="zh-CN"/>
        </w:rPr>
        <w:t>技术标书</w:t>
      </w:r>
      <w:bookmarkEnd w:id="17"/>
    </w:p>
    <w:p w14:paraId="40968C57">
      <w:pPr>
        <w:pStyle w:val="3"/>
        <w:jc w:val="center"/>
        <w:rPr>
          <w:rFonts w:eastAsia="黑体"/>
          <w:color w:val="000000"/>
          <w:sz w:val="36"/>
          <w:szCs w:val="32"/>
        </w:rPr>
      </w:pPr>
      <w:bookmarkStart w:id="18" w:name="_Toc50476914"/>
      <w:r>
        <w:rPr>
          <w:rFonts w:eastAsia="黑体"/>
          <w:color w:val="000000"/>
          <w:sz w:val="36"/>
          <w:szCs w:val="32"/>
        </w:rPr>
        <w:t>技术</w:t>
      </w:r>
      <w:bookmarkEnd w:id="18"/>
      <w:r>
        <w:rPr>
          <w:rFonts w:hint="eastAsia" w:eastAsia="黑体"/>
          <w:color w:val="000000"/>
          <w:sz w:val="36"/>
          <w:szCs w:val="32"/>
        </w:rPr>
        <w:t>规范</w:t>
      </w:r>
    </w:p>
    <w:p w14:paraId="6A92CDC1">
      <w:pPr>
        <w:spacing w:line="360" w:lineRule="auto"/>
        <w:ind w:firstLine="141" w:firstLineChars="50"/>
        <w:rPr>
          <w:rFonts w:hint="eastAsia" w:ascii="宋体" w:hAnsi="宋体" w:cs="宋体"/>
          <w:b/>
          <w:bCs/>
          <w:sz w:val="28"/>
          <w:szCs w:val="28"/>
        </w:rPr>
      </w:pPr>
      <w:bookmarkStart w:id="19" w:name="_Toc48320507"/>
      <w:bookmarkStart w:id="20" w:name="_Toc47031005"/>
      <w:bookmarkStart w:id="21" w:name="_Toc44077636"/>
      <w:bookmarkStart w:id="22" w:name="_Toc50476919"/>
      <w:bookmarkStart w:id="23" w:name="_Toc44077687"/>
      <w:r>
        <w:rPr>
          <w:rFonts w:hint="eastAsia" w:ascii="宋体" w:hAnsi="宋体" w:cs="宋体"/>
          <w:b/>
          <w:bCs/>
          <w:sz w:val="28"/>
          <w:szCs w:val="28"/>
        </w:rPr>
        <w:t>一、</w:t>
      </w:r>
      <w:r>
        <w:rPr>
          <w:rFonts w:hint="eastAsia" w:ascii="宋体" w:hAnsi="宋体" w:eastAsia="宋体" w:cs="宋体"/>
          <w:b/>
          <w:bCs/>
          <w:sz w:val="28"/>
          <w:szCs w:val="28"/>
        </w:rPr>
        <w:t>项目</w:t>
      </w:r>
      <w:r>
        <w:rPr>
          <w:rFonts w:hint="eastAsia" w:ascii="宋体" w:hAnsi="宋体" w:cs="宋体"/>
          <w:b/>
          <w:bCs/>
          <w:sz w:val="28"/>
          <w:szCs w:val="28"/>
        </w:rPr>
        <w:t>内容及范围</w:t>
      </w:r>
    </w:p>
    <w:p w14:paraId="1CEC5163">
      <w:pPr>
        <w:spacing w:line="360" w:lineRule="auto"/>
        <w:ind w:firstLine="105" w:firstLineChars="50"/>
        <w:rPr>
          <w:rFonts w:hint="eastAsia" w:ascii="宋体" w:hAnsi="宋体"/>
          <w:szCs w:val="21"/>
        </w:rPr>
      </w:pPr>
      <w:r>
        <w:rPr>
          <w:rFonts w:hint="eastAsia" w:ascii="宋体" w:hAnsi="宋体"/>
          <w:b/>
          <w:szCs w:val="21"/>
        </w:rPr>
        <w:t>1.1项目名称：</w:t>
      </w:r>
      <w:r>
        <w:rPr>
          <w:rFonts w:hint="eastAsia" w:ascii="宋体" w:hAnsi="宋体"/>
          <w:szCs w:val="21"/>
        </w:rPr>
        <w:t>车架一部2026年桥分装业务外包项目　</w:t>
      </w:r>
    </w:p>
    <w:p w14:paraId="30FB0880">
      <w:pPr>
        <w:spacing w:line="360" w:lineRule="auto"/>
        <w:ind w:firstLine="105" w:firstLineChars="50"/>
        <w:rPr>
          <w:rFonts w:hint="eastAsia" w:ascii="宋体" w:hAnsi="宋体"/>
          <w:szCs w:val="21"/>
        </w:rPr>
      </w:pPr>
      <w:r>
        <w:rPr>
          <w:rFonts w:hint="eastAsia" w:ascii="宋体" w:hAnsi="宋体"/>
          <w:b/>
          <w:szCs w:val="21"/>
        </w:rPr>
        <w:t>1.2项目地点：</w:t>
      </w:r>
      <w:r>
        <w:rPr>
          <w:rFonts w:hint="eastAsia" w:ascii="宋体" w:hAnsi="宋体"/>
          <w:szCs w:val="21"/>
        </w:rPr>
        <w:t xml:space="preserve">卡车制造公司莱芜工厂车架一部      </w:t>
      </w:r>
    </w:p>
    <w:p w14:paraId="2981DF8F">
      <w:pPr>
        <w:spacing w:line="360" w:lineRule="auto"/>
        <w:ind w:firstLine="103" w:firstLineChars="49"/>
        <w:rPr>
          <w:rFonts w:hint="eastAsia" w:ascii="宋体" w:hAnsi="宋体"/>
          <w:color w:val="000000"/>
          <w:szCs w:val="21"/>
        </w:rPr>
      </w:pPr>
      <w:r>
        <w:rPr>
          <w:rFonts w:hint="eastAsia" w:ascii="宋体" w:hAnsi="宋体"/>
          <w:b/>
          <w:szCs w:val="21"/>
        </w:rPr>
        <w:t>1.3基本情况：</w:t>
      </w:r>
      <w:r>
        <w:rPr>
          <w:rFonts w:hint="eastAsia" w:ascii="宋体" w:hAnsi="宋体"/>
          <w:color w:val="000000"/>
          <w:szCs w:val="21"/>
        </w:rPr>
        <w:t>根据生产需求，中国重汽集团济南卡车股份有限公司（莱芜工厂）拟将桥分装业务进行外包。具体情况如下：</w:t>
      </w:r>
    </w:p>
    <w:p w14:paraId="766A283E">
      <w:pPr>
        <w:spacing w:line="360" w:lineRule="auto"/>
        <w:ind w:firstLine="420" w:firstLineChars="200"/>
        <w:rPr>
          <w:rFonts w:hint="eastAsia" w:ascii="宋体" w:hAnsi="宋体" w:eastAsia="宋体"/>
          <w:color w:val="000000"/>
          <w:szCs w:val="21"/>
        </w:rPr>
      </w:pPr>
      <w:r>
        <w:rPr>
          <w:rFonts w:hint="eastAsia" w:ascii="宋体" w:hAnsi="宋体"/>
          <w:color w:val="000000"/>
          <w:szCs w:val="21"/>
        </w:rPr>
        <w:t>1.3.1、设备清单： 4台加注机、KBK轻型起重机及定值拧紧机若干台。</w:t>
      </w:r>
    </w:p>
    <w:p w14:paraId="6196D4AC">
      <w:pPr>
        <w:spacing w:line="360" w:lineRule="auto"/>
        <w:ind w:firstLine="420" w:firstLineChars="200"/>
        <w:rPr>
          <w:rFonts w:hint="eastAsia" w:ascii="宋体" w:hAnsi="宋体"/>
          <w:color w:val="000000"/>
          <w:szCs w:val="21"/>
        </w:rPr>
      </w:pPr>
      <w:r>
        <w:rPr>
          <w:rFonts w:hint="eastAsia" w:ascii="宋体" w:hAnsi="宋体"/>
          <w:color w:val="000000"/>
          <w:szCs w:val="21"/>
        </w:rPr>
        <w:t>1.3.2、人员：前桥分装线单班定员19人，中桥分装线单班定员28人，后桥分装线单班定员30人，目前双班制，后期根据产量变化灵活调整生产班次。</w:t>
      </w:r>
    </w:p>
    <w:p w14:paraId="7269B7F4">
      <w:pPr>
        <w:spacing w:line="360" w:lineRule="auto"/>
        <w:ind w:firstLine="420" w:firstLineChars="200"/>
        <w:rPr>
          <w:rFonts w:hint="eastAsia" w:ascii="宋体" w:hAnsi="宋体"/>
          <w:color w:val="000000"/>
          <w:szCs w:val="21"/>
        </w:rPr>
      </w:pPr>
      <w:r>
        <w:rPr>
          <w:rFonts w:hint="eastAsia" w:ascii="宋体" w:hAnsi="宋体"/>
          <w:color w:val="000000"/>
          <w:szCs w:val="21"/>
        </w:rPr>
        <w:t>1.3.3、产量：桥分装的生产节拍2.46min/件，年度预计产量前桥126498件、中桥89085件，后桥114012件。</w:t>
      </w:r>
    </w:p>
    <w:p w14:paraId="5CC2F3F0">
      <w:pPr>
        <w:spacing w:line="360" w:lineRule="auto"/>
        <w:ind w:firstLine="420" w:firstLineChars="200"/>
        <w:rPr>
          <w:rFonts w:hint="eastAsia" w:ascii="宋体" w:hAnsi="宋体"/>
          <w:color w:val="000000"/>
          <w:szCs w:val="21"/>
        </w:rPr>
      </w:pPr>
      <w:r>
        <w:rPr>
          <w:rFonts w:hint="eastAsia" w:ascii="宋体" w:hAnsi="宋体"/>
          <w:color w:val="000000"/>
          <w:szCs w:val="21"/>
        </w:rPr>
        <w:t>1.3.4、标的物：桥分装总成及产品件的装配。</w:t>
      </w:r>
    </w:p>
    <w:p w14:paraId="3E153865">
      <w:pPr>
        <w:spacing w:line="360" w:lineRule="auto"/>
        <w:ind w:firstLine="422" w:firstLineChars="200"/>
        <w:rPr>
          <w:rFonts w:hint="eastAsia" w:ascii="宋体" w:hAnsi="宋体"/>
          <w:b/>
          <w:szCs w:val="21"/>
        </w:rPr>
      </w:pPr>
      <w:r>
        <w:rPr>
          <w:rFonts w:hint="eastAsia"/>
          <w:b/>
          <w:bCs/>
        </w:rPr>
        <w:t>1.4</w:t>
      </w:r>
      <w:r>
        <w:rPr>
          <w:rFonts w:hint="eastAsia" w:ascii="宋体" w:hAnsi="宋体"/>
          <w:b/>
          <w:szCs w:val="21"/>
        </w:rPr>
        <w:t>具体工作范围：</w:t>
      </w:r>
    </w:p>
    <w:p w14:paraId="4F215E58">
      <w:pPr>
        <w:spacing w:line="360" w:lineRule="auto"/>
        <w:ind w:firstLine="420" w:firstLineChars="200"/>
        <w:rPr>
          <w:rFonts w:hint="eastAsia" w:ascii="宋体" w:hAnsi="宋体"/>
          <w:color w:val="000000"/>
          <w:szCs w:val="21"/>
        </w:rPr>
      </w:pPr>
      <w:r>
        <w:rPr>
          <w:rFonts w:hint="eastAsia" w:ascii="宋体" w:hAnsi="宋体"/>
          <w:color w:val="000000"/>
          <w:szCs w:val="21"/>
        </w:rPr>
        <w:t>1.4.1、据生产作业计划完成桥分装工作并通过EMS线发交至底盘大线，满足装配线生产需求。</w:t>
      </w:r>
    </w:p>
    <w:p w14:paraId="4E2D4623">
      <w:pPr>
        <w:spacing w:line="360" w:lineRule="auto"/>
        <w:ind w:firstLine="420" w:firstLineChars="200"/>
        <w:rPr>
          <w:rFonts w:hint="eastAsia" w:ascii="宋体" w:hAnsi="宋体"/>
          <w:color w:val="000000"/>
          <w:szCs w:val="21"/>
        </w:rPr>
      </w:pPr>
      <w:r>
        <w:rPr>
          <w:rFonts w:hint="eastAsia" w:ascii="宋体" w:hAnsi="宋体"/>
          <w:color w:val="000000"/>
          <w:szCs w:val="21"/>
        </w:rPr>
        <w:t>1.4.2、承包单位负责分装总成及产品件的日常装配管理。</w:t>
      </w:r>
    </w:p>
    <w:p w14:paraId="39E88355">
      <w:pPr>
        <w:spacing w:line="360" w:lineRule="auto"/>
        <w:ind w:firstLine="420" w:firstLineChars="200"/>
        <w:rPr>
          <w:rFonts w:hint="eastAsia" w:ascii="宋体" w:hAnsi="宋体"/>
          <w:color w:val="000000"/>
          <w:szCs w:val="21"/>
        </w:rPr>
      </w:pPr>
      <w:r>
        <w:rPr>
          <w:rFonts w:hint="eastAsia" w:ascii="宋体" w:hAnsi="宋体"/>
          <w:color w:val="000000"/>
          <w:szCs w:val="21"/>
        </w:rPr>
        <w:t>1.4.3、承包单位负责安排人员针对车辆上线、下线、入库等过程中遇到与分装总成业务往来方面的问题处理协调。</w:t>
      </w:r>
    </w:p>
    <w:p w14:paraId="28032CD2">
      <w:pPr>
        <w:ind w:firstLine="420" w:firstLineChars="200"/>
        <w:rPr>
          <w:rFonts w:hint="eastAsia" w:ascii="宋体" w:hAnsi="宋体"/>
          <w:color w:val="000000"/>
          <w:szCs w:val="21"/>
        </w:rPr>
      </w:pPr>
      <w:r>
        <w:rPr>
          <w:rFonts w:hint="eastAsia" w:ascii="宋体" w:hAnsi="宋体"/>
          <w:color w:val="000000"/>
          <w:szCs w:val="21"/>
        </w:rPr>
        <w:t>1.4.4、据卡车制造公司相关规定，负责桥分装日常设备点检及日常维保，负责设备备件管理，所用配件由甲方提供。</w:t>
      </w:r>
    </w:p>
    <w:p w14:paraId="1CDB3F12">
      <w:pPr>
        <w:ind w:firstLine="420" w:firstLineChars="200"/>
        <w:rPr>
          <w:rFonts w:hint="eastAsia" w:ascii="宋体" w:hAnsi="宋体"/>
          <w:color w:val="000000"/>
          <w:szCs w:val="21"/>
        </w:rPr>
      </w:pPr>
      <w:r>
        <w:rPr>
          <w:rFonts w:hint="eastAsia" w:ascii="宋体" w:hAnsi="宋体"/>
          <w:color w:val="000000"/>
          <w:szCs w:val="21"/>
        </w:rPr>
        <w:t>1.4.5、确保设备稳定运行，设备状态良好及现场5S管理。</w:t>
      </w:r>
    </w:p>
    <w:p w14:paraId="220F53A8">
      <w:pPr>
        <w:spacing w:line="360" w:lineRule="auto"/>
        <w:rPr>
          <w:rFonts w:hint="eastAsia" w:ascii="宋体" w:hAnsi="宋体" w:cs="宋体"/>
          <w:b/>
          <w:bCs/>
          <w:sz w:val="28"/>
          <w:szCs w:val="28"/>
        </w:rPr>
      </w:pPr>
      <w:r>
        <w:rPr>
          <w:rFonts w:hint="eastAsia" w:ascii="宋体" w:hAnsi="宋体" w:cs="宋体"/>
          <w:b/>
          <w:bCs/>
          <w:sz w:val="28"/>
          <w:szCs w:val="28"/>
        </w:rPr>
        <w:t>三、工序内容及人员</w:t>
      </w:r>
    </w:p>
    <w:p w14:paraId="41091DC3">
      <w:pPr>
        <w:spacing w:line="360" w:lineRule="auto"/>
      </w:pPr>
      <w:r>
        <w:rPr>
          <w:rFonts w:hint="eastAsia" w:ascii="宋体" w:hAnsi="宋体"/>
          <w:color w:val="000000" w:themeColor="text1"/>
          <w:szCs w:val="21"/>
          <w14:textFill>
            <w14:solidFill>
              <w14:schemeClr w14:val="tx1"/>
            </w14:solidFill>
          </w14:textFill>
        </w:rPr>
        <w:t>桥分装线单班外包类型及人员如下，要求人员配置需满足生产：</w:t>
      </w:r>
    </w:p>
    <w:tbl>
      <w:tblPr>
        <w:tblStyle w:val="30"/>
        <w:tblpPr w:leftFromText="180" w:rightFromText="180" w:vertAnchor="text" w:horzAnchor="page" w:tblpXSpec="center" w:tblpY="362"/>
        <w:tblOverlap w:val="never"/>
        <w:tblW w:w="90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9"/>
        <w:gridCol w:w="2020"/>
        <w:gridCol w:w="2473"/>
        <w:gridCol w:w="1341"/>
        <w:gridCol w:w="1405"/>
      </w:tblGrid>
      <w:tr w14:paraId="256B5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1839" w:type="dxa"/>
            <w:tcBorders>
              <w:tl2br w:val="nil"/>
              <w:tr2bl w:val="nil"/>
            </w:tcBorders>
            <w:vAlign w:val="center"/>
          </w:tcPr>
          <w:p w14:paraId="15C7917E">
            <w:pPr>
              <w:widowControl/>
              <w:jc w:val="center"/>
              <w:rPr>
                <w:rFonts w:hint="eastAsia" w:ascii="仿宋" w:hAnsi="仿宋" w:eastAsia="仿宋" w:cs="仿宋"/>
                <w:bCs/>
                <w:kern w:val="0"/>
                <w:szCs w:val="21"/>
              </w:rPr>
            </w:pPr>
            <w:r>
              <w:rPr>
                <w:rFonts w:hint="eastAsia" w:ascii="仿宋" w:hAnsi="仿宋" w:eastAsia="仿宋" w:cs="仿宋"/>
                <w:bCs/>
                <w:kern w:val="0"/>
                <w:szCs w:val="21"/>
              </w:rPr>
              <w:t>产线名称</w:t>
            </w:r>
          </w:p>
        </w:tc>
        <w:tc>
          <w:tcPr>
            <w:tcW w:w="2020" w:type="dxa"/>
            <w:tcBorders>
              <w:tl2br w:val="nil"/>
              <w:tr2bl w:val="nil"/>
            </w:tcBorders>
            <w:vAlign w:val="center"/>
          </w:tcPr>
          <w:p w14:paraId="24254579">
            <w:pPr>
              <w:widowControl/>
              <w:jc w:val="center"/>
              <w:rPr>
                <w:rFonts w:hint="eastAsia" w:ascii="仿宋" w:hAnsi="仿宋" w:eastAsia="仿宋" w:cs="仿宋"/>
                <w:bCs/>
                <w:kern w:val="0"/>
                <w:szCs w:val="21"/>
              </w:rPr>
            </w:pPr>
            <w:r>
              <w:rPr>
                <w:rFonts w:hint="eastAsia" w:ascii="仿宋" w:hAnsi="仿宋" w:eastAsia="仿宋" w:cs="仿宋"/>
                <w:color w:val="000000"/>
                <w:kern w:val="0"/>
                <w:sz w:val="24"/>
                <w:szCs w:val="24"/>
                <w:lang w:bidi="ar"/>
              </w:rPr>
              <w:t>标准节拍/min</w:t>
            </w:r>
          </w:p>
        </w:tc>
        <w:tc>
          <w:tcPr>
            <w:tcW w:w="2473" w:type="dxa"/>
            <w:tcBorders>
              <w:tl2br w:val="nil"/>
              <w:tr2bl w:val="nil"/>
            </w:tcBorders>
            <w:vAlign w:val="center"/>
          </w:tcPr>
          <w:p w14:paraId="44E6FD5C">
            <w:pPr>
              <w:widowControl/>
              <w:jc w:val="center"/>
              <w:rPr>
                <w:rFonts w:hint="eastAsia" w:ascii="仿宋" w:hAnsi="仿宋" w:eastAsia="仿宋" w:cs="仿宋"/>
                <w:bCs/>
                <w:kern w:val="0"/>
                <w:szCs w:val="21"/>
              </w:rPr>
            </w:pPr>
            <w:r>
              <w:rPr>
                <w:rFonts w:hint="eastAsia" w:ascii="仿宋" w:hAnsi="仿宋" w:eastAsia="仿宋" w:cs="仿宋"/>
                <w:bCs/>
                <w:kern w:val="0"/>
                <w:szCs w:val="21"/>
              </w:rPr>
              <w:t>生产工序</w:t>
            </w:r>
          </w:p>
        </w:tc>
        <w:tc>
          <w:tcPr>
            <w:tcW w:w="1341" w:type="dxa"/>
            <w:tcBorders>
              <w:tl2br w:val="nil"/>
              <w:tr2bl w:val="nil"/>
            </w:tcBorders>
            <w:vAlign w:val="center"/>
          </w:tcPr>
          <w:p w14:paraId="6C929A6C">
            <w:pPr>
              <w:widowControl/>
              <w:jc w:val="center"/>
              <w:rPr>
                <w:rFonts w:hint="eastAsia" w:ascii="仿宋" w:hAnsi="仿宋" w:eastAsia="仿宋" w:cs="仿宋"/>
                <w:kern w:val="0"/>
                <w:szCs w:val="21"/>
              </w:rPr>
            </w:pPr>
            <w:r>
              <w:rPr>
                <w:rFonts w:hint="eastAsia" w:ascii="仿宋" w:hAnsi="仿宋" w:eastAsia="仿宋" w:cs="仿宋"/>
                <w:kern w:val="0"/>
                <w:szCs w:val="21"/>
              </w:rPr>
              <w:t>标准定员</w:t>
            </w:r>
          </w:p>
        </w:tc>
        <w:tc>
          <w:tcPr>
            <w:tcW w:w="1405" w:type="dxa"/>
            <w:tcBorders>
              <w:tl2br w:val="nil"/>
              <w:tr2bl w:val="nil"/>
            </w:tcBorders>
            <w:vAlign w:val="center"/>
          </w:tcPr>
          <w:p w14:paraId="4F3AFF92">
            <w:pPr>
              <w:widowControl/>
              <w:jc w:val="center"/>
              <w:rPr>
                <w:rFonts w:hint="eastAsia" w:ascii="仿宋" w:hAnsi="仿宋" w:eastAsia="仿宋" w:cs="仿宋"/>
                <w:b/>
                <w:kern w:val="0"/>
                <w:szCs w:val="21"/>
              </w:rPr>
            </w:pPr>
            <w:r>
              <w:rPr>
                <w:rFonts w:hint="eastAsia" w:ascii="仿宋" w:hAnsi="仿宋" w:eastAsia="仿宋" w:cs="仿宋"/>
                <w:b/>
                <w:kern w:val="0"/>
                <w:szCs w:val="21"/>
              </w:rPr>
              <w:t>工种</w:t>
            </w:r>
          </w:p>
        </w:tc>
      </w:tr>
      <w:tr w14:paraId="3482E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39" w:type="dxa"/>
            <w:vMerge w:val="restart"/>
            <w:tcBorders>
              <w:tl2br w:val="nil"/>
              <w:tr2bl w:val="nil"/>
            </w:tcBorders>
            <w:vAlign w:val="center"/>
          </w:tcPr>
          <w:p w14:paraId="2131671B">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前桥分装线</w:t>
            </w:r>
          </w:p>
        </w:tc>
        <w:tc>
          <w:tcPr>
            <w:tcW w:w="2020" w:type="dxa"/>
            <w:tcBorders>
              <w:tl2br w:val="nil"/>
              <w:tr2bl w:val="nil"/>
            </w:tcBorders>
            <w:vAlign w:val="center"/>
          </w:tcPr>
          <w:p w14:paraId="7F4D3106">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4F5EB88D">
            <w:pPr>
              <w:widowControl/>
              <w:jc w:val="center"/>
              <w:textAlignment w:val="center"/>
              <w:rPr>
                <w:rFonts w:hint="eastAsia" w:ascii="仿宋" w:hAnsi="仿宋" w:eastAsia="仿宋" w:cs="仿宋"/>
                <w:kern w:val="0"/>
                <w:szCs w:val="21"/>
              </w:rPr>
            </w:pPr>
            <w:r>
              <w:rPr>
                <w:rFonts w:hint="eastAsia" w:ascii="仿宋" w:hAnsi="仿宋" w:eastAsia="仿宋" w:cs="仿宋"/>
                <w:color w:val="000000"/>
                <w:kern w:val="0"/>
                <w:szCs w:val="21"/>
                <w:lang w:bidi="ar"/>
              </w:rPr>
              <w:t>前桥上线吊装，安装前桥制动气室压螺母</w:t>
            </w:r>
          </w:p>
        </w:tc>
        <w:tc>
          <w:tcPr>
            <w:tcW w:w="1341" w:type="dxa"/>
            <w:vMerge w:val="restart"/>
            <w:tcBorders>
              <w:tl2br w:val="nil"/>
              <w:tr2bl w:val="nil"/>
            </w:tcBorders>
            <w:vAlign w:val="center"/>
          </w:tcPr>
          <w:p w14:paraId="7FDADF59">
            <w:pPr>
              <w:widowControl/>
              <w:jc w:val="center"/>
              <w:textAlignment w:val="center"/>
              <w:rPr>
                <w:rFonts w:hint="eastAsia" w:ascii="仿宋" w:hAnsi="仿宋" w:eastAsia="仿宋" w:cs="仿宋"/>
                <w:szCs w:val="21"/>
              </w:rPr>
            </w:pPr>
            <w:r>
              <w:rPr>
                <w:rFonts w:hint="eastAsia" w:ascii="仿宋" w:hAnsi="仿宋" w:eastAsia="仿宋" w:cs="仿宋"/>
                <w:szCs w:val="21"/>
              </w:rPr>
              <w:t>8</w:t>
            </w:r>
          </w:p>
        </w:tc>
        <w:tc>
          <w:tcPr>
            <w:tcW w:w="1405" w:type="dxa"/>
            <w:tcBorders>
              <w:tl2br w:val="nil"/>
              <w:tr2bl w:val="nil"/>
            </w:tcBorders>
            <w:vAlign w:val="center"/>
          </w:tcPr>
          <w:p w14:paraId="0AB74947">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5AFBB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839" w:type="dxa"/>
            <w:vMerge w:val="continue"/>
            <w:tcBorders>
              <w:tl2br w:val="nil"/>
              <w:tr2bl w:val="nil"/>
            </w:tcBorders>
            <w:vAlign w:val="center"/>
          </w:tcPr>
          <w:p w14:paraId="1D70FBE9">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127CDB0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AEC97E1">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分装前桥制动气室、穿ABS线报警线防护管</w:t>
            </w:r>
          </w:p>
        </w:tc>
        <w:tc>
          <w:tcPr>
            <w:tcW w:w="1341" w:type="dxa"/>
            <w:vMerge w:val="continue"/>
            <w:tcBorders>
              <w:tl2br w:val="nil"/>
              <w:tr2bl w:val="nil"/>
            </w:tcBorders>
            <w:vAlign w:val="center"/>
          </w:tcPr>
          <w:p w14:paraId="418B6CE1">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1CDCBAEC">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57416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05E73B4E">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12DADD01">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715D35A5">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吊前板簧上线</w:t>
            </w:r>
          </w:p>
        </w:tc>
        <w:tc>
          <w:tcPr>
            <w:tcW w:w="1341" w:type="dxa"/>
            <w:tcBorders>
              <w:tl2br w:val="nil"/>
              <w:tr2bl w:val="nil"/>
            </w:tcBorders>
            <w:vAlign w:val="center"/>
          </w:tcPr>
          <w:p w14:paraId="1FDFE352">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6B207550">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06C72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839" w:type="dxa"/>
            <w:vMerge w:val="continue"/>
            <w:tcBorders>
              <w:tl2br w:val="nil"/>
              <w:tr2bl w:val="nil"/>
            </w:tcBorders>
            <w:vAlign w:val="center"/>
          </w:tcPr>
          <w:p w14:paraId="02BBD4BD">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7ADD03C4">
            <w:pPr>
              <w:widowControl/>
              <w:jc w:val="center"/>
              <w:textAlignment w:val="center"/>
              <w:rPr>
                <w:rFonts w:hint="eastAsia" w:ascii="仿宋" w:hAnsi="仿宋" w:eastAsia="仿宋" w:cs="仿宋"/>
                <w:color w:val="000000"/>
                <w:kern w:val="0"/>
                <w:sz w:val="24"/>
                <w:szCs w:val="24"/>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0BE65D63">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安装前桥骑马螺栓</w:t>
            </w:r>
          </w:p>
        </w:tc>
        <w:tc>
          <w:tcPr>
            <w:tcW w:w="1341" w:type="dxa"/>
            <w:tcBorders>
              <w:tl2br w:val="nil"/>
              <w:tr2bl w:val="nil"/>
            </w:tcBorders>
            <w:vAlign w:val="center"/>
          </w:tcPr>
          <w:p w14:paraId="1F9947A7">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565E9D58">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50C67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39" w:type="dxa"/>
            <w:vMerge w:val="continue"/>
            <w:tcBorders>
              <w:tl2br w:val="nil"/>
              <w:tr2bl w:val="nil"/>
            </w:tcBorders>
            <w:vAlign w:val="center"/>
          </w:tcPr>
          <w:p w14:paraId="20CA029C">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00D2EED2">
            <w:pPr>
              <w:widowControl/>
              <w:jc w:val="center"/>
              <w:textAlignment w:val="center"/>
              <w:rPr>
                <w:rFonts w:hint="eastAsia" w:ascii="仿宋" w:hAnsi="仿宋" w:eastAsia="仿宋" w:cs="仿宋"/>
                <w:color w:val="000000"/>
                <w:kern w:val="0"/>
                <w:sz w:val="24"/>
                <w:szCs w:val="24"/>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3720A117">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分装安装弹簧座、安装板簧垫块</w:t>
            </w:r>
          </w:p>
        </w:tc>
        <w:tc>
          <w:tcPr>
            <w:tcW w:w="1341" w:type="dxa"/>
            <w:tcBorders>
              <w:tl2br w:val="nil"/>
              <w:tr2bl w:val="nil"/>
            </w:tcBorders>
            <w:vAlign w:val="center"/>
          </w:tcPr>
          <w:p w14:paraId="79D0CF09">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5AA39636">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54CE4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69FED288">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6FDFA636">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71F85AA7">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总成件扫描、揭标签</w:t>
            </w:r>
          </w:p>
        </w:tc>
        <w:tc>
          <w:tcPr>
            <w:tcW w:w="1341" w:type="dxa"/>
            <w:tcBorders>
              <w:tl2br w:val="nil"/>
              <w:tr2bl w:val="nil"/>
            </w:tcBorders>
            <w:vAlign w:val="center"/>
          </w:tcPr>
          <w:p w14:paraId="5FBAAE61">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17C0A6DE">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6D3E3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39" w:type="dxa"/>
            <w:vMerge w:val="continue"/>
            <w:tcBorders>
              <w:tl2br w:val="nil"/>
              <w:tr2bl w:val="nil"/>
            </w:tcBorders>
            <w:vAlign w:val="center"/>
          </w:tcPr>
          <w:p w14:paraId="09989D76">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3EDD7E4D">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2431FEC">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分装安装弹簧座、安装板簧垫块</w:t>
            </w:r>
          </w:p>
        </w:tc>
        <w:tc>
          <w:tcPr>
            <w:tcW w:w="1341" w:type="dxa"/>
            <w:tcBorders>
              <w:tl2br w:val="nil"/>
              <w:tr2bl w:val="nil"/>
            </w:tcBorders>
            <w:vAlign w:val="center"/>
          </w:tcPr>
          <w:p w14:paraId="742C734D">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6850579E">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2F6C9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060FF4AD">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2D2A54C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4C04595F">
            <w:pPr>
              <w:widowControl/>
              <w:jc w:val="center"/>
              <w:textAlignment w:val="center"/>
              <w:rPr>
                <w:rFonts w:hint="eastAsia" w:ascii="仿宋" w:hAnsi="仿宋" w:eastAsia="仿宋" w:cs="仿宋"/>
                <w:kern w:val="0"/>
                <w:szCs w:val="21"/>
              </w:rPr>
            </w:pPr>
            <w:r>
              <w:rPr>
                <w:rFonts w:hint="eastAsia" w:ascii="仿宋" w:hAnsi="仿宋" w:eastAsia="仿宋" w:cs="仿宋"/>
                <w:color w:val="000000"/>
                <w:kern w:val="0"/>
                <w:szCs w:val="21"/>
                <w:lang w:bidi="ar"/>
              </w:rPr>
              <w:t>班组长</w:t>
            </w:r>
          </w:p>
        </w:tc>
        <w:tc>
          <w:tcPr>
            <w:tcW w:w="1341" w:type="dxa"/>
            <w:tcBorders>
              <w:tl2br w:val="nil"/>
              <w:tr2bl w:val="nil"/>
            </w:tcBorders>
            <w:vAlign w:val="center"/>
          </w:tcPr>
          <w:p w14:paraId="5DE578FC">
            <w:pPr>
              <w:widowControl/>
              <w:jc w:val="center"/>
              <w:textAlignment w:val="center"/>
              <w:rPr>
                <w:rFonts w:hint="eastAsia" w:ascii="仿宋" w:hAnsi="仿宋" w:eastAsia="仿宋" w:cs="仿宋"/>
                <w:szCs w:val="21"/>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475F55D4">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0C9BD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39" w:type="dxa"/>
            <w:vMerge w:val="restart"/>
            <w:tcBorders>
              <w:tl2br w:val="nil"/>
              <w:tr2bl w:val="nil"/>
            </w:tcBorders>
            <w:vAlign w:val="center"/>
          </w:tcPr>
          <w:p w14:paraId="72F5A942">
            <w:pPr>
              <w:widowControl/>
              <w:jc w:val="center"/>
              <w:textAlignment w:val="center"/>
              <w:rPr>
                <w:rFonts w:hint="eastAsia" w:ascii="仿宋" w:hAnsi="仿宋" w:eastAsia="仿宋" w:cs="仿宋"/>
                <w:kern w:val="0"/>
                <w:szCs w:val="21"/>
              </w:rPr>
            </w:pPr>
          </w:p>
          <w:p w14:paraId="556B4655">
            <w:pPr>
              <w:widowControl/>
              <w:jc w:val="center"/>
              <w:textAlignment w:val="center"/>
              <w:rPr>
                <w:rFonts w:hint="eastAsia" w:ascii="仿宋" w:hAnsi="仿宋" w:eastAsia="仿宋" w:cs="仿宋"/>
                <w:kern w:val="0"/>
                <w:szCs w:val="21"/>
              </w:rPr>
            </w:pPr>
          </w:p>
          <w:p w14:paraId="0F760060">
            <w:pPr>
              <w:widowControl/>
              <w:jc w:val="center"/>
              <w:textAlignment w:val="center"/>
              <w:rPr>
                <w:rFonts w:hint="eastAsia" w:ascii="仿宋" w:hAnsi="仿宋" w:eastAsia="仿宋" w:cs="仿宋"/>
                <w:kern w:val="0"/>
                <w:szCs w:val="21"/>
              </w:rPr>
            </w:pPr>
          </w:p>
          <w:p w14:paraId="3CF92004">
            <w:pPr>
              <w:widowControl/>
              <w:jc w:val="center"/>
              <w:textAlignment w:val="center"/>
              <w:rPr>
                <w:rFonts w:hint="eastAsia" w:ascii="仿宋" w:hAnsi="仿宋" w:eastAsia="仿宋" w:cs="仿宋"/>
                <w:kern w:val="0"/>
                <w:szCs w:val="21"/>
              </w:rPr>
            </w:pPr>
          </w:p>
          <w:p w14:paraId="3C4E1BAF">
            <w:pPr>
              <w:widowControl/>
              <w:jc w:val="center"/>
              <w:textAlignment w:val="center"/>
              <w:rPr>
                <w:rFonts w:hint="eastAsia" w:ascii="仿宋" w:hAnsi="仿宋" w:eastAsia="仿宋" w:cs="仿宋"/>
                <w:kern w:val="0"/>
                <w:szCs w:val="21"/>
              </w:rPr>
            </w:pPr>
          </w:p>
          <w:p w14:paraId="1B88E770">
            <w:pPr>
              <w:widowControl/>
              <w:jc w:val="center"/>
              <w:textAlignment w:val="center"/>
              <w:rPr>
                <w:rFonts w:hint="eastAsia" w:ascii="仿宋" w:hAnsi="仿宋" w:eastAsia="仿宋" w:cs="仿宋"/>
                <w:kern w:val="0"/>
                <w:szCs w:val="21"/>
              </w:rPr>
            </w:pPr>
          </w:p>
          <w:p w14:paraId="6E236583">
            <w:pPr>
              <w:widowControl/>
              <w:jc w:val="center"/>
              <w:textAlignment w:val="center"/>
              <w:rPr>
                <w:rFonts w:hint="eastAsia" w:ascii="仿宋" w:hAnsi="仿宋" w:eastAsia="仿宋" w:cs="仿宋"/>
                <w:kern w:val="0"/>
                <w:szCs w:val="21"/>
              </w:rPr>
            </w:pPr>
          </w:p>
          <w:p w14:paraId="5EFA4AC6">
            <w:pPr>
              <w:widowControl/>
              <w:jc w:val="center"/>
              <w:textAlignment w:val="center"/>
              <w:rPr>
                <w:rFonts w:hint="eastAsia" w:ascii="仿宋" w:hAnsi="仿宋" w:eastAsia="仿宋" w:cs="仿宋"/>
                <w:kern w:val="0"/>
                <w:szCs w:val="21"/>
              </w:rPr>
            </w:pPr>
          </w:p>
          <w:p w14:paraId="43137542">
            <w:pPr>
              <w:widowControl/>
              <w:jc w:val="center"/>
              <w:textAlignment w:val="center"/>
              <w:rPr>
                <w:rFonts w:hint="eastAsia" w:ascii="仿宋" w:hAnsi="仿宋" w:eastAsia="仿宋" w:cs="仿宋"/>
                <w:kern w:val="0"/>
                <w:szCs w:val="21"/>
              </w:rPr>
            </w:pPr>
          </w:p>
          <w:p w14:paraId="5C862AF5">
            <w:pPr>
              <w:widowControl/>
              <w:jc w:val="center"/>
              <w:textAlignment w:val="center"/>
              <w:rPr>
                <w:rFonts w:hint="eastAsia" w:ascii="仿宋" w:hAnsi="仿宋" w:eastAsia="仿宋" w:cs="仿宋"/>
                <w:kern w:val="0"/>
                <w:szCs w:val="21"/>
              </w:rPr>
            </w:pPr>
          </w:p>
          <w:p w14:paraId="222AEBDF">
            <w:pPr>
              <w:widowControl/>
              <w:jc w:val="center"/>
              <w:textAlignment w:val="center"/>
              <w:rPr>
                <w:rFonts w:hint="eastAsia" w:ascii="仿宋" w:hAnsi="仿宋" w:eastAsia="仿宋" w:cs="仿宋"/>
                <w:kern w:val="0"/>
                <w:szCs w:val="21"/>
              </w:rPr>
            </w:pPr>
          </w:p>
          <w:p w14:paraId="63A78EF2">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中桥分装线</w:t>
            </w:r>
          </w:p>
        </w:tc>
        <w:tc>
          <w:tcPr>
            <w:tcW w:w="2020" w:type="dxa"/>
            <w:tcBorders>
              <w:tl2br w:val="nil"/>
              <w:tr2bl w:val="nil"/>
            </w:tcBorders>
            <w:vAlign w:val="center"/>
          </w:tcPr>
          <w:p w14:paraId="2E23B7F3">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2B54BD8B">
            <w:pPr>
              <w:widowControl/>
              <w:jc w:val="center"/>
              <w:textAlignment w:val="center"/>
              <w:rPr>
                <w:rFonts w:hint="eastAsia" w:ascii="仿宋" w:hAnsi="仿宋" w:eastAsia="仿宋" w:cs="仿宋"/>
                <w:kern w:val="0"/>
                <w:szCs w:val="21"/>
              </w:rPr>
            </w:pPr>
            <w:r>
              <w:rPr>
                <w:rFonts w:hint="eastAsia" w:ascii="仿宋" w:hAnsi="仿宋" w:eastAsia="仿宋" w:cs="仿宋"/>
                <w:color w:val="000000"/>
                <w:kern w:val="0"/>
                <w:szCs w:val="21"/>
                <w:lang w:bidi="ar"/>
              </w:rPr>
              <w:t>分装中桥轮差气缸压螺母</w:t>
            </w:r>
          </w:p>
        </w:tc>
        <w:tc>
          <w:tcPr>
            <w:tcW w:w="1341" w:type="dxa"/>
            <w:tcBorders>
              <w:tl2br w:val="nil"/>
              <w:tr2bl w:val="nil"/>
            </w:tcBorders>
            <w:vAlign w:val="center"/>
          </w:tcPr>
          <w:p w14:paraId="6CF85649">
            <w:pPr>
              <w:widowControl/>
              <w:jc w:val="center"/>
              <w:textAlignment w:val="center"/>
              <w:rPr>
                <w:rFonts w:hint="eastAsia" w:ascii="仿宋" w:hAnsi="仿宋" w:eastAsia="仿宋" w:cs="仿宋"/>
                <w:szCs w:val="21"/>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0E1311BA">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71BBB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50F7BD71">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4B2B6EBE">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C444EEE">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安装后桥管束支架</w:t>
            </w:r>
          </w:p>
        </w:tc>
        <w:tc>
          <w:tcPr>
            <w:tcW w:w="1341" w:type="dxa"/>
            <w:vMerge w:val="restart"/>
            <w:tcBorders>
              <w:tl2br w:val="nil"/>
              <w:tr2bl w:val="nil"/>
            </w:tcBorders>
            <w:vAlign w:val="center"/>
          </w:tcPr>
          <w:p w14:paraId="4394ED7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5</w:t>
            </w:r>
          </w:p>
        </w:tc>
        <w:tc>
          <w:tcPr>
            <w:tcW w:w="1405" w:type="dxa"/>
            <w:tcBorders>
              <w:tl2br w:val="nil"/>
              <w:tr2bl w:val="nil"/>
            </w:tcBorders>
            <w:vAlign w:val="center"/>
          </w:tcPr>
          <w:p w14:paraId="43676C8A">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7810A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4868DB03">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79A6E105">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12138257">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安装后桥双头螺栓</w:t>
            </w:r>
          </w:p>
        </w:tc>
        <w:tc>
          <w:tcPr>
            <w:tcW w:w="1341" w:type="dxa"/>
            <w:vMerge w:val="continue"/>
            <w:tcBorders>
              <w:tl2br w:val="nil"/>
              <w:tr2bl w:val="nil"/>
            </w:tcBorders>
            <w:vAlign w:val="center"/>
          </w:tcPr>
          <w:p w14:paraId="117C1176">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5FB684C7">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7683D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31DEBE63">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493A9BB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68751E83">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分装后桥V杆支座</w:t>
            </w:r>
          </w:p>
        </w:tc>
        <w:tc>
          <w:tcPr>
            <w:tcW w:w="1341" w:type="dxa"/>
            <w:vMerge w:val="continue"/>
            <w:tcBorders>
              <w:tl2br w:val="nil"/>
              <w:tr2bl w:val="nil"/>
            </w:tcBorders>
            <w:vAlign w:val="center"/>
          </w:tcPr>
          <w:p w14:paraId="70206FAA">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2768B210">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180F1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3B3A9946">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5216F3C3">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59257CE">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安装后桥V杆支座</w:t>
            </w:r>
          </w:p>
        </w:tc>
        <w:tc>
          <w:tcPr>
            <w:tcW w:w="1341" w:type="dxa"/>
            <w:vMerge w:val="continue"/>
            <w:tcBorders>
              <w:tl2br w:val="nil"/>
              <w:tr2bl w:val="nil"/>
            </w:tcBorders>
            <w:vAlign w:val="center"/>
          </w:tcPr>
          <w:p w14:paraId="6A3F5D1D">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1BE4153A">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36567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39" w:type="dxa"/>
            <w:vMerge w:val="continue"/>
            <w:tcBorders>
              <w:tl2br w:val="nil"/>
              <w:tr2bl w:val="nil"/>
            </w:tcBorders>
            <w:vAlign w:val="center"/>
          </w:tcPr>
          <w:p w14:paraId="15EF7F88">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1FFC3A6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2A5A6661">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分装后桥制动气室压螺母</w:t>
            </w:r>
          </w:p>
        </w:tc>
        <w:tc>
          <w:tcPr>
            <w:tcW w:w="1341" w:type="dxa"/>
            <w:vMerge w:val="restart"/>
            <w:tcBorders>
              <w:tl2br w:val="nil"/>
              <w:tr2bl w:val="nil"/>
            </w:tcBorders>
            <w:vAlign w:val="center"/>
          </w:tcPr>
          <w:p w14:paraId="69165799">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4</w:t>
            </w:r>
          </w:p>
        </w:tc>
        <w:tc>
          <w:tcPr>
            <w:tcW w:w="1405" w:type="dxa"/>
            <w:tcBorders>
              <w:tl2br w:val="nil"/>
              <w:tr2bl w:val="nil"/>
            </w:tcBorders>
            <w:vAlign w:val="center"/>
          </w:tcPr>
          <w:p w14:paraId="192B89E9">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55238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39" w:type="dxa"/>
            <w:vMerge w:val="continue"/>
            <w:tcBorders>
              <w:tl2br w:val="nil"/>
              <w:tr2bl w:val="nil"/>
            </w:tcBorders>
            <w:vAlign w:val="center"/>
          </w:tcPr>
          <w:p w14:paraId="2E168C0D">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3207A292">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69F47854">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穿ABS线、报警线防护管</w:t>
            </w:r>
          </w:p>
        </w:tc>
        <w:tc>
          <w:tcPr>
            <w:tcW w:w="1341" w:type="dxa"/>
            <w:vMerge w:val="continue"/>
            <w:tcBorders>
              <w:tl2br w:val="nil"/>
              <w:tr2bl w:val="nil"/>
            </w:tcBorders>
            <w:vAlign w:val="center"/>
          </w:tcPr>
          <w:p w14:paraId="62B91EAE">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72DAF630">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34A29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5027D9E0">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23DE51D3">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22F5D143">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安装后桥制动气室</w:t>
            </w:r>
          </w:p>
        </w:tc>
        <w:tc>
          <w:tcPr>
            <w:tcW w:w="1341" w:type="dxa"/>
            <w:vMerge w:val="continue"/>
            <w:tcBorders>
              <w:tl2br w:val="nil"/>
              <w:tr2bl w:val="nil"/>
            </w:tcBorders>
            <w:vAlign w:val="center"/>
          </w:tcPr>
          <w:p w14:paraId="4B69C75D">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34121453">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65D0F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5B8736EF">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6D5361E9">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32E027D9">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吊装上线</w:t>
            </w:r>
          </w:p>
        </w:tc>
        <w:tc>
          <w:tcPr>
            <w:tcW w:w="1341" w:type="dxa"/>
            <w:vMerge w:val="continue"/>
            <w:tcBorders>
              <w:tl2br w:val="nil"/>
              <w:tr2bl w:val="nil"/>
            </w:tcBorders>
            <w:vAlign w:val="center"/>
          </w:tcPr>
          <w:p w14:paraId="5C658194">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3D28EB20">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1FAA8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1C497610">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49430C45">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2C3A7F58">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安装左右均衡梁总成</w:t>
            </w:r>
          </w:p>
        </w:tc>
        <w:tc>
          <w:tcPr>
            <w:tcW w:w="1341" w:type="dxa"/>
            <w:tcBorders>
              <w:tl2br w:val="nil"/>
              <w:tr2bl w:val="nil"/>
            </w:tcBorders>
            <w:vAlign w:val="center"/>
          </w:tcPr>
          <w:p w14:paraId="5B34295C">
            <w:pPr>
              <w:widowControl/>
              <w:jc w:val="center"/>
              <w:textAlignment w:val="center"/>
              <w:rPr>
                <w:rFonts w:hint="eastAsia" w:ascii="仿宋" w:hAnsi="仿宋" w:eastAsia="仿宋" w:cs="仿宋"/>
                <w:szCs w:val="21"/>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7B2398D1">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62EE3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6C1A6A63">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4C705997">
            <w:pPr>
              <w:widowControl/>
              <w:jc w:val="center"/>
              <w:textAlignment w:val="center"/>
              <w:rPr>
                <w:rFonts w:hint="eastAsia" w:ascii="仿宋" w:hAnsi="仿宋" w:eastAsia="仿宋" w:cs="仿宋"/>
                <w:color w:val="000000"/>
                <w:kern w:val="0"/>
                <w:sz w:val="24"/>
                <w:szCs w:val="24"/>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0D29D8FD">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分装后桥压板角支架</w:t>
            </w:r>
          </w:p>
        </w:tc>
        <w:tc>
          <w:tcPr>
            <w:tcW w:w="1341" w:type="dxa"/>
            <w:tcBorders>
              <w:tl2br w:val="nil"/>
              <w:tr2bl w:val="nil"/>
            </w:tcBorders>
            <w:vAlign w:val="center"/>
          </w:tcPr>
          <w:p w14:paraId="1976214D">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63E85412">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21777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672FCEC6">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301C5D32">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4B3003C8">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穿装U型螺栓预紧</w:t>
            </w:r>
          </w:p>
        </w:tc>
        <w:tc>
          <w:tcPr>
            <w:tcW w:w="1341" w:type="dxa"/>
            <w:vMerge w:val="restart"/>
            <w:tcBorders>
              <w:tl2br w:val="nil"/>
              <w:tr2bl w:val="nil"/>
            </w:tcBorders>
            <w:vAlign w:val="center"/>
          </w:tcPr>
          <w:p w14:paraId="0C0DE77A">
            <w:pPr>
              <w:widowControl/>
              <w:jc w:val="center"/>
              <w:textAlignment w:val="center"/>
              <w:rPr>
                <w:rFonts w:hint="eastAsia" w:ascii="仿宋" w:hAnsi="仿宋" w:eastAsia="仿宋" w:cs="仿宋"/>
                <w:szCs w:val="21"/>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0C75E24E">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3C288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7F7E8D9A">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350B516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0E3F551C">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紧固U型螺栓</w:t>
            </w:r>
          </w:p>
        </w:tc>
        <w:tc>
          <w:tcPr>
            <w:tcW w:w="1341" w:type="dxa"/>
            <w:vMerge w:val="continue"/>
            <w:tcBorders>
              <w:tl2br w:val="nil"/>
              <w:tr2bl w:val="nil"/>
            </w:tcBorders>
            <w:vAlign w:val="center"/>
          </w:tcPr>
          <w:p w14:paraId="2EB0C17B">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4DFB48E6">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12187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7A132ED9">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4CF939C3">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1029BC4B">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捆扎线束</w:t>
            </w:r>
          </w:p>
        </w:tc>
        <w:tc>
          <w:tcPr>
            <w:tcW w:w="1341" w:type="dxa"/>
            <w:vMerge w:val="restart"/>
            <w:tcBorders>
              <w:tl2br w:val="nil"/>
              <w:tr2bl w:val="nil"/>
            </w:tcBorders>
            <w:vAlign w:val="center"/>
          </w:tcPr>
          <w:p w14:paraId="2C29438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4610EB1C">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19D33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4F0775AA">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6C39DF4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0338D0C4">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安装后桥压板</w:t>
            </w:r>
          </w:p>
        </w:tc>
        <w:tc>
          <w:tcPr>
            <w:tcW w:w="1341" w:type="dxa"/>
            <w:vMerge w:val="continue"/>
            <w:tcBorders>
              <w:tl2br w:val="nil"/>
              <w:tr2bl w:val="nil"/>
            </w:tcBorders>
            <w:vAlign w:val="center"/>
          </w:tcPr>
          <w:p w14:paraId="35AD9472">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5F249775">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56EEC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839" w:type="dxa"/>
            <w:vMerge w:val="continue"/>
            <w:tcBorders>
              <w:tl2br w:val="nil"/>
              <w:tr2bl w:val="nil"/>
            </w:tcBorders>
            <w:vAlign w:val="center"/>
          </w:tcPr>
          <w:p w14:paraId="57E24AC5">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1F5B4514">
            <w:pPr>
              <w:widowControl/>
              <w:jc w:val="center"/>
              <w:textAlignment w:val="center"/>
              <w:rPr>
                <w:rFonts w:hint="eastAsia" w:ascii="仿宋" w:hAnsi="仿宋" w:eastAsia="仿宋" w:cs="仿宋"/>
                <w:color w:val="000000"/>
                <w:kern w:val="0"/>
                <w:sz w:val="24"/>
                <w:szCs w:val="24"/>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0B75DE1F">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加注后桥齿轮油，检查，紧固螺栓，校准力矩</w:t>
            </w:r>
          </w:p>
        </w:tc>
        <w:tc>
          <w:tcPr>
            <w:tcW w:w="1341" w:type="dxa"/>
            <w:tcBorders>
              <w:tl2br w:val="nil"/>
              <w:tr2bl w:val="nil"/>
            </w:tcBorders>
            <w:vAlign w:val="center"/>
          </w:tcPr>
          <w:p w14:paraId="43D6F42C">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3</w:t>
            </w:r>
          </w:p>
        </w:tc>
        <w:tc>
          <w:tcPr>
            <w:tcW w:w="1405" w:type="dxa"/>
            <w:tcBorders>
              <w:tl2br w:val="nil"/>
              <w:tr2bl w:val="nil"/>
            </w:tcBorders>
            <w:vAlign w:val="center"/>
          </w:tcPr>
          <w:p w14:paraId="28621C92">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06BAD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2122B0B4">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4AE1B2F8">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4F9BBC2B">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总成件扫描、揭标签</w:t>
            </w:r>
          </w:p>
        </w:tc>
        <w:tc>
          <w:tcPr>
            <w:tcW w:w="1341" w:type="dxa"/>
            <w:tcBorders>
              <w:tl2br w:val="nil"/>
              <w:tr2bl w:val="nil"/>
            </w:tcBorders>
            <w:vAlign w:val="center"/>
          </w:tcPr>
          <w:p w14:paraId="248EA2ED">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0F0D27C1">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3D0EE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4A284FEE">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078F277E">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19EAD1EF">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安装滑板座</w:t>
            </w:r>
          </w:p>
        </w:tc>
        <w:tc>
          <w:tcPr>
            <w:tcW w:w="1341" w:type="dxa"/>
            <w:tcBorders>
              <w:tl2br w:val="nil"/>
              <w:tr2bl w:val="nil"/>
            </w:tcBorders>
            <w:vAlign w:val="center"/>
          </w:tcPr>
          <w:p w14:paraId="60848A66">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57BE5D52">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6159F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009B8E09">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6AA49E2C">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4854F2F3">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安装气囊</w:t>
            </w:r>
          </w:p>
        </w:tc>
        <w:tc>
          <w:tcPr>
            <w:tcW w:w="1341" w:type="dxa"/>
            <w:vMerge w:val="restart"/>
            <w:tcBorders>
              <w:tl2br w:val="nil"/>
              <w:tr2bl w:val="nil"/>
            </w:tcBorders>
            <w:vAlign w:val="center"/>
          </w:tcPr>
          <w:p w14:paraId="7DF927F8">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5</w:t>
            </w:r>
          </w:p>
        </w:tc>
        <w:tc>
          <w:tcPr>
            <w:tcW w:w="1405" w:type="dxa"/>
            <w:tcBorders>
              <w:tl2br w:val="nil"/>
              <w:tr2bl w:val="nil"/>
            </w:tcBorders>
            <w:vAlign w:val="center"/>
          </w:tcPr>
          <w:p w14:paraId="5A7F512C">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43567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545AE18F">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3D8C0AE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408C4073">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安装后稳定杆</w:t>
            </w:r>
          </w:p>
        </w:tc>
        <w:tc>
          <w:tcPr>
            <w:tcW w:w="1341" w:type="dxa"/>
            <w:vMerge w:val="continue"/>
            <w:tcBorders>
              <w:tl2br w:val="nil"/>
              <w:tr2bl w:val="nil"/>
            </w:tcBorders>
            <w:vAlign w:val="center"/>
          </w:tcPr>
          <w:p w14:paraId="5F915C82">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6696D42C">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4FFF8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678E2A57">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53FB2CA3">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65EC4BAB">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吊装自行线</w:t>
            </w:r>
          </w:p>
        </w:tc>
        <w:tc>
          <w:tcPr>
            <w:tcW w:w="1341" w:type="dxa"/>
            <w:vMerge w:val="continue"/>
            <w:tcBorders>
              <w:tl2br w:val="nil"/>
              <w:tr2bl w:val="nil"/>
            </w:tcBorders>
            <w:vAlign w:val="center"/>
          </w:tcPr>
          <w:p w14:paraId="351FD2E3">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20EA1A4B">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20223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18326E91">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61C85F34">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EF94660">
            <w:pPr>
              <w:widowControl/>
              <w:jc w:val="center"/>
              <w:textAlignment w:val="center"/>
              <w:rPr>
                <w:rFonts w:hint="eastAsia" w:ascii="仿宋" w:hAnsi="仿宋" w:eastAsia="仿宋" w:cs="仿宋"/>
                <w:kern w:val="0"/>
                <w:szCs w:val="21"/>
              </w:rPr>
            </w:pPr>
            <w:r>
              <w:rPr>
                <w:rFonts w:hint="eastAsia" w:ascii="仿宋" w:hAnsi="仿宋" w:eastAsia="仿宋" w:cs="仿宋"/>
                <w:kern w:val="0"/>
                <w:szCs w:val="21"/>
              </w:rPr>
              <w:t>班组长</w:t>
            </w:r>
          </w:p>
        </w:tc>
        <w:tc>
          <w:tcPr>
            <w:tcW w:w="1341" w:type="dxa"/>
            <w:tcBorders>
              <w:tl2br w:val="nil"/>
              <w:tr2bl w:val="nil"/>
            </w:tcBorders>
            <w:vAlign w:val="center"/>
          </w:tcPr>
          <w:p w14:paraId="1C0DADB7">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53CDFAFA">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6BD07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5C921149">
            <w:pPr>
              <w:widowControl/>
              <w:jc w:val="center"/>
              <w:textAlignment w:val="center"/>
              <w:rPr>
                <w:rFonts w:hint="eastAsia" w:ascii="仿宋" w:hAnsi="仿宋" w:eastAsia="仿宋" w:cs="仿宋"/>
                <w:kern w:val="0"/>
                <w:szCs w:val="21"/>
              </w:rPr>
            </w:pPr>
          </w:p>
        </w:tc>
        <w:tc>
          <w:tcPr>
            <w:tcW w:w="2020" w:type="dxa"/>
            <w:tcBorders>
              <w:tl2br w:val="nil"/>
              <w:tr2bl w:val="nil"/>
            </w:tcBorders>
            <w:vAlign w:val="center"/>
          </w:tcPr>
          <w:p w14:paraId="6AADF5DC">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2EBDD8AE">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调整工</w:t>
            </w:r>
          </w:p>
        </w:tc>
        <w:tc>
          <w:tcPr>
            <w:tcW w:w="1341" w:type="dxa"/>
            <w:tcBorders>
              <w:tl2br w:val="nil"/>
              <w:tr2bl w:val="nil"/>
            </w:tcBorders>
            <w:vAlign w:val="center"/>
          </w:tcPr>
          <w:p w14:paraId="442E6A4C">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43B0AC57">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667A6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39" w:type="dxa"/>
            <w:vMerge w:val="restart"/>
            <w:tcBorders>
              <w:tl2br w:val="nil"/>
              <w:tr2bl w:val="nil"/>
            </w:tcBorders>
            <w:vAlign w:val="center"/>
          </w:tcPr>
          <w:p w14:paraId="369C4B0C">
            <w:pPr>
              <w:widowControl/>
              <w:jc w:val="center"/>
              <w:textAlignment w:val="center"/>
              <w:rPr>
                <w:rFonts w:hint="eastAsia" w:ascii="仿宋" w:hAnsi="仿宋" w:eastAsia="仿宋" w:cs="仿宋"/>
                <w:color w:val="000000"/>
                <w:kern w:val="0"/>
                <w:szCs w:val="21"/>
                <w:lang w:bidi="ar"/>
              </w:rPr>
            </w:pPr>
          </w:p>
          <w:p w14:paraId="24F7ED4B">
            <w:pPr>
              <w:widowControl/>
              <w:jc w:val="center"/>
              <w:textAlignment w:val="center"/>
              <w:rPr>
                <w:rFonts w:hint="eastAsia" w:ascii="仿宋" w:hAnsi="仿宋" w:eastAsia="仿宋" w:cs="仿宋"/>
                <w:color w:val="000000"/>
                <w:kern w:val="0"/>
                <w:szCs w:val="21"/>
                <w:lang w:bidi="ar"/>
              </w:rPr>
            </w:pPr>
          </w:p>
          <w:p w14:paraId="5657193B">
            <w:pPr>
              <w:widowControl/>
              <w:jc w:val="center"/>
              <w:textAlignment w:val="center"/>
              <w:rPr>
                <w:rFonts w:hint="eastAsia" w:ascii="仿宋" w:hAnsi="仿宋" w:eastAsia="仿宋" w:cs="仿宋"/>
                <w:color w:val="000000"/>
                <w:kern w:val="0"/>
                <w:szCs w:val="21"/>
                <w:lang w:bidi="ar"/>
              </w:rPr>
            </w:pPr>
          </w:p>
          <w:p w14:paraId="666FD51B">
            <w:pPr>
              <w:widowControl/>
              <w:jc w:val="center"/>
              <w:textAlignment w:val="center"/>
              <w:rPr>
                <w:rFonts w:hint="eastAsia" w:ascii="仿宋" w:hAnsi="仿宋" w:eastAsia="仿宋" w:cs="仿宋"/>
                <w:color w:val="000000"/>
                <w:kern w:val="0"/>
                <w:szCs w:val="21"/>
                <w:lang w:bidi="ar"/>
              </w:rPr>
            </w:pPr>
          </w:p>
          <w:p w14:paraId="6B4F637E">
            <w:pPr>
              <w:widowControl/>
              <w:jc w:val="center"/>
              <w:textAlignment w:val="center"/>
              <w:rPr>
                <w:rFonts w:hint="eastAsia" w:ascii="仿宋" w:hAnsi="仿宋" w:eastAsia="仿宋" w:cs="仿宋"/>
                <w:color w:val="000000"/>
                <w:kern w:val="0"/>
                <w:szCs w:val="21"/>
                <w:lang w:bidi="ar"/>
              </w:rPr>
            </w:pPr>
          </w:p>
          <w:p w14:paraId="5FA8CE2F">
            <w:pPr>
              <w:widowControl/>
              <w:jc w:val="center"/>
              <w:textAlignment w:val="center"/>
              <w:rPr>
                <w:rFonts w:hint="eastAsia" w:ascii="仿宋" w:hAnsi="仿宋" w:eastAsia="仿宋" w:cs="仿宋"/>
                <w:color w:val="000000"/>
                <w:kern w:val="0"/>
                <w:szCs w:val="21"/>
                <w:lang w:bidi="ar"/>
              </w:rPr>
            </w:pPr>
          </w:p>
          <w:p w14:paraId="69FAD330">
            <w:pPr>
              <w:widowControl/>
              <w:jc w:val="center"/>
              <w:textAlignment w:val="center"/>
              <w:rPr>
                <w:rFonts w:hint="eastAsia" w:ascii="仿宋" w:hAnsi="仿宋" w:eastAsia="仿宋" w:cs="仿宋"/>
                <w:color w:val="000000"/>
                <w:kern w:val="0"/>
                <w:szCs w:val="21"/>
                <w:lang w:bidi="ar"/>
              </w:rPr>
            </w:pPr>
          </w:p>
          <w:p w14:paraId="5684CAC7">
            <w:pPr>
              <w:widowControl/>
              <w:jc w:val="center"/>
              <w:textAlignment w:val="center"/>
              <w:rPr>
                <w:rFonts w:hint="eastAsia" w:ascii="仿宋" w:hAnsi="仿宋" w:eastAsia="仿宋" w:cs="仿宋"/>
                <w:color w:val="000000"/>
                <w:kern w:val="0"/>
                <w:szCs w:val="21"/>
                <w:lang w:bidi="ar"/>
              </w:rPr>
            </w:pPr>
          </w:p>
          <w:p w14:paraId="3F64152D">
            <w:pPr>
              <w:widowControl/>
              <w:jc w:val="center"/>
              <w:textAlignment w:val="center"/>
              <w:rPr>
                <w:rFonts w:hint="eastAsia" w:ascii="仿宋" w:hAnsi="仿宋" w:eastAsia="仿宋" w:cs="仿宋"/>
                <w:color w:val="000000"/>
                <w:kern w:val="0"/>
                <w:szCs w:val="21"/>
                <w:lang w:bidi="ar"/>
              </w:rPr>
            </w:pPr>
          </w:p>
          <w:p w14:paraId="7D8D33DD">
            <w:pPr>
              <w:widowControl/>
              <w:jc w:val="center"/>
              <w:textAlignment w:val="center"/>
              <w:rPr>
                <w:rFonts w:hint="eastAsia" w:ascii="仿宋" w:hAnsi="仿宋" w:eastAsia="仿宋" w:cs="仿宋"/>
                <w:color w:val="000000"/>
                <w:kern w:val="0"/>
                <w:szCs w:val="21"/>
                <w:lang w:bidi="ar"/>
              </w:rPr>
            </w:pPr>
          </w:p>
          <w:p w14:paraId="2D0BA14B">
            <w:pPr>
              <w:widowControl/>
              <w:jc w:val="center"/>
              <w:textAlignment w:val="center"/>
              <w:rPr>
                <w:rFonts w:hint="eastAsia" w:ascii="仿宋" w:hAnsi="仿宋" w:eastAsia="仿宋" w:cs="仿宋"/>
                <w:color w:val="000000"/>
                <w:kern w:val="0"/>
                <w:szCs w:val="21"/>
                <w:lang w:bidi="ar"/>
              </w:rPr>
            </w:pPr>
          </w:p>
          <w:p w14:paraId="32378566">
            <w:pPr>
              <w:widowControl/>
              <w:jc w:val="center"/>
              <w:textAlignment w:val="center"/>
              <w:rPr>
                <w:rFonts w:hint="eastAsia" w:ascii="仿宋" w:hAnsi="仿宋" w:eastAsia="仿宋" w:cs="仿宋"/>
                <w:color w:val="000000"/>
                <w:kern w:val="0"/>
                <w:szCs w:val="21"/>
                <w:lang w:bidi="ar"/>
              </w:rPr>
            </w:pPr>
          </w:p>
          <w:p w14:paraId="17057B04">
            <w:pPr>
              <w:widowControl/>
              <w:jc w:val="center"/>
              <w:textAlignment w:val="center"/>
              <w:rPr>
                <w:rFonts w:hint="eastAsia" w:ascii="仿宋" w:hAnsi="仿宋" w:eastAsia="仿宋" w:cs="仿宋"/>
                <w:color w:val="000000"/>
                <w:kern w:val="0"/>
                <w:szCs w:val="21"/>
                <w:lang w:bidi="ar"/>
              </w:rPr>
            </w:pPr>
          </w:p>
          <w:p w14:paraId="484CFD94">
            <w:pPr>
              <w:widowControl/>
              <w:jc w:val="center"/>
              <w:textAlignment w:val="center"/>
              <w:rPr>
                <w:rFonts w:hint="eastAsia" w:ascii="仿宋" w:hAnsi="仿宋" w:eastAsia="仿宋" w:cs="仿宋"/>
                <w:color w:val="000000"/>
                <w:kern w:val="0"/>
                <w:szCs w:val="21"/>
                <w:lang w:bidi="ar"/>
              </w:rPr>
            </w:pPr>
          </w:p>
          <w:p w14:paraId="4CA8E84A">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后桥分装线</w:t>
            </w:r>
          </w:p>
        </w:tc>
        <w:tc>
          <w:tcPr>
            <w:tcW w:w="2020" w:type="dxa"/>
            <w:tcBorders>
              <w:tl2br w:val="nil"/>
              <w:tr2bl w:val="nil"/>
            </w:tcBorders>
            <w:vAlign w:val="center"/>
          </w:tcPr>
          <w:p w14:paraId="06E42A57">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7A38FBB5">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分装后桥轮差气缸压螺母</w:t>
            </w:r>
          </w:p>
        </w:tc>
        <w:tc>
          <w:tcPr>
            <w:tcW w:w="1341" w:type="dxa"/>
            <w:tcBorders>
              <w:tl2br w:val="nil"/>
              <w:tr2bl w:val="nil"/>
            </w:tcBorders>
            <w:vAlign w:val="center"/>
          </w:tcPr>
          <w:p w14:paraId="771D401E">
            <w:pPr>
              <w:widowControl/>
              <w:jc w:val="center"/>
              <w:textAlignment w:val="center"/>
              <w:rPr>
                <w:rFonts w:hint="eastAsia" w:ascii="仿宋" w:hAnsi="仿宋" w:eastAsia="仿宋" w:cs="仿宋"/>
                <w:szCs w:val="21"/>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3831B85C">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06A51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00A17001">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4C527EC0">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13D561EC">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安装后桥管束支架</w:t>
            </w:r>
          </w:p>
        </w:tc>
        <w:tc>
          <w:tcPr>
            <w:tcW w:w="1341" w:type="dxa"/>
            <w:vMerge w:val="restart"/>
            <w:tcBorders>
              <w:tl2br w:val="nil"/>
              <w:tr2bl w:val="nil"/>
            </w:tcBorders>
            <w:vAlign w:val="center"/>
          </w:tcPr>
          <w:p w14:paraId="7C1A5553">
            <w:pPr>
              <w:widowControl/>
              <w:jc w:val="center"/>
              <w:textAlignment w:val="center"/>
              <w:rPr>
                <w:rFonts w:hint="eastAsia" w:ascii="仿宋" w:hAnsi="仿宋" w:eastAsia="仿宋" w:cs="仿宋"/>
                <w:szCs w:val="21"/>
              </w:rPr>
            </w:pPr>
            <w:r>
              <w:rPr>
                <w:rFonts w:hint="eastAsia" w:ascii="仿宋" w:hAnsi="仿宋" w:eastAsia="仿宋" w:cs="仿宋"/>
                <w:szCs w:val="21"/>
              </w:rPr>
              <w:t>5</w:t>
            </w:r>
          </w:p>
        </w:tc>
        <w:tc>
          <w:tcPr>
            <w:tcW w:w="1405" w:type="dxa"/>
            <w:tcBorders>
              <w:tl2br w:val="nil"/>
              <w:tr2bl w:val="nil"/>
            </w:tcBorders>
            <w:vAlign w:val="center"/>
          </w:tcPr>
          <w:p w14:paraId="19485301">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6CE78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07A195CB">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5CFC38BA">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3192950">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安装后桥双头螺栓</w:t>
            </w:r>
          </w:p>
        </w:tc>
        <w:tc>
          <w:tcPr>
            <w:tcW w:w="1341" w:type="dxa"/>
            <w:vMerge w:val="continue"/>
            <w:tcBorders>
              <w:tl2br w:val="nil"/>
              <w:tr2bl w:val="nil"/>
            </w:tcBorders>
            <w:vAlign w:val="center"/>
          </w:tcPr>
          <w:p w14:paraId="0752B191">
            <w:pPr>
              <w:widowControl/>
              <w:jc w:val="center"/>
              <w:textAlignment w:val="center"/>
              <w:rPr>
                <w:rFonts w:hint="eastAsia" w:ascii="仿宋" w:hAnsi="仿宋" w:eastAsia="仿宋" w:cs="仿宋"/>
                <w:szCs w:val="21"/>
              </w:rPr>
            </w:pPr>
          </w:p>
        </w:tc>
        <w:tc>
          <w:tcPr>
            <w:tcW w:w="1405" w:type="dxa"/>
            <w:tcBorders>
              <w:tl2br w:val="nil"/>
              <w:tr2bl w:val="nil"/>
            </w:tcBorders>
            <w:vAlign w:val="center"/>
          </w:tcPr>
          <w:p w14:paraId="0A72B071">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0F1AA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09D92322">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6A258E84">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3DD93C83">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分装后桥V杆支座</w:t>
            </w:r>
          </w:p>
        </w:tc>
        <w:tc>
          <w:tcPr>
            <w:tcW w:w="1341" w:type="dxa"/>
            <w:vMerge w:val="continue"/>
            <w:tcBorders>
              <w:tl2br w:val="nil"/>
              <w:tr2bl w:val="nil"/>
            </w:tcBorders>
            <w:vAlign w:val="center"/>
          </w:tcPr>
          <w:p w14:paraId="51F35045">
            <w:pPr>
              <w:widowControl/>
              <w:jc w:val="center"/>
              <w:textAlignment w:val="center"/>
              <w:rPr>
                <w:rFonts w:hint="eastAsia" w:ascii="仿宋" w:hAnsi="仿宋" w:eastAsia="仿宋" w:cs="仿宋"/>
                <w:szCs w:val="21"/>
              </w:rPr>
            </w:pPr>
          </w:p>
        </w:tc>
        <w:tc>
          <w:tcPr>
            <w:tcW w:w="1405" w:type="dxa"/>
            <w:tcBorders>
              <w:tl2br w:val="nil"/>
              <w:tr2bl w:val="nil"/>
            </w:tcBorders>
            <w:vAlign w:val="center"/>
          </w:tcPr>
          <w:p w14:paraId="7E5B495E">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550C1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839" w:type="dxa"/>
            <w:vMerge w:val="continue"/>
            <w:tcBorders>
              <w:tl2br w:val="nil"/>
              <w:tr2bl w:val="nil"/>
            </w:tcBorders>
            <w:vAlign w:val="center"/>
          </w:tcPr>
          <w:p w14:paraId="0C9288C1">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6C9506EA">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2C371EB1">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安装后桥V杆支座</w:t>
            </w:r>
          </w:p>
        </w:tc>
        <w:tc>
          <w:tcPr>
            <w:tcW w:w="1341" w:type="dxa"/>
            <w:vMerge w:val="continue"/>
            <w:tcBorders>
              <w:tl2br w:val="nil"/>
              <w:tr2bl w:val="nil"/>
            </w:tcBorders>
            <w:vAlign w:val="center"/>
          </w:tcPr>
          <w:p w14:paraId="59A1447D">
            <w:pPr>
              <w:widowControl/>
              <w:jc w:val="center"/>
              <w:textAlignment w:val="center"/>
              <w:rPr>
                <w:rFonts w:hint="eastAsia" w:ascii="仿宋" w:hAnsi="仿宋" w:eastAsia="仿宋" w:cs="仿宋"/>
                <w:szCs w:val="21"/>
              </w:rPr>
            </w:pPr>
          </w:p>
        </w:tc>
        <w:tc>
          <w:tcPr>
            <w:tcW w:w="1405" w:type="dxa"/>
            <w:tcBorders>
              <w:tl2br w:val="nil"/>
              <w:tr2bl w:val="nil"/>
            </w:tcBorders>
            <w:vAlign w:val="center"/>
          </w:tcPr>
          <w:p w14:paraId="1ACD6799">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062E8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39" w:type="dxa"/>
            <w:vMerge w:val="continue"/>
            <w:tcBorders>
              <w:tl2br w:val="nil"/>
              <w:tr2bl w:val="nil"/>
            </w:tcBorders>
            <w:vAlign w:val="center"/>
          </w:tcPr>
          <w:p w14:paraId="4C3CD5D8">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54E48BF8">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EDA9464">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分装后桥制动气室压螺母</w:t>
            </w:r>
          </w:p>
        </w:tc>
        <w:tc>
          <w:tcPr>
            <w:tcW w:w="1341" w:type="dxa"/>
            <w:vMerge w:val="restart"/>
            <w:tcBorders>
              <w:tl2br w:val="nil"/>
              <w:tr2bl w:val="nil"/>
            </w:tcBorders>
            <w:vAlign w:val="center"/>
          </w:tcPr>
          <w:p w14:paraId="027B9E5E">
            <w:pPr>
              <w:widowControl/>
              <w:jc w:val="center"/>
              <w:textAlignment w:val="center"/>
              <w:rPr>
                <w:rFonts w:hint="eastAsia" w:ascii="仿宋" w:hAnsi="仿宋" w:eastAsia="仿宋" w:cs="仿宋"/>
                <w:szCs w:val="21"/>
              </w:rPr>
            </w:pPr>
            <w:r>
              <w:rPr>
                <w:rFonts w:hint="eastAsia" w:ascii="仿宋" w:hAnsi="仿宋" w:eastAsia="仿宋" w:cs="仿宋"/>
                <w:color w:val="000000"/>
                <w:kern w:val="0"/>
                <w:szCs w:val="21"/>
                <w:lang w:bidi="ar"/>
              </w:rPr>
              <w:t>4</w:t>
            </w:r>
          </w:p>
        </w:tc>
        <w:tc>
          <w:tcPr>
            <w:tcW w:w="1405" w:type="dxa"/>
            <w:tcBorders>
              <w:tl2br w:val="nil"/>
              <w:tr2bl w:val="nil"/>
            </w:tcBorders>
            <w:vAlign w:val="center"/>
          </w:tcPr>
          <w:p w14:paraId="5B772E0D">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3CC28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39" w:type="dxa"/>
            <w:vMerge w:val="continue"/>
            <w:tcBorders>
              <w:tl2br w:val="nil"/>
              <w:tr2bl w:val="nil"/>
            </w:tcBorders>
            <w:vAlign w:val="center"/>
          </w:tcPr>
          <w:p w14:paraId="412B78CC">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3BC60DC4">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380AE202">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穿ABS线、报警线防护管</w:t>
            </w:r>
          </w:p>
        </w:tc>
        <w:tc>
          <w:tcPr>
            <w:tcW w:w="1341" w:type="dxa"/>
            <w:vMerge w:val="continue"/>
            <w:tcBorders>
              <w:tl2br w:val="nil"/>
              <w:tr2bl w:val="nil"/>
            </w:tcBorders>
            <w:vAlign w:val="center"/>
          </w:tcPr>
          <w:p w14:paraId="148D3D59">
            <w:pPr>
              <w:widowControl/>
              <w:jc w:val="center"/>
              <w:textAlignment w:val="center"/>
              <w:rPr>
                <w:rFonts w:hint="eastAsia" w:ascii="仿宋" w:hAnsi="仿宋" w:eastAsia="仿宋" w:cs="仿宋"/>
                <w:szCs w:val="21"/>
              </w:rPr>
            </w:pPr>
          </w:p>
        </w:tc>
        <w:tc>
          <w:tcPr>
            <w:tcW w:w="1405" w:type="dxa"/>
            <w:tcBorders>
              <w:tl2br w:val="nil"/>
              <w:tr2bl w:val="nil"/>
            </w:tcBorders>
            <w:vAlign w:val="center"/>
          </w:tcPr>
          <w:p w14:paraId="097731EA">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73291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0D124DB7">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123C2F37">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29EBFA45">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安装后桥制动气室</w:t>
            </w:r>
          </w:p>
        </w:tc>
        <w:tc>
          <w:tcPr>
            <w:tcW w:w="1341" w:type="dxa"/>
            <w:vMerge w:val="continue"/>
            <w:tcBorders>
              <w:tl2br w:val="nil"/>
              <w:tr2bl w:val="nil"/>
            </w:tcBorders>
            <w:vAlign w:val="center"/>
          </w:tcPr>
          <w:p w14:paraId="5CECDFC3">
            <w:pPr>
              <w:widowControl/>
              <w:jc w:val="center"/>
              <w:textAlignment w:val="center"/>
              <w:rPr>
                <w:rFonts w:hint="eastAsia" w:ascii="仿宋" w:hAnsi="仿宋" w:eastAsia="仿宋" w:cs="仿宋"/>
                <w:szCs w:val="21"/>
              </w:rPr>
            </w:pPr>
          </w:p>
        </w:tc>
        <w:tc>
          <w:tcPr>
            <w:tcW w:w="1405" w:type="dxa"/>
            <w:tcBorders>
              <w:tl2br w:val="nil"/>
              <w:tr2bl w:val="nil"/>
            </w:tcBorders>
            <w:vAlign w:val="center"/>
          </w:tcPr>
          <w:p w14:paraId="06512C9C">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58A53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0B7C9B0A">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4654761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31445289">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吊装上线</w:t>
            </w:r>
          </w:p>
        </w:tc>
        <w:tc>
          <w:tcPr>
            <w:tcW w:w="1341" w:type="dxa"/>
            <w:vMerge w:val="continue"/>
            <w:tcBorders>
              <w:tl2br w:val="nil"/>
              <w:tr2bl w:val="nil"/>
            </w:tcBorders>
            <w:vAlign w:val="center"/>
          </w:tcPr>
          <w:p w14:paraId="251F325B">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38DB85B5">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31559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544327E5">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2F5E6445">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3396A01">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安装左右均衡梁总成</w:t>
            </w:r>
          </w:p>
        </w:tc>
        <w:tc>
          <w:tcPr>
            <w:tcW w:w="1341" w:type="dxa"/>
            <w:tcBorders>
              <w:tl2br w:val="nil"/>
              <w:tr2bl w:val="nil"/>
            </w:tcBorders>
            <w:vAlign w:val="center"/>
          </w:tcPr>
          <w:p w14:paraId="5CA49861">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3176B049">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3ADA3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3C3522A3">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5D7E8C5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ADC0B73">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分装后桥压板角支架</w:t>
            </w:r>
          </w:p>
        </w:tc>
        <w:tc>
          <w:tcPr>
            <w:tcW w:w="1341" w:type="dxa"/>
            <w:tcBorders>
              <w:tl2br w:val="nil"/>
              <w:tr2bl w:val="nil"/>
            </w:tcBorders>
            <w:vAlign w:val="center"/>
          </w:tcPr>
          <w:p w14:paraId="46B02D0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6FBCD8E8">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0FCDF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612134DC">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51F5D7DA">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F66B0A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穿装U型螺栓预紧</w:t>
            </w:r>
          </w:p>
        </w:tc>
        <w:tc>
          <w:tcPr>
            <w:tcW w:w="1341" w:type="dxa"/>
            <w:vMerge w:val="restart"/>
            <w:tcBorders>
              <w:tl2br w:val="nil"/>
              <w:tr2bl w:val="nil"/>
            </w:tcBorders>
            <w:vAlign w:val="center"/>
          </w:tcPr>
          <w:p w14:paraId="01946E3C">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3655ACAB">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781C1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6A9B646D">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66688AC7">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53A0E4A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紧固U型螺栓</w:t>
            </w:r>
          </w:p>
        </w:tc>
        <w:tc>
          <w:tcPr>
            <w:tcW w:w="1341" w:type="dxa"/>
            <w:vMerge w:val="continue"/>
            <w:tcBorders>
              <w:tl2br w:val="nil"/>
              <w:tr2bl w:val="nil"/>
            </w:tcBorders>
            <w:vAlign w:val="center"/>
          </w:tcPr>
          <w:p w14:paraId="5E71F918">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556E00A8">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2E6C9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69E98085">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3DF46D52">
            <w:pPr>
              <w:widowControl/>
              <w:jc w:val="center"/>
              <w:textAlignment w:val="center"/>
              <w:rPr>
                <w:rFonts w:hint="eastAsia" w:ascii="仿宋" w:hAnsi="仿宋" w:eastAsia="仿宋" w:cs="仿宋"/>
                <w:color w:val="000000"/>
                <w:kern w:val="0"/>
                <w:sz w:val="24"/>
                <w:szCs w:val="24"/>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6512B80E">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分装桥间传动轴</w:t>
            </w:r>
          </w:p>
        </w:tc>
        <w:tc>
          <w:tcPr>
            <w:tcW w:w="1341" w:type="dxa"/>
            <w:tcBorders>
              <w:tl2br w:val="nil"/>
              <w:tr2bl w:val="nil"/>
            </w:tcBorders>
            <w:vAlign w:val="center"/>
          </w:tcPr>
          <w:p w14:paraId="1A2BE60D">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2</w:t>
            </w:r>
          </w:p>
        </w:tc>
        <w:tc>
          <w:tcPr>
            <w:tcW w:w="1405" w:type="dxa"/>
            <w:tcBorders>
              <w:tl2br w:val="nil"/>
              <w:tr2bl w:val="nil"/>
            </w:tcBorders>
            <w:vAlign w:val="center"/>
          </w:tcPr>
          <w:p w14:paraId="212548F5">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098F4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16D1C3A2">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084AE0C4">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3B9D7A8C">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捆扎线束</w:t>
            </w:r>
          </w:p>
        </w:tc>
        <w:tc>
          <w:tcPr>
            <w:tcW w:w="1341" w:type="dxa"/>
            <w:vMerge w:val="restart"/>
            <w:tcBorders>
              <w:tl2br w:val="nil"/>
              <w:tr2bl w:val="nil"/>
            </w:tcBorders>
            <w:vAlign w:val="center"/>
          </w:tcPr>
          <w:p w14:paraId="2373214E">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12D17C04">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2AF0B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59BB467F">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008C5945">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23496B75">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安装后桥压板</w:t>
            </w:r>
          </w:p>
        </w:tc>
        <w:tc>
          <w:tcPr>
            <w:tcW w:w="1341" w:type="dxa"/>
            <w:vMerge w:val="continue"/>
            <w:tcBorders>
              <w:tl2br w:val="nil"/>
              <w:tr2bl w:val="nil"/>
            </w:tcBorders>
            <w:vAlign w:val="center"/>
          </w:tcPr>
          <w:p w14:paraId="52AC349B">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336B0021">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79C55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839" w:type="dxa"/>
            <w:vMerge w:val="continue"/>
            <w:tcBorders>
              <w:tl2br w:val="nil"/>
              <w:tr2bl w:val="nil"/>
            </w:tcBorders>
            <w:vAlign w:val="center"/>
          </w:tcPr>
          <w:p w14:paraId="70A90E21">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208FECFE">
            <w:pPr>
              <w:widowControl/>
              <w:jc w:val="center"/>
              <w:textAlignment w:val="center"/>
              <w:rPr>
                <w:rFonts w:hint="eastAsia" w:ascii="微软雅黑" w:hAnsi="微软雅黑" w:eastAsia="微软雅黑" w:cs="微软雅黑"/>
                <w:color w:val="000000"/>
                <w:kern w:val="0"/>
                <w:sz w:val="24"/>
                <w:szCs w:val="24"/>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4C83A06B">
            <w:pPr>
              <w:widowControl/>
              <w:jc w:val="center"/>
              <w:textAlignment w:val="center"/>
              <w:rPr>
                <w:rFonts w:hint="eastAsia" w:ascii="微软雅黑" w:hAnsi="微软雅黑" w:eastAsia="微软雅黑" w:cs="微软雅黑"/>
                <w:color w:val="000000"/>
                <w:kern w:val="0"/>
                <w:sz w:val="24"/>
                <w:szCs w:val="24"/>
                <w:lang w:bidi="ar"/>
              </w:rPr>
            </w:pPr>
            <w:r>
              <w:rPr>
                <w:rFonts w:hint="eastAsia" w:ascii="仿宋" w:hAnsi="仿宋" w:eastAsia="仿宋" w:cs="仿宋"/>
                <w:color w:val="000000"/>
                <w:kern w:val="0"/>
                <w:szCs w:val="21"/>
                <w:lang w:bidi="ar"/>
              </w:rPr>
              <w:t>加注后桥齿轮油，检查，紧固螺栓，校准力矩</w:t>
            </w:r>
          </w:p>
        </w:tc>
        <w:tc>
          <w:tcPr>
            <w:tcW w:w="1341" w:type="dxa"/>
            <w:tcBorders>
              <w:tl2br w:val="nil"/>
              <w:tr2bl w:val="nil"/>
            </w:tcBorders>
            <w:vAlign w:val="center"/>
          </w:tcPr>
          <w:p w14:paraId="70AE0208">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3</w:t>
            </w:r>
          </w:p>
        </w:tc>
        <w:tc>
          <w:tcPr>
            <w:tcW w:w="1405" w:type="dxa"/>
            <w:tcBorders>
              <w:tl2br w:val="nil"/>
              <w:tr2bl w:val="nil"/>
            </w:tcBorders>
            <w:vAlign w:val="center"/>
          </w:tcPr>
          <w:p w14:paraId="5E90F2F4">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38DD9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22078734">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15DA96DB">
            <w:pPr>
              <w:widowControl/>
              <w:jc w:val="center"/>
              <w:textAlignment w:val="center"/>
              <w:rPr>
                <w:rFonts w:hint="eastAsia" w:ascii="微软雅黑" w:hAnsi="微软雅黑" w:eastAsia="微软雅黑" w:cs="微软雅黑"/>
                <w:color w:val="000000"/>
                <w:kern w:val="0"/>
                <w:sz w:val="24"/>
                <w:szCs w:val="24"/>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7DDA158A">
            <w:pPr>
              <w:widowControl/>
              <w:jc w:val="center"/>
              <w:textAlignment w:val="center"/>
              <w:rPr>
                <w:rFonts w:hint="eastAsia" w:ascii="微软雅黑" w:hAnsi="微软雅黑" w:eastAsia="微软雅黑" w:cs="微软雅黑"/>
                <w:color w:val="000000"/>
                <w:kern w:val="0"/>
                <w:sz w:val="24"/>
                <w:szCs w:val="24"/>
                <w:lang w:bidi="ar"/>
              </w:rPr>
            </w:pPr>
            <w:r>
              <w:rPr>
                <w:rFonts w:hint="eastAsia" w:ascii="仿宋" w:hAnsi="仿宋" w:eastAsia="仿宋" w:cs="仿宋"/>
                <w:color w:val="000000"/>
                <w:kern w:val="0"/>
                <w:szCs w:val="21"/>
                <w:lang w:bidi="ar"/>
              </w:rPr>
              <w:t>总成件扫描、揭标签</w:t>
            </w:r>
          </w:p>
        </w:tc>
        <w:tc>
          <w:tcPr>
            <w:tcW w:w="1341" w:type="dxa"/>
            <w:tcBorders>
              <w:tl2br w:val="nil"/>
              <w:tr2bl w:val="nil"/>
            </w:tcBorders>
            <w:vAlign w:val="center"/>
          </w:tcPr>
          <w:p w14:paraId="32794200">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70E5BF02">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60A41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279F9E14">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31803E6E">
            <w:pPr>
              <w:widowControl/>
              <w:jc w:val="center"/>
              <w:textAlignment w:val="center"/>
              <w:rPr>
                <w:rFonts w:hint="eastAsia" w:ascii="仿宋" w:hAnsi="仿宋" w:eastAsia="仿宋" w:cs="仿宋"/>
                <w:color w:val="000000"/>
                <w:kern w:val="0"/>
                <w:sz w:val="24"/>
                <w:szCs w:val="24"/>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1FE7E1A6">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安装滑板座</w:t>
            </w:r>
          </w:p>
        </w:tc>
        <w:tc>
          <w:tcPr>
            <w:tcW w:w="1341" w:type="dxa"/>
            <w:tcBorders>
              <w:tl2br w:val="nil"/>
              <w:tr2bl w:val="nil"/>
            </w:tcBorders>
            <w:vAlign w:val="center"/>
          </w:tcPr>
          <w:p w14:paraId="1DC84F0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288DBD4E">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4A5DA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132FDAD9">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2DEB607E">
            <w:pPr>
              <w:widowControl/>
              <w:jc w:val="center"/>
              <w:textAlignment w:val="center"/>
              <w:rPr>
                <w:rFonts w:hint="eastAsia" w:ascii="仿宋" w:hAnsi="仿宋" w:eastAsia="仿宋" w:cs="仿宋"/>
                <w:color w:val="000000"/>
                <w:kern w:val="0"/>
                <w:sz w:val="24"/>
                <w:szCs w:val="24"/>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39E19B50">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分装气囊总成</w:t>
            </w:r>
          </w:p>
        </w:tc>
        <w:tc>
          <w:tcPr>
            <w:tcW w:w="1341" w:type="dxa"/>
            <w:vMerge w:val="restart"/>
            <w:tcBorders>
              <w:tl2br w:val="nil"/>
              <w:tr2bl w:val="nil"/>
            </w:tcBorders>
            <w:vAlign w:val="center"/>
          </w:tcPr>
          <w:p w14:paraId="1F10283A">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5</w:t>
            </w:r>
          </w:p>
        </w:tc>
        <w:tc>
          <w:tcPr>
            <w:tcW w:w="1405" w:type="dxa"/>
            <w:tcBorders>
              <w:tl2br w:val="nil"/>
              <w:tr2bl w:val="nil"/>
            </w:tcBorders>
            <w:vAlign w:val="center"/>
          </w:tcPr>
          <w:p w14:paraId="49E3FC95">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30BC5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06BD2767">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219D45B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2988C9F6">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安装气囊</w:t>
            </w:r>
          </w:p>
        </w:tc>
        <w:tc>
          <w:tcPr>
            <w:tcW w:w="1341" w:type="dxa"/>
            <w:vMerge w:val="continue"/>
            <w:tcBorders>
              <w:tl2br w:val="nil"/>
              <w:tr2bl w:val="nil"/>
            </w:tcBorders>
            <w:vAlign w:val="center"/>
          </w:tcPr>
          <w:p w14:paraId="7FB8B097">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6B5B82F8">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7CAEB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444FA127">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3DE62C89">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424755A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安装后稳定杆</w:t>
            </w:r>
          </w:p>
        </w:tc>
        <w:tc>
          <w:tcPr>
            <w:tcW w:w="1341" w:type="dxa"/>
            <w:vMerge w:val="continue"/>
            <w:tcBorders>
              <w:tl2br w:val="nil"/>
              <w:tr2bl w:val="nil"/>
            </w:tcBorders>
            <w:vAlign w:val="center"/>
          </w:tcPr>
          <w:p w14:paraId="45AE490D">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4A355FF3">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0EDDD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562851F1">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63DC7A6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1C513BFB">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吊装自行线</w:t>
            </w:r>
          </w:p>
        </w:tc>
        <w:tc>
          <w:tcPr>
            <w:tcW w:w="1341" w:type="dxa"/>
            <w:vMerge w:val="continue"/>
            <w:tcBorders>
              <w:tl2br w:val="nil"/>
              <w:tr2bl w:val="nil"/>
            </w:tcBorders>
            <w:vAlign w:val="center"/>
          </w:tcPr>
          <w:p w14:paraId="7376CF3E">
            <w:pPr>
              <w:widowControl/>
              <w:jc w:val="center"/>
              <w:textAlignment w:val="center"/>
              <w:rPr>
                <w:rFonts w:hint="eastAsia" w:ascii="仿宋" w:hAnsi="仿宋" w:eastAsia="仿宋" w:cs="仿宋"/>
                <w:color w:val="000000"/>
                <w:kern w:val="0"/>
                <w:szCs w:val="21"/>
                <w:lang w:bidi="ar"/>
              </w:rPr>
            </w:pPr>
          </w:p>
        </w:tc>
        <w:tc>
          <w:tcPr>
            <w:tcW w:w="1405" w:type="dxa"/>
            <w:tcBorders>
              <w:tl2br w:val="nil"/>
              <w:tr2bl w:val="nil"/>
            </w:tcBorders>
            <w:vAlign w:val="center"/>
          </w:tcPr>
          <w:p w14:paraId="2FF96D2B">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1B216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39" w:type="dxa"/>
            <w:vMerge w:val="continue"/>
            <w:tcBorders>
              <w:tl2br w:val="nil"/>
              <w:tr2bl w:val="nil"/>
            </w:tcBorders>
            <w:vAlign w:val="center"/>
          </w:tcPr>
          <w:p w14:paraId="6F8CEBD1">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0C3F9735">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7E987D7A">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班组长</w:t>
            </w:r>
          </w:p>
        </w:tc>
        <w:tc>
          <w:tcPr>
            <w:tcW w:w="1341" w:type="dxa"/>
            <w:tcBorders>
              <w:tl2br w:val="nil"/>
              <w:tr2bl w:val="nil"/>
            </w:tcBorders>
            <w:vAlign w:val="center"/>
          </w:tcPr>
          <w:p w14:paraId="3B12BE7C">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59227CFA">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r w14:paraId="42F2C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839" w:type="dxa"/>
            <w:vMerge w:val="continue"/>
            <w:tcBorders>
              <w:tl2br w:val="nil"/>
              <w:tr2bl w:val="nil"/>
            </w:tcBorders>
            <w:vAlign w:val="center"/>
          </w:tcPr>
          <w:p w14:paraId="6C3F964B">
            <w:pPr>
              <w:widowControl/>
              <w:jc w:val="center"/>
              <w:textAlignment w:val="center"/>
              <w:rPr>
                <w:rFonts w:hint="eastAsia" w:ascii="仿宋" w:hAnsi="仿宋" w:eastAsia="仿宋" w:cs="仿宋"/>
                <w:color w:val="000000"/>
                <w:kern w:val="0"/>
                <w:szCs w:val="21"/>
                <w:lang w:bidi="ar"/>
              </w:rPr>
            </w:pPr>
          </w:p>
        </w:tc>
        <w:tc>
          <w:tcPr>
            <w:tcW w:w="2020" w:type="dxa"/>
            <w:tcBorders>
              <w:tl2br w:val="nil"/>
              <w:tr2bl w:val="nil"/>
            </w:tcBorders>
            <w:vAlign w:val="center"/>
          </w:tcPr>
          <w:p w14:paraId="5E75B1EE">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 w:val="24"/>
                <w:szCs w:val="24"/>
                <w:lang w:bidi="ar"/>
              </w:rPr>
              <w:t>2.46</w:t>
            </w:r>
          </w:p>
        </w:tc>
        <w:tc>
          <w:tcPr>
            <w:tcW w:w="2473" w:type="dxa"/>
            <w:tcBorders>
              <w:tl2br w:val="nil"/>
              <w:tr2bl w:val="nil"/>
            </w:tcBorders>
            <w:vAlign w:val="center"/>
          </w:tcPr>
          <w:p w14:paraId="6437ECDF">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调整工</w:t>
            </w:r>
          </w:p>
        </w:tc>
        <w:tc>
          <w:tcPr>
            <w:tcW w:w="1341" w:type="dxa"/>
            <w:tcBorders>
              <w:tl2br w:val="nil"/>
              <w:tr2bl w:val="nil"/>
            </w:tcBorders>
            <w:vAlign w:val="center"/>
          </w:tcPr>
          <w:p w14:paraId="5087190D">
            <w:pPr>
              <w:widowControl/>
              <w:jc w:val="center"/>
              <w:textAlignment w:val="center"/>
              <w:rPr>
                <w:rFonts w:hint="eastAsia" w:ascii="仿宋" w:hAnsi="仿宋" w:eastAsia="仿宋" w:cs="仿宋"/>
                <w:color w:val="000000"/>
                <w:kern w:val="0"/>
                <w:szCs w:val="21"/>
                <w:lang w:bidi="ar"/>
              </w:rPr>
            </w:pPr>
            <w:r>
              <w:rPr>
                <w:rFonts w:hint="eastAsia" w:ascii="仿宋" w:hAnsi="仿宋" w:eastAsia="仿宋" w:cs="仿宋"/>
                <w:color w:val="000000"/>
                <w:kern w:val="0"/>
                <w:szCs w:val="21"/>
                <w:lang w:bidi="ar"/>
              </w:rPr>
              <w:t>1</w:t>
            </w:r>
          </w:p>
        </w:tc>
        <w:tc>
          <w:tcPr>
            <w:tcW w:w="1405" w:type="dxa"/>
            <w:tcBorders>
              <w:tl2br w:val="nil"/>
              <w:tr2bl w:val="nil"/>
            </w:tcBorders>
            <w:vAlign w:val="center"/>
          </w:tcPr>
          <w:p w14:paraId="69D8F318">
            <w:pPr>
              <w:autoSpaceDE w:val="0"/>
              <w:autoSpaceDN w:val="0"/>
              <w:adjustRightInd w:val="0"/>
              <w:jc w:val="center"/>
              <w:rPr>
                <w:rFonts w:hint="eastAsia" w:ascii="仿宋" w:hAnsi="仿宋" w:eastAsia="仿宋" w:cs="仿宋"/>
                <w:color w:val="000000"/>
                <w:kern w:val="0"/>
                <w:szCs w:val="21"/>
              </w:rPr>
            </w:pPr>
            <w:r>
              <w:rPr>
                <w:rFonts w:hint="eastAsia" w:ascii="仿宋" w:hAnsi="仿宋" w:eastAsia="仿宋" w:cs="仿宋"/>
                <w:color w:val="000000"/>
                <w:kern w:val="0"/>
                <w:szCs w:val="21"/>
              </w:rPr>
              <w:t>操作工</w:t>
            </w:r>
          </w:p>
        </w:tc>
      </w:tr>
    </w:tbl>
    <w:p w14:paraId="7671C159">
      <w:pPr>
        <w:pStyle w:val="3"/>
        <w:numPr>
          <w:ilvl w:val="3"/>
          <w:numId w:val="0"/>
        </w:numPr>
        <w:spacing w:line="360" w:lineRule="auto"/>
        <w:rPr>
          <w:rFonts w:hint="eastAsia" w:ascii="宋体" w:hAnsi="宋体" w:cs="宋体"/>
          <w:b/>
          <w:bCs/>
          <w:szCs w:val="28"/>
        </w:rPr>
      </w:pPr>
    </w:p>
    <w:p w14:paraId="051372DD">
      <w:pPr>
        <w:pStyle w:val="3"/>
        <w:numPr>
          <w:ilvl w:val="3"/>
          <w:numId w:val="0"/>
        </w:numPr>
        <w:spacing w:line="360" w:lineRule="auto"/>
        <w:rPr>
          <w:rFonts w:hint="eastAsia" w:ascii="宋体" w:hAnsi="宋体" w:cs="宋体"/>
          <w:b/>
          <w:bCs/>
          <w:szCs w:val="28"/>
        </w:rPr>
      </w:pPr>
      <w:r>
        <w:rPr>
          <w:rFonts w:hint="eastAsia" w:ascii="宋体" w:hAnsi="宋体" w:cs="宋体"/>
          <w:b/>
          <w:bCs/>
          <w:sz w:val="28"/>
          <w:szCs w:val="28"/>
        </w:rPr>
        <w:t>四、运行管理要求</w:t>
      </w:r>
    </w:p>
    <w:p w14:paraId="562A41C1">
      <w:pPr>
        <w:spacing w:line="480" w:lineRule="exact"/>
        <w:ind w:firstLine="110" w:firstLineChars="50"/>
        <w:rPr>
          <w:rFonts w:hint="eastAsia" w:ascii="宋体" w:hAnsi="宋体" w:eastAsia="宋体" w:cs="宋体"/>
          <w:b/>
          <w:bCs/>
          <w:sz w:val="22"/>
        </w:rPr>
      </w:pPr>
      <w:r>
        <w:rPr>
          <w:rFonts w:hint="eastAsia" w:ascii="宋体" w:hAnsi="宋体" w:eastAsia="宋体" w:cs="宋体"/>
          <w:b/>
          <w:bCs/>
          <w:sz w:val="22"/>
        </w:rPr>
        <w:t>1、工艺要求</w:t>
      </w:r>
    </w:p>
    <w:p w14:paraId="2E296F2B">
      <w:pPr>
        <w:spacing w:line="480" w:lineRule="exact"/>
        <w:ind w:firstLine="105" w:firstLineChars="50"/>
        <w:rPr>
          <w:rFonts w:hint="eastAsia" w:ascii="宋体" w:hAnsi="宋体"/>
          <w:bCs/>
        </w:rPr>
      </w:pPr>
      <w:r>
        <w:rPr>
          <w:rFonts w:hint="eastAsia" w:ascii="宋体" w:hAnsi="宋体" w:eastAsia="宋体"/>
          <w:bCs/>
        </w:rPr>
        <w:t>1</w:t>
      </w:r>
      <w:r>
        <w:rPr>
          <w:rFonts w:hint="eastAsia" w:ascii="宋体" w:hAnsi="宋体"/>
          <w:bCs/>
        </w:rPr>
        <w:t>.1基本要求</w:t>
      </w:r>
    </w:p>
    <w:p w14:paraId="069A873C">
      <w:pPr>
        <w:spacing w:line="480" w:lineRule="exact"/>
        <w:ind w:firstLine="420" w:firstLineChars="200"/>
        <w:rPr>
          <w:rFonts w:hint="eastAsia" w:ascii="宋体" w:hAnsi="宋体"/>
        </w:rPr>
      </w:pPr>
      <w:r>
        <w:rPr>
          <w:rFonts w:hint="eastAsia" w:ascii="宋体" w:hAnsi="宋体"/>
        </w:rPr>
        <w:t>1.1.1、中标方所供项目标的，必须符合中国最新版的法律、法规和相关标准、规范的要求，符合项目所在地政府有关特殊要求；</w:t>
      </w:r>
    </w:p>
    <w:p w14:paraId="7142CEA1">
      <w:pPr>
        <w:spacing w:line="480" w:lineRule="exact"/>
        <w:ind w:firstLine="420" w:firstLineChars="200"/>
        <w:rPr>
          <w:rFonts w:hint="eastAsia" w:ascii="宋体" w:hAnsi="宋体"/>
        </w:rPr>
      </w:pPr>
      <w:r>
        <w:rPr>
          <w:rFonts w:hint="eastAsia" w:ascii="宋体" w:hAnsi="宋体"/>
        </w:rPr>
        <w:t>1.1.2、中标方应对委托方提出的各项技术要求同意进行技术 (担保) 承诺， 并保证委托方不因此受到任何侵权指控和实际损失；</w:t>
      </w:r>
    </w:p>
    <w:p w14:paraId="2AFDDB6B">
      <w:pPr>
        <w:spacing w:line="480" w:lineRule="exact"/>
        <w:ind w:firstLine="420" w:firstLineChars="200"/>
        <w:rPr>
          <w:rFonts w:hint="eastAsia" w:ascii="宋体" w:hAnsi="宋体"/>
        </w:rPr>
      </w:pPr>
      <w:r>
        <w:rPr>
          <w:rFonts w:hint="eastAsia" w:ascii="宋体" w:hAnsi="宋体"/>
        </w:rPr>
        <w:t>1.1.3、中标方应保证所供服务或技术的先进性、可靠性、经济性和实用性；</w:t>
      </w:r>
    </w:p>
    <w:p w14:paraId="67D7651F">
      <w:pPr>
        <w:spacing w:line="480" w:lineRule="exact"/>
        <w:ind w:firstLine="420" w:firstLineChars="200"/>
        <w:rPr>
          <w:rFonts w:hint="eastAsia" w:ascii="宋体" w:hAnsi="宋体"/>
        </w:rPr>
      </w:pPr>
      <w:r>
        <w:rPr>
          <w:rFonts w:hint="eastAsia" w:ascii="宋体" w:hAnsi="宋体"/>
        </w:rPr>
        <w:t>1.1.4、中标方必须按委托方的产品图样及相关标准组织生产。否则，由此造成的质量事故或损失由中标方承担全部责任。</w:t>
      </w:r>
    </w:p>
    <w:p w14:paraId="4D4F3A84">
      <w:pPr>
        <w:spacing w:line="480" w:lineRule="exact"/>
        <w:rPr>
          <w:rFonts w:hint="eastAsia" w:ascii="宋体" w:hAnsi="宋体"/>
          <w:bCs/>
        </w:rPr>
      </w:pPr>
      <w:r>
        <w:rPr>
          <w:rFonts w:hint="eastAsia" w:ascii="宋体" w:hAnsi="宋体"/>
          <w:bCs/>
        </w:rPr>
        <w:t>1.2技术支持</w:t>
      </w:r>
    </w:p>
    <w:p w14:paraId="7384B523">
      <w:pPr>
        <w:spacing w:line="480" w:lineRule="exact"/>
        <w:ind w:firstLine="420" w:firstLineChars="200"/>
        <w:rPr>
          <w:rFonts w:hint="eastAsia" w:ascii="宋体" w:hAnsi="宋体"/>
        </w:rPr>
      </w:pPr>
      <w:r>
        <w:rPr>
          <w:rFonts w:hint="eastAsia" w:ascii="宋体" w:hAnsi="宋体"/>
        </w:rPr>
        <w:t>1.2.1、委托方与中标方合作期间，委托方负责向中标方提供工艺与工艺更改文件，中标方按要求完成相应生产技术准备工作，严格按文件要求操作和控制。</w:t>
      </w:r>
    </w:p>
    <w:p w14:paraId="45260217">
      <w:pPr>
        <w:spacing w:line="480" w:lineRule="exact"/>
        <w:ind w:firstLine="420" w:firstLineChars="200"/>
        <w:rPr>
          <w:rFonts w:hint="eastAsia" w:ascii="宋体" w:hAnsi="宋体"/>
        </w:rPr>
      </w:pPr>
      <w:r>
        <w:rPr>
          <w:rFonts w:hint="eastAsia" w:ascii="宋体" w:hAnsi="宋体"/>
        </w:rPr>
        <w:t>1.2.2 、委托方提出工艺变更时，中标方必须严格执行工艺变更。</w:t>
      </w:r>
    </w:p>
    <w:p w14:paraId="5E2B084A">
      <w:pPr>
        <w:spacing w:line="480" w:lineRule="exact"/>
        <w:ind w:firstLine="420" w:firstLineChars="200"/>
        <w:rPr>
          <w:rFonts w:hint="eastAsia" w:ascii="宋体" w:hAnsi="宋体"/>
        </w:rPr>
      </w:pPr>
      <w:r>
        <w:rPr>
          <w:rFonts w:hint="eastAsia" w:ascii="宋体" w:hAnsi="宋体"/>
        </w:rPr>
        <w:t>1.2.3 委托方有权派人到中标方现场对中标方生产过程进行工艺执行情况 进行检查，并要求中标方对具体操作不符合项进行限期和有效的整改，否则依据严重程度追究中标方的责任。</w:t>
      </w:r>
    </w:p>
    <w:p w14:paraId="33E9FA37">
      <w:pPr>
        <w:spacing w:line="480" w:lineRule="exact"/>
        <w:ind w:firstLine="420" w:firstLineChars="200"/>
        <w:rPr>
          <w:rFonts w:hint="eastAsia" w:ascii="宋体" w:hAnsi="宋体"/>
        </w:rPr>
      </w:pPr>
      <w:r>
        <w:rPr>
          <w:rFonts w:hint="eastAsia" w:ascii="宋体" w:hAnsi="宋体"/>
        </w:rPr>
        <w:t>1.2.4、中标方有权根据生产情况对委托方提供的原材料、技术资料、工装工具、辅料等提出合理要求，经委托方认可后实施。</w:t>
      </w:r>
    </w:p>
    <w:p w14:paraId="3230E912">
      <w:pPr>
        <w:spacing w:line="480" w:lineRule="exact"/>
        <w:ind w:firstLine="420" w:firstLineChars="200"/>
        <w:rPr>
          <w:rFonts w:hint="eastAsia" w:ascii="宋体" w:hAnsi="宋体"/>
        </w:rPr>
      </w:pPr>
      <w:r>
        <w:rPr>
          <w:rFonts w:hint="eastAsia" w:ascii="宋体" w:hAnsi="宋体"/>
        </w:rPr>
        <w:t>1.2.5、委托方与中标方解除合同时，中标方必须将委托方提供的所有技术 资料完好退还委托方。由此产生的损失由中标方承担。</w:t>
      </w:r>
    </w:p>
    <w:p w14:paraId="196A3042">
      <w:pPr>
        <w:spacing w:line="480" w:lineRule="exact"/>
        <w:ind w:firstLine="420" w:firstLineChars="200"/>
        <w:rPr>
          <w:rFonts w:hint="eastAsia" w:ascii="宋体" w:hAnsi="宋体"/>
        </w:rPr>
      </w:pPr>
      <w:r>
        <w:rPr>
          <w:rFonts w:hint="eastAsia" w:ascii="宋体" w:hAnsi="宋体"/>
        </w:rPr>
        <w:t>1.2.6、中标方必须使用委托方指定型号和品牌的工具、辅料、机物料、设备备件等。如任何项目内容有新增或改变，应征得委托方书面同意。</w:t>
      </w:r>
    </w:p>
    <w:p w14:paraId="19CA09DA">
      <w:pPr>
        <w:spacing w:line="480" w:lineRule="exact"/>
        <w:ind w:firstLine="420" w:firstLineChars="200"/>
        <w:rPr>
          <w:rFonts w:hint="eastAsia" w:ascii="宋体" w:hAnsi="宋体" w:eastAsia="宋体" w:cs="宋体"/>
          <w:sz w:val="22"/>
        </w:rPr>
      </w:pPr>
      <w:r>
        <w:rPr>
          <w:rFonts w:hint="eastAsia" w:ascii="宋体" w:hAnsi="宋体"/>
        </w:rPr>
        <w:t>1.2.7、中标方应对机物料、辅料、设备备件等物资实行“先进先出”的批次管理，如任何物资存在有效期，超期严禁使用，必须废弃。</w:t>
      </w:r>
    </w:p>
    <w:p w14:paraId="76E8BAAC">
      <w:pPr>
        <w:spacing w:line="480" w:lineRule="exact"/>
        <w:ind w:firstLine="105" w:firstLineChars="50"/>
        <w:rPr>
          <w:rFonts w:ascii="宋体" w:cs="宋体"/>
          <w:b/>
          <w:bCs/>
        </w:rPr>
      </w:pPr>
      <w:r>
        <w:rPr>
          <w:rFonts w:hint="eastAsia" w:ascii="宋体" w:cs="宋体"/>
          <w:b/>
          <w:bCs/>
        </w:rPr>
        <w:t>2、质量控制要求</w:t>
      </w:r>
    </w:p>
    <w:p w14:paraId="594E4774">
      <w:pPr>
        <w:spacing w:line="480" w:lineRule="exact"/>
        <w:ind w:firstLine="105" w:firstLineChars="50"/>
        <w:rPr>
          <w:rFonts w:hint="eastAsia" w:ascii="宋体" w:hAnsi="宋体"/>
          <w:bCs/>
        </w:rPr>
      </w:pPr>
      <w:r>
        <w:rPr>
          <w:rFonts w:hint="eastAsia" w:ascii="宋体" w:hAnsi="宋体"/>
          <w:bCs/>
        </w:rPr>
        <w:t>2.1基本要求</w:t>
      </w:r>
    </w:p>
    <w:p w14:paraId="2B18076E">
      <w:pPr>
        <w:spacing w:line="480" w:lineRule="exact"/>
        <w:ind w:firstLine="420" w:firstLineChars="200"/>
        <w:rPr>
          <w:rFonts w:hint="eastAsia" w:ascii="宋体" w:hAnsi="宋体"/>
        </w:rPr>
      </w:pPr>
      <w:r>
        <w:rPr>
          <w:rFonts w:hint="eastAsia" w:ascii="宋体" w:hAnsi="宋体"/>
        </w:rPr>
        <w:t>2.1.1、中标方应建立质量管理体系，达到持续保证产品质量、满足用户需求的目的；如中标方在委托方规定的时间内不能满足委托方的质量管理体系要求，委托方将有权调整中标方的《业务外包合同》。</w:t>
      </w:r>
    </w:p>
    <w:p w14:paraId="53E1DC14">
      <w:pPr>
        <w:spacing w:line="480" w:lineRule="exact"/>
        <w:ind w:firstLine="105" w:firstLineChars="50"/>
        <w:rPr>
          <w:rFonts w:hint="eastAsia" w:ascii="宋体" w:hAnsi="宋体"/>
          <w:bCs/>
        </w:rPr>
      </w:pPr>
      <w:r>
        <w:rPr>
          <w:rFonts w:hint="eastAsia" w:ascii="宋体" w:hAnsi="宋体"/>
          <w:bCs/>
        </w:rPr>
        <w:t>2.2产品检验</w:t>
      </w:r>
    </w:p>
    <w:p w14:paraId="1AC4D24B">
      <w:pPr>
        <w:spacing w:line="480" w:lineRule="exact"/>
        <w:ind w:firstLine="420" w:firstLineChars="200"/>
        <w:rPr>
          <w:rFonts w:hint="eastAsia" w:ascii="宋体" w:hAnsi="宋体"/>
        </w:rPr>
      </w:pPr>
      <w:r>
        <w:rPr>
          <w:rFonts w:hint="eastAsia" w:ascii="宋体" w:hAnsi="宋体"/>
        </w:rPr>
        <w:t>2.2.1、中标方应根据委托方的产品质量要求制订产品的检验规范和检验计划，并报委托方备案。</w:t>
      </w:r>
    </w:p>
    <w:p w14:paraId="0BC457B9">
      <w:pPr>
        <w:spacing w:line="480" w:lineRule="exact"/>
        <w:ind w:firstLine="420" w:firstLineChars="200"/>
        <w:rPr>
          <w:rFonts w:hint="eastAsia" w:ascii="宋体" w:hAnsi="宋体"/>
        </w:rPr>
      </w:pPr>
      <w:r>
        <w:rPr>
          <w:rFonts w:hint="eastAsia" w:ascii="宋体" w:hAnsi="宋体"/>
        </w:rPr>
        <w:t>2.2.2、委托方有权对中标方提供的产品实施质量监督抽查，中标方承诺免费提供抽样检验的零部件，质量监督抽查所发生的试验检测费用。</w:t>
      </w:r>
    </w:p>
    <w:p w14:paraId="06660AD5">
      <w:pPr>
        <w:spacing w:line="480" w:lineRule="exact"/>
        <w:ind w:firstLine="420" w:firstLineChars="200"/>
        <w:rPr>
          <w:rFonts w:hint="eastAsia" w:ascii="宋体" w:hAnsi="宋体"/>
        </w:rPr>
      </w:pPr>
      <w:r>
        <w:rPr>
          <w:rFonts w:hint="eastAsia" w:ascii="宋体" w:hAnsi="宋体"/>
        </w:rPr>
        <w:t>2.2.3、为加大对产品的质量控制力度，委托方将适时地开展质量稽查工作。必要时，派员赴中标方处进行产品稽查，中标方应给予配合。</w:t>
      </w:r>
    </w:p>
    <w:p w14:paraId="13BA50D1">
      <w:pPr>
        <w:spacing w:line="480" w:lineRule="exact"/>
        <w:rPr>
          <w:rFonts w:hint="eastAsia" w:ascii="宋体" w:hAnsi="宋体"/>
          <w:bCs/>
        </w:rPr>
      </w:pPr>
      <w:r>
        <w:rPr>
          <w:rFonts w:hint="eastAsia" w:ascii="宋体" w:hAnsi="宋体"/>
          <w:bCs/>
        </w:rPr>
        <w:t>2.3质量改进</w:t>
      </w:r>
    </w:p>
    <w:p w14:paraId="6DBB27AE">
      <w:pPr>
        <w:spacing w:line="480" w:lineRule="exact"/>
        <w:ind w:firstLine="420" w:firstLineChars="200"/>
        <w:rPr>
          <w:rFonts w:hint="eastAsia" w:ascii="宋体" w:hAnsi="宋体"/>
        </w:rPr>
      </w:pPr>
      <w:r>
        <w:rPr>
          <w:rFonts w:hint="eastAsia" w:ascii="宋体" w:hAnsi="宋体"/>
        </w:rPr>
        <w:t>2.3.1、中标方应定期对所供产品进行审核，并根据产品的技术和质量状态，制定质量改进计划和改进措施，同时报委托方备案。</w:t>
      </w:r>
    </w:p>
    <w:p w14:paraId="3FEE4289">
      <w:pPr>
        <w:spacing w:line="480" w:lineRule="exact"/>
        <w:ind w:firstLine="420" w:firstLineChars="200"/>
        <w:rPr>
          <w:rFonts w:ascii="宋体" w:cs="宋体"/>
        </w:rPr>
      </w:pPr>
      <w:r>
        <w:rPr>
          <w:rFonts w:hint="eastAsia" w:ascii="宋体" w:hAnsi="宋体"/>
        </w:rPr>
        <w:t>2.3.2、中标方积极配合实施委托方制定的年度质量改进计划，并在规定的周期内完成改进项目。对因客观因素，不能按时完成，中标方应及时反馈委托方。</w:t>
      </w:r>
    </w:p>
    <w:p w14:paraId="327B5338">
      <w:pPr>
        <w:spacing w:line="480" w:lineRule="exact"/>
        <w:ind w:left="420" w:leftChars="200"/>
        <w:rPr>
          <w:rFonts w:ascii="宋体" w:cs="宋体"/>
          <w:b/>
          <w:bCs/>
        </w:rPr>
      </w:pPr>
      <w:r>
        <w:rPr>
          <w:rFonts w:hint="eastAsia" w:ascii="宋体" w:cs="宋体"/>
          <w:b/>
          <w:bCs/>
        </w:rPr>
        <w:t>3、生产组织控制</w:t>
      </w:r>
    </w:p>
    <w:p w14:paraId="40344FD4">
      <w:pPr>
        <w:spacing w:line="480" w:lineRule="exact"/>
        <w:ind w:left="420" w:leftChars="200"/>
        <w:rPr>
          <w:rFonts w:hint="eastAsia" w:ascii="宋体" w:hAnsi="宋体"/>
        </w:rPr>
      </w:pPr>
      <w:r>
        <w:rPr>
          <w:rFonts w:hint="eastAsia" w:ascii="宋体" w:hAnsi="宋体"/>
        </w:rPr>
        <w:t>3.1、车架一部负责对中标单位生产、安全监控。</w:t>
      </w:r>
    </w:p>
    <w:p w14:paraId="31E7529B">
      <w:pPr>
        <w:spacing w:line="480" w:lineRule="exact"/>
        <w:ind w:firstLine="420" w:firstLineChars="200"/>
        <w:rPr>
          <w:rFonts w:hint="eastAsia" w:ascii="宋体" w:hAnsi="宋体"/>
        </w:rPr>
      </w:pPr>
      <w:r>
        <w:rPr>
          <w:rFonts w:hint="eastAsia" w:ascii="宋体" w:hAnsi="宋体"/>
        </w:rPr>
        <w:t>3.2、中标单位每班次设班组长一名，负责与车架一部生产管理人员沟通信息，负责安全生产的监控，并纳入车架一部生产管理网络系统。</w:t>
      </w:r>
    </w:p>
    <w:p w14:paraId="1258CEF1">
      <w:pPr>
        <w:spacing w:line="480" w:lineRule="exact"/>
        <w:ind w:firstLine="420" w:firstLineChars="200"/>
        <w:rPr>
          <w:rFonts w:hint="eastAsia" w:ascii="宋体" w:hAnsi="宋体"/>
        </w:rPr>
      </w:pPr>
      <w:r>
        <w:rPr>
          <w:rFonts w:hint="eastAsia" w:ascii="宋体" w:hAnsi="宋体"/>
        </w:rPr>
        <w:t>3.3、中标方负责根据卡车公司生产计划及调度信息组织生产，确保产品发交的准确性、及时性。</w:t>
      </w:r>
    </w:p>
    <w:p w14:paraId="7407A3BA">
      <w:pPr>
        <w:spacing w:line="480" w:lineRule="exact"/>
        <w:ind w:firstLine="420" w:firstLineChars="200"/>
        <w:rPr>
          <w:rFonts w:hint="eastAsia" w:ascii="宋体" w:hAnsi="宋体"/>
        </w:rPr>
      </w:pPr>
      <w:r>
        <w:rPr>
          <w:rFonts w:hint="eastAsia" w:ascii="宋体" w:hAnsi="宋体"/>
        </w:rPr>
        <w:t>3.4、中标单位确保帐卡物的一致性，严格按照先入先出原则做好在制品的 仓储管理。</w:t>
      </w:r>
    </w:p>
    <w:p w14:paraId="64210EE7">
      <w:pPr>
        <w:spacing w:line="480" w:lineRule="exact"/>
        <w:ind w:firstLine="420" w:firstLineChars="200"/>
        <w:rPr>
          <w:rFonts w:hint="eastAsia" w:ascii="宋体" w:hAnsi="宋体"/>
        </w:rPr>
      </w:pPr>
      <w:r>
        <w:rPr>
          <w:rFonts w:hint="eastAsia" w:ascii="宋体" w:hAnsi="宋体"/>
        </w:rPr>
        <w:t>3.5、中标单位执行卡车制造公司及车架一部的管理制度及考核细则。</w:t>
      </w:r>
    </w:p>
    <w:p w14:paraId="6345A954">
      <w:pPr>
        <w:spacing w:line="360" w:lineRule="auto"/>
        <w:ind w:firstLine="422" w:firstLineChars="200"/>
        <w:rPr>
          <w:rFonts w:hint="eastAsia" w:ascii="宋体" w:hAnsi="宋体"/>
          <w:b/>
          <w:bCs/>
        </w:rPr>
      </w:pPr>
      <w:r>
        <w:rPr>
          <w:rFonts w:hint="eastAsia" w:ascii="宋体" w:hAnsi="宋体"/>
          <w:b/>
          <w:bCs/>
        </w:rPr>
        <w:t>4、业务外包场地、设备管理</w:t>
      </w:r>
    </w:p>
    <w:p w14:paraId="027DED90">
      <w:pPr>
        <w:spacing w:line="360" w:lineRule="auto"/>
        <w:ind w:firstLine="420" w:firstLineChars="200"/>
        <w:rPr>
          <w:rFonts w:hint="eastAsia" w:ascii="宋体" w:hAnsi="宋体"/>
          <w:szCs w:val="21"/>
        </w:rPr>
      </w:pPr>
      <w:r>
        <w:rPr>
          <w:rFonts w:hint="eastAsia" w:ascii="宋体" w:hAnsi="宋体"/>
        </w:rPr>
        <w:tab/>
      </w:r>
      <w:r>
        <w:rPr>
          <w:rFonts w:hint="eastAsia" w:ascii="宋体" w:hAnsi="宋体"/>
          <w:szCs w:val="21"/>
        </w:rPr>
        <w:t>车架一部将场地及其附属设施无偿提供给中标单位使用，中标单位要确保其完好性，不得随意更改其用途，维修服务由中标单位承担，所用配件由甲方提供。具体如下：</w:t>
      </w:r>
    </w:p>
    <w:p w14:paraId="340F4BF6">
      <w:pPr>
        <w:spacing w:line="360" w:lineRule="auto"/>
        <w:ind w:firstLine="420" w:firstLineChars="200"/>
        <w:rPr>
          <w:rFonts w:hint="eastAsia" w:ascii="宋体" w:hAnsi="宋体"/>
          <w:szCs w:val="21"/>
        </w:rPr>
      </w:pPr>
      <w:r>
        <w:rPr>
          <w:rFonts w:hint="eastAsia" w:ascii="宋体" w:hAnsi="宋体"/>
          <w:szCs w:val="21"/>
        </w:rPr>
        <w:t>4.1、仓库及仓库内附属的设施。中标单位如厂房进行装修、改建，须事先 向卡车制造公司提交装修、改建设计方案，并经卡车制造公司书面同意后方可进行。改建、装修费用由中标单位承担。</w:t>
      </w:r>
    </w:p>
    <w:p w14:paraId="49E1DB02">
      <w:pPr>
        <w:spacing w:line="360" w:lineRule="auto"/>
        <w:ind w:firstLine="420" w:firstLineChars="200"/>
        <w:rPr>
          <w:rFonts w:hint="eastAsia" w:ascii="宋体" w:hAnsi="宋体"/>
        </w:rPr>
      </w:pPr>
      <w:r>
        <w:rPr>
          <w:rFonts w:hint="eastAsia" w:ascii="宋体" w:hAnsi="宋体"/>
          <w:szCs w:val="21"/>
        </w:rPr>
        <w:t>4.2、底盘桥分装设备等无偿提供给中标单位使用。中标单位要确保其完好性；进行保养维护，且必须在车架一部规定的时间内进行周期性的保养维护，保养维护所用机物料由甲方提供。</w:t>
      </w:r>
    </w:p>
    <w:p w14:paraId="789BC6DF">
      <w:pPr>
        <w:spacing w:line="360" w:lineRule="auto"/>
        <w:ind w:firstLine="422" w:firstLineChars="200"/>
        <w:rPr>
          <w:rFonts w:hint="eastAsia" w:ascii="宋体" w:hAnsi="宋体"/>
          <w:b/>
          <w:bCs/>
        </w:rPr>
      </w:pPr>
      <w:r>
        <w:rPr>
          <w:rFonts w:hint="eastAsia" w:ascii="宋体" w:hAnsi="宋体"/>
          <w:b/>
          <w:bCs/>
        </w:rPr>
        <w:t>5、服务费用要求</w:t>
      </w:r>
    </w:p>
    <w:p w14:paraId="0B294F7A">
      <w:pPr>
        <w:spacing w:line="360" w:lineRule="auto"/>
        <w:ind w:firstLine="525" w:firstLineChars="25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5.1、水、电、压缩空气等能源费用由车架一部承担。                  </w:t>
      </w:r>
    </w:p>
    <w:p w14:paraId="4ADAB58A">
      <w:pPr>
        <w:spacing w:line="360" w:lineRule="auto"/>
        <w:ind w:firstLine="525" w:firstLineChars="25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5.2、桥分装等设备的保养维护由中标单位承担， 甲方提供所需配件。</w:t>
      </w:r>
    </w:p>
    <w:p w14:paraId="43734E24">
      <w:pPr>
        <w:spacing w:line="360" w:lineRule="auto"/>
        <w:ind w:firstLine="525" w:firstLineChars="25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5.3、桥分装所需辅料由甲方提供，费用由甲方承担。</w:t>
      </w:r>
    </w:p>
    <w:p w14:paraId="3989A135">
      <w:pPr>
        <w:spacing w:line="360" w:lineRule="auto"/>
        <w:ind w:firstLine="525" w:firstLineChars="25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5.4、中标单位员工使用的工作服、手套、劳保鞋、防毒口罩等劳保用品由中标单位自行配备，中标单位应确保相关劳保用品的合格性和适用性。</w:t>
      </w:r>
    </w:p>
    <w:p w14:paraId="6FFA37D5">
      <w:pPr>
        <w:spacing w:line="360" w:lineRule="auto"/>
        <w:ind w:firstLine="525" w:firstLineChars="25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5.5、乘用车费用由外中标单位承担。</w:t>
      </w:r>
    </w:p>
    <w:p w14:paraId="6D3CCE74">
      <w:pPr>
        <w:spacing w:line="360" w:lineRule="auto"/>
        <w:ind w:firstLine="525" w:firstLineChars="250"/>
        <w:rPr>
          <w:rFonts w:hint="eastAsia" w:ascii="宋体" w:hAnsi="宋体"/>
        </w:rPr>
      </w:pPr>
      <w:r>
        <w:rPr>
          <w:rFonts w:hint="eastAsia" w:ascii="宋体" w:hAnsi="宋体"/>
          <w:color w:val="000000" w:themeColor="text1"/>
          <w:szCs w:val="21"/>
          <w14:textFill>
            <w14:solidFill>
              <w14:schemeClr w14:val="tx1"/>
            </w14:solidFill>
          </w14:textFill>
        </w:rPr>
        <w:t>5.6、电脑、打印机、打印纸、电话等办公用品的购置及其维修费用由中标单位承担。</w:t>
      </w:r>
    </w:p>
    <w:p w14:paraId="50C91D85">
      <w:pPr>
        <w:rPr>
          <w:rFonts w:ascii="宋体" w:cs="宋体"/>
          <w:b/>
          <w:bCs/>
        </w:rPr>
      </w:pPr>
      <w:r>
        <w:rPr>
          <w:rFonts w:hint="eastAsia" w:ascii="宋体" w:cs="宋体"/>
          <w:b/>
          <w:bCs/>
        </w:rPr>
        <w:t>6、其他</w:t>
      </w:r>
    </w:p>
    <w:p w14:paraId="4E7E4803">
      <w:pPr>
        <w:spacing w:line="480" w:lineRule="exact"/>
        <w:ind w:firstLine="420" w:firstLineChars="200"/>
        <w:rPr>
          <w:rFonts w:hint="eastAsia" w:ascii="宋体" w:hAnsi="宋体"/>
        </w:rPr>
      </w:pPr>
      <w:r>
        <w:rPr>
          <w:rFonts w:hint="eastAsia" w:ascii="宋体" w:hAnsi="宋体"/>
        </w:rPr>
        <w:t>6.1现场服务</w:t>
      </w:r>
    </w:p>
    <w:p w14:paraId="5D9D8CFB">
      <w:pPr>
        <w:spacing w:line="480" w:lineRule="exact"/>
        <w:ind w:firstLine="420" w:firstLineChars="200"/>
        <w:rPr>
          <w:rFonts w:hint="eastAsia" w:ascii="宋体" w:hAnsi="宋体"/>
        </w:rPr>
      </w:pPr>
      <w:r>
        <w:rPr>
          <w:rFonts w:hint="eastAsia" w:ascii="宋体" w:hAnsi="宋体"/>
        </w:rPr>
        <w:t>6.1.1、中标方提供的产品在委托方装配、仓储过程中发现不合格时，中标方须及时提供有效地服务和处理，涉及的费用由中标方承担。</w:t>
      </w:r>
    </w:p>
    <w:p w14:paraId="003656A0">
      <w:pPr>
        <w:spacing w:line="480" w:lineRule="exact"/>
        <w:ind w:firstLine="420" w:firstLineChars="200"/>
        <w:rPr>
          <w:rFonts w:hint="eastAsia" w:ascii="宋体" w:hAnsi="宋体"/>
        </w:rPr>
      </w:pPr>
      <w:r>
        <w:rPr>
          <w:rFonts w:hint="eastAsia" w:ascii="宋体" w:hAnsi="宋体"/>
        </w:rPr>
        <w:t>6.1.2、中标方提供的产品在装配、仓储过程中遇到委托方不能处理的问题时，中标方须及时派遣专业的技术人员到现场配合委托方把问题解决和处理。</w:t>
      </w:r>
    </w:p>
    <w:p w14:paraId="3FA5D8A5">
      <w:pPr>
        <w:spacing w:line="480" w:lineRule="exact"/>
        <w:ind w:firstLine="420" w:firstLineChars="200"/>
        <w:rPr>
          <w:rFonts w:hint="eastAsia" w:ascii="宋体" w:hAnsi="宋体"/>
        </w:rPr>
      </w:pPr>
      <w:r>
        <w:rPr>
          <w:rFonts w:hint="eastAsia" w:ascii="宋体" w:hAnsi="宋体"/>
        </w:rPr>
        <w:t>6.1.3、发包方需要中标方对其所供产品提供生产性延伸服务时，中标方须随时都可以提供满足委托方所要求的延伸服务。</w:t>
      </w:r>
    </w:p>
    <w:p w14:paraId="58750556">
      <w:pPr>
        <w:spacing w:line="480" w:lineRule="exact"/>
        <w:ind w:firstLine="420" w:firstLineChars="200"/>
        <w:rPr>
          <w:rFonts w:hint="eastAsia" w:ascii="宋体" w:hAnsi="宋体"/>
        </w:rPr>
      </w:pPr>
      <w:r>
        <w:rPr>
          <w:rFonts w:hint="eastAsia" w:ascii="宋体" w:hAnsi="宋体"/>
        </w:rPr>
        <w:t>6.2产品售后服务</w:t>
      </w:r>
    </w:p>
    <w:p w14:paraId="1C5AA2D7">
      <w:pPr>
        <w:spacing w:line="480" w:lineRule="exact"/>
        <w:ind w:firstLine="420" w:firstLineChars="200"/>
        <w:rPr>
          <w:rFonts w:hint="eastAsia" w:ascii="宋体" w:hAnsi="宋体"/>
        </w:rPr>
      </w:pPr>
      <w:r>
        <w:rPr>
          <w:rFonts w:hint="eastAsia" w:ascii="宋体" w:hAnsi="宋体"/>
        </w:rPr>
        <w:t>6.2.1、遇到重大、批量质量事故及发包方难以处理的服务事件时，中标方在接到委托方的求援通知后，应无条件配合委托方，在12小时内到位协助处理。否则，所造成的一切损失由中标方承担。</w:t>
      </w:r>
    </w:p>
    <w:p w14:paraId="5C25C97A">
      <w:pPr>
        <w:spacing w:line="480" w:lineRule="exact"/>
        <w:ind w:firstLine="420" w:firstLineChars="200"/>
        <w:rPr>
          <w:rFonts w:hint="eastAsia" w:ascii="宋体" w:hAnsi="宋体"/>
        </w:rPr>
      </w:pPr>
      <w:r>
        <w:rPr>
          <w:rFonts w:hint="eastAsia" w:ascii="宋体" w:hAnsi="宋体"/>
        </w:rPr>
        <w:t>6.2.2、中标方须对所供产品的质量负责,对因产品质量引起的相关损失负责，承担与己有关的售后服务相关费用。</w:t>
      </w:r>
    </w:p>
    <w:p w14:paraId="30AF3014">
      <w:pPr>
        <w:spacing w:line="480" w:lineRule="exact"/>
        <w:ind w:firstLine="420" w:firstLineChars="200"/>
        <w:rPr>
          <w:rFonts w:hint="eastAsia" w:ascii="宋体" w:hAnsi="宋体"/>
        </w:rPr>
      </w:pPr>
      <w:r>
        <w:rPr>
          <w:rFonts w:hint="eastAsia" w:ascii="宋体" w:hAnsi="宋体"/>
        </w:rPr>
        <w:t>6.2.3、供需双方应共同承担因设计原因所造成的质量责任，双方协商承担损失。</w:t>
      </w:r>
    </w:p>
    <w:p w14:paraId="4BD4322D">
      <w:pPr>
        <w:spacing w:line="480" w:lineRule="exact"/>
        <w:ind w:firstLine="420" w:firstLineChars="200"/>
        <w:rPr>
          <w:rFonts w:hint="eastAsia" w:ascii="宋体" w:hAnsi="宋体"/>
        </w:rPr>
      </w:pPr>
      <w:r>
        <w:rPr>
          <w:rFonts w:hint="eastAsia" w:ascii="宋体" w:hAnsi="宋体"/>
        </w:rPr>
        <w:t>6.3其它服务</w:t>
      </w:r>
    </w:p>
    <w:p w14:paraId="2695CA0E">
      <w:pPr>
        <w:spacing w:line="480" w:lineRule="exact"/>
        <w:ind w:firstLine="420" w:firstLineChars="200"/>
        <w:rPr>
          <w:rFonts w:hint="eastAsia" w:ascii="宋体" w:hAnsi="宋体"/>
        </w:rPr>
      </w:pPr>
      <w:r>
        <w:rPr>
          <w:rFonts w:hint="eastAsia" w:ascii="宋体" w:hAnsi="宋体"/>
        </w:rPr>
        <w:t>6.3.1、若中标方所提供部分有需要进口的，中标方一般应自行、自费办理；必要时，双方共同办理；</w:t>
      </w:r>
    </w:p>
    <w:p w14:paraId="5B754F87">
      <w:pPr>
        <w:spacing w:line="480" w:lineRule="exact"/>
        <w:ind w:firstLine="420" w:firstLineChars="200"/>
        <w:rPr>
          <w:rFonts w:hint="eastAsia" w:ascii="宋体" w:hAnsi="宋体"/>
        </w:rPr>
      </w:pPr>
      <w:r>
        <w:rPr>
          <w:rFonts w:hint="eastAsia" w:ascii="宋体" w:hAnsi="宋体"/>
        </w:rPr>
        <w:t>6.3.2、除招标文件、投标文件、答疑文件、技术协议、合同等约定之外，中标方应负责必要的或强制性的设备（或材料）的检验、试验、化验等直接费用；</w:t>
      </w:r>
    </w:p>
    <w:p w14:paraId="3E78E315">
      <w:pPr>
        <w:spacing w:line="480" w:lineRule="exact"/>
        <w:ind w:firstLine="420" w:firstLineChars="200"/>
        <w:rPr>
          <w:rFonts w:hint="eastAsia" w:ascii="宋体" w:hAnsi="宋体"/>
        </w:rPr>
      </w:pPr>
      <w:r>
        <w:rPr>
          <w:rFonts w:hint="eastAsia" w:ascii="宋体" w:hAnsi="宋体"/>
        </w:rPr>
        <w:t>6.3.3、本章节条款所列“免费”，并非指定不可收费，而是指招标文件、投标文件、答疑文件、技术交流文件、技术协议书和合同等范围之外，中标方不可另行收取的费用。</w:t>
      </w:r>
    </w:p>
    <w:p w14:paraId="3EAC6BD4">
      <w:pPr>
        <w:spacing w:line="480" w:lineRule="exact"/>
        <w:ind w:firstLine="420" w:firstLineChars="200"/>
        <w:rPr>
          <w:rFonts w:hint="eastAsia" w:ascii="宋体" w:hAnsi="宋体"/>
        </w:rPr>
      </w:pPr>
      <w:r>
        <w:rPr>
          <w:rFonts w:hint="eastAsia" w:ascii="宋体" w:hAnsi="宋体"/>
        </w:rPr>
        <w:t>6.4安全生产</w:t>
      </w:r>
    </w:p>
    <w:p w14:paraId="77B17DA0">
      <w:pPr>
        <w:spacing w:line="480" w:lineRule="exact"/>
        <w:ind w:firstLine="420" w:firstLineChars="200"/>
        <w:rPr>
          <w:rFonts w:hint="eastAsia" w:ascii="宋体" w:hAnsi="宋体"/>
        </w:rPr>
      </w:pPr>
      <w:r>
        <w:rPr>
          <w:rFonts w:hint="eastAsia" w:ascii="宋体" w:hAnsi="宋体"/>
        </w:rPr>
        <w:t>6.4.1、中标单位在合同期间内，严格按照安全操作规程作业。中标单位人员 工伤、环境保护、职业健康等一切事故及劳资纠纷均由中标单位自行解决，与卡车制造公司无关。中标单位人员在其工作期间患病或受到人身伤害，由中标单位 自行解决 (包括承担民事赔偿责任) ，与卡车制造公司无关。中标单位有义务采 取措施确保安全作业，在生产作业过程中所发生的人身事故、责任与费用均由中 标单位承担。</w:t>
      </w:r>
    </w:p>
    <w:p w14:paraId="6F2D6C9E">
      <w:pPr>
        <w:spacing w:line="480" w:lineRule="exact"/>
        <w:ind w:firstLine="420" w:firstLineChars="200"/>
        <w:rPr>
          <w:rFonts w:hint="eastAsia" w:ascii="宋体" w:hAnsi="宋体"/>
        </w:rPr>
      </w:pPr>
      <w:r>
        <w:rPr>
          <w:rFonts w:hint="eastAsia" w:ascii="宋体" w:hAnsi="宋体"/>
        </w:rPr>
        <w:t>6.4.2、中标单位在承包期间须严格遵守《中华人民共和国消防法》以及山东 省、济南市的相关法律法规及有关制度，积极配合甲方做好消防工作，否则，由 此产生的一切责任及损失由中标单位承担。中标单位应在外包区域内按有关规定 配置灭火器，严禁将楼宇内消防设施用作其它用途。</w:t>
      </w:r>
    </w:p>
    <w:p w14:paraId="3CACCF3A">
      <w:pPr>
        <w:spacing w:line="480" w:lineRule="exact"/>
        <w:ind w:firstLine="420" w:firstLineChars="200"/>
        <w:rPr>
          <w:rFonts w:hint="eastAsia" w:ascii="宋体" w:hAnsi="宋体"/>
        </w:rPr>
      </w:pPr>
      <w:r>
        <w:rPr>
          <w:rFonts w:hint="eastAsia" w:ascii="宋体" w:hAnsi="宋体"/>
        </w:rPr>
        <w:t>6.4.3、中标单位确保已与其派出至车架一部的人员签署正式劳动合同,人员 的资质、技能等素质应满足外包业务的工作要求，特种作业须持证上岗，应满足 生产所需特种作业人员数量。中标单位负责对其所用人员的管理(包括签署劳动 合同,支付报酬,交纳保险等)。</w:t>
      </w:r>
    </w:p>
    <w:p w14:paraId="4C96B837">
      <w:pPr>
        <w:spacing w:line="480" w:lineRule="exact"/>
        <w:ind w:firstLine="420" w:firstLineChars="200"/>
        <w:rPr>
          <w:rFonts w:hint="eastAsia" w:ascii="宋体" w:hAnsi="宋体"/>
        </w:rPr>
      </w:pPr>
      <w:r>
        <w:rPr>
          <w:rFonts w:hint="eastAsia" w:ascii="宋体" w:hAnsi="宋体"/>
        </w:rPr>
        <w:t>6.4.4、中标单位要确保 VOCS 废气处理装置正常运行，达标排放。</w:t>
      </w:r>
    </w:p>
    <w:p w14:paraId="4D25EF25">
      <w:pPr>
        <w:spacing w:line="480" w:lineRule="exact"/>
        <w:ind w:firstLine="420" w:firstLineChars="200"/>
        <w:rPr>
          <w:rFonts w:hint="eastAsia" w:ascii="宋体" w:hAnsi="宋体"/>
        </w:rPr>
      </w:pPr>
      <w:r>
        <w:rPr>
          <w:rFonts w:hint="eastAsia" w:ascii="宋体" w:hAnsi="宋体"/>
        </w:rPr>
        <w:t>6.4.5、中标单位负责按甲方要求搬运危废、固废至指定园区地点。</w:t>
      </w:r>
    </w:p>
    <w:p w14:paraId="43543E20">
      <w:pPr>
        <w:pStyle w:val="3"/>
        <w:numPr>
          <w:ilvl w:val="3"/>
          <w:numId w:val="0"/>
        </w:numPr>
        <w:spacing w:line="360" w:lineRule="auto"/>
        <w:rPr>
          <w:rFonts w:hint="eastAsia" w:ascii="宋体" w:hAnsi="宋体" w:cs="宋体"/>
          <w:b/>
          <w:bCs/>
          <w:szCs w:val="28"/>
        </w:rPr>
      </w:pPr>
      <w:r>
        <w:rPr>
          <w:rFonts w:hint="eastAsia" w:ascii="宋体" w:hAnsi="宋体" w:cs="宋体"/>
          <w:b/>
          <w:bCs/>
          <w:sz w:val="28"/>
          <w:szCs w:val="28"/>
        </w:rPr>
        <w:t>五、投标技术方案要求</w:t>
      </w:r>
      <w:bookmarkEnd w:id="19"/>
      <w:bookmarkEnd w:id="20"/>
      <w:bookmarkEnd w:id="21"/>
      <w:bookmarkEnd w:id="22"/>
      <w:bookmarkEnd w:id="23"/>
    </w:p>
    <w:p w14:paraId="11E029BE">
      <w:pPr>
        <w:pStyle w:val="3"/>
        <w:numPr>
          <w:ilvl w:val="3"/>
          <w:numId w:val="0"/>
        </w:numPr>
        <w:spacing w:line="360" w:lineRule="auto"/>
        <w:rPr>
          <w:rFonts w:hint="eastAsia" w:ascii="宋体" w:hAnsi="宋体" w:eastAsiaTheme="minorEastAsia" w:cstheme="minorBidi"/>
          <w:sz w:val="21"/>
          <w:szCs w:val="22"/>
        </w:rPr>
      </w:pPr>
      <w:r>
        <w:rPr>
          <w:rFonts w:hint="eastAsia" w:ascii="宋体" w:hAnsi="宋体" w:eastAsiaTheme="minorEastAsia" w:cstheme="minorBidi"/>
          <w:sz w:val="21"/>
          <w:szCs w:val="22"/>
        </w:rPr>
        <w:t>1.投标人在投标前应与招标人技术负责人和业务部门进行充分沟通，在招标前提交技术方案，技术方案需包含以下几个方面：</w:t>
      </w:r>
    </w:p>
    <w:p w14:paraId="5FAE28E0">
      <w:pPr>
        <w:pStyle w:val="3"/>
        <w:numPr>
          <w:ilvl w:val="3"/>
          <w:numId w:val="0"/>
        </w:numPr>
        <w:spacing w:line="360" w:lineRule="auto"/>
        <w:rPr>
          <w:rFonts w:hint="eastAsia" w:ascii="宋体" w:hAnsi="宋体" w:eastAsiaTheme="minorEastAsia" w:cstheme="minorBidi"/>
          <w:sz w:val="21"/>
          <w:szCs w:val="22"/>
        </w:rPr>
      </w:pPr>
      <w:r>
        <w:rPr>
          <w:rFonts w:hint="eastAsia" w:ascii="宋体" w:hAnsi="宋体" w:eastAsiaTheme="minorEastAsia" w:cstheme="minorBidi"/>
          <w:sz w:val="21"/>
          <w:szCs w:val="22"/>
        </w:rPr>
        <w:t>（1）业务理解及详细的运行方案。</w:t>
      </w:r>
    </w:p>
    <w:p w14:paraId="376304D3">
      <w:pPr>
        <w:pStyle w:val="3"/>
        <w:numPr>
          <w:ilvl w:val="3"/>
          <w:numId w:val="0"/>
        </w:numPr>
        <w:spacing w:line="360" w:lineRule="auto"/>
        <w:rPr>
          <w:rFonts w:hint="eastAsia" w:ascii="宋体" w:hAnsi="宋体" w:eastAsiaTheme="minorEastAsia" w:cstheme="minorBidi"/>
          <w:sz w:val="21"/>
          <w:szCs w:val="22"/>
        </w:rPr>
      </w:pPr>
      <w:r>
        <w:rPr>
          <w:rFonts w:hint="eastAsia" w:ascii="宋体" w:hAnsi="宋体" w:eastAsiaTheme="minorEastAsia" w:cstheme="minorBidi"/>
          <w:sz w:val="21"/>
          <w:szCs w:val="22"/>
        </w:rPr>
        <w:t>（2）管理架构及项目人员配置，操作员工配置、人员补充（招聘）计划。</w:t>
      </w:r>
    </w:p>
    <w:p w14:paraId="6CBCD842">
      <w:pPr>
        <w:pStyle w:val="3"/>
        <w:numPr>
          <w:ilvl w:val="3"/>
          <w:numId w:val="0"/>
        </w:numPr>
        <w:spacing w:line="360" w:lineRule="auto"/>
        <w:rPr>
          <w:rFonts w:hint="eastAsia" w:ascii="宋体" w:hAnsi="宋体" w:eastAsiaTheme="minorEastAsia" w:cstheme="minorBidi"/>
          <w:sz w:val="21"/>
          <w:szCs w:val="22"/>
        </w:rPr>
      </w:pPr>
      <w:r>
        <w:rPr>
          <w:rFonts w:hint="eastAsia" w:ascii="宋体" w:hAnsi="宋体" w:eastAsiaTheme="minorEastAsia" w:cstheme="minorBidi"/>
          <w:sz w:val="21"/>
          <w:szCs w:val="22"/>
        </w:rPr>
        <w:t>（3）作业流程（基本生产作业流程、应急管理流程等）</w:t>
      </w:r>
    </w:p>
    <w:p w14:paraId="23C1525E">
      <w:pPr>
        <w:pStyle w:val="3"/>
        <w:numPr>
          <w:ilvl w:val="3"/>
          <w:numId w:val="0"/>
        </w:numPr>
        <w:spacing w:line="360" w:lineRule="auto"/>
        <w:rPr>
          <w:rFonts w:hint="eastAsia" w:ascii="宋体" w:hAnsi="宋体" w:eastAsiaTheme="minorEastAsia" w:cstheme="minorBidi"/>
          <w:sz w:val="21"/>
          <w:szCs w:val="22"/>
        </w:rPr>
      </w:pPr>
      <w:r>
        <w:rPr>
          <w:rFonts w:hint="eastAsia" w:ascii="宋体" w:hAnsi="宋体" w:eastAsiaTheme="minorEastAsia" w:cstheme="minorBidi"/>
          <w:sz w:val="21"/>
          <w:szCs w:val="22"/>
        </w:rPr>
        <w:t>（4）项目启动准备周期及推进计划</w:t>
      </w:r>
    </w:p>
    <w:p w14:paraId="4A819353">
      <w:pPr>
        <w:pStyle w:val="3"/>
        <w:numPr>
          <w:ilvl w:val="3"/>
          <w:numId w:val="0"/>
        </w:numPr>
        <w:spacing w:line="360" w:lineRule="auto"/>
        <w:rPr>
          <w:rFonts w:hint="eastAsia" w:ascii="宋体" w:hAnsi="宋体" w:eastAsiaTheme="minorEastAsia" w:cstheme="minorBidi"/>
          <w:sz w:val="21"/>
          <w:szCs w:val="22"/>
        </w:rPr>
      </w:pPr>
      <w:r>
        <w:rPr>
          <w:rFonts w:hint="eastAsia" w:ascii="宋体" w:hAnsi="宋体" w:eastAsiaTheme="minorEastAsia" w:cstheme="minorBidi"/>
          <w:sz w:val="21"/>
          <w:szCs w:val="22"/>
        </w:rPr>
        <w:t>（5）其他先进业务模式及亮点展示</w:t>
      </w:r>
    </w:p>
    <w:p w14:paraId="67FDB350">
      <w:pPr>
        <w:pStyle w:val="3"/>
        <w:numPr>
          <w:ilvl w:val="3"/>
          <w:numId w:val="0"/>
        </w:numPr>
        <w:spacing w:line="360" w:lineRule="auto"/>
        <w:rPr>
          <w:rFonts w:hint="eastAsia" w:ascii="宋体" w:hAnsi="宋体" w:cs="宋体"/>
          <w:color w:val="000000"/>
          <w:sz w:val="22"/>
          <w:szCs w:val="22"/>
        </w:rPr>
      </w:pPr>
      <w:r>
        <w:rPr>
          <w:rFonts w:hint="eastAsia" w:ascii="宋体" w:hAnsi="宋体" w:eastAsiaTheme="minorEastAsia" w:cstheme="minorBidi"/>
          <w:sz w:val="21"/>
          <w:szCs w:val="22"/>
        </w:rPr>
        <w:t>2.投标人在上述技术方案中提供的人员、设备设施等，在项目启动阶段必须切实执行，当出现执行不力或未能满足招标人要求，对招标人生产运营造成重大风险时，招标人有权终止商务合同。</w:t>
      </w:r>
      <w:r>
        <w:rPr>
          <w:rFonts w:hint="eastAsia" w:ascii="宋体" w:hAnsi="宋体" w:eastAsia="宋体" w:cs="宋体"/>
          <w:sz w:val="22"/>
          <w:szCs w:val="22"/>
        </w:rPr>
        <w:t xml:space="preserve"> </w:t>
      </w:r>
    </w:p>
    <w:p w14:paraId="5857652A">
      <w:pPr>
        <w:rPr>
          <w:rFonts w:hint="eastAsia"/>
        </w:rPr>
      </w:pPr>
      <w:r>
        <w:rPr>
          <w:rFonts w:ascii="Times New Roman" w:hAnsi="Times New Roman" w:cs="Times New Roman"/>
          <w:color w:val="000000"/>
        </w:rPr>
        <w:br w:type="page"/>
      </w:r>
    </w:p>
    <w:p w14:paraId="1624B183">
      <w:pPr>
        <w:rPr>
          <w:rFonts w:hint="eastAsia"/>
        </w:rPr>
      </w:pPr>
    </w:p>
    <w:p w14:paraId="5C36D77F">
      <w:pPr>
        <w:rPr>
          <w:rFonts w:hint="eastAsia"/>
        </w:rPr>
      </w:pPr>
    </w:p>
    <w:p w14:paraId="55C56A76">
      <w:pPr>
        <w:rPr>
          <w:rFonts w:hint="default"/>
          <w:lang w:val="en-US" w:eastAsia="zh-CN"/>
        </w:rPr>
      </w:pPr>
      <w:r>
        <w:rPr>
          <w:rFonts w:hint="default"/>
          <w:lang w:val="en-US" w:eastAsia="zh-CN"/>
        </w:rPr>
        <w:br w:type="page"/>
      </w:r>
    </w:p>
    <w:p w14:paraId="5871DF53">
      <w:pPr>
        <w:pStyle w:val="71"/>
      </w:pPr>
      <w:bookmarkStart w:id="24" w:name="_Toc47976609"/>
      <w:bookmarkStart w:id="25" w:name="_Toc20595"/>
      <w:r>
        <w:rPr>
          <w:rFonts w:hint="eastAsia"/>
        </w:rPr>
        <w:t>第三部分　合同主要条款</w:t>
      </w:r>
      <w:bookmarkEnd w:id="24"/>
      <w:bookmarkEnd w:id="25"/>
    </w:p>
    <w:p w14:paraId="23914DBE">
      <w:pPr>
        <w:pStyle w:val="72"/>
        <w:numPr>
          <w:ilvl w:val="0"/>
          <w:numId w:val="31"/>
        </w:numPr>
        <w:ind w:left="420"/>
      </w:pPr>
      <w:bookmarkStart w:id="26" w:name="_Toc47976610"/>
      <w:r>
        <w:rPr>
          <w:rFonts w:hint="eastAsia"/>
          <w:lang w:val="en-US" w:eastAsia="zh-CN"/>
        </w:rPr>
        <w:t>标的、数量、</w:t>
      </w:r>
      <w:r>
        <w:rPr>
          <w:rFonts w:hint="eastAsia"/>
        </w:rPr>
        <w:t>交货期</w:t>
      </w:r>
      <w:bookmarkEnd w:id="26"/>
    </w:p>
    <w:p w14:paraId="18603CA8">
      <w:pPr>
        <w:pStyle w:val="72"/>
      </w:pPr>
      <w:bookmarkStart w:id="27" w:name="_Toc47976611"/>
      <w:r>
        <w:rPr>
          <w:rFonts w:hint="eastAsia"/>
        </w:rPr>
        <w:t>交货地点</w:t>
      </w:r>
      <w:bookmarkEnd w:id="27"/>
    </w:p>
    <w:p w14:paraId="3F03A936">
      <w:pPr>
        <w:pStyle w:val="72"/>
      </w:pPr>
      <w:bookmarkStart w:id="28" w:name="_Toc47976612"/>
      <w:r>
        <w:rPr>
          <w:rFonts w:hint="eastAsia"/>
          <w:lang w:val="en-US" w:eastAsia="zh-CN"/>
        </w:rPr>
        <w:t>价款及</w:t>
      </w:r>
      <w:r>
        <w:rPr>
          <w:rFonts w:hint="eastAsia"/>
        </w:rPr>
        <w:t>付款方式</w:t>
      </w:r>
      <w:bookmarkEnd w:id="28"/>
    </w:p>
    <w:p w14:paraId="0A7F4E98">
      <w:pPr>
        <w:pStyle w:val="72"/>
      </w:pPr>
      <w:bookmarkStart w:id="29" w:name="_Toc47976613"/>
      <w:r>
        <w:rPr>
          <w:rFonts w:hint="eastAsia"/>
          <w:lang w:val="en-US" w:eastAsia="zh-CN"/>
        </w:rPr>
        <w:t>质量要求、</w:t>
      </w:r>
      <w:r>
        <w:rPr>
          <w:rFonts w:hint="eastAsia"/>
        </w:rPr>
        <w:t>保修期及售后服务</w:t>
      </w:r>
      <w:bookmarkEnd w:id="29"/>
    </w:p>
    <w:p w14:paraId="50F6C5C1">
      <w:pPr>
        <w:pStyle w:val="72"/>
      </w:pPr>
      <w:bookmarkStart w:id="30" w:name="_Toc47976614"/>
      <w:r>
        <w:rPr>
          <w:rFonts w:hint="eastAsia"/>
        </w:rPr>
        <w:t>安装、调试及验收要求</w:t>
      </w:r>
      <w:bookmarkEnd w:id="30"/>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31" w:name="_Toc47976615"/>
      <w:bookmarkStart w:id="32" w:name="_Toc5925"/>
      <w:r>
        <w:rPr>
          <w:rFonts w:hint="eastAsia"/>
        </w:rPr>
        <w:t>第四部分　</w:t>
      </w:r>
      <w:bookmarkEnd w:id="31"/>
      <w:r>
        <w:rPr>
          <w:rFonts w:hint="eastAsia"/>
          <w:lang w:val="en-US" w:eastAsia="zh-CN"/>
        </w:rPr>
        <w:t>投标文件附件</w:t>
      </w:r>
      <w:bookmarkEnd w:id="32"/>
    </w:p>
    <w:p w14:paraId="600DE1DD">
      <w:pPr>
        <w:pStyle w:val="71"/>
        <w:jc w:val="left"/>
        <w:rPr>
          <w:rFonts w:hint="eastAsia" w:ascii="宋体" w:hAnsi="宋体" w:eastAsia="宋体" w:cs="宋体"/>
          <w:sz w:val="32"/>
          <w:szCs w:val="32"/>
          <w:highlight w:val="yellow"/>
          <w:lang w:eastAsia="zh-CN"/>
        </w:rPr>
      </w:pPr>
      <w:bookmarkStart w:id="33" w:name="_Toc47976616"/>
      <w:bookmarkStart w:id="34" w:name="_Toc4225"/>
      <w:r>
        <w:rPr>
          <w:rFonts w:hint="eastAsia" w:ascii="宋体" w:hAnsi="宋体" w:eastAsia="宋体" w:cs="宋体"/>
          <w:sz w:val="32"/>
          <w:szCs w:val="32"/>
          <w:highlight w:val="yellow"/>
        </w:rPr>
        <w:t>附件</w:t>
      </w:r>
      <w:bookmarkEnd w:id="33"/>
      <w:bookmarkEnd w:id="34"/>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5" w:name="_Toc47976618"/>
      <w:bookmarkStart w:id="36" w:name="_Toc29366865"/>
      <w:bookmarkStart w:id="37" w:name="_Toc29366869"/>
      <w:r>
        <w:rPr>
          <w:rFonts w:hint="eastAsia" w:ascii="宋体" w:hAnsi="宋体" w:eastAsia="宋体" w:cs="宋体"/>
          <w:sz w:val="32"/>
          <w:szCs w:val="32"/>
          <w:highlight w:val="yellow"/>
          <w:lang w:val="en-US" w:eastAsia="zh-CN"/>
        </w:rPr>
        <w:t>附件2</w:t>
      </w:r>
    </w:p>
    <w:bookmarkEnd w:id="35"/>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6"/>
    <w:bookmarkEnd w:id="37"/>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08FC764">
      <w:pPr>
        <w:pStyle w:val="72"/>
        <w:numPr>
          <w:ilvl w:val="0"/>
          <w:numId w:val="0"/>
        </w:numPr>
        <w:ind w:leftChars="0"/>
        <w:jc w:val="center"/>
        <w:rPr>
          <w:rFonts w:hint="eastAsia"/>
          <w:lang w:val="en-US" w:eastAsia="zh-CN"/>
        </w:rPr>
      </w:pPr>
      <w:r>
        <w:rPr>
          <w:rFonts w:hint="eastAsia"/>
          <w:lang w:val="en-US" w:eastAsia="zh-CN"/>
        </w:rPr>
        <w:t>开标一览表</w:t>
      </w:r>
    </w:p>
    <w:p w14:paraId="5C13057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5266D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4A936B4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1E0709A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17FDCA5F">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CFDF69E">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A18842B">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5BAA2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4A5755E0">
            <w:pPr>
              <w:jc w:val="center"/>
              <w:rPr>
                <w:rFonts w:ascii="Times New Roman" w:hAnsi="Times New Roman" w:eastAsia="宋体" w:cs="Times New Roman"/>
                <w:b/>
                <w:szCs w:val="20"/>
              </w:rPr>
            </w:pPr>
          </w:p>
        </w:tc>
        <w:tc>
          <w:tcPr>
            <w:tcW w:w="1518" w:type="dxa"/>
            <w:vAlign w:val="center"/>
          </w:tcPr>
          <w:p w14:paraId="54DC8446">
            <w:pPr>
              <w:jc w:val="center"/>
              <w:rPr>
                <w:rFonts w:hint="eastAsia" w:ascii="Times New Roman" w:hAnsi="Times New Roman" w:eastAsia="宋体" w:cs="Times New Roman"/>
                <w:b/>
                <w:szCs w:val="20"/>
                <w:lang w:eastAsia="zh-CN"/>
              </w:rPr>
            </w:pPr>
          </w:p>
        </w:tc>
        <w:tc>
          <w:tcPr>
            <w:tcW w:w="848" w:type="dxa"/>
            <w:vAlign w:val="center"/>
          </w:tcPr>
          <w:p w14:paraId="36DF2E5E">
            <w:pPr>
              <w:jc w:val="center"/>
              <w:rPr>
                <w:rFonts w:hint="eastAsia" w:ascii="Times New Roman" w:hAnsi="Times New Roman" w:eastAsia="宋体" w:cs="Times New Roman"/>
                <w:b/>
                <w:szCs w:val="20"/>
                <w:lang w:val="en-US" w:eastAsia="zh-CN"/>
              </w:rPr>
            </w:pPr>
          </w:p>
        </w:tc>
        <w:tc>
          <w:tcPr>
            <w:tcW w:w="2270" w:type="dxa"/>
            <w:vAlign w:val="center"/>
          </w:tcPr>
          <w:p w14:paraId="0FB381A6">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3D09461">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097597C8">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1FCF983E">
            <w:pPr>
              <w:jc w:val="center"/>
              <w:rPr>
                <w:rFonts w:ascii="Times New Roman" w:hAnsi="Times New Roman" w:eastAsia="宋体" w:cs="Times New Roman"/>
                <w:b/>
                <w:szCs w:val="20"/>
              </w:rPr>
            </w:pPr>
          </w:p>
        </w:tc>
      </w:tr>
    </w:tbl>
    <w:p w14:paraId="2D275DAE">
      <w:pPr>
        <w:rPr>
          <w:rFonts w:ascii="宋体" w:hAnsi="Arial" w:eastAsia="宋体" w:cs="Times New Roman"/>
          <w:sz w:val="24"/>
          <w:szCs w:val="24"/>
        </w:rPr>
      </w:pPr>
    </w:p>
    <w:p w14:paraId="631E0DA4">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2489D3A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FF33B77">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04E7938D">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37948116">
      <w:pPr>
        <w:pStyle w:val="14"/>
        <w:rPr>
          <w:rFonts w:hint="eastAsia" w:hAnsi="宋体" w:eastAsia="宋体" w:cs="Times New Roman"/>
          <w:b/>
          <w:bCs/>
          <w:szCs w:val="21"/>
          <w:highlight w:val="yellow"/>
        </w:rPr>
      </w:pPr>
    </w:p>
    <w:p w14:paraId="122437DB">
      <w:pPr>
        <w:pStyle w:val="14"/>
        <w:rPr>
          <w:rFonts w:hint="eastAsia" w:hAnsi="宋体" w:eastAsia="宋体" w:cs="Times New Roman"/>
          <w:b/>
          <w:bCs/>
          <w:szCs w:val="21"/>
          <w:highlight w:val="yellow"/>
        </w:rPr>
      </w:pPr>
    </w:p>
    <w:p w14:paraId="04CA4F0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56A16EB6">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7C8223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5FBE699">
      <w:pPr>
        <w:pStyle w:val="72"/>
        <w:numPr>
          <w:ilvl w:val="0"/>
          <w:numId w:val="0"/>
        </w:numPr>
        <w:ind w:leftChars="0"/>
      </w:pPr>
      <w:r>
        <w:t xml:space="preserve"> </w:t>
      </w:r>
    </w:p>
    <w:p w14:paraId="629CACEA">
      <w:pPr>
        <w:pStyle w:val="72"/>
        <w:numPr>
          <w:ilvl w:val="0"/>
          <w:numId w:val="0"/>
        </w:numPr>
        <w:ind w:leftChars="0"/>
      </w:pPr>
    </w:p>
    <w:p w14:paraId="2CE14CF3">
      <w:pPr>
        <w:pStyle w:val="72"/>
        <w:numPr>
          <w:ilvl w:val="0"/>
          <w:numId w:val="0"/>
        </w:numPr>
        <w:ind w:leftChars="0"/>
      </w:pPr>
    </w:p>
    <w:p w14:paraId="2FBF7315">
      <w:pPr>
        <w:pStyle w:val="72"/>
        <w:numPr>
          <w:ilvl w:val="0"/>
          <w:numId w:val="0"/>
        </w:numPr>
        <w:ind w:leftChars="0"/>
      </w:pPr>
    </w:p>
    <w:p w14:paraId="5938BB61">
      <w:pPr>
        <w:pStyle w:val="72"/>
        <w:numPr>
          <w:ilvl w:val="0"/>
          <w:numId w:val="0"/>
        </w:numPr>
        <w:ind w:leftChars="0"/>
      </w:pPr>
    </w:p>
    <w:p w14:paraId="093739FC">
      <w:pPr>
        <w:pStyle w:val="72"/>
        <w:numPr>
          <w:ilvl w:val="0"/>
          <w:numId w:val="0"/>
        </w:numPr>
        <w:ind w:leftChars="0"/>
      </w:pPr>
    </w:p>
    <w:p w14:paraId="2C9B5DBD">
      <w:pPr>
        <w:pStyle w:val="72"/>
        <w:numPr>
          <w:ilvl w:val="0"/>
          <w:numId w:val="0"/>
        </w:numPr>
        <w:ind w:leftChars="0"/>
      </w:pPr>
    </w:p>
    <w:p w14:paraId="0013F30B">
      <w:pPr>
        <w:pStyle w:val="76"/>
        <w:ind w:firstLine="630" w:firstLineChars="300"/>
        <w:rPr>
          <w:rFonts w:hint="eastAsia"/>
        </w:rPr>
      </w:pPr>
    </w:p>
    <w:p w14:paraId="5824C4BF">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4DC52569">
      <w:pPr>
        <w:rPr>
          <w:rFonts w:ascii="宋体" w:hAnsi="宋体"/>
          <w:highlight w:val="none"/>
        </w:rPr>
      </w:pPr>
      <w:r>
        <w:rPr>
          <w:rFonts w:hint="eastAsia" w:ascii="宋体" w:hAnsi="宋体"/>
          <w:highlight w:val="none"/>
        </w:rPr>
        <w:t>项目名称：(XX项目)</w:t>
      </w:r>
    </w:p>
    <w:p w14:paraId="7C5EEEFF">
      <w:pPr>
        <w:rPr>
          <w:rFonts w:ascii="宋体" w:hAnsi="宋体"/>
          <w:highlight w:val="none"/>
        </w:rPr>
      </w:pPr>
    </w:p>
    <w:p w14:paraId="6E3467C4">
      <w:pPr>
        <w:rPr>
          <w:rFonts w:ascii="宋体" w:hAnsi="宋体"/>
          <w:szCs w:val="21"/>
          <w:highlight w:val="none"/>
        </w:rPr>
      </w:pPr>
      <w:r>
        <w:rPr>
          <w:rFonts w:hint="eastAsia" w:ascii="宋体" w:hAnsi="宋体"/>
          <w:szCs w:val="21"/>
          <w:highlight w:val="none"/>
        </w:rPr>
        <w:t>日期：  年   月   日</w:t>
      </w:r>
    </w:p>
    <w:p w14:paraId="278B8445">
      <w:pPr>
        <w:jc w:val="center"/>
        <w:rPr>
          <w:rFonts w:eastAsia="黑体"/>
          <w:b/>
          <w:bCs/>
          <w:sz w:val="28"/>
          <w:highlight w:val="none"/>
        </w:rPr>
      </w:pPr>
    </w:p>
    <w:p w14:paraId="4E16171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742C7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45D662F">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395B0C6F">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73E794A8">
            <w:pPr>
              <w:jc w:val="center"/>
              <w:rPr>
                <w:rFonts w:ascii="宋体" w:hAnsi="宋体"/>
                <w:sz w:val="24"/>
                <w:highlight w:val="none"/>
              </w:rPr>
            </w:pPr>
            <w:r>
              <w:rPr>
                <w:rFonts w:hint="eastAsia" w:ascii="宋体" w:hAnsi="宋体"/>
                <w:sz w:val="24"/>
                <w:highlight w:val="none"/>
              </w:rPr>
              <w:t>偏离内容</w:t>
            </w:r>
          </w:p>
        </w:tc>
      </w:tr>
      <w:tr w14:paraId="6018B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CAC8D2F">
            <w:pPr>
              <w:rPr>
                <w:rFonts w:ascii="宋体" w:hAnsi="宋体"/>
                <w:sz w:val="24"/>
                <w:highlight w:val="none"/>
              </w:rPr>
            </w:pPr>
          </w:p>
        </w:tc>
        <w:tc>
          <w:tcPr>
            <w:tcW w:w="1080" w:type="dxa"/>
            <w:vAlign w:val="center"/>
          </w:tcPr>
          <w:p w14:paraId="10C57CF7">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4D648324">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302B1B1A">
            <w:pPr>
              <w:jc w:val="center"/>
              <w:rPr>
                <w:rFonts w:ascii="宋体" w:hAnsi="宋体"/>
                <w:sz w:val="24"/>
                <w:highlight w:val="none"/>
              </w:rPr>
            </w:pPr>
          </w:p>
        </w:tc>
      </w:tr>
      <w:tr w14:paraId="1112A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7922EA">
            <w:pPr>
              <w:jc w:val="center"/>
              <w:rPr>
                <w:rFonts w:ascii="宋体" w:hAnsi="宋体"/>
                <w:sz w:val="24"/>
                <w:highlight w:val="none"/>
              </w:rPr>
            </w:pPr>
            <w:r>
              <w:rPr>
                <w:rFonts w:hint="eastAsia" w:ascii="宋体" w:hAnsi="宋体"/>
                <w:sz w:val="24"/>
                <w:highlight w:val="none"/>
              </w:rPr>
              <w:t>1</w:t>
            </w:r>
          </w:p>
        </w:tc>
        <w:tc>
          <w:tcPr>
            <w:tcW w:w="1080" w:type="dxa"/>
            <w:vAlign w:val="center"/>
          </w:tcPr>
          <w:p w14:paraId="538ABA5F">
            <w:pPr>
              <w:rPr>
                <w:rFonts w:ascii="宋体" w:hAnsi="宋体"/>
                <w:sz w:val="24"/>
                <w:highlight w:val="none"/>
              </w:rPr>
            </w:pPr>
          </w:p>
        </w:tc>
        <w:tc>
          <w:tcPr>
            <w:tcW w:w="3060" w:type="dxa"/>
            <w:vAlign w:val="center"/>
          </w:tcPr>
          <w:p w14:paraId="3C498C71">
            <w:pPr>
              <w:rPr>
                <w:rFonts w:ascii="宋体" w:hAnsi="宋体"/>
                <w:sz w:val="24"/>
                <w:highlight w:val="none"/>
              </w:rPr>
            </w:pPr>
          </w:p>
        </w:tc>
        <w:tc>
          <w:tcPr>
            <w:tcW w:w="3554" w:type="dxa"/>
            <w:vAlign w:val="center"/>
          </w:tcPr>
          <w:p w14:paraId="2F6E3968">
            <w:pPr>
              <w:rPr>
                <w:rFonts w:ascii="宋体" w:hAnsi="宋体"/>
                <w:sz w:val="24"/>
                <w:highlight w:val="none"/>
              </w:rPr>
            </w:pPr>
          </w:p>
        </w:tc>
      </w:tr>
      <w:tr w14:paraId="76B97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40B3D6B">
            <w:pPr>
              <w:jc w:val="center"/>
              <w:rPr>
                <w:rFonts w:ascii="宋体" w:hAnsi="宋体"/>
                <w:sz w:val="24"/>
                <w:highlight w:val="none"/>
              </w:rPr>
            </w:pPr>
            <w:r>
              <w:rPr>
                <w:rFonts w:hint="eastAsia" w:ascii="宋体" w:hAnsi="宋体"/>
                <w:sz w:val="24"/>
                <w:highlight w:val="none"/>
              </w:rPr>
              <w:t>2</w:t>
            </w:r>
          </w:p>
        </w:tc>
        <w:tc>
          <w:tcPr>
            <w:tcW w:w="1080" w:type="dxa"/>
            <w:vAlign w:val="center"/>
          </w:tcPr>
          <w:p w14:paraId="2AD3B2F3">
            <w:pPr>
              <w:rPr>
                <w:rFonts w:ascii="宋体" w:hAnsi="宋体"/>
                <w:sz w:val="24"/>
                <w:highlight w:val="none"/>
              </w:rPr>
            </w:pPr>
          </w:p>
        </w:tc>
        <w:tc>
          <w:tcPr>
            <w:tcW w:w="3060" w:type="dxa"/>
            <w:vAlign w:val="center"/>
          </w:tcPr>
          <w:p w14:paraId="7F9B0AE5">
            <w:pPr>
              <w:rPr>
                <w:rFonts w:ascii="宋体" w:hAnsi="宋体"/>
                <w:sz w:val="24"/>
                <w:highlight w:val="none"/>
              </w:rPr>
            </w:pPr>
          </w:p>
        </w:tc>
        <w:tc>
          <w:tcPr>
            <w:tcW w:w="3554" w:type="dxa"/>
            <w:vAlign w:val="center"/>
          </w:tcPr>
          <w:p w14:paraId="010C3404">
            <w:pPr>
              <w:rPr>
                <w:rFonts w:ascii="宋体" w:hAnsi="宋体"/>
                <w:sz w:val="24"/>
                <w:highlight w:val="none"/>
              </w:rPr>
            </w:pPr>
          </w:p>
        </w:tc>
      </w:tr>
      <w:tr w14:paraId="46F51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E1868C2">
            <w:pPr>
              <w:jc w:val="center"/>
              <w:rPr>
                <w:rFonts w:ascii="宋体" w:hAnsi="宋体"/>
                <w:sz w:val="24"/>
                <w:highlight w:val="none"/>
              </w:rPr>
            </w:pPr>
            <w:r>
              <w:rPr>
                <w:rFonts w:hint="eastAsia" w:ascii="宋体" w:hAnsi="宋体"/>
                <w:sz w:val="24"/>
                <w:highlight w:val="none"/>
              </w:rPr>
              <w:t>3</w:t>
            </w:r>
          </w:p>
        </w:tc>
        <w:tc>
          <w:tcPr>
            <w:tcW w:w="1080" w:type="dxa"/>
            <w:vAlign w:val="center"/>
          </w:tcPr>
          <w:p w14:paraId="7A8D31EC">
            <w:pPr>
              <w:rPr>
                <w:rFonts w:ascii="宋体" w:hAnsi="宋体"/>
                <w:sz w:val="24"/>
                <w:highlight w:val="none"/>
              </w:rPr>
            </w:pPr>
          </w:p>
        </w:tc>
        <w:tc>
          <w:tcPr>
            <w:tcW w:w="3060" w:type="dxa"/>
            <w:vAlign w:val="center"/>
          </w:tcPr>
          <w:p w14:paraId="756B7DFC">
            <w:pPr>
              <w:rPr>
                <w:rFonts w:ascii="宋体" w:hAnsi="宋体"/>
                <w:sz w:val="24"/>
                <w:highlight w:val="none"/>
              </w:rPr>
            </w:pPr>
          </w:p>
        </w:tc>
        <w:tc>
          <w:tcPr>
            <w:tcW w:w="3554" w:type="dxa"/>
            <w:vAlign w:val="center"/>
          </w:tcPr>
          <w:p w14:paraId="4D87A192">
            <w:pPr>
              <w:rPr>
                <w:rFonts w:ascii="宋体" w:hAnsi="宋体"/>
                <w:sz w:val="24"/>
                <w:highlight w:val="none"/>
              </w:rPr>
            </w:pPr>
          </w:p>
        </w:tc>
      </w:tr>
      <w:tr w14:paraId="6EBF0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6B2605B">
            <w:pPr>
              <w:jc w:val="center"/>
              <w:rPr>
                <w:rFonts w:ascii="宋体" w:hAnsi="宋体"/>
                <w:sz w:val="24"/>
                <w:highlight w:val="none"/>
              </w:rPr>
            </w:pPr>
            <w:r>
              <w:rPr>
                <w:rFonts w:hint="eastAsia" w:ascii="宋体" w:hAnsi="宋体"/>
                <w:sz w:val="24"/>
                <w:highlight w:val="none"/>
              </w:rPr>
              <w:t>4</w:t>
            </w:r>
          </w:p>
        </w:tc>
        <w:tc>
          <w:tcPr>
            <w:tcW w:w="1080" w:type="dxa"/>
            <w:vAlign w:val="center"/>
          </w:tcPr>
          <w:p w14:paraId="15952CF5">
            <w:pPr>
              <w:rPr>
                <w:rFonts w:ascii="宋体" w:hAnsi="宋体"/>
                <w:sz w:val="24"/>
                <w:highlight w:val="none"/>
              </w:rPr>
            </w:pPr>
          </w:p>
        </w:tc>
        <w:tc>
          <w:tcPr>
            <w:tcW w:w="3060" w:type="dxa"/>
            <w:vAlign w:val="center"/>
          </w:tcPr>
          <w:p w14:paraId="62A65E7B">
            <w:pPr>
              <w:rPr>
                <w:rFonts w:ascii="宋体" w:hAnsi="宋体"/>
                <w:sz w:val="24"/>
                <w:highlight w:val="none"/>
              </w:rPr>
            </w:pPr>
          </w:p>
        </w:tc>
        <w:tc>
          <w:tcPr>
            <w:tcW w:w="3554" w:type="dxa"/>
            <w:vAlign w:val="center"/>
          </w:tcPr>
          <w:p w14:paraId="408F497A">
            <w:pPr>
              <w:rPr>
                <w:rFonts w:ascii="宋体" w:hAnsi="宋体"/>
                <w:sz w:val="24"/>
                <w:highlight w:val="none"/>
              </w:rPr>
            </w:pPr>
          </w:p>
        </w:tc>
      </w:tr>
      <w:tr w14:paraId="6150F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AF085D5">
            <w:pPr>
              <w:jc w:val="center"/>
              <w:rPr>
                <w:rFonts w:ascii="宋体" w:hAnsi="宋体"/>
                <w:sz w:val="24"/>
                <w:highlight w:val="none"/>
              </w:rPr>
            </w:pPr>
            <w:r>
              <w:rPr>
                <w:rFonts w:hint="eastAsia" w:ascii="宋体" w:hAnsi="宋体"/>
                <w:sz w:val="24"/>
                <w:highlight w:val="none"/>
              </w:rPr>
              <w:t>5</w:t>
            </w:r>
          </w:p>
        </w:tc>
        <w:tc>
          <w:tcPr>
            <w:tcW w:w="1080" w:type="dxa"/>
            <w:vAlign w:val="center"/>
          </w:tcPr>
          <w:p w14:paraId="3403E861">
            <w:pPr>
              <w:rPr>
                <w:rFonts w:ascii="宋体" w:hAnsi="宋体"/>
                <w:sz w:val="24"/>
                <w:highlight w:val="none"/>
              </w:rPr>
            </w:pPr>
          </w:p>
        </w:tc>
        <w:tc>
          <w:tcPr>
            <w:tcW w:w="3060" w:type="dxa"/>
            <w:vAlign w:val="center"/>
          </w:tcPr>
          <w:p w14:paraId="237ECA7D">
            <w:pPr>
              <w:rPr>
                <w:rFonts w:ascii="宋体" w:hAnsi="宋体"/>
                <w:sz w:val="24"/>
                <w:highlight w:val="none"/>
              </w:rPr>
            </w:pPr>
          </w:p>
        </w:tc>
        <w:tc>
          <w:tcPr>
            <w:tcW w:w="3554" w:type="dxa"/>
            <w:vAlign w:val="center"/>
          </w:tcPr>
          <w:p w14:paraId="59C54394">
            <w:pPr>
              <w:rPr>
                <w:rFonts w:ascii="宋体" w:hAnsi="宋体"/>
                <w:sz w:val="24"/>
                <w:highlight w:val="none"/>
              </w:rPr>
            </w:pPr>
          </w:p>
        </w:tc>
      </w:tr>
      <w:tr w14:paraId="142CD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6C5A1DA">
            <w:pPr>
              <w:jc w:val="center"/>
              <w:rPr>
                <w:rFonts w:ascii="宋体" w:hAnsi="宋体"/>
                <w:sz w:val="24"/>
                <w:highlight w:val="none"/>
              </w:rPr>
            </w:pPr>
            <w:r>
              <w:rPr>
                <w:rFonts w:hint="eastAsia" w:ascii="宋体" w:hAnsi="宋体"/>
                <w:sz w:val="24"/>
                <w:highlight w:val="none"/>
              </w:rPr>
              <w:t>6</w:t>
            </w:r>
          </w:p>
        </w:tc>
        <w:tc>
          <w:tcPr>
            <w:tcW w:w="1080" w:type="dxa"/>
            <w:vAlign w:val="center"/>
          </w:tcPr>
          <w:p w14:paraId="591E72D4">
            <w:pPr>
              <w:rPr>
                <w:rFonts w:ascii="宋体" w:hAnsi="宋体"/>
                <w:sz w:val="24"/>
                <w:highlight w:val="none"/>
              </w:rPr>
            </w:pPr>
          </w:p>
        </w:tc>
        <w:tc>
          <w:tcPr>
            <w:tcW w:w="3060" w:type="dxa"/>
            <w:vAlign w:val="center"/>
          </w:tcPr>
          <w:p w14:paraId="214B514F">
            <w:pPr>
              <w:rPr>
                <w:rFonts w:ascii="宋体" w:hAnsi="宋体"/>
                <w:sz w:val="24"/>
                <w:highlight w:val="none"/>
              </w:rPr>
            </w:pPr>
          </w:p>
        </w:tc>
        <w:tc>
          <w:tcPr>
            <w:tcW w:w="3554" w:type="dxa"/>
            <w:vAlign w:val="center"/>
          </w:tcPr>
          <w:p w14:paraId="388AB4ED">
            <w:pPr>
              <w:rPr>
                <w:rFonts w:ascii="宋体" w:hAnsi="宋体"/>
                <w:sz w:val="24"/>
                <w:highlight w:val="none"/>
              </w:rPr>
            </w:pPr>
          </w:p>
        </w:tc>
      </w:tr>
      <w:tr w14:paraId="460B3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139E5C3">
            <w:pPr>
              <w:jc w:val="center"/>
              <w:rPr>
                <w:rFonts w:ascii="宋体" w:hAnsi="宋体"/>
                <w:sz w:val="24"/>
                <w:highlight w:val="none"/>
              </w:rPr>
            </w:pPr>
            <w:r>
              <w:rPr>
                <w:rFonts w:hint="eastAsia" w:ascii="宋体" w:hAnsi="宋体"/>
                <w:sz w:val="24"/>
                <w:highlight w:val="none"/>
              </w:rPr>
              <w:t>7</w:t>
            </w:r>
          </w:p>
        </w:tc>
        <w:tc>
          <w:tcPr>
            <w:tcW w:w="1080" w:type="dxa"/>
            <w:vAlign w:val="center"/>
          </w:tcPr>
          <w:p w14:paraId="7A2B3692">
            <w:pPr>
              <w:rPr>
                <w:rFonts w:ascii="宋体" w:hAnsi="宋体"/>
                <w:sz w:val="24"/>
                <w:highlight w:val="none"/>
              </w:rPr>
            </w:pPr>
          </w:p>
        </w:tc>
        <w:tc>
          <w:tcPr>
            <w:tcW w:w="3060" w:type="dxa"/>
            <w:vAlign w:val="center"/>
          </w:tcPr>
          <w:p w14:paraId="43D5BC50">
            <w:pPr>
              <w:rPr>
                <w:rFonts w:ascii="宋体" w:hAnsi="宋体"/>
                <w:sz w:val="24"/>
                <w:highlight w:val="none"/>
              </w:rPr>
            </w:pPr>
          </w:p>
        </w:tc>
        <w:tc>
          <w:tcPr>
            <w:tcW w:w="3554" w:type="dxa"/>
            <w:vAlign w:val="center"/>
          </w:tcPr>
          <w:p w14:paraId="1EB034FF">
            <w:pPr>
              <w:rPr>
                <w:rFonts w:ascii="宋体" w:hAnsi="宋体"/>
                <w:sz w:val="24"/>
                <w:highlight w:val="none"/>
              </w:rPr>
            </w:pPr>
          </w:p>
        </w:tc>
      </w:tr>
      <w:tr w14:paraId="2453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51735A">
            <w:pPr>
              <w:jc w:val="center"/>
              <w:rPr>
                <w:rFonts w:ascii="宋体" w:hAnsi="宋体"/>
                <w:sz w:val="24"/>
                <w:highlight w:val="none"/>
              </w:rPr>
            </w:pPr>
            <w:r>
              <w:rPr>
                <w:rFonts w:hint="eastAsia" w:ascii="宋体" w:hAnsi="宋体"/>
                <w:sz w:val="24"/>
                <w:highlight w:val="none"/>
              </w:rPr>
              <w:t>8</w:t>
            </w:r>
          </w:p>
        </w:tc>
        <w:tc>
          <w:tcPr>
            <w:tcW w:w="1080" w:type="dxa"/>
            <w:vAlign w:val="center"/>
          </w:tcPr>
          <w:p w14:paraId="0A7BF74D">
            <w:pPr>
              <w:rPr>
                <w:rFonts w:ascii="宋体" w:hAnsi="宋体"/>
                <w:sz w:val="24"/>
                <w:highlight w:val="none"/>
              </w:rPr>
            </w:pPr>
          </w:p>
        </w:tc>
        <w:tc>
          <w:tcPr>
            <w:tcW w:w="3060" w:type="dxa"/>
            <w:vAlign w:val="center"/>
          </w:tcPr>
          <w:p w14:paraId="7B67645B">
            <w:pPr>
              <w:rPr>
                <w:rFonts w:ascii="宋体" w:hAnsi="宋体"/>
                <w:sz w:val="24"/>
                <w:highlight w:val="none"/>
              </w:rPr>
            </w:pPr>
          </w:p>
        </w:tc>
        <w:tc>
          <w:tcPr>
            <w:tcW w:w="3554" w:type="dxa"/>
            <w:vAlign w:val="center"/>
          </w:tcPr>
          <w:p w14:paraId="144C59C9">
            <w:pPr>
              <w:rPr>
                <w:rFonts w:ascii="宋体" w:hAnsi="宋体"/>
                <w:sz w:val="24"/>
                <w:highlight w:val="none"/>
              </w:rPr>
            </w:pPr>
          </w:p>
        </w:tc>
      </w:tr>
      <w:tr w14:paraId="3BAFE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E3616E7">
            <w:pPr>
              <w:jc w:val="center"/>
              <w:rPr>
                <w:rFonts w:ascii="宋体" w:hAnsi="宋体"/>
                <w:sz w:val="24"/>
                <w:highlight w:val="none"/>
              </w:rPr>
            </w:pPr>
            <w:r>
              <w:rPr>
                <w:rFonts w:hint="eastAsia" w:ascii="宋体" w:hAnsi="宋体"/>
                <w:sz w:val="24"/>
                <w:highlight w:val="none"/>
              </w:rPr>
              <w:t>9</w:t>
            </w:r>
          </w:p>
        </w:tc>
        <w:tc>
          <w:tcPr>
            <w:tcW w:w="1080" w:type="dxa"/>
            <w:vAlign w:val="center"/>
          </w:tcPr>
          <w:p w14:paraId="4B369379">
            <w:pPr>
              <w:rPr>
                <w:rFonts w:ascii="宋体" w:hAnsi="宋体"/>
                <w:sz w:val="24"/>
                <w:highlight w:val="none"/>
              </w:rPr>
            </w:pPr>
          </w:p>
        </w:tc>
        <w:tc>
          <w:tcPr>
            <w:tcW w:w="3060" w:type="dxa"/>
            <w:vAlign w:val="center"/>
          </w:tcPr>
          <w:p w14:paraId="55224F27">
            <w:pPr>
              <w:rPr>
                <w:rFonts w:ascii="宋体" w:hAnsi="宋体"/>
                <w:sz w:val="24"/>
                <w:highlight w:val="none"/>
              </w:rPr>
            </w:pPr>
          </w:p>
        </w:tc>
        <w:tc>
          <w:tcPr>
            <w:tcW w:w="3554" w:type="dxa"/>
            <w:vAlign w:val="center"/>
          </w:tcPr>
          <w:p w14:paraId="50639014">
            <w:pPr>
              <w:rPr>
                <w:rFonts w:ascii="宋体" w:hAnsi="宋体"/>
                <w:sz w:val="24"/>
                <w:highlight w:val="none"/>
              </w:rPr>
            </w:pPr>
          </w:p>
        </w:tc>
      </w:tr>
      <w:tr w14:paraId="6CC5A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9D63E8">
            <w:pPr>
              <w:jc w:val="center"/>
              <w:rPr>
                <w:rFonts w:ascii="宋体" w:hAnsi="宋体"/>
                <w:sz w:val="24"/>
                <w:highlight w:val="none"/>
              </w:rPr>
            </w:pPr>
            <w:r>
              <w:rPr>
                <w:rFonts w:hint="eastAsia" w:ascii="宋体" w:hAnsi="宋体"/>
                <w:sz w:val="24"/>
                <w:highlight w:val="none"/>
              </w:rPr>
              <w:t>10</w:t>
            </w:r>
          </w:p>
        </w:tc>
        <w:tc>
          <w:tcPr>
            <w:tcW w:w="1080" w:type="dxa"/>
            <w:vAlign w:val="center"/>
          </w:tcPr>
          <w:p w14:paraId="5433C2BD">
            <w:pPr>
              <w:rPr>
                <w:rFonts w:ascii="宋体" w:hAnsi="宋体"/>
                <w:sz w:val="24"/>
                <w:highlight w:val="none"/>
              </w:rPr>
            </w:pPr>
          </w:p>
        </w:tc>
        <w:tc>
          <w:tcPr>
            <w:tcW w:w="3060" w:type="dxa"/>
            <w:vAlign w:val="center"/>
          </w:tcPr>
          <w:p w14:paraId="2D1D4A54">
            <w:pPr>
              <w:rPr>
                <w:rFonts w:ascii="宋体" w:hAnsi="宋体"/>
                <w:sz w:val="24"/>
                <w:highlight w:val="none"/>
              </w:rPr>
            </w:pPr>
          </w:p>
        </w:tc>
        <w:tc>
          <w:tcPr>
            <w:tcW w:w="3554" w:type="dxa"/>
            <w:vAlign w:val="center"/>
          </w:tcPr>
          <w:p w14:paraId="668B5942">
            <w:pPr>
              <w:rPr>
                <w:rFonts w:ascii="宋体" w:hAnsi="宋体"/>
                <w:sz w:val="24"/>
                <w:highlight w:val="none"/>
              </w:rPr>
            </w:pPr>
          </w:p>
        </w:tc>
      </w:tr>
    </w:tbl>
    <w:p w14:paraId="5C39E2CC">
      <w:pPr>
        <w:rPr>
          <w:rFonts w:ascii="宋体" w:hAnsi="宋体"/>
          <w:sz w:val="24"/>
          <w:highlight w:val="none"/>
        </w:rPr>
      </w:pPr>
    </w:p>
    <w:p w14:paraId="37AD7380">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61998052">
      <w:pPr>
        <w:rPr>
          <w:rFonts w:ascii="宋体" w:hAnsi="宋体"/>
          <w:sz w:val="24"/>
          <w:highlight w:val="none"/>
        </w:rPr>
      </w:pPr>
    </w:p>
    <w:p w14:paraId="069039FB">
      <w:pPr>
        <w:rPr>
          <w:rFonts w:ascii="宋体" w:hAnsi="宋体"/>
          <w:sz w:val="24"/>
          <w:highlight w:val="none"/>
        </w:rPr>
      </w:pPr>
    </w:p>
    <w:p w14:paraId="0101026E">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53969182">
      <w:pPr>
        <w:rPr>
          <w:rFonts w:hint="eastAsia" w:ascii="宋体" w:hAnsi="宋体"/>
          <w:sz w:val="24"/>
          <w:highlight w:val="none"/>
        </w:rPr>
      </w:pPr>
      <w:r>
        <w:rPr>
          <w:rFonts w:hint="eastAsia" w:ascii="宋体" w:hAnsi="宋体"/>
          <w:sz w:val="24"/>
          <w:highlight w:val="none"/>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业务外包”，业务主管部门为“制造工程部”。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7EFCD97E">
      <w:pPr>
        <w:pStyle w:val="76"/>
        <w:rPr>
          <w:rFonts w:hint="default" w:ascii="宋体" w:hAnsi="宋体"/>
          <w:sz w:val="24"/>
          <w:highlight w:val="none"/>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CIDFont+F3">
    <w:altName w:val="Times New Roman"/>
    <w:panose1 w:val="00000000000000000000"/>
    <w:charset w:val="00"/>
    <w:family w:val="roman"/>
    <w:pitch w:val="default"/>
    <w:sig w:usb0="00000000" w:usb1="00000000" w:usb2="00000000" w:usb3="00000000" w:csb0="00040001" w:csb1="00000000"/>
  </w:font>
  <w:font w:name="CIDFont+F1">
    <w:altName w:val="Times New Roman"/>
    <w:panose1 w:val="00000000000000000000"/>
    <w:charset w:val="00"/>
    <w:family w:val="roman"/>
    <w:pitch w:val="default"/>
    <w:sig w:usb0="00000000" w:usb1="00000000" w:usb2="00000000" w:usb3="00000000" w:csb0="00040001"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9665F8D"/>
    <w:multiLevelType w:val="singleLevel"/>
    <w:tmpl w:val="F9665F8D"/>
    <w:lvl w:ilvl="0" w:tentative="0">
      <w:start w:val="2"/>
      <w:numFmt w:val="chineseCounting"/>
      <w:suff w:val="nothing"/>
      <w:lvlText w:val="第%1部分　"/>
      <w:lvlJc w:val="left"/>
      <w:rPr>
        <w:rFonts w:hint="eastAsia"/>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4BF98CE"/>
    <w:multiLevelType w:val="singleLevel"/>
    <w:tmpl w:val="04BF98CE"/>
    <w:lvl w:ilvl="0" w:tentative="0">
      <w:start w:val="1"/>
      <w:numFmt w:val="decimal"/>
      <w:suff w:val="nothing"/>
      <w:lvlText w:val="%1、"/>
      <w:lvlJc w:val="left"/>
    </w:lvl>
  </w:abstractNum>
  <w:abstractNum w:abstractNumId="1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5">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8">
    <w:nsid w:val="3265E1EC"/>
    <w:multiLevelType w:val="singleLevel"/>
    <w:tmpl w:val="3265E1EC"/>
    <w:lvl w:ilvl="0" w:tentative="0">
      <w:start w:val="1"/>
      <w:numFmt w:val="decimal"/>
      <w:lvlText w:val="(%1)"/>
      <w:lvlJc w:val="left"/>
      <w:pPr>
        <w:ind w:left="425" w:hanging="425"/>
      </w:pPr>
      <w:rPr>
        <w:rFonts w:hint="default"/>
      </w:rPr>
    </w:lvl>
  </w:abstractNum>
  <w:abstractNum w:abstractNumId="19">
    <w:nsid w:val="3CF6EF77"/>
    <w:multiLevelType w:val="singleLevel"/>
    <w:tmpl w:val="3CF6EF77"/>
    <w:lvl w:ilvl="0" w:tentative="0">
      <w:start w:val="1"/>
      <w:numFmt w:val="decimal"/>
      <w:lvlText w:val="%1."/>
      <w:lvlJc w:val="left"/>
      <w:pPr>
        <w:ind w:left="425" w:hanging="425"/>
      </w:pPr>
      <w:rPr>
        <w:rFonts w:hint="default"/>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4"/>
  </w:num>
  <w:num w:numId="6">
    <w:abstractNumId w:val="16"/>
  </w:num>
  <w:num w:numId="7">
    <w:abstractNumId w:val="17"/>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5"/>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5"/>
  </w:num>
  <w:num w:numId="18">
    <w:abstractNumId w:val="27"/>
  </w:num>
  <w:num w:numId="19">
    <w:abstractNumId w:val="18"/>
  </w:num>
  <w:num w:numId="20">
    <w:abstractNumId w:val="9"/>
  </w:num>
  <w:num w:numId="21">
    <w:abstractNumId w:val="8"/>
  </w:num>
  <w:num w:numId="22">
    <w:abstractNumId w:val="4"/>
  </w:num>
  <w:num w:numId="23">
    <w:abstractNumId w:val="1"/>
  </w:num>
  <w:num w:numId="24">
    <w:abstractNumId w:val="6"/>
  </w:num>
  <w:num w:numId="25">
    <w:abstractNumId w:val="12"/>
  </w:num>
  <w:num w:numId="26">
    <w:abstractNumId w:val="10"/>
  </w:num>
  <w:num w:numId="27">
    <w:abstractNumId w:val="20"/>
  </w:num>
  <w:num w:numId="28">
    <w:abstractNumId w:val="13"/>
  </w:num>
  <w:num w:numId="29">
    <w:abstractNumId w:val="19"/>
  </w:num>
  <w:num w:numId="30">
    <w:abstractNumId w:val="11"/>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4A5F87"/>
    <w:rsid w:val="02CC3DCA"/>
    <w:rsid w:val="02FE76EF"/>
    <w:rsid w:val="03F033B0"/>
    <w:rsid w:val="057C1D39"/>
    <w:rsid w:val="05891259"/>
    <w:rsid w:val="08633479"/>
    <w:rsid w:val="0C0E2F4B"/>
    <w:rsid w:val="0CB51572"/>
    <w:rsid w:val="0E3D4337"/>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A4125A1"/>
    <w:rsid w:val="2AD71300"/>
    <w:rsid w:val="2B271A58"/>
    <w:rsid w:val="2B6304A7"/>
    <w:rsid w:val="2BD4504B"/>
    <w:rsid w:val="2CBF4552"/>
    <w:rsid w:val="2CF6734C"/>
    <w:rsid w:val="2D663463"/>
    <w:rsid w:val="2EF96EE4"/>
    <w:rsid w:val="33817008"/>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4FCB4EB3"/>
    <w:rsid w:val="51181DC1"/>
    <w:rsid w:val="51D50FD0"/>
    <w:rsid w:val="52274B10"/>
    <w:rsid w:val="52B9239A"/>
    <w:rsid w:val="54BD78FD"/>
    <w:rsid w:val="58A86DDE"/>
    <w:rsid w:val="59154AD7"/>
    <w:rsid w:val="5ADF548D"/>
    <w:rsid w:val="5D5C60B4"/>
    <w:rsid w:val="63F04A69"/>
    <w:rsid w:val="64654A97"/>
    <w:rsid w:val="66A50B1E"/>
    <w:rsid w:val="67B2063C"/>
    <w:rsid w:val="67C97AC3"/>
    <w:rsid w:val="67E30EC1"/>
    <w:rsid w:val="6A4E3B2B"/>
    <w:rsid w:val="6B392075"/>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2">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2"/>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style01"/>
    <w:qFormat/>
    <w:uiPriority w:val="0"/>
    <w:rPr>
      <w:rFonts w:hint="default" w:ascii="CIDFont+F3" w:hAnsi="CIDFont+F3"/>
      <w:color w:val="000000"/>
      <w:sz w:val="28"/>
      <w:szCs w:val="28"/>
    </w:rPr>
  </w:style>
  <w:style w:type="character" w:customStyle="1" w:styleId="112">
    <w:name w:val="fontstyle11"/>
    <w:qFormat/>
    <w:uiPriority w:val="0"/>
    <w:rPr>
      <w:rFonts w:hint="default" w:ascii="CIDFont+F1" w:hAnsi="CIDFont+F1"/>
      <w:color w:val="000000"/>
      <w:sz w:val="28"/>
      <w:szCs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32</Pages>
  <Words>12787</Words>
  <Characters>13751</Characters>
  <Lines>127</Lines>
  <Paragraphs>35</Paragraphs>
  <TotalTime>0</TotalTime>
  <ScaleCrop>false</ScaleCrop>
  <LinksUpToDate>false</LinksUpToDate>
  <CharactersWithSpaces>14457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2025-12-05T08:56:39Z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