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18CBF8EA">
      <w:pPr>
        <w:ind w:right="280"/>
        <w:jc w:val="center"/>
        <w:rPr>
          <w:sz w:val="28"/>
          <w:szCs w:val="28"/>
        </w:rPr>
      </w:pPr>
      <w:r>
        <w:rPr>
          <w:rFonts w:hint="eastAsia" w:ascii="楷体_GB2312" w:hAnsi="宋体" w:eastAsia="楷体_GB2312"/>
          <w:sz w:val="52"/>
          <w:szCs w:val="52"/>
          <w:highlight w:val="yellow"/>
        </w:rPr>
        <w:t>2026年总装二部中后桥分装项目</w:t>
      </w: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FSCZB2025110429</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人：中国重汽集团济南卡车股份有限公司制造公司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rPr>
        <w:t xml:space="preserve"> 2026年总装二部中后桥分装项目</w:t>
      </w:r>
    </w:p>
    <w:p w14:paraId="15020D03">
      <w:pPr>
        <w:pStyle w:val="73"/>
      </w:pPr>
      <w:r>
        <w:rPr>
          <w:rFonts w:hint="eastAsia"/>
        </w:rPr>
        <w:t>项目编号：</w:t>
      </w:r>
      <w:r>
        <w:rPr>
          <w:rFonts w:hint="eastAsia"/>
          <w:highlight w:val="yellow"/>
        </w:rPr>
        <w:t xml:space="preserve"> FSCZB2025110429</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rPr>
        <w:t>招标内容：</w:t>
      </w:r>
      <w:r>
        <w:rPr>
          <w:rFonts w:hint="eastAsia"/>
          <w:highlight w:val="yellow"/>
        </w:rPr>
        <w:t>2026年总装二部中后桥分装项目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4" w:name="_Toc47976591"/>
      <w:r>
        <w:rPr>
          <w:rFonts w:hint="eastAsia"/>
          <w:highlight w:val="yellow"/>
        </w:rPr>
        <w:t>报名及招标文件的获取</w:t>
      </w:r>
      <w:bookmarkEnd w:id="4"/>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10</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15</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yellow"/>
          <w:lang w:eastAsia="zh-CN"/>
        </w:rPr>
        <w:t>、</w:t>
      </w:r>
      <w:r>
        <w:rPr>
          <w:rFonts w:hint="eastAsia"/>
          <w:highlight w:val="yellow"/>
          <w:lang w:val="en-US" w:eastAsia="zh-CN"/>
        </w:rPr>
        <w:t>山东省阳光采购平台</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中国重汽集团济南卡车股份有限公司制造公司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杨淑清</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电话：13210630938</w:t>
      </w:r>
    </w:p>
    <w:p w14:paraId="774EF198">
      <w:pPr>
        <w:pStyle w:val="72"/>
        <w:numPr>
          <w:ilvl w:val="0"/>
          <w:numId w:val="0"/>
        </w:numPr>
        <w:ind w:leftChars="0" w:firstLine="422" w:firstLineChars="200"/>
        <w:rPr>
          <w:highlight w:val="yellow"/>
        </w:rPr>
      </w:pPr>
      <w:r>
        <w:rPr>
          <w:rFonts w:hint="eastAsia" w:ascii="宋体" w:hAnsi="宋体" w:eastAsia="宋体" w:cs="宋体"/>
          <w:b/>
          <w:bCs/>
          <w:sz w:val="21"/>
          <w:szCs w:val="21"/>
        </w:rPr>
        <w:t>邮箱：yangshuqing1@sinotruk.com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26</w:t>
      </w:r>
      <w:r>
        <w:rPr>
          <w:rFonts w:hint="eastAsia"/>
        </w:rPr>
        <w:t>日</w:t>
      </w:r>
    </w:p>
    <w:p w14:paraId="04C96706">
      <w:pPr>
        <w:pStyle w:val="76"/>
      </w:pPr>
    </w:p>
    <w:p w14:paraId="3D820EEC">
      <w:pPr>
        <w:pStyle w:val="71"/>
      </w:pPr>
      <w:bookmarkStart w:id="5" w:name="_Toc7753"/>
      <w:bookmarkStart w:id="6" w:name="_Toc47976595"/>
      <w:r>
        <w:rPr>
          <w:rFonts w:hint="eastAsia"/>
        </w:rPr>
        <w:t>第一部分  投标人须知</w:t>
      </w:r>
      <w:bookmarkEnd w:id="5"/>
      <w:bookmarkEnd w:id="6"/>
    </w:p>
    <w:p w14:paraId="418340FC">
      <w:pPr>
        <w:pStyle w:val="72"/>
        <w:numPr>
          <w:ilvl w:val="0"/>
          <w:numId w:val="12"/>
        </w:numPr>
        <w:ind w:left="420"/>
        <w:jc w:val="left"/>
      </w:pPr>
      <w:bookmarkStart w:id="7" w:name="_Toc47976596"/>
      <w:r>
        <w:rPr>
          <w:rFonts w:hint="eastAsia"/>
        </w:rPr>
        <w:t>项目介绍</w:t>
      </w:r>
      <w:bookmarkEnd w:id="7"/>
    </w:p>
    <w:p w14:paraId="742B3A80">
      <w:pPr>
        <w:pStyle w:val="76"/>
        <w:numPr>
          <w:ilvl w:val="0"/>
          <w:numId w:val="13"/>
        </w:numPr>
        <w:ind w:left="425" w:leftChars="0" w:hanging="425" w:firstLineChars="0"/>
      </w:pPr>
      <w:bookmarkStart w:id="8" w:name="_Toc47112482"/>
      <w:r>
        <w:rPr>
          <w:rFonts w:hint="eastAsia"/>
          <w:lang w:val="en-US" w:eastAsia="zh-CN"/>
        </w:rPr>
        <w:t>项目概况：</w:t>
      </w:r>
      <w:r>
        <w:rPr>
          <w:rFonts w:hint="eastAsia"/>
          <w:highlight w:val="yellow"/>
        </w:rPr>
        <w:t>本项目主要为卡车公司党家庄工厂总装部提供中后桥分装服务</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2"/>
      </w:pPr>
      <w:bookmarkStart w:id="9" w:name="_Toc47976598"/>
      <w:r>
        <w:rPr>
          <w:rFonts w:hint="eastAsia"/>
        </w:rPr>
        <w:t>合格的投标人。</w:t>
      </w:r>
      <w:bookmarkEnd w:id="9"/>
    </w:p>
    <w:p w14:paraId="30331313">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（1）投标人须遵守《中华人民共和国招标投标法》、《中华人民共和国民法典》及其它有关的法律和法规；为中华人民共和国境内注册的独立法人机构，具有独立承担民事责任能力；</w:t>
      </w:r>
    </w:p>
    <w:p w14:paraId="1B7EC619">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（2）具有独立法人资格和国家综合服务型物流企业认证资质，注册资本金500万元以上（已进入中国重汽物流商目录的不受该条件限制）；经营范围应包括零部件加工、劳务服务等服务项目；</w:t>
      </w:r>
    </w:p>
    <w:p w14:paraId="7C87DB84">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（3）有3年以上汽车行业部件加工、装配服务经验，有经验丰富的从事汽车装配、汽车零部件加工业务的员工团队，有为客户提供一体化装配服务的硬件资源和运营能力；</w:t>
      </w:r>
    </w:p>
    <w:p w14:paraId="4854F53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（4）投标人须提供具有统一社会信用代码的新版营业执照副本原件及复印件（加盖公章）；</w:t>
      </w:r>
    </w:p>
    <w:p w14:paraId="0722E9F9">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（5）具有良好的商业信誉，在国家企业信用信息公示系统中无与本项目有关的行政处罚、列入经营异常名录和列入严重违法失信企业名单（黑名单）信息或上述信息已被移除；</w:t>
      </w:r>
    </w:p>
    <w:p w14:paraId="3D709BB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（6）投标人近三年内在经营活动中无与本项目有关的违法及重大违规情况；</w:t>
      </w:r>
    </w:p>
    <w:p w14:paraId="7E51E733">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（7）具有健全的财务会计制度，财务状况和市场行为良好。没有处于被有权机关吊销营业执照、吊销资质、停业整顿、取消投标资格以及财产被接管、冻结或进入破产程序等。</w:t>
      </w:r>
    </w:p>
    <w:p w14:paraId="151FC1F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（8）投标人没有被列入招标人处《黑名单》（《黑名单》指投标人与招标人在以往或正在进行的合作中，存在招标人认为的违反合同约定或违反法律法规等的失信行为）的；</w:t>
      </w:r>
    </w:p>
    <w:p w14:paraId="5EB6CC3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（9）投标人须提供法人授权委托书原件（在投标文件副本中可用复印件）及投标单位的法定代表人或授权代表的身份证原件及复印件（加盖公章）；</w:t>
      </w:r>
    </w:p>
    <w:p w14:paraId="70C34472">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（10）投标人须具有履行合同所必须的财务、技术、服务等方面的资质和能力；</w:t>
      </w:r>
    </w:p>
    <w:p w14:paraId="02E35D96">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（11）标人须具有完全履行招标文件的所有要求的能力；</w:t>
      </w:r>
    </w:p>
    <w:p w14:paraId="562A4050">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（12）投标人须认可招标人的工作指令，包括节、假日能正常开展工作的要求；</w:t>
      </w:r>
    </w:p>
    <w:p w14:paraId="645FB2BE">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（13）供方的直接或间接股东、法定代表人、董事、监事、高管非重汽员工及其亲属；</w:t>
      </w:r>
    </w:p>
    <w:p w14:paraId="54845FD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（14）不接受联合体投标；</w:t>
      </w:r>
    </w:p>
    <w:p w14:paraId="3339A7C9">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b w:val="0"/>
          <w:bCs/>
          <w:strike w:val="0"/>
          <w:dstrike w:val="0"/>
          <w:highlight w:val="none"/>
        </w:rPr>
      </w:pPr>
      <w:r>
        <w:rPr>
          <w:rFonts w:hint="eastAsia"/>
          <w:b w:val="0"/>
          <w:bCs/>
          <w:strike w:val="0"/>
          <w:dstrike w:val="0"/>
          <w:highlight w:val="none"/>
        </w:rPr>
        <w:t>（15）投标人必须是最终投保、签订合同的单位，不得以任何理由将已中标项目以任何形式分包或转包给其他单位。</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26</w:t>
      </w:r>
      <w:r>
        <w:rPr>
          <w:rFonts w:hint="eastAsia" w:ascii="宋体" w:hAnsi="Courier New" w:eastAsia="宋体" w:cs="Times New Roman"/>
          <w:highlight w:val="yellow"/>
          <w:lang w:val="en-US" w:eastAsia="zh-CN"/>
        </w:rPr>
        <w:t>日</w:t>
      </w:r>
    </w:p>
    <w:p w14:paraId="39B4A55D">
      <w:pPr>
        <w:pStyle w:val="76"/>
        <w:numPr>
          <w:ilvl w:val="0"/>
          <w:numId w:val="14"/>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p>
    <w:p w14:paraId="40FAA4B7">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4"/>
        </w:numPr>
        <w:jc w:val="both"/>
        <w:rPr>
          <w:highlight w:val="yellow"/>
        </w:rPr>
      </w:pPr>
      <w:r>
        <w:rPr>
          <w:rFonts w:hint="eastAsia"/>
          <w:highlight w:val="yellow"/>
        </w:rPr>
        <w:t>报名方式：在“中国重汽e采通”平台报名</w:t>
      </w:r>
    </w:p>
    <w:p w14:paraId="36FDB5A2">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w:t>
      </w:r>
      <w:r>
        <w:rPr>
          <w:rFonts w:hint="eastAsia" w:hAnsi="宋体" w:cs="宋体"/>
          <w:sz w:val="24"/>
          <w:szCs w:val="24"/>
          <w:highlight w:val="yellow"/>
          <w:lang w:val="en-US" w:eastAsia="zh-CN"/>
        </w:rPr>
        <w:t>12</w:t>
      </w:r>
      <w:r>
        <w:rPr>
          <w:rFonts w:hint="eastAsia" w:hAnsi="宋体" w:cs="宋体"/>
          <w:sz w:val="24"/>
          <w:szCs w:val="24"/>
          <w:highlight w:val="yellow"/>
        </w:rPr>
        <w:t>月</w:t>
      </w:r>
      <w:r>
        <w:rPr>
          <w:rFonts w:hint="eastAsia" w:hAnsi="宋体" w:cs="宋体"/>
          <w:sz w:val="24"/>
          <w:szCs w:val="24"/>
          <w:highlight w:val="yellow"/>
          <w:lang w:val="en-US" w:eastAsia="zh-CN"/>
        </w:rPr>
        <w:t>10</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7"/>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6"/>
        </w:numPr>
        <w:ind w:left="425" w:leftChars="0" w:hanging="425" w:firstLineChars="0"/>
        <w:rPr>
          <w:rFonts w:hint="eastAsia" w:cs="Times New Roman"/>
          <w:b w:val="0"/>
          <w:bCs/>
          <w:highlight w:val="yellow"/>
        </w:rPr>
      </w:pPr>
      <w:r>
        <w:rPr>
          <w:rFonts w:hint="eastAsia" w:cs="Times New Roman"/>
          <w:b w:val="0"/>
          <w:bCs/>
          <w:highlight w:val="yellow"/>
        </w:rPr>
        <w:t>技术标：</w:t>
      </w:r>
    </w:p>
    <w:p w14:paraId="7CB8DE54">
      <w:pPr>
        <w:pStyle w:val="75"/>
        <w:numPr>
          <w:ilvl w:val="0"/>
          <w:numId w:val="19"/>
        </w:numPr>
        <w:ind w:left="425" w:leftChars="0" w:hanging="425" w:firstLineChars="0"/>
        <w:rPr>
          <w:b w:val="0"/>
          <w:bCs/>
          <w:highlight w:val="yellow"/>
        </w:rPr>
      </w:pPr>
      <w:r>
        <w:rPr>
          <w:rFonts w:hint="eastAsia"/>
          <w:b w:val="0"/>
          <w:bCs/>
          <w:highlight w:val="yellow"/>
        </w:rPr>
        <w:t>技术配置对比表。</w:t>
      </w:r>
    </w:p>
    <w:p w14:paraId="3D6F729D">
      <w:pPr>
        <w:pStyle w:val="75"/>
        <w:numPr>
          <w:ilvl w:val="0"/>
          <w:numId w:val="19"/>
        </w:numPr>
        <w:ind w:left="425" w:leftChars="0" w:hanging="425" w:firstLineChars="0"/>
        <w:rPr>
          <w:b w:val="0"/>
          <w:bCs/>
          <w:highlight w:val="yellow"/>
        </w:rPr>
      </w:pPr>
      <w:r>
        <w:rPr>
          <w:rFonts w:hint="eastAsia"/>
          <w:b w:val="0"/>
          <w:bCs/>
          <w:highlight w:val="yellow"/>
        </w:rPr>
        <w:t>投标设备配置明细表；</w:t>
      </w:r>
    </w:p>
    <w:p w14:paraId="69AE970B">
      <w:pPr>
        <w:pStyle w:val="75"/>
        <w:numPr>
          <w:ilvl w:val="0"/>
          <w:numId w:val="19"/>
        </w:numPr>
        <w:ind w:left="425" w:leftChars="0" w:hanging="425" w:firstLineChars="0"/>
        <w:rPr>
          <w:b w:val="0"/>
          <w:bCs/>
          <w:highlight w:val="yellow"/>
        </w:rPr>
      </w:pPr>
      <w:r>
        <w:rPr>
          <w:rFonts w:hint="eastAsia"/>
          <w:b w:val="0"/>
          <w:bCs/>
          <w:highlight w:val="yellow"/>
        </w:rPr>
        <w:t>技术规格偏离表；</w:t>
      </w:r>
    </w:p>
    <w:p w14:paraId="47175D6D">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0"/>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0"/>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0"/>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0"/>
        </w:numPr>
        <w:ind w:left="425" w:leftChars="0" w:hanging="425" w:firstLineChars="0"/>
        <w:rPr>
          <w:b w:val="0"/>
          <w:bCs/>
          <w:highlight w:val="yellow"/>
        </w:rPr>
      </w:pPr>
      <w:r>
        <w:rPr>
          <w:rFonts w:hint="eastAsia"/>
          <w:b w:val="0"/>
          <w:bCs/>
          <w:highlight w:val="yellow"/>
        </w:rPr>
        <w:t>投标货物分项报价表</w:t>
      </w:r>
      <w:r>
        <w:rPr>
          <w:rFonts w:hint="eastAsia"/>
          <w:b w:val="0"/>
          <w:bCs/>
          <w:highlight w:val="yellow"/>
          <w:lang w:eastAsia="zh-CN"/>
        </w:rPr>
        <w:t>（</w:t>
      </w:r>
      <w:r>
        <w:rPr>
          <w:rFonts w:hint="eastAsia"/>
          <w:b w:val="0"/>
          <w:bCs/>
          <w:highlight w:val="yellow"/>
          <w:lang w:val="en-US" w:eastAsia="zh-CN"/>
        </w:rPr>
        <w:t>与技术联系人商议拟定）</w:t>
      </w:r>
      <w:r>
        <w:rPr>
          <w:rFonts w:hint="eastAsia"/>
          <w:b w:val="0"/>
          <w:bCs/>
          <w:highlight w:val="yellow"/>
        </w:rPr>
        <w:t>；</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178.07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1"/>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1"/>
        </w:numPr>
        <w:rPr>
          <w:bCs/>
        </w:rPr>
      </w:pPr>
      <w:r>
        <w:rPr>
          <w:rFonts w:hint="eastAsia"/>
          <w:bCs/>
        </w:rPr>
        <w:t>联系人及联系方式：郭朝琛/</w:t>
      </w:r>
      <w:r>
        <w:rPr>
          <w:rFonts w:hint="eastAsia"/>
          <w:bCs/>
          <w:lang w:val="en-US" w:eastAsia="zh-CN"/>
        </w:rPr>
        <w:t>17860606311</w:t>
      </w:r>
    </w:p>
    <w:p w14:paraId="38E5AAE5">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15</w:t>
      </w:r>
      <w:r>
        <w:rPr>
          <w:rFonts w:hint="eastAsia"/>
          <w:bCs/>
          <w:highlight w:val="yellow"/>
        </w:rPr>
        <w:t>日9:00:00</w:t>
      </w:r>
    </w:p>
    <w:p w14:paraId="25974AAC">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2"/>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3"/>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3"/>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2万</w:t>
      </w:r>
      <w:r>
        <w:rPr>
          <w:rFonts w:hint="eastAsia" w:ascii="宋体" w:hAnsi="宋体" w:eastAsia="宋体" w:cs="宋体"/>
          <w:b w:val="0"/>
          <w:bCs w:val="0"/>
          <w:sz w:val="21"/>
          <w:szCs w:val="21"/>
          <w:highlight w:val="none"/>
        </w:rPr>
        <w:t>元</w:t>
      </w:r>
    </w:p>
    <w:p w14:paraId="64CA6B1B">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开户名称：中国重汽集团济南卡车股份有限公司</w:t>
      </w:r>
      <w:r>
        <w:rPr>
          <w:rFonts w:ascii="宋体" w:hAnsi="宋体" w:eastAsia="宋体" w:cs="宋体"/>
          <w:sz w:val="24"/>
          <w:szCs w:val="24"/>
        </w:rPr>
        <w:br w:type="textWrapping"/>
      </w:r>
      <w:r>
        <w:rPr>
          <w:rFonts w:ascii="宋体" w:hAnsi="宋体" w:eastAsia="宋体" w:cs="宋体"/>
          <w:sz w:val="24"/>
          <w:szCs w:val="24"/>
        </w:rPr>
        <w:t>开户银行：招商银行股份有限公司济南分行营业部</w:t>
      </w:r>
      <w:r>
        <w:rPr>
          <w:rFonts w:ascii="宋体" w:hAnsi="宋体" w:eastAsia="宋体" w:cs="宋体"/>
          <w:sz w:val="24"/>
          <w:szCs w:val="24"/>
        </w:rPr>
        <w:br w:type="textWrapping"/>
      </w:r>
      <w:r>
        <w:rPr>
          <w:rFonts w:ascii="宋体" w:hAnsi="宋体" w:eastAsia="宋体" w:cs="宋体"/>
          <w:sz w:val="24"/>
          <w:szCs w:val="24"/>
        </w:rPr>
        <w:t>银行帐号：531900051810601</w:t>
      </w:r>
      <w:r>
        <w:rPr>
          <w:rFonts w:ascii="宋体" w:hAnsi="宋体" w:eastAsia="宋体" w:cs="宋体"/>
          <w:sz w:val="24"/>
          <w:szCs w:val="24"/>
        </w:rPr>
        <w:br w:type="textWrapping"/>
      </w:r>
      <w:r>
        <w:rPr>
          <w:rFonts w:ascii="宋体" w:hAnsi="宋体" w:eastAsia="宋体" w:cs="宋体"/>
          <w:sz w:val="24"/>
          <w:szCs w:val="24"/>
        </w:rPr>
        <w:t>财务电话：0531-58067031</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15</w:t>
      </w:r>
      <w:bookmarkStart w:id="32" w:name="_GoBack"/>
      <w:bookmarkEnd w:id="32"/>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368B6990">
      <w:pPr>
        <w:pStyle w:val="72"/>
      </w:pPr>
      <w:r>
        <w:rPr>
          <w:rFonts w:hint="eastAsia"/>
          <w:lang w:val="en-US" w:eastAsia="zh-CN"/>
        </w:rPr>
        <w:t>开评标</w:t>
      </w:r>
    </w:p>
    <w:p w14:paraId="7D70F083">
      <w:pPr>
        <w:pStyle w:val="72"/>
        <w:numPr>
          <w:ilvl w:val="0"/>
          <w:numId w:val="24"/>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15</w:t>
      </w:r>
      <w:r>
        <w:rPr>
          <w:rFonts w:hint="eastAsia" w:ascii="宋体" w:hAnsi="宋体" w:eastAsia="宋体" w:cs="宋体"/>
          <w:b w:val="0"/>
          <w:bCs w:val="0"/>
          <w:sz w:val="21"/>
          <w:szCs w:val="21"/>
          <w:highlight w:val="yellow"/>
        </w:rPr>
        <w:t>日9:00:00</w:t>
      </w:r>
    </w:p>
    <w:p w14:paraId="26008F0B">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5"/>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69021D9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投标人得分＝∑评委评价得分/评委人数＋商务标得分</w:t>
      </w:r>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0"/>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31"/>
        <w:gridCol w:w="1134"/>
        <w:gridCol w:w="1134"/>
        <w:gridCol w:w="5406"/>
        <w:gridCol w:w="1276"/>
      </w:tblGrid>
      <w:tr w14:paraId="714E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846" w:type="dxa"/>
            <w:noWrap w:val="0"/>
            <w:vAlign w:val="center"/>
          </w:tcPr>
          <w:p w14:paraId="44EC0163">
            <w:pPr>
              <w:jc w:val="center"/>
              <w:rPr>
                <w:rFonts w:hint="eastAsia" w:ascii="宋体" w:hAnsi="宋体"/>
                <w:b/>
                <w:bCs/>
                <w:sz w:val="21"/>
                <w:szCs w:val="21"/>
              </w:rPr>
            </w:pPr>
            <w:r>
              <w:rPr>
                <w:rFonts w:hint="eastAsia" w:ascii="宋体" w:hAnsi="宋体"/>
                <w:b/>
                <w:bCs/>
                <w:sz w:val="21"/>
                <w:szCs w:val="21"/>
              </w:rPr>
              <w:t>评标因素</w:t>
            </w:r>
          </w:p>
        </w:tc>
        <w:tc>
          <w:tcPr>
            <w:tcW w:w="831" w:type="dxa"/>
            <w:noWrap w:val="0"/>
            <w:vAlign w:val="center"/>
          </w:tcPr>
          <w:p w14:paraId="2C6C14FF">
            <w:pPr>
              <w:jc w:val="center"/>
              <w:rPr>
                <w:rFonts w:hint="eastAsia" w:ascii="宋体" w:hAnsi="宋体"/>
                <w:b/>
                <w:bCs/>
                <w:sz w:val="21"/>
                <w:szCs w:val="21"/>
              </w:rPr>
            </w:pPr>
            <w:r>
              <w:rPr>
                <w:rFonts w:hint="eastAsia" w:ascii="宋体" w:hAnsi="宋体"/>
                <w:b/>
                <w:bCs/>
                <w:sz w:val="21"/>
                <w:szCs w:val="21"/>
              </w:rPr>
              <w:t>总分</w:t>
            </w:r>
          </w:p>
        </w:tc>
        <w:tc>
          <w:tcPr>
            <w:tcW w:w="2268" w:type="dxa"/>
            <w:gridSpan w:val="2"/>
            <w:noWrap w:val="0"/>
            <w:vAlign w:val="center"/>
          </w:tcPr>
          <w:p w14:paraId="397987A4">
            <w:pPr>
              <w:jc w:val="center"/>
              <w:rPr>
                <w:rFonts w:hint="eastAsia" w:ascii="宋体" w:hAnsi="宋体"/>
                <w:b/>
                <w:bCs/>
                <w:sz w:val="21"/>
                <w:szCs w:val="21"/>
              </w:rPr>
            </w:pPr>
            <w:r>
              <w:rPr>
                <w:rFonts w:hint="eastAsia" w:ascii="宋体" w:hAnsi="宋体"/>
                <w:b/>
                <w:bCs/>
                <w:sz w:val="21"/>
                <w:szCs w:val="21"/>
              </w:rPr>
              <w:t>评审内容</w:t>
            </w:r>
          </w:p>
        </w:tc>
        <w:tc>
          <w:tcPr>
            <w:tcW w:w="5406" w:type="dxa"/>
            <w:noWrap w:val="0"/>
            <w:vAlign w:val="center"/>
          </w:tcPr>
          <w:p w14:paraId="30259CF1">
            <w:pPr>
              <w:jc w:val="center"/>
              <w:rPr>
                <w:rFonts w:hint="eastAsia" w:ascii="宋体" w:hAnsi="宋体"/>
                <w:b/>
                <w:bCs/>
                <w:sz w:val="21"/>
                <w:szCs w:val="21"/>
              </w:rPr>
            </w:pPr>
            <w:r>
              <w:rPr>
                <w:rFonts w:hint="eastAsia" w:ascii="宋体" w:hAnsi="宋体"/>
                <w:b/>
                <w:bCs/>
                <w:sz w:val="21"/>
                <w:szCs w:val="21"/>
              </w:rPr>
              <w:t>评分标准</w:t>
            </w:r>
          </w:p>
        </w:tc>
        <w:tc>
          <w:tcPr>
            <w:tcW w:w="1276" w:type="dxa"/>
            <w:noWrap w:val="0"/>
            <w:vAlign w:val="center"/>
          </w:tcPr>
          <w:p w14:paraId="11F33904">
            <w:pPr>
              <w:jc w:val="center"/>
              <w:rPr>
                <w:rFonts w:hint="eastAsia" w:ascii="宋体" w:hAnsi="宋体"/>
                <w:b/>
                <w:bCs/>
                <w:sz w:val="21"/>
                <w:szCs w:val="21"/>
              </w:rPr>
            </w:pPr>
            <w:r>
              <w:rPr>
                <w:rFonts w:hint="eastAsia" w:ascii="宋体" w:hAnsi="宋体"/>
                <w:b/>
                <w:bCs/>
                <w:sz w:val="21"/>
                <w:szCs w:val="21"/>
              </w:rPr>
              <w:t>最高得分</w:t>
            </w:r>
          </w:p>
        </w:tc>
      </w:tr>
      <w:tr w14:paraId="64848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0627" w:type="dxa"/>
            <w:gridSpan w:val="6"/>
            <w:noWrap w:val="0"/>
            <w:vAlign w:val="top"/>
          </w:tcPr>
          <w:p w14:paraId="3EEB824F">
            <w:pPr>
              <w:rPr>
                <w:rFonts w:hint="eastAsia" w:ascii="宋体" w:hAnsi="宋体"/>
                <w:b/>
                <w:bCs/>
                <w:sz w:val="21"/>
                <w:szCs w:val="21"/>
              </w:rPr>
            </w:pPr>
            <w:r>
              <w:rPr>
                <w:rFonts w:hint="eastAsia" w:ascii="宋体" w:hAnsi="宋体"/>
                <w:b/>
                <w:bCs/>
                <w:sz w:val="21"/>
                <w:szCs w:val="21"/>
              </w:rPr>
              <w:t>一、技术因素</w:t>
            </w:r>
          </w:p>
        </w:tc>
      </w:tr>
      <w:tr w14:paraId="4FEC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0627" w:type="dxa"/>
            <w:gridSpan w:val="6"/>
            <w:noWrap w:val="0"/>
            <w:vAlign w:val="top"/>
          </w:tcPr>
          <w:p w14:paraId="3CFCE50E">
            <w:pPr>
              <w:rPr>
                <w:rFonts w:hint="eastAsia" w:ascii="宋体" w:hAnsi="宋体"/>
                <w:sz w:val="21"/>
                <w:szCs w:val="21"/>
              </w:rPr>
            </w:pPr>
            <w:r>
              <w:rPr>
                <w:rFonts w:hint="eastAsia" w:ascii="宋体" w:hAnsi="宋体"/>
                <w:sz w:val="21"/>
                <w:szCs w:val="21"/>
              </w:rPr>
              <w:t>1、技术评分标准要量化，各项目权重合理。</w:t>
            </w:r>
          </w:p>
        </w:tc>
      </w:tr>
      <w:tr w14:paraId="215F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0627" w:type="dxa"/>
            <w:gridSpan w:val="6"/>
            <w:noWrap w:val="0"/>
            <w:vAlign w:val="top"/>
          </w:tcPr>
          <w:p w14:paraId="4D4A7DED">
            <w:pPr>
              <w:rPr>
                <w:rFonts w:hint="eastAsia" w:ascii="宋体" w:hAnsi="宋体"/>
                <w:sz w:val="21"/>
                <w:szCs w:val="21"/>
              </w:rPr>
            </w:pPr>
            <w:r>
              <w:rPr>
                <w:rFonts w:hint="eastAsia" w:ascii="宋体" w:hAnsi="宋体"/>
                <w:sz w:val="21"/>
                <w:szCs w:val="21"/>
              </w:rPr>
              <w:t>依照技术方案、质量保障、服务及其他评价内容的优先次序，根据分项评价值进行排名。若上述排名皆相同的，则由全体评委成员无记名投票，得票高者排序在前。</w:t>
            </w:r>
          </w:p>
        </w:tc>
      </w:tr>
      <w:tr w14:paraId="1687A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627" w:type="dxa"/>
            <w:gridSpan w:val="6"/>
            <w:noWrap w:val="0"/>
            <w:vAlign w:val="top"/>
          </w:tcPr>
          <w:p w14:paraId="5383A575">
            <w:pPr>
              <w:rPr>
                <w:rFonts w:hint="eastAsia" w:ascii="宋体" w:hAnsi="宋体"/>
                <w:sz w:val="21"/>
                <w:szCs w:val="21"/>
              </w:rPr>
            </w:pPr>
            <w:r>
              <w:rPr>
                <w:rFonts w:hint="eastAsia" w:ascii="宋体" w:hAnsi="宋体"/>
                <w:sz w:val="21"/>
                <w:szCs w:val="21"/>
              </w:rPr>
              <w:t>2、评委打分不得超过得分界限。</w:t>
            </w:r>
          </w:p>
        </w:tc>
      </w:tr>
      <w:tr w14:paraId="7528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46" w:type="dxa"/>
            <w:vMerge w:val="restart"/>
            <w:noWrap w:val="0"/>
            <w:vAlign w:val="center"/>
          </w:tcPr>
          <w:p w14:paraId="25D99478">
            <w:pPr>
              <w:jc w:val="center"/>
              <w:rPr>
                <w:rFonts w:hint="default" w:ascii="宋体" w:hAnsi="宋体" w:eastAsia="宋体"/>
                <w:sz w:val="21"/>
                <w:szCs w:val="21"/>
                <w:lang w:val="en-US" w:eastAsia="zh-CN"/>
              </w:rPr>
            </w:pPr>
            <w:r>
              <w:rPr>
                <w:rFonts w:hint="eastAsia" w:ascii="宋体" w:hAnsi="宋体"/>
                <w:sz w:val="21"/>
                <w:szCs w:val="21"/>
              </w:rPr>
              <w:t>技术因素</w:t>
            </w:r>
            <w:r>
              <w:rPr>
                <w:rFonts w:hint="eastAsia" w:ascii="宋体" w:hAnsi="宋体"/>
                <w:sz w:val="21"/>
                <w:szCs w:val="21"/>
                <w:lang w:eastAsia="zh-CN"/>
              </w:rPr>
              <w:t>（</w:t>
            </w:r>
            <w:r>
              <w:rPr>
                <w:rFonts w:hint="eastAsia" w:ascii="宋体" w:hAnsi="宋体"/>
                <w:sz w:val="21"/>
                <w:szCs w:val="21"/>
                <w:lang w:val="en-US" w:eastAsia="zh-CN"/>
              </w:rPr>
              <w:t>30%）</w:t>
            </w:r>
          </w:p>
        </w:tc>
        <w:tc>
          <w:tcPr>
            <w:tcW w:w="831" w:type="dxa"/>
            <w:vMerge w:val="restart"/>
            <w:noWrap w:val="0"/>
            <w:vAlign w:val="center"/>
          </w:tcPr>
          <w:p w14:paraId="09BE2193">
            <w:pPr>
              <w:jc w:val="center"/>
              <w:rPr>
                <w:rFonts w:hint="eastAsia" w:ascii="宋体" w:hAnsi="宋体"/>
                <w:sz w:val="21"/>
                <w:szCs w:val="21"/>
              </w:rPr>
            </w:pPr>
            <w:r>
              <w:rPr>
                <w:rFonts w:hint="eastAsia" w:ascii="宋体" w:hAnsi="宋体"/>
                <w:sz w:val="21"/>
                <w:szCs w:val="21"/>
              </w:rPr>
              <w:t>100</w:t>
            </w:r>
          </w:p>
        </w:tc>
        <w:tc>
          <w:tcPr>
            <w:tcW w:w="1134" w:type="dxa"/>
            <w:vMerge w:val="restart"/>
            <w:noWrap w:val="0"/>
            <w:vAlign w:val="center"/>
          </w:tcPr>
          <w:p w14:paraId="296561EC">
            <w:pPr>
              <w:jc w:val="center"/>
              <w:rPr>
                <w:rFonts w:hint="eastAsia" w:ascii="宋体" w:hAnsi="宋体"/>
                <w:sz w:val="21"/>
                <w:szCs w:val="21"/>
              </w:rPr>
            </w:pPr>
            <w:r>
              <w:rPr>
                <w:rFonts w:hint="eastAsia" w:ascii="宋体" w:hAnsi="宋体"/>
                <w:sz w:val="21"/>
                <w:szCs w:val="21"/>
              </w:rPr>
              <w:t>技术方案</w:t>
            </w:r>
          </w:p>
        </w:tc>
        <w:tc>
          <w:tcPr>
            <w:tcW w:w="1134" w:type="dxa"/>
            <w:vMerge w:val="restart"/>
            <w:noWrap w:val="0"/>
            <w:vAlign w:val="center"/>
          </w:tcPr>
          <w:p w14:paraId="69429541">
            <w:pPr>
              <w:jc w:val="center"/>
              <w:rPr>
                <w:rFonts w:hint="eastAsia" w:ascii="宋体" w:hAnsi="宋体"/>
                <w:sz w:val="21"/>
                <w:szCs w:val="21"/>
              </w:rPr>
            </w:pPr>
            <w:r>
              <w:rPr>
                <w:rFonts w:hint="eastAsia" w:ascii="宋体" w:hAnsi="宋体"/>
                <w:sz w:val="21"/>
                <w:szCs w:val="21"/>
              </w:rPr>
              <w:t>技术方案</w:t>
            </w:r>
          </w:p>
        </w:tc>
        <w:tc>
          <w:tcPr>
            <w:tcW w:w="5406" w:type="dxa"/>
            <w:noWrap w:val="0"/>
            <w:vAlign w:val="top"/>
          </w:tcPr>
          <w:p w14:paraId="2C138D62">
            <w:pPr>
              <w:rPr>
                <w:rFonts w:hint="eastAsia" w:ascii="宋体" w:hAnsi="宋体"/>
                <w:sz w:val="21"/>
                <w:szCs w:val="21"/>
              </w:rPr>
            </w:pPr>
            <w:r>
              <w:rPr>
                <w:rFonts w:hint="eastAsia" w:ascii="宋体" w:hAnsi="宋体"/>
                <w:sz w:val="21"/>
                <w:szCs w:val="21"/>
              </w:rPr>
              <w:t>技术标偏离情况只允许出现优于（即正偏离）、符合标书约定技术要求。</w:t>
            </w:r>
          </w:p>
        </w:tc>
        <w:tc>
          <w:tcPr>
            <w:tcW w:w="1276" w:type="dxa"/>
            <w:vMerge w:val="restart"/>
            <w:noWrap w:val="0"/>
            <w:vAlign w:val="center"/>
          </w:tcPr>
          <w:p w14:paraId="5A85D520">
            <w:pPr>
              <w:jc w:val="center"/>
              <w:rPr>
                <w:rFonts w:hint="eastAsia" w:ascii="宋体" w:hAnsi="宋体"/>
                <w:sz w:val="21"/>
                <w:szCs w:val="21"/>
              </w:rPr>
            </w:pPr>
            <w:r>
              <w:rPr>
                <w:rFonts w:hint="eastAsia" w:ascii="宋体" w:hAnsi="宋体"/>
                <w:sz w:val="21"/>
                <w:szCs w:val="21"/>
              </w:rPr>
              <w:t>10</w:t>
            </w:r>
          </w:p>
        </w:tc>
      </w:tr>
      <w:tr w14:paraId="5F60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46" w:type="dxa"/>
            <w:vMerge w:val="continue"/>
            <w:noWrap w:val="0"/>
            <w:vAlign w:val="center"/>
          </w:tcPr>
          <w:p w14:paraId="6AFD0A7D">
            <w:pPr>
              <w:jc w:val="center"/>
              <w:rPr>
                <w:rFonts w:ascii="宋体" w:hAnsi="宋体"/>
                <w:sz w:val="21"/>
                <w:szCs w:val="21"/>
              </w:rPr>
            </w:pPr>
          </w:p>
        </w:tc>
        <w:tc>
          <w:tcPr>
            <w:tcW w:w="831" w:type="dxa"/>
            <w:vMerge w:val="continue"/>
            <w:noWrap w:val="0"/>
            <w:vAlign w:val="center"/>
          </w:tcPr>
          <w:p w14:paraId="0696EEB4">
            <w:pPr>
              <w:jc w:val="center"/>
              <w:rPr>
                <w:rFonts w:ascii="宋体" w:hAnsi="宋体"/>
                <w:sz w:val="21"/>
                <w:szCs w:val="21"/>
              </w:rPr>
            </w:pPr>
          </w:p>
        </w:tc>
        <w:tc>
          <w:tcPr>
            <w:tcW w:w="1134" w:type="dxa"/>
            <w:vMerge w:val="continue"/>
            <w:noWrap w:val="0"/>
            <w:vAlign w:val="center"/>
          </w:tcPr>
          <w:p w14:paraId="2C552660">
            <w:pPr>
              <w:jc w:val="center"/>
              <w:rPr>
                <w:rFonts w:ascii="宋体" w:hAnsi="宋体"/>
                <w:sz w:val="21"/>
                <w:szCs w:val="21"/>
              </w:rPr>
            </w:pPr>
          </w:p>
        </w:tc>
        <w:tc>
          <w:tcPr>
            <w:tcW w:w="1134" w:type="dxa"/>
            <w:vMerge w:val="continue"/>
            <w:noWrap w:val="0"/>
            <w:vAlign w:val="center"/>
          </w:tcPr>
          <w:p w14:paraId="1BE4154D">
            <w:pPr>
              <w:jc w:val="center"/>
              <w:rPr>
                <w:rFonts w:ascii="宋体" w:hAnsi="宋体"/>
                <w:sz w:val="21"/>
                <w:szCs w:val="21"/>
              </w:rPr>
            </w:pPr>
          </w:p>
        </w:tc>
        <w:tc>
          <w:tcPr>
            <w:tcW w:w="5406" w:type="dxa"/>
            <w:noWrap w:val="0"/>
            <w:vAlign w:val="top"/>
          </w:tcPr>
          <w:p w14:paraId="764D2DA8">
            <w:pPr>
              <w:rPr>
                <w:rFonts w:hint="eastAsia" w:ascii="宋体" w:hAnsi="宋体"/>
                <w:sz w:val="21"/>
                <w:szCs w:val="21"/>
              </w:rPr>
            </w:pPr>
            <w:r>
              <w:rPr>
                <w:rFonts w:hint="eastAsia" w:ascii="宋体" w:hAnsi="宋体"/>
                <w:sz w:val="21"/>
                <w:szCs w:val="21"/>
              </w:rPr>
              <w:t>当所供技术服务优于招标文件要求，有具体可行性说明建议，得10分。完全满足标书要求，得8分。</w:t>
            </w:r>
          </w:p>
        </w:tc>
        <w:tc>
          <w:tcPr>
            <w:tcW w:w="1276" w:type="dxa"/>
            <w:vMerge w:val="continue"/>
            <w:noWrap w:val="0"/>
            <w:vAlign w:val="center"/>
          </w:tcPr>
          <w:p w14:paraId="248BE590">
            <w:pPr>
              <w:jc w:val="center"/>
              <w:rPr>
                <w:rFonts w:ascii="宋体" w:hAnsi="宋体"/>
                <w:sz w:val="21"/>
                <w:szCs w:val="21"/>
              </w:rPr>
            </w:pPr>
          </w:p>
        </w:tc>
      </w:tr>
      <w:tr w14:paraId="59076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846" w:type="dxa"/>
            <w:vMerge w:val="continue"/>
            <w:noWrap w:val="0"/>
            <w:vAlign w:val="center"/>
          </w:tcPr>
          <w:p w14:paraId="2D3DF3D8">
            <w:pPr>
              <w:jc w:val="center"/>
              <w:rPr>
                <w:rFonts w:ascii="宋体" w:hAnsi="宋体"/>
                <w:sz w:val="21"/>
                <w:szCs w:val="21"/>
              </w:rPr>
            </w:pPr>
          </w:p>
        </w:tc>
        <w:tc>
          <w:tcPr>
            <w:tcW w:w="831" w:type="dxa"/>
            <w:vMerge w:val="continue"/>
            <w:noWrap w:val="0"/>
            <w:vAlign w:val="center"/>
          </w:tcPr>
          <w:p w14:paraId="358367BF">
            <w:pPr>
              <w:jc w:val="center"/>
              <w:rPr>
                <w:rFonts w:ascii="宋体" w:hAnsi="宋体"/>
                <w:sz w:val="21"/>
                <w:szCs w:val="21"/>
              </w:rPr>
            </w:pPr>
          </w:p>
        </w:tc>
        <w:tc>
          <w:tcPr>
            <w:tcW w:w="1134" w:type="dxa"/>
            <w:vMerge w:val="continue"/>
            <w:noWrap w:val="0"/>
            <w:vAlign w:val="center"/>
          </w:tcPr>
          <w:p w14:paraId="2A61DE33">
            <w:pPr>
              <w:jc w:val="center"/>
              <w:rPr>
                <w:rFonts w:ascii="宋体" w:hAnsi="宋体"/>
                <w:sz w:val="21"/>
                <w:szCs w:val="21"/>
              </w:rPr>
            </w:pPr>
          </w:p>
        </w:tc>
        <w:tc>
          <w:tcPr>
            <w:tcW w:w="1134" w:type="dxa"/>
            <w:vMerge w:val="restart"/>
            <w:noWrap w:val="0"/>
            <w:vAlign w:val="center"/>
          </w:tcPr>
          <w:p w14:paraId="27D9C795">
            <w:pPr>
              <w:jc w:val="center"/>
              <w:rPr>
                <w:rFonts w:hint="eastAsia" w:ascii="宋体" w:hAnsi="宋体"/>
                <w:sz w:val="21"/>
                <w:szCs w:val="21"/>
              </w:rPr>
            </w:pPr>
            <w:r>
              <w:rPr>
                <w:rFonts w:hint="eastAsia" w:ascii="宋体" w:hAnsi="宋体"/>
                <w:sz w:val="21"/>
                <w:szCs w:val="21"/>
              </w:rPr>
              <w:t>项目规划</w:t>
            </w:r>
          </w:p>
        </w:tc>
        <w:tc>
          <w:tcPr>
            <w:tcW w:w="5406" w:type="dxa"/>
            <w:noWrap w:val="0"/>
            <w:vAlign w:val="top"/>
          </w:tcPr>
          <w:p w14:paraId="39061EA7">
            <w:pPr>
              <w:rPr>
                <w:rFonts w:hint="eastAsia" w:ascii="宋体" w:hAnsi="宋体" w:eastAsia="宋体"/>
                <w:sz w:val="21"/>
                <w:szCs w:val="21"/>
                <w:lang w:eastAsia="zh-CN"/>
              </w:rPr>
            </w:pPr>
            <w:r>
              <w:rPr>
                <w:rFonts w:hint="eastAsia" w:ascii="宋体" w:hAnsi="宋体"/>
                <w:sz w:val="21"/>
                <w:szCs w:val="21"/>
              </w:rPr>
              <w:t>项目总体规划实施方案（人员规划、作业流程设计、管理制度支持等）流程合理、完善、切实可行，视情况得0-20</w:t>
            </w:r>
            <w:r>
              <w:rPr>
                <w:rFonts w:hint="eastAsia" w:ascii="宋体" w:hAnsi="宋体"/>
                <w:sz w:val="21"/>
                <w:szCs w:val="21"/>
                <w:lang w:eastAsia="zh-CN"/>
              </w:rPr>
              <w:t>。</w:t>
            </w:r>
          </w:p>
        </w:tc>
        <w:tc>
          <w:tcPr>
            <w:tcW w:w="1276" w:type="dxa"/>
            <w:noWrap w:val="0"/>
            <w:vAlign w:val="center"/>
          </w:tcPr>
          <w:p w14:paraId="4638B69A">
            <w:pPr>
              <w:jc w:val="center"/>
              <w:rPr>
                <w:rFonts w:hint="eastAsia" w:ascii="宋体" w:hAnsi="宋体"/>
                <w:sz w:val="21"/>
                <w:szCs w:val="21"/>
              </w:rPr>
            </w:pPr>
            <w:r>
              <w:rPr>
                <w:rFonts w:hint="eastAsia" w:ascii="宋体" w:hAnsi="宋体"/>
                <w:sz w:val="21"/>
                <w:szCs w:val="21"/>
              </w:rPr>
              <w:t>20</w:t>
            </w:r>
          </w:p>
        </w:tc>
      </w:tr>
      <w:tr w14:paraId="19C1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846" w:type="dxa"/>
            <w:vMerge w:val="continue"/>
            <w:noWrap w:val="0"/>
            <w:vAlign w:val="center"/>
          </w:tcPr>
          <w:p w14:paraId="749BCD5B">
            <w:pPr>
              <w:jc w:val="center"/>
              <w:rPr>
                <w:rFonts w:ascii="宋体" w:hAnsi="宋体"/>
                <w:sz w:val="21"/>
                <w:szCs w:val="21"/>
              </w:rPr>
            </w:pPr>
          </w:p>
        </w:tc>
        <w:tc>
          <w:tcPr>
            <w:tcW w:w="831" w:type="dxa"/>
            <w:vMerge w:val="continue"/>
            <w:noWrap w:val="0"/>
            <w:vAlign w:val="center"/>
          </w:tcPr>
          <w:p w14:paraId="41DAF52A">
            <w:pPr>
              <w:jc w:val="center"/>
              <w:rPr>
                <w:rFonts w:ascii="宋体" w:hAnsi="宋体"/>
                <w:sz w:val="21"/>
                <w:szCs w:val="21"/>
              </w:rPr>
            </w:pPr>
          </w:p>
        </w:tc>
        <w:tc>
          <w:tcPr>
            <w:tcW w:w="1134" w:type="dxa"/>
            <w:vMerge w:val="continue"/>
            <w:noWrap w:val="0"/>
            <w:vAlign w:val="center"/>
          </w:tcPr>
          <w:p w14:paraId="2A7C85D3">
            <w:pPr>
              <w:jc w:val="center"/>
              <w:rPr>
                <w:rFonts w:ascii="宋体" w:hAnsi="宋体"/>
                <w:sz w:val="21"/>
                <w:szCs w:val="21"/>
              </w:rPr>
            </w:pPr>
          </w:p>
        </w:tc>
        <w:tc>
          <w:tcPr>
            <w:tcW w:w="1134" w:type="dxa"/>
            <w:vMerge w:val="continue"/>
            <w:noWrap w:val="0"/>
            <w:vAlign w:val="center"/>
          </w:tcPr>
          <w:p w14:paraId="1D7E891E">
            <w:pPr>
              <w:jc w:val="center"/>
              <w:rPr>
                <w:rFonts w:ascii="宋体" w:hAnsi="宋体"/>
                <w:sz w:val="21"/>
                <w:szCs w:val="21"/>
              </w:rPr>
            </w:pPr>
          </w:p>
        </w:tc>
        <w:tc>
          <w:tcPr>
            <w:tcW w:w="5406" w:type="dxa"/>
            <w:noWrap w:val="0"/>
            <w:vAlign w:val="top"/>
          </w:tcPr>
          <w:p w14:paraId="1802E750">
            <w:pPr>
              <w:rPr>
                <w:rFonts w:hint="eastAsia" w:ascii="宋体" w:hAnsi="宋体" w:eastAsia="宋体"/>
                <w:sz w:val="21"/>
                <w:szCs w:val="21"/>
                <w:lang w:eastAsia="zh-CN"/>
              </w:rPr>
            </w:pPr>
            <w:r>
              <w:rPr>
                <w:rFonts w:hint="eastAsia" w:ascii="宋体" w:hAnsi="宋体"/>
                <w:sz w:val="21"/>
                <w:szCs w:val="21"/>
              </w:rPr>
              <w:t>目标及预计取得效果，视情况得</w:t>
            </w:r>
            <w:r>
              <w:rPr>
                <w:rFonts w:ascii="宋体" w:hAnsi="宋体"/>
                <w:sz w:val="21"/>
                <w:szCs w:val="21"/>
              </w:rPr>
              <w:t>1-10</w:t>
            </w:r>
            <w:r>
              <w:rPr>
                <w:rFonts w:hint="eastAsia" w:ascii="宋体" w:hAnsi="宋体"/>
                <w:sz w:val="21"/>
                <w:szCs w:val="21"/>
                <w:lang w:eastAsia="zh-CN"/>
              </w:rPr>
              <w:t>。</w:t>
            </w:r>
          </w:p>
        </w:tc>
        <w:tc>
          <w:tcPr>
            <w:tcW w:w="1276" w:type="dxa"/>
            <w:noWrap w:val="0"/>
            <w:vAlign w:val="center"/>
          </w:tcPr>
          <w:p w14:paraId="1E5FD83E">
            <w:pPr>
              <w:jc w:val="center"/>
              <w:rPr>
                <w:rFonts w:hint="eastAsia" w:ascii="宋体" w:hAnsi="宋体"/>
                <w:sz w:val="21"/>
                <w:szCs w:val="21"/>
              </w:rPr>
            </w:pPr>
            <w:r>
              <w:rPr>
                <w:rFonts w:ascii="宋体" w:hAnsi="宋体"/>
                <w:sz w:val="21"/>
                <w:szCs w:val="21"/>
              </w:rPr>
              <w:t>10</w:t>
            </w:r>
          </w:p>
        </w:tc>
      </w:tr>
      <w:tr w14:paraId="635E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6" w:type="dxa"/>
            <w:vMerge w:val="continue"/>
            <w:noWrap w:val="0"/>
            <w:vAlign w:val="center"/>
          </w:tcPr>
          <w:p w14:paraId="3C58F907">
            <w:pPr>
              <w:jc w:val="center"/>
              <w:rPr>
                <w:rFonts w:ascii="宋体" w:hAnsi="宋体"/>
                <w:sz w:val="21"/>
                <w:szCs w:val="21"/>
              </w:rPr>
            </w:pPr>
          </w:p>
        </w:tc>
        <w:tc>
          <w:tcPr>
            <w:tcW w:w="831" w:type="dxa"/>
            <w:vMerge w:val="continue"/>
            <w:noWrap w:val="0"/>
            <w:vAlign w:val="center"/>
          </w:tcPr>
          <w:p w14:paraId="12EB49DF">
            <w:pPr>
              <w:jc w:val="center"/>
              <w:rPr>
                <w:rFonts w:ascii="宋体" w:hAnsi="宋体"/>
                <w:sz w:val="21"/>
                <w:szCs w:val="21"/>
              </w:rPr>
            </w:pPr>
          </w:p>
        </w:tc>
        <w:tc>
          <w:tcPr>
            <w:tcW w:w="1134" w:type="dxa"/>
            <w:vMerge w:val="continue"/>
            <w:noWrap w:val="0"/>
            <w:vAlign w:val="center"/>
          </w:tcPr>
          <w:p w14:paraId="06D6073E">
            <w:pPr>
              <w:jc w:val="center"/>
              <w:rPr>
                <w:rFonts w:ascii="宋体" w:hAnsi="宋体"/>
                <w:sz w:val="21"/>
                <w:szCs w:val="21"/>
              </w:rPr>
            </w:pPr>
          </w:p>
        </w:tc>
        <w:tc>
          <w:tcPr>
            <w:tcW w:w="1134" w:type="dxa"/>
            <w:vMerge w:val="continue"/>
            <w:noWrap w:val="0"/>
            <w:vAlign w:val="center"/>
          </w:tcPr>
          <w:p w14:paraId="45EEF0BB">
            <w:pPr>
              <w:jc w:val="center"/>
              <w:rPr>
                <w:rFonts w:ascii="宋体" w:hAnsi="宋体"/>
                <w:sz w:val="21"/>
                <w:szCs w:val="21"/>
              </w:rPr>
            </w:pPr>
          </w:p>
        </w:tc>
        <w:tc>
          <w:tcPr>
            <w:tcW w:w="5406" w:type="dxa"/>
            <w:noWrap w:val="0"/>
            <w:vAlign w:val="top"/>
          </w:tcPr>
          <w:p w14:paraId="3A0934A4">
            <w:pPr>
              <w:rPr>
                <w:rFonts w:hint="eastAsia" w:ascii="宋体" w:hAnsi="宋体" w:eastAsia="宋体"/>
                <w:sz w:val="21"/>
                <w:szCs w:val="21"/>
                <w:lang w:eastAsia="zh-CN"/>
              </w:rPr>
            </w:pPr>
            <w:r>
              <w:rPr>
                <w:rFonts w:hint="eastAsia" w:ascii="宋体" w:hAnsi="宋体"/>
                <w:sz w:val="21"/>
                <w:szCs w:val="21"/>
              </w:rPr>
              <w:t>深度合作方案、持续降本措施，视情况得</w:t>
            </w:r>
            <w:r>
              <w:rPr>
                <w:rFonts w:ascii="宋体" w:hAnsi="宋体"/>
                <w:sz w:val="21"/>
                <w:szCs w:val="21"/>
              </w:rPr>
              <w:t>1-10</w:t>
            </w:r>
            <w:r>
              <w:rPr>
                <w:rFonts w:hint="eastAsia" w:ascii="宋体" w:hAnsi="宋体"/>
                <w:sz w:val="21"/>
                <w:szCs w:val="21"/>
                <w:lang w:eastAsia="zh-CN"/>
              </w:rPr>
              <w:t>。</w:t>
            </w:r>
          </w:p>
        </w:tc>
        <w:tc>
          <w:tcPr>
            <w:tcW w:w="1276" w:type="dxa"/>
            <w:noWrap w:val="0"/>
            <w:vAlign w:val="center"/>
          </w:tcPr>
          <w:p w14:paraId="688A8C51">
            <w:pPr>
              <w:jc w:val="center"/>
              <w:rPr>
                <w:rFonts w:hint="eastAsia" w:ascii="宋体" w:hAnsi="宋体"/>
                <w:sz w:val="21"/>
                <w:szCs w:val="21"/>
              </w:rPr>
            </w:pPr>
            <w:r>
              <w:rPr>
                <w:rFonts w:hint="eastAsia" w:ascii="宋体" w:hAnsi="宋体"/>
                <w:sz w:val="21"/>
                <w:szCs w:val="21"/>
              </w:rPr>
              <w:t>10</w:t>
            </w:r>
          </w:p>
        </w:tc>
      </w:tr>
      <w:tr w14:paraId="07C7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46" w:type="dxa"/>
            <w:vMerge w:val="continue"/>
            <w:noWrap w:val="0"/>
            <w:vAlign w:val="center"/>
          </w:tcPr>
          <w:p w14:paraId="6BF34D7A">
            <w:pPr>
              <w:jc w:val="center"/>
              <w:rPr>
                <w:rFonts w:ascii="宋体" w:hAnsi="宋体"/>
                <w:sz w:val="21"/>
                <w:szCs w:val="21"/>
              </w:rPr>
            </w:pPr>
          </w:p>
        </w:tc>
        <w:tc>
          <w:tcPr>
            <w:tcW w:w="831" w:type="dxa"/>
            <w:vMerge w:val="continue"/>
            <w:noWrap w:val="0"/>
            <w:vAlign w:val="center"/>
          </w:tcPr>
          <w:p w14:paraId="5BC03861">
            <w:pPr>
              <w:jc w:val="center"/>
              <w:rPr>
                <w:rFonts w:ascii="宋体" w:hAnsi="宋体"/>
                <w:sz w:val="21"/>
                <w:szCs w:val="21"/>
              </w:rPr>
            </w:pPr>
          </w:p>
        </w:tc>
        <w:tc>
          <w:tcPr>
            <w:tcW w:w="2268" w:type="dxa"/>
            <w:gridSpan w:val="2"/>
            <w:vMerge w:val="restart"/>
            <w:noWrap w:val="0"/>
            <w:vAlign w:val="center"/>
          </w:tcPr>
          <w:p w14:paraId="68BCD11F">
            <w:pPr>
              <w:jc w:val="center"/>
              <w:rPr>
                <w:rFonts w:hint="eastAsia" w:ascii="宋体" w:hAnsi="宋体"/>
                <w:sz w:val="21"/>
                <w:szCs w:val="21"/>
              </w:rPr>
            </w:pPr>
            <w:r>
              <w:rPr>
                <w:rFonts w:hint="eastAsia" w:ascii="宋体" w:hAnsi="宋体"/>
                <w:sz w:val="21"/>
                <w:szCs w:val="21"/>
              </w:rPr>
              <w:t>质量保障</w:t>
            </w:r>
          </w:p>
        </w:tc>
        <w:tc>
          <w:tcPr>
            <w:tcW w:w="5406" w:type="dxa"/>
            <w:noWrap w:val="0"/>
            <w:vAlign w:val="top"/>
          </w:tcPr>
          <w:p w14:paraId="1D06753B">
            <w:pPr>
              <w:rPr>
                <w:rFonts w:hint="eastAsia" w:ascii="宋体" w:hAnsi="宋体"/>
                <w:sz w:val="21"/>
                <w:szCs w:val="21"/>
              </w:rPr>
            </w:pPr>
            <w:r>
              <w:rPr>
                <w:rFonts w:hint="eastAsia" w:ascii="宋体" w:hAnsi="宋体"/>
                <w:sz w:val="21"/>
                <w:szCs w:val="21"/>
              </w:rPr>
              <w:t>质量保证体系完整，措施有力，能有项目控制计划和质量保证相关承诺。根据提供的资料从优到劣进行综合评审排序，自主赋分0</w:t>
            </w:r>
            <w:r>
              <w:rPr>
                <w:rFonts w:ascii="宋体" w:hAnsi="宋体"/>
                <w:sz w:val="21"/>
                <w:szCs w:val="21"/>
              </w:rPr>
              <w:t>-20</w:t>
            </w:r>
            <w:r>
              <w:rPr>
                <w:rFonts w:hint="eastAsia" w:ascii="宋体" w:hAnsi="宋体"/>
                <w:sz w:val="21"/>
                <w:szCs w:val="21"/>
              </w:rPr>
              <w:t>。</w:t>
            </w:r>
          </w:p>
        </w:tc>
        <w:tc>
          <w:tcPr>
            <w:tcW w:w="1276" w:type="dxa"/>
            <w:noWrap w:val="0"/>
            <w:vAlign w:val="center"/>
          </w:tcPr>
          <w:p w14:paraId="1A6CC066">
            <w:pPr>
              <w:jc w:val="center"/>
              <w:rPr>
                <w:rFonts w:hint="eastAsia" w:ascii="宋体" w:hAnsi="宋体"/>
                <w:sz w:val="21"/>
                <w:szCs w:val="21"/>
              </w:rPr>
            </w:pPr>
            <w:r>
              <w:rPr>
                <w:rFonts w:hint="eastAsia" w:ascii="宋体" w:hAnsi="宋体"/>
                <w:sz w:val="21"/>
                <w:szCs w:val="21"/>
              </w:rPr>
              <w:t>20</w:t>
            </w:r>
          </w:p>
        </w:tc>
      </w:tr>
      <w:tr w14:paraId="4E58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46" w:type="dxa"/>
            <w:vMerge w:val="continue"/>
            <w:noWrap w:val="0"/>
            <w:vAlign w:val="center"/>
          </w:tcPr>
          <w:p w14:paraId="5D3758E8">
            <w:pPr>
              <w:jc w:val="center"/>
              <w:rPr>
                <w:rFonts w:ascii="宋体" w:hAnsi="宋体"/>
                <w:sz w:val="21"/>
                <w:szCs w:val="21"/>
              </w:rPr>
            </w:pPr>
          </w:p>
        </w:tc>
        <w:tc>
          <w:tcPr>
            <w:tcW w:w="831" w:type="dxa"/>
            <w:vMerge w:val="continue"/>
            <w:noWrap w:val="0"/>
            <w:vAlign w:val="center"/>
          </w:tcPr>
          <w:p w14:paraId="26CABD7B">
            <w:pPr>
              <w:jc w:val="center"/>
              <w:rPr>
                <w:rFonts w:ascii="宋体" w:hAnsi="宋体"/>
                <w:sz w:val="21"/>
                <w:szCs w:val="21"/>
              </w:rPr>
            </w:pPr>
          </w:p>
        </w:tc>
        <w:tc>
          <w:tcPr>
            <w:tcW w:w="2268" w:type="dxa"/>
            <w:gridSpan w:val="2"/>
            <w:vMerge w:val="continue"/>
            <w:noWrap w:val="0"/>
            <w:vAlign w:val="center"/>
          </w:tcPr>
          <w:p w14:paraId="6EE8CC32">
            <w:pPr>
              <w:jc w:val="center"/>
              <w:rPr>
                <w:rFonts w:hint="eastAsia" w:ascii="宋体" w:hAnsi="宋体"/>
                <w:sz w:val="21"/>
                <w:szCs w:val="21"/>
              </w:rPr>
            </w:pPr>
          </w:p>
        </w:tc>
        <w:tc>
          <w:tcPr>
            <w:tcW w:w="5406" w:type="dxa"/>
            <w:noWrap w:val="0"/>
            <w:vAlign w:val="top"/>
          </w:tcPr>
          <w:p w14:paraId="0B1AA704">
            <w:pPr>
              <w:rPr>
                <w:rFonts w:hint="eastAsia" w:ascii="宋体" w:hAnsi="宋体"/>
                <w:sz w:val="21"/>
                <w:szCs w:val="21"/>
              </w:rPr>
            </w:pPr>
            <w:r>
              <w:rPr>
                <w:rFonts w:hint="eastAsia" w:ascii="宋体" w:hAnsi="宋体"/>
                <w:sz w:val="21"/>
                <w:szCs w:val="21"/>
              </w:rPr>
              <w:t>喷涂作业能力、应急服务满足招标文件要求，合理有效、切实可行，自主赋分0</w:t>
            </w:r>
            <w:r>
              <w:rPr>
                <w:rFonts w:ascii="宋体" w:hAnsi="宋体"/>
                <w:sz w:val="21"/>
                <w:szCs w:val="21"/>
              </w:rPr>
              <w:t>-10</w:t>
            </w:r>
            <w:r>
              <w:rPr>
                <w:rFonts w:hint="eastAsia" w:ascii="宋体" w:hAnsi="宋体"/>
                <w:sz w:val="21"/>
                <w:szCs w:val="21"/>
              </w:rPr>
              <w:t>。</w:t>
            </w:r>
          </w:p>
        </w:tc>
        <w:tc>
          <w:tcPr>
            <w:tcW w:w="1276" w:type="dxa"/>
            <w:noWrap w:val="0"/>
            <w:vAlign w:val="center"/>
          </w:tcPr>
          <w:p w14:paraId="387E5144">
            <w:pPr>
              <w:jc w:val="center"/>
              <w:rPr>
                <w:rFonts w:hint="eastAsia" w:ascii="宋体" w:hAnsi="宋体"/>
                <w:sz w:val="21"/>
                <w:szCs w:val="21"/>
              </w:rPr>
            </w:pPr>
            <w:r>
              <w:rPr>
                <w:rFonts w:hint="eastAsia" w:ascii="宋体" w:hAnsi="宋体"/>
                <w:sz w:val="21"/>
                <w:szCs w:val="21"/>
              </w:rPr>
              <w:t>10</w:t>
            </w:r>
          </w:p>
        </w:tc>
      </w:tr>
      <w:tr w14:paraId="1C14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846" w:type="dxa"/>
            <w:vMerge w:val="continue"/>
            <w:noWrap w:val="0"/>
            <w:vAlign w:val="center"/>
          </w:tcPr>
          <w:p w14:paraId="1EC389E5">
            <w:pPr>
              <w:jc w:val="center"/>
              <w:rPr>
                <w:rFonts w:ascii="宋体" w:hAnsi="宋体"/>
                <w:sz w:val="21"/>
                <w:szCs w:val="21"/>
              </w:rPr>
            </w:pPr>
          </w:p>
        </w:tc>
        <w:tc>
          <w:tcPr>
            <w:tcW w:w="831" w:type="dxa"/>
            <w:vMerge w:val="continue"/>
            <w:noWrap w:val="0"/>
            <w:vAlign w:val="center"/>
          </w:tcPr>
          <w:p w14:paraId="38C7ED68">
            <w:pPr>
              <w:jc w:val="center"/>
              <w:rPr>
                <w:rFonts w:ascii="宋体" w:hAnsi="宋体"/>
                <w:sz w:val="21"/>
                <w:szCs w:val="21"/>
              </w:rPr>
            </w:pPr>
          </w:p>
        </w:tc>
        <w:tc>
          <w:tcPr>
            <w:tcW w:w="2268" w:type="dxa"/>
            <w:gridSpan w:val="2"/>
            <w:noWrap w:val="0"/>
            <w:vAlign w:val="center"/>
          </w:tcPr>
          <w:p w14:paraId="2B5D395A">
            <w:pPr>
              <w:jc w:val="center"/>
              <w:rPr>
                <w:rFonts w:hint="eastAsia" w:ascii="宋体" w:hAnsi="宋体"/>
                <w:sz w:val="21"/>
                <w:szCs w:val="21"/>
              </w:rPr>
            </w:pPr>
            <w:r>
              <w:rPr>
                <w:rFonts w:hint="eastAsia" w:ascii="宋体" w:hAnsi="宋体"/>
                <w:sz w:val="21"/>
                <w:szCs w:val="21"/>
              </w:rPr>
              <w:t>项目管理</w:t>
            </w:r>
          </w:p>
        </w:tc>
        <w:tc>
          <w:tcPr>
            <w:tcW w:w="5406" w:type="dxa"/>
            <w:noWrap w:val="0"/>
            <w:vAlign w:val="top"/>
          </w:tcPr>
          <w:p w14:paraId="562B7B34">
            <w:pPr>
              <w:rPr>
                <w:rFonts w:hint="default" w:ascii="宋体" w:hAnsi="宋体" w:eastAsia="宋体"/>
                <w:sz w:val="21"/>
                <w:szCs w:val="21"/>
                <w:lang w:val="en-US" w:eastAsia="zh-CN"/>
              </w:rPr>
            </w:pPr>
            <w:r>
              <w:rPr>
                <w:rFonts w:hint="eastAsia" w:ascii="宋体" w:hAnsi="宋体"/>
                <w:sz w:val="21"/>
                <w:szCs w:val="21"/>
              </w:rPr>
              <w:t>保证现场按5S标准管理，有管理流程或文件要求，根据流程或文件覆盖度、详细度，自主赋分1-</w:t>
            </w:r>
            <w:r>
              <w:rPr>
                <w:rFonts w:hint="eastAsia" w:ascii="宋体" w:hAnsi="宋体"/>
                <w:sz w:val="21"/>
                <w:szCs w:val="21"/>
                <w:lang w:val="en-US" w:eastAsia="zh-CN"/>
              </w:rPr>
              <w:t>10。</w:t>
            </w:r>
          </w:p>
        </w:tc>
        <w:tc>
          <w:tcPr>
            <w:tcW w:w="1276" w:type="dxa"/>
            <w:noWrap w:val="0"/>
            <w:vAlign w:val="center"/>
          </w:tcPr>
          <w:p w14:paraId="587E6901">
            <w:pPr>
              <w:jc w:val="center"/>
              <w:rPr>
                <w:rFonts w:hint="default" w:ascii="宋体" w:hAnsi="宋体" w:eastAsia="宋体"/>
                <w:sz w:val="21"/>
                <w:szCs w:val="21"/>
                <w:lang w:val="en-US" w:eastAsia="zh-CN"/>
              </w:rPr>
            </w:pPr>
            <w:r>
              <w:rPr>
                <w:rFonts w:hint="eastAsia" w:ascii="宋体" w:hAnsi="宋体"/>
                <w:sz w:val="21"/>
                <w:szCs w:val="21"/>
                <w:lang w:val="en-US" w:eastAsia="zh-CN"/>
              </w:rPr>
              <w:t>10</w:t>
            </w:r>
          </w:p>
        </w:tc>
      </w:tr>
      <w:tr w14:paraId="55BC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846" w:type="dxa"/>
            <w:vMerge w:val="continue"/>
            <w:noWrap w:val="0"/>
            <w:vAlign w:val="center"/>
          </w:tcPr>
          <w:p w14:paraId="57EFB739">
            <w:pPr>
              <w:jc w:val="center"/>
              <w:rPr>
                <w:rFonts w:ascii="宋体" w:hAnsi="宋体"/>
                <w:sz w:val="21"/>
                <w:szCs w:val="21"/>
              </w:rPr>
            </w:pPr>
          </w:p>
        </w:tc>
        <w:tc>
          <w:tcPr>
            <w:tcW w:w="831" w:type="dxa"/>
            <w:vMerge w:val="continue"/>
            <w:noWrap w:val="0"/>
            <w:vAlign w:val="center"/>
          </w:tcPr>
          <w:p w14:paraId="3D660327">
            <w:pPr>
              <w:jc w:val="center"/>
              <w:rPr>
                <w:rFonts w:ascii="宋体" w:hAnsi="宋体"/>
                <w:sz w:val="21"/>
                <w:szCs w:val="21"/>
              </w:rPr>
            </w:pPr>
          </w:p>
        </w:tc>
        <w:tc>
          <w:tcPr>
            <w:tcW w:w="2268" w:type="dxa"/>
            <w:gridSpan w:val="2"/>
            <w:noWrap w:val="0"/>
            <w:vAlign w:val="center"/>
          </w:tcPr>
          <w:p w14:paraId="31EB007C">
            <w:pPr>
              <w:jc w:val="center"/>
              <w:rPr>
                <w:rFonts w:hint="eastAsia" w:ascii="宋体" w:hAnsi="宋体"/>
                <w:sz w:val="21"/>
                <w:szCs w:val="21"/>
              </w:rPr>
            </w:pPr>
            <w:r>
              <w:rPr>
                <w:rFonts w:hint="eastAsia" w:ascii="宋体" w:hAnsi="宋体"/>
                <w:sz w:val="21"/>
                <w:szCs w:val="21"/>
              </w:rPr>
              <w:t>业绩</w:t>
            </w:r>
          </w:p>
        </w:tc>
        <w:tc>
          <w:tcPr>
            <w:tcW w:w="5406" w:type="dxa"/>
            <w:noWrap w:val="0"/>
            <w:vAlign w:val="top"/>
          </w:tcPr>
          <w:p w14:paraId="50C21FC1">
            <w:pPr>
              <w:rPr>
                <w:rFonts w:hint="eastAsia" w:ascii="宋体" w:hAnsi="宋体"/>
                <w:sz w:val="21"/>
                <w:szCs w:val="21"/>
              </w:rPr>
            </w:pPr>
            <w:r>
              <w:rPr>
                <w:rFonts w:hint="eastAsia" w:ascii="宋体" w:hAnsi="宋体"/>
                <w:sz w:val="21"/>
                <w:szCs w:val="21"/>
              </w:rPr>
              <w:t>提供3份以上投标同类业绩，得10分；提供3份得6分；提供2份得4分；提供1份证明材料的，得2分；无证明材料的，不得分。</w:t>
            </w:r>
          </w:p>
        </w:tc>
        <w:tc>
          <w:tcPr>
            <w:tcW w:w="1276" w:type="dxa"/>
            <w:noWrap w:val="0"/>
            <w:vAlign w:val="center"/>
          </w:tcPr>
          <w:p w14:paraId="6D32FE6D">
            <w:pPr>
              <w:jc w:val="center"/>
              <w:rPr>
                <w:rFonts w:hint="eastAsia" w:ascii="宋体" w:hAnsi="宋体"/>
                <w:sz w:val="21"/>
                <w:szCs w:val="21"/>
              </w:rPr>
            </w:pPr>
            <w:r>
              <w:rPr>
                <w:rFonts w:hint="eastAsia" w:ascii="宋体" w:hAnsi="宋体"/>
                <w:sz w:val="21"/>
                <w:szCs w:val="21"/>
              </w:rPr>
              <w:t>10</w:t>
            </w:r>
          </w:p>
        </w:tc>
      </w:tr>
      <w:tr w14:paraId="09F3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627" w:type="dxa"/>
            <w:gridSpan w:val="6"/>
            <w:noWrap w:val="0"/>
            <w:vAlign w:val="top"/>
          </w:tcPr>
          <w:p w14:paraId="3E8207FB">
            <w:pPr>
              <w:numPr>
                <w:ilvl w:val="0"/>
                <w:numId w:val="28"/>
              </w:numP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技术标评分标准如上，商务标评分标准：当前轮次投标报价最低的投标报价为评标基准价，其价格分为100分（标准分）。其他投标人的价格分统一按照下列公式计算：投标报价得分=(评标基准价／投标报价)×100。</w:t>
            </w:r>
          </w:p>
          <w:p w14:paraId="04729922">
            <w:pPr>
              <w:numPr>
                <w:ilvl w:val="0"/>
                <w:numId w:val="0"/>
              </w:numPr>
              <w:rPr>
                <w:rFonts w:hint="default" w:ascii="宋体" w:hAnsi="宋体" w:eastAsia="宋体"/>
                <w:b/>
                <w:bCs/>
                <w:sz w:val="21"/>
                <w:szCs w:val="21"/>
                <w:lang w:val="en-US" w:eastAsia="zh-CN"/>
              </w:rPr>
            </w:pPr>
            <w:r>
              <w:rPr>
                <w:rFonts w:hint="eastAsia" w:ascii="宋体" w:hAnsi="宋体" w:eastAsia="宋体" w:cs="宋体"/>
                <w:sz w:val="20"/>
                <w:szCs w:val="20"/>
                <w:lang w:val="en-US" w:eastAsia="zh-CN"/>
              </w:rPr>
              <w:t>2、采用综合评标法：技术标分数占比30%；商务标分数占比：70%。小数点后保留二位，第三位四舍五入。</w:t>
            </w:r>
          </w:p>
        </w:tc>
      </w:tr>
      <w:tr w14:paraId="50CA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627" w:type="dxa"/>
            <w:gridSpan w:val="6"/>
            <w:noWrap w:val="0"/>
            <w:vAlign w:val="top"/>
          </w:tcPr>
          <w:p w14:paraId="69E28AD5">
            <w:pPr>
              <w:rPr>
                <w:rFonts w:hint="eastAsia" w:ascii="宋体" w:hAnsi="宋体"/>
                <w:b/>
                <w:bCs/>
                <w:sz w:val="21"/>
                <w:szCs w:val="21"/>
              </w:rPr>
            </w:pPr>
            <w:r>
              <w:rPr>
                <w:rFonts w:hint="eastAsia" w:ascii="宋体" w:hAnsi="宋体"/>
                <w:b/>
                <w:bCs/>
                <w:sz w:val="21"/>
                <w:szCs w:val="21"/>
                <w:lang w:val="en-US" w:eastAsia="zh-CN"/>
              </w:rPr>
              <w:t>二</w:t>
            </w:r>
            <w:r>
              <w:rPr>
                <w:rFonts w:hint="eastAsia" w:ascii="宋体" w:hAnsi="宋体"/>
                <w:b/>
                <w:bCs/>
                <w:sz w:val="21"/>
                <w:szCs w:val="21"/>
              </w:rPr>
              <w:t>、整体要求</w:t>
            </w:r>
          </w:p>
        </w:tc>
      </w:tr>
      <w:tr w14:paraId="65DB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0627" w:type="dxa"/>
            <w:gridSpan w:val="6"/>
            <w:noWrap w:val="0"/>
            <w:vAlign w:val="top"/>
          </w:tcPr>
          <w:p w14:paraId="4E633887">
            <w:pPr>
              <w:rPr>
                <w:rFonts w:hint="eastAsia" w:ascii="宋体" w:hAnsi="宋体"/>
                <w:sz w:val="21"/>
                <w:szCs w:val="21"/>
              </w:rPr>
            </w:pPr>
            <w:r>
              <w:rPr>
                <w:rFonts w:hint="eastAsia" w:ascii="宋体" w:hAnsi="宋体"/>
                <w:sz w:val="21"/>
                <w:szCs w:val="21"/>
              </w:rPr>
              <w:t>1、各投标单位应符合投标资格，通过资格审核且缴纳投标保证金方为有效投标。</w:t>
            </w:r>
          </w:p>
        </w:tc>
      </w:tr>
      <w:tr w14:paraId="558A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627" w:type="dxa"/>
            <w:gridSpan w:val="6"/>
            <w:noWrap w:val="0"/>
            <w:vAlign w:val="top"/>
          </w:tcPr>
          <w:p w14:paraId="6C152875">
            <w:pPr>
              <w:rPr>
                <w:rFonts w:hint="eastAsia" w:ascii="宋体" w:hAnsi="宋体"/>
                <w:sz w:val="21"/>
                <w:szCs w:val="21"/>
              </w:rPr>
            </w:pPr>
            <w:r>
              <w:rPr>
                <w:rFonts w:hint="eastAsia" w:ascii="宋体" w:hAnsi="宋体"/>
                <w:sz w:val="21"/>
                <w:szCs w:val="21"/>
              </w:rPr>
              <w:t>2、投标单位提交的投标文件和资料必须真实有效。</w:t>
            </w:r>
          </w:p>
        </w:tc>
      </w:tr>
      <w:tr w14:paraId="4023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0627" w:type="dxa"/>
            <w:gridSpan w:val="6"/>
            <w:noWrap w:val="0"/>
            <w:vAlign w:val="top"/>
          </w:tcPr>
          <w:p w14:paraId="7DDAF652">
            <w:pPr>
              <w:numPr>
                <w:ilvl w:val="0"/>
                <w:numId w:val="0"/>
              </w:numPr>
              <w:rPr>
                <w:rFonts w:hint="default" w:ascii="宋体" w:hAnsi="宋体" w:eastAsia="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合同签订前，招标方有权组织联合小组（财务、技术、设备、质量等）到中标候选人实地审核，如发现投标文件和资料有弄虚作假，招标方有权取消其中标候选人资格，同时招标方有权扣留其投标保证金。</w:t>
            </w:r>
          </w:p>
        </w:tc>
      </w:tr>
    </w:tbl>
    <w:p w14:paraId="375BE0C3">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7"/>
      <w:bookmarkStart w:id="12" w:name="OLE_LINK28"/>
      <w:bookmarkStart w:id="13" w:name="OLE_LINK26"/>
      <w:bookmarkStart w:id="14" w:name="OLE_LINK29"/>
      <w:bookmarkStart w:id="15" w:name="OLE_LINK25"/>
      <w:r>
        <w:rPr>
          <w:rFonts w:hint="eastAsia" w:ascii="宋体" w:hAnsi="宋体" w:eastAsia="宋体" w:cs="宋体"/>
          <w:bCs/>
          <w:sz w:val="21"/>
          <w:szCs w:val="21"/>
          <w:highlight w:val="none"/>
        </w:rPr>
        <w:t>；</w:t>
      </w:r>
      <w:bookmarkEnd w:id="11"/>
      <w:bookmarkEnd w:id="12"/>
      <w:bookmarkEnd w:id="13"/>
      <w:bookmarkEnd w:id="14"/>
      <w:bookmarkEnd w:id="15"/>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463DA3A7">
      <w:pPr>
        <w:pStyle w:val="72"/>
      </w:pPr>
      <w:r>
        <w:rPr>
          <w:rFonts w:hint="eastAsia"/>
          <w:lang w:val="en-US" w:eastAsia="zh-CN"/>
        </w:rPr>
        <w:t>交货及付款</w:t>
      </w:r>
    </w:p>
    <w:p w14:paraId="1494B402">
      <w:pPr>
        <w:pStyle w:val="72"/>
        <w:numPr>
          <w:ilvl w:val="0"/>
          <w:numId w:val="29"/>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highlight w:val="yellow"/>
          <w:lang w:val="en-US" w:eastAsia="zh-CN"/>
        </w:rPr>
        <w:t>付款节点：</w:t>
      </w:r>
    </w:p>
    <w:p w14:paraId="16608A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45C26BF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ascii="宋体" w:hAnsi="宋体" w:eastAsia="宋体" w:cs="宋体"/>
          <w:sz w:val="21"/>
          <w:szCs w:val="21"/>
          <w:highlight w:val="yellow"/>
          <w:lang w:val="en-US" w:eastAsia="zh-CN"/>
        </w:rPr>
      </w:pPr>
      <w:r>
        <w:rPr>
          <w:rFonts w:hint="eastAsia" w:ascii="宋体" w:hAnsi="宋体" w:cs="宋体"/>
          <w:sz w:val="21"/>
          <w:szCs w:val="21"/>
          <w:highlight w:val="yellow"/>
          <w:lang w:val="en-US" w:eastAsia="zh-CN"/>
        </w:rPr>
        <w:t>2.其他</w:t>
      </w:r>
    </w:p>
    <w:p w14:paraId="593D760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一）投标人可以根据自身的技术、经验等优势以及对本招标文件及服务要求的理解，写明本招标项目应进行的优于本招标文件服务要求的其它方案或建议意见；投标人的这些努力，招标人表示感谢，并将有助于投标人优先胜出。</w:t>
      </w:r>
    </w:p>
    <w:p w14:paraId="401A5D84">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（二）即使有建议意见或建议方案，仍应依据本技术规范书和招标文件要求，编写符合要求的投标文件。建议方案或建议意见应以单独篇章或文件，予以说明。</w:t>
      </w:r>
    </w:p>
    <w:p w14:paraId="110349A9">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（三）价格与支付</w:t>
      </w:r>
    </w:p>
    <w:p w14:paraId="1B748C39">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1、合同价格指的是中后桥分装的服务费用，人员、设备、劳保护品、工位器具费用由承包商承担。</w:t>
      </w:r>
    </w:p>
    <w:p w14:paraId="50FF5046">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2、此次招标，费用为XX桥型分装价格XX元/件（不含税价），XX桥型分装价格XX元/件（含税价）。投标人最终报价应以不同桥型分装单价明细形式体现。</w:t>
      </w:r>
    </w:p>
    <w:p w14:paraId="4CC864C1">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合计不含税总价为：XX万元（计算逻辑：党家庄工厂各桥型分装单价*发交量）（中桥34085件，后桥36123件），含税总价为：XX万元。</w:t>
      </w:r>
    </w:p>
    <w:p w14:paraId="02B094DD">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注：在招标人E采通中填写的报价为总价（万元，含税）。E采通系统中投标方报价上限：总计为178.07万元（含税）。</w:t>
      </w:r>
    </w:p>
    <w:p w14:paraId="06E28BFB">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付款结算方法：半年期商业汇票（包含银行承兑和商业承兑），挂账90天内付款。按整车生产管理系统月度整车下线数量为结算依据，按月（每月最后一天为结点）结算上月外包费用，中标人每月10日前开具增值税专用发票。增值税税率按照结算时国家规定税率执行，投标人开具金额为合同总价格100%的加工承揽类增值税专用发票，（如出现考核项，则为扣除相应考核款后金额）。</w:t>
      </w:r>
    </w:p>
    <w:p w14:paraId="002C952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（四）转包及分包</w:t>
      </w:r>
    </w:p>
    <w:p w14:paraId="18067C6A">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1、本工程严禁转包行为，如发现转包行为，招标人可终止合同，投标人将承担一切损失及相关法律责任。</w:t>
      </w:r>
    </w:p>
    <w:p w14:paraId="5F34217B">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2、严格限制分包。中标后不准分包，否则招标人可终止合同，投标人将承担一切损失及相关法律责任。</w:t>
      </w:r>
    </w:p>
    <w:p w14:paraId="62A39BAC">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五）本项业务预算≥178万元，履约保证金9万元。中标后，因自身经营原因主动提出退出的，需提前6个月提出退出书面申请，由业务主体责任方确定无其他违约责任，将保证金一次性无息100%返还中标方；提前3个月提出退出书面申请的，由业务主体责任方确定无其他违约责任，将保证金一次性无息90%返还供方；提出申请时间不足3个月的，供方在服务期间的履约保证金不予返还。</w:t>
      </w:r>
    </w:p>
    <w:p w14:paraId="00FBE1A1">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经卡车公司相关部门评审，同意供方退出的，由业务主体责任方立即组织新供方的招标和引入。在招标期间和业务交接期间（交接期为3个月），原供方须无条件配合业务交接工作，确保业务正常运转。对于交接期间出现影响生产的情况，交接期第1个月由原供方承担70%责任，新供方承担 30%责任；交接期第2 个月，由原供方承担50%责任，新供方承担50%责任；交接期第 3 个月，由原供方承担30%责任，新供方承担70%责任。</w:t>
      </w:r>
    </w:p>
    <w:p w14:paraId="6E0D7439">
      <w:pPr>
        <w:pStyle w:val="72"/>
        <w:rPr>
          <w:rFonts w:hint="eastAsia"/>
          <w:lang w:val="en-US" w:eastAsia="zh-CN"/>
        </w:rPr>
      </w:pPr>
      <w:r>
        <w:rPr>
          <w:rFonts w:hint="eastAsia"/>
          <w:lang w:val="en-US" w:eastAsia="zh-CN"/>
        </w:rPr>
        <w:t>本次招标最终解释权归中国重汽集团济南卡车股份有限公司制造公司。</w:t>
      </w:r>
    </w:p>
    <w:p w14:paraId="66BCACD8">
      <w:pPr>
        <w:pStyle w:val="76"/>
      </w:pPr>
    </w:p>
    <w:p w14:paraId="07A4B493">
      <w:pPr>
        <w:pStyle w:val="71"/>
        <w:jc w:val="both"/>
        <w:rPr>
          <w:rFonts w:hint="eastAsia"/>
        </w:rPr>
      </w:pPr>
      <w:bookmarkStart w:id="16" w:name="_Toc47976607"/>
    </w:p>
    <w:p w14:paraId="243FF35F">
      <w:pPr>
        <w:rPr>
          <w:rFonts w:hint="eastAsia"/>
        </w:rPr>
      </w:pPr>
      <w:r>
        <w:rPr>
          <w:rFonts w:hint="eastAsia"/>
        </w:rPr>
        <w:br w:type="page"/>
      </w:r>
    </w:p>
    <w:p w14:paraId="4D4F85A8">
      <w:pPr>
        <w:pStyle w:val="71"/>
        <w:jc w:val="both"/>
        <w:rPr>
          <w:rFonts w:hint="eastAsia"/>
        </w:rPr>
      </w:pPr>
    </w:p>
    <w:bookmarkEnd w:id="16"/>
    <w:p w14:paraId="1FB6CA61">
      <w:pPr>
        <w:pStyle w:val="71"/>
        <w:numPr>
          <w:ilvl w:val="0"/>
          <w:numId w:val="30"/>
        </w:numPr>
        <w:jc w:val="center"/>
        <w:rPr>
          <w:rFonts w:hint="eastAsia"/>
          <w:lang w:val="en-US" w:eastAsia="zh-CN"/>
        </w:rPr>
      </w:pPr>
      <w:bookmarkStart w:id="17" w:name="_Toc1910"/>
      <w:r>
        <w:rPr>
          <w:rFonts w:hint="eastAsia"/>
          <w:lang w:val="en-US" w:eastAsia="zh-CN"/>
        </w:rPr>
        <w:t>技术标书</w:t>
      </w:r>
      <w:bookmarkEnd w:id="17"/>
    </w:p>
    <w:p w14:paraId="3303C21F">
      <w:pPr>
        <w:spacing w:line="480" w:lineRule="exact"/>
        <w:jc w:val="center"/>
        <w:rPr>
          <w:rFonts w:hint="eastAsia" w:ascii="黑体" w:hAnsi="宋体" w:eastAsia="黑体"/>
          <w:b/>
          <w:sz w:val="44"/>
          <w:szCs w:val="44"/>
        </w:rPr>
      </w:pPr>
      <w:r>
        <w:rPr>
          <w:rFonts w:hint="eastAsia" w:ascii="黑体" w:eastAsia="黑体"/>
          <w:b/>
          <w:sz w:val="44"/>
          <w:szCs w:val="44"/>
        </w:rPr>
        <w:t>技术规范</w:t>
      </w:r>
    </w:p>
    <w:p w14:paraId="323AE6E5">
      <w:pPr>
        <w:pStyle w:val="4"/>
        <w:tabs>
          <w:tab w:val="left" w:pos="576"/>
        </w:tabs>
        <w:spacing w:before="0" w:after="0"/>
        <w:ind w:left="576" w:hanging="576"/>
        <w:rPr>
          <w:rFonts w:hint="eastAsia"/>
          <w:b/>
        </w:rPr>
      </w:pPr>
      <w:r>
        <w:rPr>
          <w:rFonts w:hint="eastAsia"/>
          <w:b/>
        </w:rPr>
        <w:t>一、基本要求</w:t>
      </w:r>
    </w:p>
    <w:p w14:paraId="18B8AB8C">
      <w:pPr>
        <w:spacing w:line="360" w:lineRule="auto"/>
        <w:ind w:firstLine="315" w:firstLineChars="150"/>
        <w:rPr>
          <w:rFonts w:hint="eastAsia" w:ascii="宋体" w:hAnsi="宋体"/>
        </w:rPr>
      </w:pPr>
      <w:r>
        <w:rPr>
          <w:rFonts w:hint="eastAsia" w:ascii="宋体" w:hAnsi="宋体"/>
        </w:rPr>
        <w:t>1、投标人所供服务涉及内容，必须符合中国最新版的法律、法规和相关标准、规范的要求，符合项目所在地政府有关特殊要求。</w:t>
      </w:r>
    </w:p>
    <w:p w14:paraId="7F99D0DA">
      <w:pPr>
        <w:spacing w:line="360" w:lineRule="auto"/>
        <w:ind w:firstLine="315" w:firstLineChars="150"/>
        <w:rPr>
          <w:rFonts w:hint="eastAsia" w:ascii="宋体" w:hAnsi="宋体"/>
        </w:rPr>
      </w:pPr>
      <w:r>
        <w:rPr>
          <w:rFonts w:hint="eastAsia" w:ascii="宋体" w:hAnsi="宋体"/>
        </w:rPr>
        <w:t>2、投标人应对招标人提出的各项要求同意进行承诺，并保证招标人不因此受到任何侵权指控和实际损失。</w:t>
      </w:r>
    </w:p>
    <w:p w14:paraId="4AEE47D6">
      <w:pPr>
        <w:spacing w:line="360" w:lineRule="auto"/>
        <w:ind w:firstLine="315" w:firstLineChars="150"/>
        <w:rPr>
          <w:rFonts w:hint="eastAsia" w:ascii="宋体" w:hAnsi="宋体"/>
        </w:rPr>
      </w:pPr>
      <w:r>
        <w:rPr>
          <w:rFonts w:hint="eastAsia" w:ascii="宋体" w:hAnsi="宋体"/>
        </w:rPr>
        <w:t>3、投标人应保证所供服务的先进性、可靠性、经济性和实用性。</w:t>
      </w:r>
    </w:p>
    <w:p w14:paraId="3246B456">
      <w:pPr>
        <w:spacing w:line="480" w:lineRule="exact"/>
        <w:rPr>
          <w:rFonts w:hint="eastAsia" w:ascii="宋体" w:hAnsi="宋体"/>
          <w:b/>
        </w:rPr>
      </w:pPr>
      <w:r>
        <w:rPr>
          <w:rFonts w:hint="eastAsia" w:ascii="宋体" w:hAnsi="宋体"/>
          <w:b/>
        </w:rPr>
        <w:t>二、服务内容及要求</w:t>
      </w:r>
    </w:p>
    <w:p w14:paraId="5D8107AE">
      <w:pPr>
        <w:spacing w:line="480" w:lineRule="exact"/>
        <w:ind w:firstLine="480" w:firstLineChars="200"/>
        <w:rPr>
          <w:rStyle w:val="69"/>
          <w:sz w:val="24"/>
        </w:rPr>
      </w:pPr>
      <w:r>
        <w:rPr>
          <w:rStyle w:val="69"/>
          <w:rFonts w:hint="eastAsia"/>
          <w:sz w:val="24"/>
        </w:rPr>
        <w:t>（一）服务内容</w:t>
      </w:r>
      <w:r>
        <w:rPr>
          <w:rStyle w:val="69"/>
          <w:sz w:val="24"/>
        </w:rPr>
        <w:t>与基本要求</w:t>
      </w:r>
    </w:p>
    <w:tbl>
      <w:tblPr>
        <w:tblStyle w:val="3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1218"/>
        <w:gridCol w:w="6482"/>
      </w:tblGrid>
      <w:tr w14:paraId="49329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14:paraId="3A108025">
            <w:pPr>
              <w:spacing w:line="360" w:lineRule="exact"/>
              <w:jc w:val="center"/>
              <w:rPr>
                <w:rFonts w:ascii="宋体" w:hAnsi="宋体"/>
                <w:kern w:val="0"/>
                <w:sz w:val="21"/>
                <w:szCs w:val="21"/>
              </w:rPr>
            </w:pPr>
            <w:r>
              <w:rPr>
                <w:rFonts w:hint="eastAsia" w:ascii="宋体" w:hAnsi="宋体"/>
                <w:kern w:val="0"/>
                <w:sz w:val="21"/>
                <w:szCs w:val="21"/>
              </w:rPr>
              <w:t>序号</w:t>
            </w:r>
          </w:p>
        </w:tc>
        <w:tc>
          <w:tcPr>
            <w:tcW w:w="1218" w:type="dxa"/>
            <w:vAlign w:val="center"/>
          </w:tcPr>
          <w:p w14:paraId="2610CE6E">
            <w:pPr>
              <w:spacing w:line="360" w:lineRule="exact"/>
              <w:jc w:val="center"/>
              <w:rPr>
                <w:rFonts w:ascii="宋体" w:hAnsi="宋体"/>
                <w:kern w:val="0"/>
                <w:sz w:val="21"/>
                <w:szCs w:val="21"/>
              </w:rPr>
            </w:pPr>
            <w:r>
              <w:rPr>
                <w:rFonts w:hint="eastAsia" w:ascii="宋体" w:hAnsi="宋体"/>
                <w:kern w:val="0"/>
                <w:sz w:val="21"/>
                <w:szCs w:val="21"/>
              </w:rPr>
              <w:t>业务内容</w:t>
            </w:r>
          </w:p>
        </w:tc>
        <w:tc>
          <w:tcPr>
            <w:tcW w:w="6482" w:type="dxa"/>
            <w:vAlign w:val="center"/>
          </w:tcPr>
          <w:p w14:paraId="6DCC1445">
            <w:pPr>
              <w:spacing w:line="360" w:lineRule="exact"/>
              <w:jc w:val="center"/>
              <w:rPr>
                <w:rFonts w:ascii="宋体" w:hAnsi="宋体"/>
                <w:kern w:val="0"/>
                <w:sz w:val="21"/>
                <w:szCs w:val="21"/>
              </w:rPr>
            </w:pPr>
            <w:r>
              <w:rPr>
                <w:rFonts w:hint="eastAsia" w:ascii="宋体" w:hAnsi="宋体"/>
                <w:kern w:val="0"/>
                <w:sz w:val="21"/>
                <w:szCs w:val="21"/>
              </w:rPr>
              <w:t>基本要求</w:t>
            </w:r>
          </w:p>
        </w:tc>
      </w:tr>
      <w:tr w14:paraId="7872F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14:paraId="340E682A">
            <w:pPr>
              <w:spacing w:line="360" w:lineRule="exact"/>
              <w:jc w:val="center"/>
              <w:rPr>
                <w:rFonts w:ascii="宋体" w:hAnsi="宋体"/>
                <w:kern w:val="0"/>
                <w:sz w:val="21"/>
                <w:szCs w:val="21"/>
              </w:rPr>
            </w:pPr>
            <w:r>
              <w:rPr>
                <w:rFonts w:hint="eastAsia" w:ascii="宋体" w:hAnsi="宋体"/>
                <w:kern w:val="0"/>
                <w:sz w:val="21"/>
                <w:szCs w:val="21"/>
              </w:rPr>
              <w:t>1</w:t>
            </w:r>
          </w:p>
        </w:tc>
        <w:tc>
          <w:tcPr>
            <w:tcW w:w="1218" w:type="dxa"/>
            <w:vAlign w:val="center"/>
          </w:tcPr>
          <w:p w14:paraId="27BEDEF0">
            <w:pPr>
              <w:spacing w:line="360" w:lineRule="exact"/>
              <w:jc w:val="center"/>
              <w:rPr>
                <w:rFonts w:ascii="宋体" w:hAnsi="宋体"/>
                <w:kern w:val="0"/>
                <w:sz w:val="21"/>
                <w:szCs w:val="21"/>
              </w:rPr>
            </w:pPr>
            <w:r>
              <w:rPr>
                <w:rFonts w:hint="eastAsia" w:ascii="宋体" w:hAnsi="宋体"/>
                <w:kern w:val="0"/>
                <w:sz w:val="21"/>
                <w:szCs w:val="21"/>
              </w:rPr>
              <w:t>分装中桥</w:t>
            </w:r>
          </w:p>
        </w:tc>
        <w:tc>
          <w:tcPr>
            <w:tcW w:w="6482" w:type="dxa"/>
            <w:vAlign w:val="center"/>
          </w:tcPr>
          <w:p w14:paraId="607B6232">
            <w:pPr>
              <w:widowControl/>
              <w:rPr>
                <w:rFonts w:hint="eastAsia" w:ascii="宋体" w:hAnsi="宋体"/>
                <w:kern w:val="0"/>
                <w:sz w:val="21"/>
                <w:szCs w:val="21"/>
              </w:rPr>
            </w:pPr>
            <w:r>
              <w:rPr>
                <w:rStyle w:val="111"/>
                <w:rFonts w:ascii="宋体" w:hAnsi="宋体"/>
                <w:sz w:val="21"/>
                <w:szCs w:val="21"/>
              </w:rPr>
              <w:t>1</w:t>
            </w:r>
            <w:r>
              <w:rPr>
                <w:rStyle w:val="112"/>
                <w:rFonts w:ascii="宋体" w:hAnsi="宋体"/>
                <w:sz w:val="21"/>
                <w:szCs w:val="21"/>
              </w:rPr>
              <w:t>、检查产品件如有缺损、变形、划伤、编号不正确不得装配；</w:t>
            </w:r>
            <w:r>
              <w:rPr>
                <w:rFonts w:ascii="宋体" w:hAnsi="宋体"/>
                <w:sz w:val="21"/>
                <w:szCs w:val="21"/>
              </w:rPr>
              <w:br w:type="textWrapping"/>
            </w:r>
            <w:r>
              <w:rPr>
                <w:rStyle w:val="111"/>
                <w:rFonts w:ascii="宋体" w:hAnsi="宋体"/>
                <w:sz w:val="21"/>
                <w:szCs w:val="21"/>
              </w:rPr>
              <w:t>2</w:t>
            </w:r>
            <w:r>
              <w:rPr>
                <w:rStyle w:val="112"/>
                <w:rFonts w:ascii="宋体" w:hAnsi="宋体"/>
                <w:sz w:val="21"/>
                <w:szCs w:val="21"/>
              </w:rPr>
              <w:t>、确认支座螺纹孔内无油、无锈无漆，螺纹孔内滴几滴LS</w:t>
            </w:r>
            <w:r>
              <w:rPr>
                <w:rStyle w:val="111"/>
                <w:rFonts w:ascii="宋体" w:hAnsi="宋体"/>
                <w:sz w:val="21"/>
                <w:szCs w:val="21"/>
              </w:rPr>
              <w:t>3-</w:t>
            </w:r>
            <w:r>
              <w:rPr>
                <w:rStyle w:val="112"/>
                <w:rFonts w:ascii="宋体" w:hAnsi="宋体"/>
                <w:sz w:val="21"/>
                <w:szCs w:val="21"/>
              </w:rPr>
              <w:t>QZZ</w:t>
            </w:r>
            <w:r>
              <w:rPr>
                <w:rStyle w:val="111"/>
                <w:rFonts w:ascii="宋体" w:hAnsi="宋体"/>
                <w:sz w:val="21"/>
                <w:szCs w:val="21"/>
              </w:rPr>
              <w:t>21004</w:t>
            </w:r>
            <w:r>
              <w:rPr>
                <w:rStyle w:val="112"/>
                <w:rFonts w:ascii="宋体" w:hAnsi="宋体"/>
                <w:sz w:val="21"/>
                <w:szCs w:val="21"/>
              </w:rPr>
              <w:t>螺纹锁固剂，螺栓按双面直线对称原则均匀涂抹LS</w:t>
            </w:r>
            <w:r>
              <w:rPr>
                <w:rStyle w:val="111"/>
                <w:rFonts w:ascii="宋体" w:hAnsi="宋体"/>
                <w:sz w:val="21"/>
                <w:szCs w:val="21"/>
              </w:rPr>
              <w:t>3-</w:t>
            </w:r>
            <w:r>
              <w:rPr>
                <w:rStyle w:val="112"/>
                <w:rFonts w:ascii="宋体" w:hAnsi="宋体"/>
                <w:sz w:val="21"/>
                <w:szCs w:val="21"/>
              </w:rPr>
              <w:t>QZZ</w:t>
            </w:r>
            <w:r>
              <w:rPr>
                <w:rStyle w:val="111"/>
                <w:rFonts w:ascii="宋体" w:hAnsi="宋体"/>
                <w:sz w:val="21"/>
                <w:szCs w:val="21"/>
              </w:rPr>
              <w:t>21004</w:t>
            </w:r>
            <w:r>
              <w:rPr>
                <w:rStyle w:val="112"/>
                <w:rFonts w:ascii="宋体" w:hAnsi="宋体"/>
                <w:sz w:val="21"/>
                <w:szCs w:val="21"/>
              </w:rPr>
              <w:t>螺纹锁固剂；</w:t>
            </w:r>
            <w:r>
              <w:rPr>
                <w:rFonts w:ascii="宋体" w:hAnsi="宋体"/>
                <w:sz w:val="21"/>
                <w:szCs w:val="21"/>
              </w:rPr>
              <w:br w:type="textWrapping"/>
            </w:r>
            <w:r>
              <w:rPr>
                <w:rStyle w:val="111"/>
                <w:rFonts w:ascii="宋体" w:hAnsi="宋体"/>
                <w:sz w:val="21"/>
                <w:szCs w:val="21"/>
              </w:rPr>
              <w:t>3</w:t>
            </w:r>
            <w:r>
              <w:rPr>
                <w:rStyle w:val="112"/>
                <w:rFonts w:ascii="宋体" w:hAnsi="宋体"/>
                <w:sz w:val="21"/>
                <w:szCs w:val="21"/>
              </w:rPr>
              <w:t>、橡胶支座底面和桥壳垫板平面均匀S</w:t>
            </w:r>
            <w:r>
              <w:rPr>
                <w:rStyle w:val="111"/>
                <w:rFonts w:ascii="宋体" w:hAnsi="宋体"/>
                <w:sz w:val="21"/>
                <w:szCs w:val="21"/>
              </w:rPr>
              <w:t>518</w:t>
            </w:r>
            <w:r>
              <w:rPr>
                <w:rStyle w:val="112"/>
                <w:rFonts w:ascii="宋体" w:hAnsi="宋体"/>
                <w:sz w:val="21"/>
                <w:szCs w:val="21"/>
              </w:rPr>
              <w:t>密封胶；</w:t>
            </w:r>
            <w:r>
              <w:rPr>
                <w:rFonts w:ascii="宋体" w:hAnsi="宋体"/>
                <w:sz w:val="21"/>
                <w:szCs w:val="21"/>
              </w:rPr>
              <w:br w:type="textWrapping"/>
            </w:r>
            <w:r>
              <w:rPr>
                <w:rStyle w:val="111"/>
                <w:rFonts w:ascii="宋体" w:hAnsi="宋体"/>
                <w:sz w:val="21"/>
                <w:szCs w:val="21"/>
              </w:rPr>
              <w:t>4</w:t>
            </w:r>
            <w:r>
              <w:rPr>
                <w:rStyle w:val="112"/>
                <w:rFonts w:ascii="宋体" w:hAnsi="宋体"/>
                <w:sz w:val="21"/>
                <w:szCs w:val="21"/>
              </w:rPr>
              <w:t>、安装橡胶支座所用螺栓紧固力矩：M</w:t>
            </w:r>
            <w:r>
              <w:rPr>
                <w:rStyle w:val="111"/>
                <w:rFonts w:ascii="宋体" w:hAnsi="宋体"/>
                <w:sz w:val="21"/>
                <w:szCs w:val="21"/>
              </w:rPr>
              <w:t>= 750</w:t>
            </w:r>
            <w:r>
              <w:rPr>
                <w:rStyle w:val="112"/>
                <w:rFonts w:ascii="宋体" w:hAnsi="宋体"/>
                <w:sz w:val="21"/>
                <w:szCs w:val="21"/>
              </w:rPr>
              <w:t>±</w:t>
            </w:r>
            <w:r>
              <w:rPr>
                <w:rStyle w:val="111"/>
                <w:rFonts w:ascii="宋体" w:hAnsi="宋体"/>
                <w:sz w:val="21"/>
                <w:szCs w:val="21"/>
              </w:rPr>
              <w:t>112</w:t>
            </w:r>
            <w:r>
              <w:rPr>
                <w:rStyle w:val="112"/>
                <w:rFonts w:ascii="宋体" w:hAnsi="宋体"/>
                <w:sz w:val="21"/>
                <w:szCs w:val="21"/>
              </w:rPr>
              <w:t>N</w:t>
            </w:r>
            <w:r>
              <w:rPr>
                <w:rStyle w:val="111"/>
                <w:rFonts w:hint="eastAsia"/>
              </w:rPr>
              <w:t>.</w:t>
            </w:r>
            <w:r>
              <w:rPr>
                <w:rStyle w:val="112"/>
                <w:rFonts w:ascii="宋体" w:hAnsi="宋体"/>
                <w:sz w:val="21"/>
                <w:szCs w:val="21"/>
              </w:rPr>
              <w:t>m，预置式扭力扳手设定值为</w:t>
            </w:r>
            <w:r>
              <w:rPr>
                <w:rStyle w:val="111"/>
                <w:rFonts w:ascii="宋体" w:hAnsi="宋体"/>
                <w:sz w:val="21"/>
                <w:szCs w:val="21"/>
              </w:rPr>
              <w:t>750</w:t>
            </w:r>
            <w:r>
              <w:rPr>
                <w:rStyle w:val="112"/>
                <w:rFonts w:ascii="宋体" w:hAnsi="宋体"/>
                <w:sz w:val="21"/>
                <w:szCs w:val="21"/>
              </w:rPr>
              <w:t>N</w:t>
            </w:r>
            <w:r>
              <w:rPr>
                <w:rStyle w:val="111"/>
                <w:rFonts w:hint="eastAsia"/>
              </w:rPr>
              <w:t>.</w:t>
            </w:r>
            <w:r>
              <w:rPr>
                <w:rStyle w:val="112"/>
                <w:rFonts w:ascii="宋体" w:hAnsi="宋体"/>
                <w:sz w:val="21"/>
                <w:szCs w:val="21"/>
              </w:rPr>
              <w:t>m。</w:t>
            </w:r>
            <w:r>
              <w:rPr>
                <w:rFonts w:ascii="宋体" w:hAnsi="宋体"/>
                <w:sz w:val="21"/>
                <w:szCs w:val="21"/>
              </w:rPr>
              <w:br w:type="textWrapping"/>
            </w:r>
            <w:r>
              <w:rPr>
                <w:rStyle w:val="111"/>
                <w:rFonts w:ascii="宋体" w:hAnsi="宋体"/>
                <w:sz w:val="21"/>
                <w:szCs w:val="21"/>
              </w:rPr>
              <w:t>5</w:t>
            </w:r>
            <w:r>
              <w:rPr>
                <w:rStyle w:val="112"/>
                <w:rFonts w:ascii="宋体" w:hAnsi="宋体"/>
                <w:sz w:val="21"/>
                <w:szCs w:val="21"/>
              </w:rPr>
              <w:t>、标记：按《整车连接件标记通则》执行</w:t>
            </w:r>
            <w:r>
              <w:rPr>
                <w:rStyle w:val="112"/>
                <w:rFonts w:hint="eastAsia" w:ascii="宋体" w:hAnsi="宋体"/>
                <w:sz w:val="21"/>
                <w:szCs w:val="21"/>
              </w:rPr>
              <w:t>；</w:t>
            </w:r>
          </w:p>
        </w:tc>
      </w:tr>
      <w:tr w14:paraId="5810E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675" w:type="dxa"/>
            <w:vAlign w:val="center"/>
          </w:tcPr>
          <w:p w14:paraId="6E672EC3">
            <w:pPr>
              <w:spacing w:line="360" w:lineRule="exact"/>
              <w:jc w:val="center"/>
              <w:rPr>
                <w:rFonts w:hint="eastAsia" w:ascii="宋体" w:hAnsi="宋体"/>
                <w:kern w:val="0"/>
                <w:sz w:val="21"/>
                <w:szCs w:val="21"/>
              </w:rPr>
            </w:pPr>
            <w:r>
              <w:rPr>
                <w:rFonts w:ascii="宋体" w:hAnsi="宋体"/>
                <w:kern w:val="0"/>
                <w:sz w:val="21"/>
                <w:szCs w:val="21"/>
              </w:rPr>
              <w:t>2</w:t>
            </w:r>
          </w:p>
        </w:tc>
        <w:tc>
          <w:tcPr>
            <w:tcW w:w="1218" w:type="dxa"/>
            <w:vAlign w:val="center"/>
          </w:tcPr>
          <w:p w14:paraId="0779EE72">
            <w:pPr>
              <w:spacing w:line="360" w:lineRule="exact"/>
              <w:jc w:val="center"/>
              <w:rPr>
                <w:rFonts w:hint="eastAsia" w:ascii="宋体" w:hAnsi="宋体"/>
                <w:kern w:val="0"/>
                <w:sz w:val="21"/>
                <w:szCs w:val="21"/>
              </w:rPr>
            </w:pPr>
            <w:r>
              <w:rPr>
                <w:rFonts w:hint="eastAsia" w:ascii="宋体" w:hAnsi="宋体"/>
                <w:kern w:val="0"/>
                <w:sz w:val="21"/>
                <w:szCs w:val="21"/>
              </w:rPr>
              <w:t>分装后桥</w:t>
            </w:r>
          </w:p>
        </w:tc>
        <w:tc>
          <w:tcPr>
            <w:tcW w:w="6482" w:type="dxa"/>
            <w:vAlign w:val="center"/>
          </w:tcPr>
          <w:p w14:paraId="6BBD4BC6">
            <w:pPr>
              <w:widowControl/>
              <w:jc w:val="left"/>
              <w:rPr>
                <w:rFonts w:hint="eastAsia" w:ascii="宋体" w:hAnsi="宋体"/>
                <w:kern w:val="0"/>
                <w:sz w:val="21"/>
                <w:szCs w:val="21"/>
              </w:rPr>
            </w:pPr>
            <w:r>
              <w:rPr>
                <w:rStyle w:val="111"/>
                <w:rFonts w:ascii="宋体" w:hAnsi="宋体"/>
                <w:sz w:val="21"/>
                <w:szCs w:val="21"/>
              </w:rPr>
              <w:t>1</w:t>
            </w:r>
            <w:r>
              <w:rPr>
                <w:rStyle w:val="112"/>
                <w:rFonts w:ascii="宋体" w:hAnsi="宋体"/>
                <w:sz w:val="21"/>
                <w:szCs w:val="21"/>
              </w:rPr>
              <w:t>、检查产品件如有缺损、变形、划伤、编号不正确不得装配；</w:t>
            </w:r>
            <w:r>
              <w:rPr>
                <w:rFonts w:ascii="宋体" w:hAnsi="宋体"/>
                <w:sz w:val="21"/>
                <w:szCs w:val="21"/>
              </w:rPr>
              <w:br w:type="textWrapping"/>
            </w:r>
            <w:r>
              <w:rPr>
                <w:rStyle w:val="111"/>
                <w:rFonts w:ascii="宋体" w:hAnsi="宋体"/>
                <w:sz w:val="21"/>
                <w:szCs w:val="21"/>
              </w:rPr>
              <w:t>2</w:t>
            </w:r>
            <w:r>
              <w:rPr>
                <w:rStyle w:val="112"/>
                <w:rFonts w:ascii="宋体" w:hAnsi="宋体"/>
                <w:sz w:val="21"/>
                <w:szCs w:val="21"/>
              </w:rPr>
              <w:t>、确认支座螺纹孔内无油、无锈无漆，螺纹孔内滴几滴LS</w:t>
            </w:r>
            <w:r>
              <w:rPr>
                <w:rStyle w:val="111"/>
                <w:rFonts w:ascii="宋体" w:hAnsi="宋体"/>
                <w:sz w:val="21"/>
                <w:szCs w:val="21"/>
              </w:rPr>
              <w:t>3-</w:t>
            </w:r>
            <w:r>
              <w:rPr>
                <w:rStyle w:val="112"/>
                <w:rFonts w:ascii="宋体" w:hAnsi="宋体"/>
                <w:sz w:val="21"/>
                <w:szCs w:val="21"/>
              </w:rPr>
              <w:t>QZZ</w:t>
            </w:r>
            <w:r>
              <w:rPr>
                <w:rStyle w:val="111"/>
                <w:rFonts w:ascii="宋体" w:hAnsi="宋体"/>
                <w:sz w:val="21"/>
                <w:szCs w:val="21"/>
              </w:rPr>
              <w:t>21004</w:t>
            </w:r>
            <w:r>
              <w:rPr>
                <w:rStyle w:val="112"/>
                <w:rFonts w:ascii="宋体" w:hAnsi="宋体"/>
                <w:sz w:val="21"/>
                <w:szCs w:val="21"/>
              </w:rPr>
              <w:t>螺纹锁固剂，螺栓按双面直线对称原则均匀涂抹LS</w:t>
            </w:r>
            <w:r>
              <w:rPr>
                <w:rStyle w:val="111"/>
                <w:rFonts w:ascii="宋体" w:hAnsi="宋体"/>
                <w:sz w:val="21"/>
                <w:szCs w:val="21"/>
              </w:rPr>
              <w:t>3-</w:t>
            </w:r>
            <w:r>
              <w:rPr>
                <w:rStyle w:val="112"/>
                <w:rFonts w:ascii="宋体" w:hAnsi="宋体"/>
                <w:sz w:val="21"/>
                <w:szCs w:val="21"/>
              </w:rPr>
              <w:t>QZZ</w:t>
            </w:r>
            <w:r>
              <w:rPr>
                <w:rStyle w:val="111"/>
                <w:rFonts w:ascii="宋体" w:hAnsi="宋体"/>
                <w:sz w:val="21"/>
                <w:szCs w:val="21"/>
              </w:rPr>
              <w:t>21004</w:t>
            </w:r>
            <w:r>
              <w:rPr>
                <w:rStyle w:val="112"/>
                <w:rFonts w:ascii="宋体" w:hAnsi="宋体"/>
                <w:sz w:val="21"/>
                <w:szCs w:val="21"/>
              </w:rPr>
              <w:t>螺纹锁固剂；</w:t>
            </w:r>
            <w:r>
              <w:rPr>
                <w:rFonts w:ascii="宋体" w:hAnsi="宋体"/>
                <w:sz w:val="21"/>
                <w:szCs w:val="21"/>
              </w:rPr>
              <w:br w:type="textWrapping"/>
            </w:r>
            <w:r>
              <w:rPr>
                <w:rStyle w:val="111"/>
                <w:rFonts w:ascii="宋体" w:hAnsi="宋体"/>
                <w:sz w:val="21"/>
                <w:szCs w:val="21"/>
              </w:rPr>
              <w:t>3</w:t>
            </w:r>
            <w:r>
              <w:rPr>
                <w:rStyle w:val="112"/>
                <w:rFonts w:ascii="宋体" w:hAnsi="宋体"/>
                <w:sz w:val="21"/>
                <w:szCs w:val="21"/>
              </w:rPr>
              <w:t>、橡胶支座底面和桥壳垫板平面均匀S</w:t>
            </w:r>
            <w:r>
              <w:rPr>
                <w:rStyle w:val="111"/>
                <w:rFonts w:ascii="宋体" w:hAnsi="宋体"/>
                <w:sz w:val="21"/>
                <w:szCs w:val="21"/>
              </w:rPr>
              <w:t>518</w:t>
            </w:r>
            <w:r>
              <w:rPr>
                <w:rStyle w:val="112"/>
                <w:rFonts w:ascii="宋体" w:hAnsi="宋体"/>
                <w:sz w:val="21"/>
                <w:szCs w:val="21"/>
              </w:rPr>
              <w:t>密封胶；</w:t>
            </w:r>
            <w:r>
              <w:rPr>
                <w:rFonts w:ascii="宋体" w:hAnsi="宋体"/>
                <w:sz w:val="21"/>
                <w:szCs w:val="21"/>
              </w:rPr>
              <w:br w:type="textWrapping"/>
            </w:r>
            <w:r>
              <w:rPr>
                <w:rStyle w:val="111"/>
                <w:rFonts w:ascii="宋体" w:hAnsi="宋体"/>
                <w:sz w:val="21"/>
                <w:szCs w:val="21"/>
              </w:rPr>
              <w:t>4</w:t>
            </w:r>
            <w:r>
              <w:rPr>
                <w:rStyle w:val="112"/>
                <w:rFonts w:ascii="宋体" w:hAnsi="宋体"/>
                <w:sz w:val="21"/>
                <w:szCs w:val="21"/>
              </w:rPr>
              <w:t>、安装橡胶支座所用螺栓紧固力矩：M</w:t>
            </w:r>
            <w:r>
              <w:rPr>
                <w:rStyle w:val="111"/>
                <w:rFonts w:ascii="宋体" w:hAnsi="宋体"/>
                <w:sz w:val="21"/>
                <w:szCs w:val="21"/>
              </w:rPr>
              <w:t>= 750</w:t>
            </w:r>
            <w:r>
              <w:rPr>
                <w:rStyle w:val="112"/>
                <w:rFonts w:ascii="宋体" w:hAnsi="宋体"/>
                <w:sz w:val="21"/>
                <w:szCs w:val="21"/>
              </w:rPr>
              <w:t>±</w:t>
            </w:r>
            <w:r>
              <w:rPr>
                <w:rStyle w:val="111"/>
                <w:rFonts w:ascii="宋体" w:hAnsi="宋体"/>
                <w:sz w:val="21"/>
                <w:szCs w:val="21"/>
              </w:rPr>
              <w:t>112</w:t>
            </w:r>
            <w:r>
              <w:rPr>
                <w:rStyle w:val="112"/>
                <w:rFonts w:ascii="宋体" w:hAnsi="宋体"/>
                <w:sz w:val="21"/>
                <w:szCs w:val="21"/>
              </w:rPr>
              <w:t>N</w:t>
            </w:r>
            <w:r>
              <w:rPr>
                <w:rStyle w:val="111"/>
                <w:rFonts w:hint="eastAsia"/>
              </w:rPr>
              <w:t>.</w:t>
            </w:r>
            <w:r>
              <w:rPr>
                <w:rStyle w:val="112"/>
                <w:rFonts w:ascii="宋体" w:hAnsi="宋体"/>
                <w:sz w:val="21"/>
                <w:szCs w:val="21"/>
              </w:rPr>
              <w:t>m，</w:t>
            </w:r>
            <w:r>
              <w:rPr>
                <w:rStyle w:val="112"/>
                <w:rFonts w:hint="eastAsia" w:ascii="宋体" w:hAnsi="宋体"/>
                <w:sz w:val="21"/>
                <w:szCs w:val="21"/>
              </w:rPr>
              <w:t>拧紧机及</w:t>
            </w:r>
            <w:r>
              <w:rPr>
                <w:rStyle w:val="112"/>
                <w:rFonts w:ascii="宋体" w:hAnsi="宋体"/>
                <w:sz w:val="21"/>
                <w:szCs w:val="21"/>
              </w:rPr>
              <w:t>预置式扭力扳手设定值为</w:t>
            </w:r>
            <w:r>
              <w:rPr>
                <w:rStyle w:val="111"/>
                <w:rFonts w:ascii="宋体" w:hAnsi="宋体"/>
                <w:sz w:val="21"/>
                <w:szCs w:val="21"/>
              </w:rPr>
              <w:t>750</w:t>
            </w:r>
            <w:r>
              <w:rPr>
                <w:rStyle w:val="112"/>
                <w:rFonts w:ascii="宋体" w:hAnsi="宋体"/>
                <w:sz w:val="21"/>
                <w:szCs w:val="21"/>
              </w:rPr>
              <w:t>N</w:t>
            </w:r>
            <w:r>
              <w:rPr>
                <w:rStyle w:val="111"/>
                <w:rFonts w:hint="eastAsia"/>
              </w:rPr>
              <w:t>.</w:t>
            </w:r>
            <w:r>
              <w:rPr>
                <w:rStyle w:val="112"/>
                <w:rFonts w:ascii="宋体" w:hAnsi="宋体"/>
                <w:sz w:val="21"/>
                <w:szCs w:val="21"/>
              </w:rPr>
              <w:t>m。</w:t>
            </w:r>
            <w:r>
              <w:rPr>
                <w:rFonts w:ascii="宋体" w:hAnsi="宋体"/>
                <w:sz w:val="21"/>
                <w:szCs w:val="21"/>
              </w:rPr>
              <w:br w:type="textWrapping"/>
            </w:r>
            <w:r>
              <w:rPr>
                <w:rStyle w:val="111"/>
                <w:rFonts w:ascii="宋体" w:hAnsi="宋体"/>
                <w:sz w:val="21"/>
                <w:szCs w:val="21"/>
              </w:rPr>
              <w:t>5</w:t>
            </w:r>
            <w:r>
              <w:rPr>
                <w:rStyle w:val="112"/>
                <w:rFonts w:ascii="宋体" w:hAnsi="宋体"/>
                <w:sz w:val="21"/>
                <w:szCs w:val="21"/>
              </w:rPr>
              <w:t>、标记：按《整车连接件标记通则》执行</w:t>
            </w:r>
            <w:r>
              <w:rPr>
                <w:rStyle w:val="112"/>
                <w:rFonts w:hint="eastAsia" w:ascii="宋体" w:hAnsi="宋体"/>
                <w:sz w:val="21"/>
                <w:szCs w:val="21"/>
              </w:rPr>
              <w:t>；</w:t>
            </w:r>
          </w:p>
        </w:tc>
      </w:tr>
      <w:tr w14:paraId="64043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2" w:hRule="atLeast"/>
          <w:jc w:val="center"/>
        </w:trPr>
        <w:tc>
          <w:tcPr>
            <w:tcW w:w="675" w:type="dxa"/>
            <w:vAlign w:val="center"/>
          </w:tcPr>
          <w:p w14:paraId="1C44673C">
            <w:pPr>
              <w:spacing w:line="360" w:lineRule="exact"/>
              <w:jc w:val="center"/>
              <w:rPr>
                <w:rFonts w:hint="eastAsia" w:ascii="宋体" w:hAnsi="宋体"/>
                <w:kern w:val="0"/>
                <w:sz w:val="21"/>
                <w:szCs w:val="21"/>
              </w:rPr>
            </w:pPr>
            <w:r>
              <w:rPr>
                <w:rFonts w:ascii="宋体" w:hAnsi="宋体"/>
                <w:kern w:val="0"/>
                <w:sz w:val="21"/>
                <w:szCs w:val="21"/>
              </w:rPr>
              <w:t>3</w:t>
            </w:r>
          </w:p>
        </w:tc>
        <w:tc>
          <w:tcPr>
            <w:tcW w:w="1218" w:type="dxa"/>
            <w:vAlign w:val="center"/>
          </w:tcPr>
          <w:p w14:paraId="073938AD">
            <w:pPr>
              <w:widowControl/>
              <w:jc w:val="center"/>
              <w:rPr>
                <w:rFonts w:hint="eastAsia" w:ascii="宋体" w:hAnsi="宋体"/>
                <w:kern w:val="0"/>
                <w:sz w:val="21"/>
                <w:szCs w:val="21"/>
              </w:rPr>
            </w:pPr>
            <w:r>
              <w:rPr>
                <w:rStyle w:val="111"/>
                <w:rFonts w:hint="eastAsia" w:ascii="宋体" w:hAnsi="宋体"/>
                <w:sz w:val="21"/>
                <w:szCs w:val="21"/>
              </w:rPr>
              <w:t>分</w:t>
            </w:r>
            <w:r>
              <w:rPr>
                <w:rStyle w:val="111"/>
                <w:rFonts w:ascii="宋体" w:hAnsi="宋体"/>
                <w:sz w:val="21"/>
                <w:szCs w:val="21"/>
              </w:rPr>
              <w:t>装橡胶块总成</w:t>
            </w:r>
          </w:p>
        </w:tc>
        <w:tc>
          <w:tcPr>
            <w:tcW w:w="6482" w:type="dxa"/>
            <w:vAlign w:val="center"/>
          </w:tcPr>
          <w:p w14:paraId="393FEA16">
            <w:pPr>
              <w:widowControl/>
              <w:jc w:val="left"/>
              <w:rPr>
                <w:rFonts w:hint="eastAsia" w:ascii="宋体" w:hAnsi="宋体"/>
                <w:kern w:val="0"/>
                <w:sz w:val="21"/>
                <w:szCs w:val="21"/>
              </w:rPr>
            </w:pPr>
            <w:r>
              <w:rPr>
                <w:rStyle w:val="111"/>
                <w:rFonts w:ascii="宋体" w:hAnsi="宋体"/>
                <w:sz w:val="21"/>
                <w:szCs w:val="21"/>
              </w:rPr>
              <w:t>1</w:t>
            </w:r>
            <w:r>
              <w:rPr>
                <w:rStyle w:val="112"/>
                <w:rFonts w:ascii="宋体" w:hAnsi="宋体"/>
                <w:sz w:val="21"/>
                <w:szCs w:val="21"/>
              </w:rPr>
              <w:t>、检查产品件如有缺损、变形、划伤的不得装配；</w:t>
            </w:r>
            <w:r>
              <w:rPr>
                <w:rFonts w:ascii="宋体" w:hAnsi="宋体"/>
                <w:sz w:val="21"/>
                <w:szCs w:val="21"/>
              </w:rPr>
              <w:br w:type="textWrapping"/>
            </w:r>
            <w:r>
              <w:rPr>
                <w:rStyle w:val="111"/>
                <w:rFonts w:ascii="宋体" w:hAnsi="宋体"/>
                <w:sz w:val="21"/>
                <w:szCs w:val="21"/>
              </w:rPr>
              <w:t>2</w:t>
            </w:r>
            <w:r>
              <w:rPr>
                <w:rStyle w:val="112"/>
                <w:rFonts w:ascii="宋体" w:hAnsi="宋体"/>
                <w:sz w:val="21"/>
                <w:szCs w:val="21"/>
              </w:rPr>
              <w:t>、M</w:t>
            </w:r>
            <w:r>
              <w:rPr>
                <w:rStyle w:val="111"/>
                <w:rFonts w:ascii="宋体" w:hAnsi="宋体"/>
                <w:sz w:val="21"/>
                <w:szCs w:val="21"/>
              </w:rPr>
              <w:t>14</w:t>
            </w:r>
            <w:r>
              <w:rPr>
                <w:rStyle w:val="112"/>
                <w:rFonts w:ascii="宋体" w:hAnsi="宋体"/>
                <w:sz w:val="21"/>
                <w:szCs w:val="21"/>
              </w:rPr>
              <w:t>螺栓扭矩：M</w:t>
            </w:r>
            <w:r>
              <w:rPr>
                <w:rStyle w:val="111"/>
                <w:rFonts w:ascii="宋体" w:hAnsi="宋体"/>
                <w:sz w:val="21"/>
                <w:szCs w:val="21"/>
              </w:rPr>
              <w:t>=185</w:t>
            </w:r>
            <w:r>
              <w:rPr>
                <w:rStyle w:val="112"/>
                <w:rFonts w:ascii="宋体" w:hAnsi="宋体"/>
                <w:sz w:val="21"/>
                <w:szCs w:val="21"/>
              </w:rPr>
              <w:t>±</w:t>
            </w:r>
            <w:r>
              <w:rPr>
                <w:rStyle w:val="111"/>
                <w:rFonts w:ascii="宋体" w:hAnsi="宋体"/>
                <w:sz w:val="21"/>
                <w:szCs w:val="21"/>
              </w:rPr>
              <w:t>27</w:t>
            </w:r>
            <w:r>
              <w:rPr>
                <w:rStyle w:val="112"/>
                <w:rFonts w:ascii="宋体" w:hAnsi="宋体"/>
                <w:sz w:val="21"/>
                <w:szCs w:val="21"/>
              </w:rPr>
              <w:t>N</w:t>
            </w:r>
            <w:r>
              <w:rPr>
                <w:rStyle w:val="111"/>
                <w:rFonts w:hint="eastAsia" w:ascii="宋体" w:hAnsi="宋体"/>
                <w:sz w:val="21"/>
                <w:szCs w:val="21"/>
              </w:rPr>
              <w:t>.</w:t>
            </w:r>
            <w:r>
              <w:rPr>
                <w:rStyle w:val="112"/>
                <w:rFonts w:ascii="宋体" w:hAnsi="宋体"/>
                <w:sz w:val="21"/>
                <w:szCs w:val="21"/>
              </w:rPr>
              <w:t>m，预置式扭力扳手设定值为</w:t>
            </w:r>
            <w:r>
              <w:rPr>
                <w:rStyle w:val="111"/>
                <w:rFonts w:ascii="宋体" w:hAnsi="宋体"/>
                <w:sz w:val="21"/>
                <w:szCs w:val="21"/>
              </w:rPr>
              <w:t>185</w:t>
            </w:r>
            <w:r>
              <w:rPr>
                <w:rStyle w:val="112"/>
                <w:rFonts w:ascii="宋体" w:hAnsi="宋体"/>
                <w:sz w:val="21"/>
                <w:szCs w:val="21"/>
              </w:rPr>
              <w:t>N</w:t>
            </w:r>
            <w:r>
              <w:rPr>
                <w:rStyle w:val="111"/>
                <w:rFonts w:hint="eastAsia" w:ascii="宋体" w:hAnsi="宋体"/>
                <w:sz w:val="21"/>
                <w:szCs w:val="21"/>
              </w:rPr>
              <w:t>.</w:t>
            </w:r>
            <w:r>
              <w:rPr>
                <w:rStyle w:val="112"/>
                <w:rFonts w:ascii="宋体" w:hAnsi="宋体"/>
                <w:sz w:val="21"/>
                <w:szCs w:val="21"/>
              </w:rPr>
              <w:t>m</w:t>
            </w:r>
            <w:r>
              <w:rPr>
                <w:rStyle w:val="112"/>
                <w:rFonts w:hint="eastAsia" w:ascii="宋体" w:hAnsi="宋体"/>
                <w:sz w:val="21"/>
                <w:szCs w:val="21"/>
              </w:rPr>
              <w:t>；</w:t>
            </w:r>
          </w:p>
        </w:tc>
      </w:tr>
      <w:tr w14:paraId="77762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8" w:hRule="atLeast"/>
          <w:jc w:val="center"/>
        </w:trPr>
        <w:tc>
          <w:tcPr>
            <w:tcW w:w="675" w:type="dxa"/>
            <w:vAlign w:val="center"/>
          </w:tcPr>
          <w:p w14:paraId="100E35D2">
            <w:pPr>
              <w:spacing w:line="360" w:lineRule="exact"/>
              <w:jc w:val="center"/>
              <w:rPr>
                <w:rFonts w:hint="eastAsia" w:ascii="宋体" w:hAnsi="宋体"/>
                <w:kern w:val="0"/>
                <w:sz w:val="21"/>
                <w:szCs w:val="21"/>
              </w:rPr>
            </w:pPr>
            <w:r>
              <w:rPr>
                <w:rFonts w:ascii="宋体" w:hAnsi="宋体"/>
                <w:kern w:val="0"/>
                <w:sz w:val="21"/>
                <w:szCs w:val="21"/>
              </w:rPr>
              <w:t>4</w:t>
            </w:r>
          </w:p>
        </w:tc>
        <w:tc>
          <w:tcPr>
            <w:tcW w:w="1218" w:type="dxa"/>
            <w:vAlign w:val="center"/>
          </w:tcPr>
          <w:p w14:paraId="0C3366B3">
            <w:pPr>
              <w:widowControl/>
              <w:jc w:val="center"/>
              <w:rPr>
                <w:rFonts w:hint="eastAsia" w:ascii="宋体" w:hAnsi="宋体"/>
                <w:kern w:val="0"/>
                <w:sz w:val="21"/>
                <w:szCs w:val="21"/>
              </w:rPr>
            </w:pPr>
            <w:r>
              <w:rPr>
                <w:rStyle w:val="111"/>
                <w:rFonts w:ascii="宋体" w:hAnsi="宋体"/>
                <w:sz w:val="21"/>
                <w:szCs w:val="21"/>
              </w:rPr>
              <w:t>分装中后桥传动轴</w:t>
            </w:r>
          </w:p>
        </w:tc>
        <w:tc>
          <w:tcPr>
            <w:tcW w:w="6482" w:type="dxa"/>
            <w:vAlign w:val="center"/>
          </w:tcPr>
          <w:p w14:paraId="2AF7975A">
            <w:pPr>
              <w:widowControl/>
              <w:jc w:val="left"/>
              <w:rPr>
                <w:rFonts w:hint="eastAsia" w:ascii="宋体" w:hAnsi="宋体"/>
                <w:kern w:val="0"/>
                <w:sz w:val="21"/>
                <w:szCs w:val="21"/>
              </w:rPr>
            </w:pPr>
            <w:r>
              <w:rPr>
                <w:rStyle w:val="111"/>
                <w:rFonts w:ascii="宋体" w:hAnsi="宋体"/>
                <w:sz w:val="21"/>
                <w:szCs w:val="21"/>
              </w:rPr>
              <w:t>1</w:t>
            </w:r>
            <w:r>
              <w:rPr>
                <w:rStyle w:val="112"/>
                <w:rFonts w:ascii="宋体" w:hAnsi="宋体"/>
                <w:sz w:val="21"/>
                <w:szCs w:val="21"/>
              </w:rPr>
              <w:t>、 检查产品件如有缺损、变形、划伤、编号不正确的不得装配；</w:t>
            </w:r>
            <w:r>
              <w:rPr>
                <w:rFonts w:hint="eastAsia" w:ascii="宋体" w:hAnsi="宋体"/>
                <w:sz w:val="21"/>
                <w:szCs w:val="21"/>
              </w:rPr>
              <w:br w:type="textWrapping"/>
            </w:r>
            <w:r>
              <w:rPr>
                <w:rStyle w:val="111"/>
                <w:rFonts w:ascii="宋体" w:hAnsi="宋体"/>
                <w:sz w:val="21"/>
                <w:szCs w:val="21"/>
              </w:rPr>
              <w:t>2</w:t>
            </w:r>
            <w:r>
              <w:rPr>
                <w:rStyle w:val="112"/>
                <w:rFonts w:ascii="宋体" w:hAnsi="宋体"/>
                <w:sz w:val="21"/>
                <w:szCs w:val="21"/>
              </w:rPr>
              <w:t>、 M</w:t>
            </w:r>
            <w:r>
              <w:rPr>
                <w:rStyle w:val="111"/>
                <w:rFonts w:ascii="宋体" w:hAnsi="宋体"/>
                <w:sz w:val="21"/>
                <w:szCs w:val="21"/>
              </w:rPr>
              <w:t>14</w:t>
            </w:r>
            <w:r>
              <w:rPr>
                <w:rStyle w:val="112"/>
                <w:rFonts w:ascii="宋体" w:hAnsi="宋体"/>
                <w:sz w:val="21"/>
                <w:szCs w:val="21"/>
              </w:rPr>
              <w:t>螺栓的力矩为M</w:t>
            </w:r>
            <w:r>
              <w:rPr>
                <w:rStyle w:val="111"/>
                <w:rFonts w:ascii="宋体" w:hAnsi="宋体"/>
                <w:sz w:val="21"/>
                <w:szCs w:val="21"/>
              </w:rPr>
              <w:t>=200</w:t>
            </w:r>
            <w:r>
              <w:rPr>
                <w:rStyle w:val="112"/>
                <w:rFonts w:ascii="宋体" w:hAnsi="宋体"/>
                <w:sz w:val="21"/>
                <w:szCs w:val="21"/>
              </w:rPr>
              <w:t xml:space="preserve">± </w:t>
            </w:r>
            <w:r>
              <w:rPr>
                <w:rStyle w:val="111"/>
                <w:rFonts w:ascii="宋体" w:hAnsi="宋体"/>
                <w:sz w:val="21"/>
                <w:szCs w:val="21"/>
              </w:rPr>
              <w:t>20</w:t>
            </w:r>
            <w:r>
              <w:rPr>
                <w:rStyle w:val="112"/>
                <w:rFonts w:ascii="宋体" w:hAnsi="宋体"/>
                <w:sz w:val="21"/>
                <w:szCs w:val="21"/>
              </w:rPr>
              <w:t>N</w:t>
            </w:r>
            <w:r>
              <w:rPr>
                <w:rStyle w:val="111"/>
                <w:rFonts w:hint="eastAsia" w:ascii="宋体" w:hAnsi="宋体"/>
                <w:sz w:val="21"/>
                <w:szCs w:val="21"/>
              </w:rPr>
              <w:t>.</w:t>
            </w:r>
            <w:r>
              <w:rPr>
                <w:rStyle w:val="112"/>
                <w:rFonts w:ascii="宋体" w:hAnsi="宋体"/>
                <w:sz w:val="21"/>
                <w:szCs w:val="21"/>
              </w:rPr>
              <w:t>m，</w:t>
            </w:r>
            <w:r>
              <w:rPr>
                <w:rStyle w:val="111"/>
                <w:rFonts w:ascii="宋体" w:hAnsi="宋体"/>
                <w:sz w:val="21"/>
                <w:szCs w:val="21"/>
              </w:rPr>
              <w:t>60</w:t>
            </w:r>
            <w:r>
              <w:rPr>
                <w:rStyle w:val="112"/>
                <w:rFonts w:ascii="宋体" w:hAnsi="宋体"/>
                <w:sz w:val="21"/>
                <w:szCs w:val="21"/>
              </w:rPr>
              <w:t>～</w:t>
            </w:r>
            <w:r>
              <w:rPr>
                <w:rStyle w:val="111"/>
                <w:rFonts w:ascii="宋体" w:hAnsi="宋体"/>
                <w:sz w:val="21"/>
                <w:szCs w:val="21"/>
              </w:rPr>
              <w:t>300</w:t>
            </w:r>
            <w:r>
              <w:rPr>
                <w:rStyle w:val="112"/>
                <w:rFonts w:ascii="宋体" w:hAnsi="宋体"/>
                <w:sz w:val="21"/>
                <w:szCs w:val="21"/>
              </w:rPr>
              <w:t>N</w:t>
            </w:r>
            <w:r>
              <w:rPr>
                <w:rStyle w:val="111"/>
                <w:rFonts w:hint="eastAsia" w:ascii="宋体" w:hAnsi="宋体"/>
                <w:sz w:val="21"/>
                <w:szCs w:val="21"/>
              </w:rPr>
              <w:t>.</w:t>
            </w:r>
            <w:r>
              <w:rPr>
                <w:rStyle w:val="112"/>
                <w:rFonts w:ascii="宋体" w:hAnsi="宋体"/>
                <w:sz w:val="21"/>
                <w:szCs w:val="21"/>
              </w:rPr>
              <w:t>m预置式扭力扳手设定值为</w:t>
            </w:r>
            <w:r>
              <w:rPr>
                <w:rStyle w:val="111"/>
                <w:rFonts w:ascii="宋体" w:hAnsi="宋体"/>
                <w:sz w:val="21"/>
                <w:szCs w:val="21"/>
              </w:rPr>
              <w:t>200</w:t>
            </w:r>
            <w:r>
              <w:rPr>
                <w:rStyle w:val="112"/>
                <w:rFonts w:ascii="宋体" w:hAnsi="宋体"/>
                <w:sz w:val="21"/>
                <w:szCs w:val="21"/>
              </w:rPr>
              <w:t>N</w:t>
            </w:r>
            <w:r>
              <w:rPr>
                <w:rStyle w:val="111"/>
                <w:rFonts w:hint="eastAsia" w:ascii="宋体" w:hAnsi="宋体"/>
                <w:sz w:val="21"/>
                <w:szCs w:val="21"/>
              </w:rPr>
              <w:t>.</w:t>
            </w:r>
            <w:r>
              <w:rPr>
                <w:rStyle w:val="112"/>
                <w:rFonts w:ascii="宋体" w:hAnsi="宋体"/>
                <w:sz w:val="21"/>
                <w:szCs w:val="21"/>
              </w:rPr>
              <w:t>m</w:t>
            </w:r>
          </w:p>
        </w:tc>
      </w:tr>
      <w:tr w14:paraId="5B87A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675" w:type="dxa"/>
            <w:vAlign w:val="center"/>
          </w:tcPr>
          <w:p w14:paraId="0A8E1B02">
            <w:pPr>
              <w:spacing w:line="360" w:lineRule="exact"/>
              <w:jc w:val="center"/>
              <w:rPr>
                <w:rFonts w:hint="eastAsia" w:ascii="宋体" w:hAnsi="宋体"/>
                <w:kern w:val="0"/>
                <w:sz w:val="21"/>
                <w:szCs w:val="21"/>
              </w:rPr>
            </w:pPr>
            <w:r>
              <w:rPr>
                <w:rFonts w:ascii="宋体" w:hAnsi="宋体"/>
                <w:kern w:val="0"/>
                <w:sz w:val="21"/>
                <w:szCs w:val="21"/>
              </w:rPr>
              <w:t>5</w:t>
            </w:r>
          </w:p>
        </w:tc>
        <w:tc>
          <w:tcPr>
            <w:tcW w:w="1218" w:type="dxa"/>
            <w:vAlign w:val="center"/>
          </w:tcPr>
          <w:p w14:paraId="08AED1E7">
            <w:pPr>
              <w:rPr>
                <w:rFonts w:hint="eastAsia" w:ascii="宋体" w:hAnsi="宋体"/>
                <w:sz w:val="21"/>
                <w:szCs w:val="21"/>
              </w:rPr>
            </w:pPr>
            <w:r>
              <w:rPr>
                <w:rFonts w:hint="eastAsia" w:ascii="宋体" w:hAnsi="宋体"/>
                <w:sz w:val="21"/>
                <w:szCs w:val="21"/>
              </w:rPr>
              <w:t>分装中桥制动气室</w:t>
            </w:r>
          </w:p>
        </w:tc>
        <w:tc>
          <w:tcPr>
            <w:tcW w:w="6482" w:type="dxa"/>
            <w:vAlign w:val="center"/>
          </w:tcPr>
          <w:p w14:paraId="35B74AE8">
            <w:pPr>
              <w:rPr>
                <w:rFonts w:hint="eastAsia" w:ascii="宋体" w:hAnsi="宋体"/>
                <w:sz w:val="21"/>
                <w:szCs w:val="21"/>
              </w:rPr>
            </w:pPr>
            <w:r>
              <w:rPr>
                <w:rFonts w:hint="eastAsia" w:ascii="宋体" w:hAnsi="宋体"/>
                <w:sz w:val="21"/>
                <w:szCs w:val="21"/>
              </w:rPr>
              <w:t>1、检查产品件如有缺损、变形、划伤、编号不正确不得装配；</w:t>
            </w:r>
          </w:p>
          <w:p w14:paraId="53C184C4">
            <w:pPr>
              <w:rPr>
                <w:rFonts w:hint="eastAsia" w:ascii="宋体" w:hAnsi="宋体"/>
                <w:sz w:val="21"/>
                <w:szCs w:val="21"/>
              </w:rPr>
            </w:pPr>
            <w:r>
              <w:rPr>
                <w:rFonts w:hint="eastAsia" w:ascii="宋体" w:hAnsi="宋体"/>
                <w:sz w:val="21"/>
                <w:szCs w:val="21"/>
              </w:rPr>
              <w:t>2、螺母座拧紧力矩要求为：10～17N.m，扭力扳手设定值13.5N.m；</w:t>
            </w:r>
          </w:p>
          <w:p w14:paraId="420F2EEA">
            <w:pPr>
              <w:pStyle w:val="62"/>
              <w:spacing w:line="360" w:lineRule="exact"/>
              <w:jc w:val="left"/>
              <w:rPr>
                <w:rFonts w:hint="eastAsia" w:ascii="宋体" w:hAnsi="宋体"/>
                <w:kern w:val="0"/>
                <w:szCs w:val="21"/>
              </w:rPr>
            </w:pPr>
            <w:r>
              <w:rPr>
                <w:rFonts w:hint="eastAsia" w:ascii="宋体" w:hAnsi="宋体"/>
                <w:szCs w:val="21"/>
              </w:rPr>
              <w:t>3、检验手柄插入抽出时均感觉有阻力，则说明装配完全；插入检验手柄能明显感觉到直接接触到了造型孔底部，且伴有撞击声，则说明漏装弹性元件；插入检验手柄，无阻力、没有咔哒声则说明漏装卡簧。</w:t>
            </w:r>
          </w:p>
        </w:tc>
      </w:tr>
      <w:tr w14:paraId="02B2C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675" w:type="dxa"/>
            <w:vAlign w:val="center"/>
          </w:tcPr>
          <w:p w14:paraId="7F1560C6">
            <w:pPr>
              <w:spacing w:line="360" w:lineRule="exact"/>
              <w:jc w:val="center"/>
              <w:rPr>
                <w:rFonts w:hint="eastAsia" w:ascii="宋体" w:hAnsi="宋体"/>
                <w:kern w:val="0"/>
                <w:sz w:val="21"/>
                <w:szCs w:val="21"/>
              </w:rPr>
            </w:pPr>
            <w:r>
              <w:rPr>
                <w:rFonts w:ascii="宋体" w:hAnsi="宋体"/>
                <w:kern w:val="0"/>
                <w:sz w:val="21"/>
                <w:szCs w:val="21"/>
              </w:rPr>
              <w:t>6</w:t>
            </w:r>
          </w:p>
        </w:tc>
        <w:tc>
          <w:tcPr>
            <w:tcW w:w="1218" w:type="dxa"/>
            <w:vAlign w:val="center"/>
          </w:tcPr>
          <w:p w14:paraId="722E89E2">
            <w:pPr>
              <w:rPr>
                <w:rFonts w:hint="eastAsia" w:ascii="宋体" w:hAnsi="宋体"/>
                <w:sz w:val="21"/>
                <w:szCs w:val="21"/>
              </w:rPr>
            </w:pPr>
            <w:r>
              <w:rPr>
                <w:rFonts w:ascii="宋体" w:hAnsi="宋体"/>
                <w:sz w:val="21"/>
                <w:szCs w:val="21"/>
              </w:rPr>
              <w:t>分装后桥制动气室</w:t>
            </w:r>
          </w:p>
        </w:tc>
        <w:tc>
          <w:tcPr>
            <w:tcW w:w="6482" w:type="dxa"/>
            <w:vAlign w:val="center"/>
          </w:tcPr>
          <w:p w14:paraId="7E6C89FA">
            <w:pPr>
              <w:rPr>
                <w:rFonts w:ascii="宋体" w:hAnsi="宋体"/>
                <w:sz w:val="21"/>
                <w:szCs w:val="21"/>
              </w:rPr>
            </w:pPr>
            <w:r>
              <w:rPr>
                <w:rFonts w:ascii="宋体" w:hAnsi="宋体"/>
                <w:sz w:val="21"/>
                <w:szCs w:val="21"/>
              </w:rPr>
              <w:t>1、检查产品件如有缺损、变形、划伤、编号不正确不得装配；</w:t>
            </w:r>
          </w:p>
          <w:p w14:paraId="24F624CC">
            <w:pPr>
              <w:rPr>
                <w:rFonts w:ascii="宋体" w:hAnsi="宋体"/>
                <w:sz w:val="21"/>
                <w:szCs w:val="21"/>
              </w:rPr>
            </w:pPr>
            <w:r>
              <w:rPr>
                <w:rFonts w:ascii="宋体" w:hAnsi="宋体"/>
                <w:sz w:val="21"/>
                <w:szCs w:val="21"/>
              </w:rPr>
              <w:t>2、螺母座拧紧力矩要求为：10～17N.m，扭力扳手设定值13.5N.m;</w:t>
            </w:r>
          </w:p>
          <w:p w14:paraId="11EE6C05">
            <w:pPr>
              <w:rPr>
                <w:rFonts w:hint="eastAsia" w:ascii="宋体" w:hAnsi="宋体"/>
                <w:sz w:val="21"/>
                <w:szCs w:val="21"/>
              </w:rPr>
            </w:pPr>
            <w:r>
              <w:rPr>
                <w:rFonts w:ascii="宋体" w:hAnsi="宋体"/>
                <w:sz w:val="21"/>
                <w:szCs w:val="21"/>
              </w:rPr>
              <w:t>3、检验手柄插入抽出时均感觉有阻力，则说明装配完全；插入检验手柄能明显感觉到直接接触到了造型孔底部，且伴有撞击声，则说明漏装弹性元件；插入检验手柄，无阻力、没有咔哒声则说明漏装卡簧。</w:t>
            </w:r>
          </w:p>
        </w:tc>
      </w:tr>
      <w:tr w14:paraId="2C334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8" w:hRule="atLeast"/>
          <w:jc w:val="center"/>
        </w:trPr>
        <w:tc>
          <w:tcPr>
            <w:tcW w:w="675" w:type="dxa"/>
            <w:vAlign w:val="center"/>
          </w:tcPr>
          <w:p w14:paraId="1EB062C1">
            <w:pPr>
              <w:spacing w:line="360" w:lineRule="exact"/>
              <w:jc w:val="center"/>
              <w:rPr>
                <w:rFonts w:hint="eastAsia" w:ascii="宋体" w:hAnsi="宋体"/>
                <w:kern w:val="0"/>
                <w:sz w:val="21"/>
                <w:szCs w:val="21"/>
              </w:rPr>
            </w:pPr>
            <w:r>
              <w:rPr>
                <w:rFonts w:ascii="宋体" w:hAnsi="宋体"/>
                <w:kern w:val="0"/>
                <w:sz w:val="21"/>
                <w:szCs w:val="21"/>
              </w:rPr>
              <w:t>7</w:t>
            </w:r>
          </w:p>
        </w:tc>
        <w:tc>
          <w:tcPr>
            <w:tcW w:w="1218" w:type="dxa"/>
            <w:vAlign w:val="center"/>
          </w:tcPr>
          <w:p w14:paraId="6FC93D69">
            <w:pPr>
              <w:rPr>
                <w:rFonts w:hint="eastAsia" w:ascii="宋体" w:hAnsi="宋体"/>
                <w:sz w:val="21"/>
                <w:szCs w:val="21"/>
              </w:rPr>
            </w:pPr>
            <w:r>
              <w:rPr>
                <w:rFonts w:ascii="宋体" w:hAnsi="宋体"/>
                <w:sz w:val="21"/>
                <w:szCs w:val="21"/>
              </w:rPr>
              <w:t>安装中桥制动管路支架</w:t>
            </w:r>
          </w:p>
        </w:tc>
        <w:tc>
          <w:tcPr>
            <w:tcW w:w="6482" w:type="dxa"/>
            <w:vAlign w:val="center"/>
          </w:tcPr>
          <w:p w14:paraId="1645D7F0">
            <w:pPr>
              <w:rPr>
                <w:rFonts w:ascii="宋体" w:hAnsi="宋体"/>
                <w:sz w:val="21"/>
                <w:szCs w:val="21"/>
              </w:rPr>
            </w:pPr>
            <w:r>
              <w:rPr>
                <w:rFonts w:ascii="宋体" w:hAnsi="宋体"/>
                <w:sz w:val="21"/>
                <w:szCs w:val="21"/>
              </w:rPr>
              <w:t>1、检查产品件如有缺损、变形、划伤、编号不正确不得装配；</w:t>
            </w:r>
          </w:p>
          <w:p w14:paraId="1079D028">
            <w:pPr>
              <w:rPr>
                <w:rFonts w:hint="eastAsia" w:ascii="宋体" w:hAnsi="宋体"/>
                <w:sz w:val="21"/>
                <w:szCs w:val="21"/>
              </w:rPr>
            </w:pPr>
            <w:r>
              <w:rPr>
                <w:rFonts w:ascii="宋体" w:hAnsi="宋体"/>
                <w:sz w:val="21"/>
                <w:szCs w:val="21"/>
              </w:rPr>
              <w:t>2、用充电式电动扳手预紧，预置式扭力扳手复紧，蓝色油性标记笔标记。M8螺栓紧固扭矩：M=24±3Nm，预置式扭力扳手设定值M=24Nm</w:t>
            </w:r>
          </w:p>
        </w:tc>
      </w:tr>
      <w:tr w14:paraId="41937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675" w:type="dxa"/>
            <w:vAlign w:val="center"/>
          </w:tcPr>
          <w:p w14:paraId="46B72A0B">
            <w:pPr>
              <w:spacing w:line="360" w:lineRule="exact"/>
              <w:jc w:val="center"/>
              <w:rPr>
                <w:rFonts w:hint="eastAsia" w:ascii="宋体" w:hAnsi="宋体"/>
                <w:kern w:val="0"/>
                <w:sz w:val="21"/>
                <w:szCs w:val="21"/>
              </w:rPr>
            </w:pPr>
            <w:r>
              <w:rPr>
                <w:rFonts w:ascii="宋体" w:hAnsi="宋体"/>
                <w:kern w:val="0"/>
                <w:sz w:val="21"/>
                <w:szCs w:val="21"/>
              </w:rPr>
              <w:t>8</w:t>
            </w:r>
          </w:p>
        </w:tc>
        <w:tc>
          <w:tcPr>
            <w:tcW w:w="1218" w:type="dxa"/>
            <w:vAlign w:val="center"/>
          </w:tcPr>
          <w:p w14:paraId="7BD4C44E">
            <w:pPr>
              <w:rPr>
                <w:rFonts w:hint="eastAsia" w:ascii="宋体" w:hAnsi="宋体"/>
                <w:sz w:val="21"/>
                <w:szCs w:val="21"/>
              </w:rPr>
            </w:pPr>
            <w:r>
              <w:rPr>
                <w:rFonts w:ascii="宋体" w:hAnsi="宋体"/>
                <w:sz w:val="21"/>
                <w:szCs w:val="21"/>
              </w:rPr>
              <w:t>安装中桥制动气室</w:t>
            </w:r>
          </w:p>
        </w:tc>
        <w:tc>
          <w:tcPr>
            <w:tcW w:w="6482" w:type="dxa"/>
            <w:vAlign w:val="center"/>
          </w:tcPr>
          <w:p w14:paraId="2C7BDC26">
            <w:pPr>
              <w:rPr>
                <w:rFonts w:ascii="宋体" w:hAnsi="宋体"/>
                <w:sz w:val="21"/>
                <w:szCs w:val="21"/>
              </w:rPr>
            </w:pPr>
            <w:r>
              <w:rPr>
                <w:rFonts w:ascii="宋体" w:hAnsi="宋体"/>
                <w:sz w:val="21"/>
                <w:szCs w:val="21"/>
              </w:rPr>
              <w:t>1、检查产品件如有缺损、变形、划伤、编号不正确的不得装配；</w:t>
            </w:r>
          </w:p>
          <w:p w14:paraId="26B9625E">
            <w:pPr>
              <w:rPr>
                <w:rFonts w:ascii="宋体" w:hAnsi="宋体"/>
                <w:sz w:val="21"/>
                <w:szCs w:val="21"/>
              </w:rPr>
            </w:pPr>
            <w:r>
              <w:rPr>
                <w:rFonts w:ascii="宋体" w:hAnsi="宋体"/>
                <w:sz w:val="21"/>
                <w:szCs w:val="21"/>
              </w:rPr>
              <w:t>2、安装螺栓扭矩为195±15N.m，预置式扭力扳手设定值为195N.m，U型叉背螺母扭矩为80±10N.m，预置式扭力扳手设定值为80N.m,在安装制动分室时按直线对称原则涂抹螺纹锁固剂；</w:t>
            </w:r>
          </w:p>
          <w:p w14:paraId="30FF6B58">
            <w:pPr>
              <w:rPr>
                <w:rFonts w:ascii="宋体" w:hAnsi="宋体"/>
                <w:sz w:val="21"/>
                <w:szCs w:val="21"/>
              </w:rPr>
            </w:pPr>
            <w:r>
              <w:rPr>
                <w:rFonts w:ascii="宋体" w:hAnsi="宋体"/>
                <w:sz w:val="21"/>
                <w:szCs w:val="21"/>
              </w:rPr>
              <w:t>3、涂胶后完成紧固、销轴安装时表面均匀涂抹2#锂基润滑脂；</w:t>
            </w:r>
          </w:p>
          <w:p w14:paraId="51C5D57A">
            <w:pPr>
              <w:rPr>
                <w:rFonts w:ascii="宋体" w:hAnsi="宋体"/>
                <w:sz w:val="21"/>
                <w:szCs w:val="21"/>
              </w:rPr>
            </w:pPr>
            <w:r>
              <w:rPr>
                <w:rFonts w:ascii="宋体" w:hAnsi="宋体"/>
                <w:sz w:val="21"/>
                <w:szCs w:val="21"/>
              </w:rPr>
              <w:t>4、开口销装配外观要求：开口销开度大于180°；</w:t>
            </w:r>
          </w:p>
          <w:p w14:paraId="2D9B803D">
            <w:pPr>
              <w:rPr>
                <w:rFonts w:hint="eastAsia" w:ascii="宋体" w:hAnsi="宋体"/>
                <w:sz w:val="21"/>
                <w:szCs w:val="21"/>
              </w:rPr>
            </w:pPr>
            <w:r>
              <w:rPr>
                <w:rFonts w:ascii="宋体" w:hAnsi="宋体"/>
                <w:sz w:val="21"/>
                <w:szCs w:val="21"/>
              </w:rPr>
              <w:t xml:space="preserve">5、驻车螺杆拧紧力矩M＝25～45N.m，预置式扭力扳手设定值为40N.m </w:t>
            </w:r>
          </w:p>
        </w:tc>
      </w:tr>
      <w:tr w14:paraId="74F49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675" w:type="dxa"/>
            <w:vAlign w:val="center"/>
          </w:tcPr>
          <w:p w14:paraId="50A0AB54">
            <w:pPr>
              <w:spacing w:line="360" w:lineRule="exact"/>
              <w:jc w:val="center"/>
              <w:rPr>
                <w:rFonts w:hint="eastAsia" w:ascii="宋体" w:hAnsi="宋体"/>
                <w:kern w:val="0"/>
                <w:sz w:val="21"/>
                <w:szCs w:val="21"/>
              </w:rPr>
            </w:pPr>
            <w:r>
              <w:rPr>
                <w:rFonts w:ascii="宋体" w:hAnsi="宋体"/>
                <w:kern w:val="0"/>
                <w:sz w:val="21"/>
                <w:szCs w:val="21"/>
              </w:rPr>
              <w:t>9</w:t>
            </w:r>
          </w:p>
        </w:tc>
        <w:tc>
          <w:tcPr>
            <w:tcW w:w="1218" w:type="dxa"/>
            <w:vAlign w:val="center"/>
          </w:tcPr>
          <w:p w14:paraId="3ED99B7E">
            <w:pPr>
              <w:rPr>
                <w:rFonts w:hint="eastAsia" w:ascii="宋体" w:hAnsi="宋体"/>
                <w:sz w:val="21"/>
                <w:szCs w:val="21"/>
              </w:rPr>
            </w:pPr>
            <w:r>
              <w:rPr>
                <w:rFonts w:ascii="宋体" w:hAnsi="宋体"/>
                <w:sz w:val="21"/>
                <w:szCs w:val="21"/>
              </w:rPr>
              <w:t>安装后桥制动气室</w:t>
            </w:r>
          </w:p>
        </w:tc>
        <w:tc>
          <w:tcPr>
            <w:tcW w:w="6482" w:type="dxa"/>
            <w:vAlign w:val="center"/>
          </w:tcPr>
          <w:p w14:paraId="3D2F12C8">
            <w:pPr>
              <w:rPr>
                <w:rFonts w:ascii="宋体" w:hAnsi="宋体"/>
                <w:sz w:val="21"/>
                <w:szCs w:val="21"/>
              </w:rPr>
            </w:pPr>
            <w:r>
              <w:rPr>
                <w:rFonts w:ascii="宋体" w:hAnsi="宋体"/>
                <w:sz w:val="21"/>
                <w:szCs w:val="21"/>
              </w:rPr>
              <w:t>1、检查产品件如有缺损、变形、划伤、编号不正确的不得装配；</w:t>
            </w:r>
          </w:p>
          <w:p w14:paraId="51F04C9C">
            <w:pPr>
              <w:rPr>
                <w:rFonts w:ascii="宋体" w:hAnsi="宋体"/>
                <w:sz w:val="21"/>
                <w:szCs w:val="21"/>
              </w:rPr>
            </w:pPr>
            <w:r>
              <w:rPr>
                <w:rFonts w:ascii="宋体" w:hAnsi="宋体"/>
                <w:sz w:val="21"/>
                <w:szCs w:val="21"/>
              </w:rPr>
              <w:t>2、安装螺栓扭矩为195±15N.m，预置式扭力扳手设定值为195N.m，U型叉背螺母扭矩为80±10N.m，预置式扭力扳手设定值为80N.m,在安装制动分室时按直线对称原则涂抹螺纹锁固剂；</w:t>
            </w:r>
          </w:p>
          <w:p w14:paraId="0AB7E13B">
            <w:pPr>
              <w:rPr>
                <w:rFonts w:ascii="宋体" w:hAnsi="宋体"/>
                <w:sz w:val="21"/>
                <w:szCs w:val="21"/>
              </w:rPr>
            </w:pPr>
            <w:r>
              <w:rPr>
                <w:rFonts w:ascii="宋体" w:hAnsi="宋体"/>
                <w:sz w:val="21"/>
                <w:szCs w:val="21"/>
              </w:rPr>
              <w:t>3、涂胶后完成紧固、销轴安装时表面均匀涂抹2#锂基润滑脂；</w:t>
            </w:r>
          </w:p>
          <w:p w14:paraId="4B483EC5">
            <w:pPr>
              <w:rPr>
                <w:rFonts w:ascii="宋体" w:hAnsi="宋体"/>
                <w:sz w:val="21"/>
                <w:szCs w:val="21"/>
              </w:rPr>
            </w:pPr>
            <w:r>
              <w:rPr>
                <w:rFonts w:ascii="宋体" w:hAnsi="宋体"/>
                <w:sz w:val="21"/>
                <w:szCs w:val="21"/>
              </w:rPr>
              <w:t>4、开口销装配外观要求：开口销开度大于180°；</w:t>
            </w:r>
          </w:p>
          <w:p w14:paraId="2D9CD718">
            <w:pPr>
              <w:rPr>
                <w:rFonts w:hint="eastAsia" w:ascii="宋体" w:hAnsi="宋体"/>
                <w:sz w:val="21"/>
                <w:szCs w:val="21"/>
              </w:rPr>
            </w:pPr>
            <w:r>
              <w:rPr>
                <w:rFonts w:ascii="宋体" w:hAnsi="宋体"/>
                <w:sz w:val="21"/>
                <w:szCs w:val="21"/>
              </w:rPr>
              <w:t xml:space="preserve">5、驻车螺杆拧紧力矩M＝25～45N.m，预置式扭力扳手设定值为40N.m </w:t>
            </w:r>
          </w:p>
        </w:tc>
      </w:tr>
      <w:tr w14:paraId="3BEBD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675" w:type="dxa"/>
            <w:vAlign w:val="center"/>
          </w:tcPr>
          <w:p w14:paraId="65717269">
            <w:pPr>
              <w:spacing w:line="360" w:lineRule="exact"/>
              <w:jc w:val="center"/>
              <w:rPr>
                <w:rFonts w:hint="eastAsia" w:ascii="宋体" w:hAnsi="宋体"/>
                <w:kern w:val="0"/>
                <w:sz w:val="21"/>
                <w:szCs w:val="21"/>
              </w:rPr>
            </w:pPr>
            <w:r>
              <w:rPr>
                <w:rFonts w:ascii="宋体" w:hAnsi="宋体"/>
                <w:kern w:val="0"/>
                <w:sz w:val="21"/>
                <w:szCs w:val="21"/>
              </w:rPr>
              <w:t>10</w:t>
            </w:r>
          </w:p>
        </w:tc>
        <w:tc>
          <w:tcPr>
            <w:tcW w:w="1218" w:type="dxa"/>
            <w:vAlign w:val="center"/>
          </w:tcPr>
          <w:p w14:paraId="4C3F200D">
            <w:pPr>
              <w:rPr>
                <w:rFonts w:hint="eastAsia" w:ascii="宋体" w:hAnsi="宋体"/>
                <w:sz w:val="21"/>
                <w:szCs w:val="21"/>
              </w:rPr>
            </w:pPr>
            <w:r>
              <w:rPr>
                <w:rFonts w:ascii="宋体" w:hAnsi="宋体"/>
                <w:sz w:val="21"/>
                <w:szCs w:val="21"/>
              </w:rPr>
              <w:t>分装中桥轴差工作气缸</w:t>
            </w:r>
          </w:p>
        </w:tc>
        <w:tc>
          <w:tcPr>
            <w:tcW w:w="6482" w:type="dxa"/>
            <w:vAlign w:val="center"/>
          </w:tcPr>
          <w:p w14:paraId="2CBD80DE">
            <w:pPr>
              <w:rPr>
                <w:rFonts w:ascii="宋体" w:hAnsi="宋体"/>
                <w:sz w:val="21"/>
                <w:szCs w:val="21"/>
              </w:rPr>
            </w:pPr>
            <w:r>
              <w:rPr>
                <w:rFonts w:ascii="宋体" w:hAnsi="宋体"/>
                <w:sz w:val="21"/>
                <w:szCs w:val="21"/>
              </w:rPr>
              <w:t>1、检查产品件如有缺损、变形、划伤、编号不正确不得装配；</w:t>
            </w:r>
          </w:p>
          <w:p w14:paraId="7D059EEF">
            <w:pPr>
              <w:rPr>
                <w:rFonts w:ascii="宋体" w:hAnsi="宋体"/>
                <w:sz w:val="21"/>
                <w:szCs w:val="21"/>
              </w:rPr>
            </w:pPr>
            <w:r>
              <w:rPr>
                <w:rFonts w:ascii="宋体" w:hAnsi="宋体"/>
                <w:sz w:val="21"/>
                <w:szCs w:val="21"/>
              </w:rPr>
              <w:t>2、注意分装手柄应正对阀体的螺纹孔，分装手柄可以直接拔出，其他部件维持原位，依次按弹性元件、卡簧、螺母座顺序装配；</w:t>
            </w:r>
          </w:p>
          <w:p w14:paraId="5BAF324E">
            <w:pPr>
              <w:rPr>
                <w:rFonts w:ascii="宋体" w:hAnsi="宋体"/>
                <w:sz w:val="21"/>
                <w:szCs w:val="21"/>
              </w:rPr>
            </w:pPr>
            <w:r>
              <w:rPr>
                <w:rFonts w:ascii="宋体" w:hAnsi="宋体"/>
                <w:sz w:val="21"/>
                <w:szCs w:val="21"/>
              </w:rPr>
              <w:t>3、NG6螺母座的扭矩为M=5～6N.m，预置式扭力扳手设定值为5.5N.m；</w:t>
            </w:r>
          </w:p>
          <w:p w14:paraId="6B29C15C">
            <w:pPr>
              <w:rPr>
                <w:rFonts w:hint="eastAsia" w:ascii="宋体" w:hAnsi="宋体"/>
                <w:sz w:val="21"/>
                <w:szCs w:val="21"/>
              </w:rPr>
            </w:pPr>
            <w:r>
              <w:rPr>
                <w:rFonts w:ascii="宋体" w:hAnsi="宋体"/>
                <w:sz w:val="21"/>
                <w:szCs w:val="21"/>
              </w:rPr>
              <w:t>4、检验手柄插入抽出时均感觉有阻力，则说明装配完全；插入检验手柄能明显感觉到直接接触到了造型孔底部，且伴有撞击声，则说明漏装弹性元件；插入检验手柄，无阻力、没有咔哒声则说明漏装卡簧。</w:t>
            </w:r>
          </w:p>
        </w:tc>
      </w:tr>
      <w:tr w14:paraId="4FF78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675" w:type="dxa"/>
            <w:vAlign w:val="center"/>
          </w:tcPr>
          <w:p w14:paraId="62940A1C">
            <w:pPr>
              <w:spacing w:line="360" w:lineRule="exact"/>
              <w:jc w:val="center"/>
              <w:rPr>
                <w:rFonts w:hint="eastAsia" w:ascii="宋体" w:hAnsi="宋体"/>
                <w:kern w:val="0"/>
                <w:sz w:val="21"/>
                <w:szCs w:val="21"/>
              </w:rPr>
            </w:pPr>
            <w:r>
              <w:rPr>
                <w:rFonts w:ascii="宋体" w:hAnsi="宋体"/>
                <w:kern w:val="0"/>
                <w:sz w:val="21"/>
                <w:szCs w:val="21"/>
              </w:rPr>
              <w:t>11</w:t>
            </w:r>
          </w:p>
        </w:tc>
        <w:tc>
          <w:tcPr>
            <w:tcW w:w="1218" w:type="dxa"/>
            <w:vAlign w:val="center"/>
          </w:tcPr>
          <w:p w14:paraId="6454CBE8">
            <w:pPr>
              <w:rPr>
                <w:rFonts w:hint="eastAsia" w:ascii="宋体" w:hAnsi="宋体"/>
                <w:sz w:val="21"/>
                <w:szCs w:val="21"/>
              </w:rPr>
            </w:pPr>
            <w:r>
              <w:rPr>
                <w:rFonts w:ascii="宋体" w:hAnsi="宋体"/>
                <w:sz w:val="21"/>
                <w:szCs w:val="21"/>
              </w:rPr>
              <w:t>分装中桥轮差工作气缸</w:t>
            </w:r>
          </w:p>
        </w:tc>
        <w:tc>
          <w:tcPr>
            <w:tcW w:w="6482" w:type="dxa"/>
            <w:vAlign w:val="center"/>
          </w:tcPr>
          <w:p w14:paraId="241F672A">
            <w:pPr>
              <w:rPr>
                <w:rFonts w:ascii="宋体" w:hAnsi="宋体"/>
                <w:sz w:val="21"/>
                <w:szCs w:val="21"/>
              </w:rPr>
            </w:pPr>
            <w:r>
              <w:rPr>
                <w:rFonts w:ascii="宋体" w:hAnsi="宋体"/>
                <w:sz w:val="21"/>
                <w:szCs w:val="21"/>
              </w:rPr>
              <w:t>1、检查产品件如有缺损、变形、划伤、编号不正确不得装配；</w:t>
            </w:r>
          </w:p>
          <w:p w14:paraId="63C56E9A">
            <w:pPr>
              <w:rPr>
                <w:rFonts w:ascii="宋体" w:hAnsi="宋体"/>
                <w:sz w:val="21"/>
                <w:szCs w:val="21"/>
              </w:rPr>
            </w:pPr>
            <w:r>
              <w:rPr>
                <w:rFonts w:ascii="宋体" w:hAnsi="宋体"/>
                <w:sz w:val="21"/>
                <w:szCs w:val="21"/>
              </w:rPr>
              <w:t>2、注意分装手柄应正对阀体的螺纹孔，分装手柄可以直接拔出，其他部件维持原位，依次按弹性元件、卡簧、螺母座顺序装配；</w:t>
            </w:r>
          </w:p>
          <w:p w14:paraId="2830FA90">
            <w:pPr>
              <w:rPr>
                <w:rFonts w:ascii="宋体" w:hAnsi="宋体"/>
                <w:sz w:val="21"/>
                <w:szCs w:val="21"/>
              </w:rPr>
            </w:pPr>
            <w:r>
              <w:rPr>
                <w:rFonts w:ascii="宋体" w:hAnsi="宋体"/>
                <w:sz w:val="21"/>
                <w:szCs w:val="21"/>
              </w:rPr>
              <w:t>3、NG6螺母座的扭矩为M=5～6N.m，预置式扭力扳手设定值为5.5N.m；</w:t>
            </w:r>
          </w:p>
          <w:p w14:paraId="7A094060">
            <w:pPr>
              <w:pStyle w:val="62"/>
              <w:spacing w:line="360" w:lineRule="exact"/>
              <w:jc w:val="left"/>
              <w:rPr>
                <w:rFonts w:hint="eastAsia" w:ascii="宋体" w:hAnsi="宋体"/>
                <w:kern w:val="0"/>
                <w:szCs w:val="21"/>
              </w:rPr>
            </w:pPr>
            <w:r>
              <w:rPr>
                <w:rFonts w:ascii="宋体" w:hAnsi="宋体"/>
                <w:szCs w:val="21"/>
              </w:rPr>
              <w:t>4、检验手柄插入抽出时均感觉有阻力，则说明装配完全；插入检验手柄能明显感觉到直接接触到了造型孔底部，且伴有撞击声，则说明漏装弹性元件；插入检验手柄，无阻力、没有咔哒声则说明漏装卡簧。</w:t>
            </w:r>
          </w:p>
        </w:tc>
      </w:tr>
      <w:tr w14:paraId="46B78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675" w:type="dxa"/>
            <w:vAlign w:val="center"/>
          </w:tcPr>
          <w:p w14:paraId="6660F43D">
            <w:pPr>
              <w:spacing w:line="360" w:lineRule="exact"/>
              <w:jc w:val="center"/>
              <w:rPr>
                <w:rFonts w:hint="eastAsia" w:ascii="宋体" w:hAnsi="宋体"/>
                <w:kern w:val="0"/>
                <w:sz w:val="21"/>
                <w:szCs w:val="21"/>
              </w:rPr>
            </w:pPr>
            <w:r>
              <w:rPr>
                <w:rFonts w:ascii="宋体" w:hAnsi="宋体"/>
                <w:kern w:val="0"/>
                <w:sz w:val="21"/>
                <w:szCs w:val="21"/>
              </w:rPr>
              <w:t>12</w:t>
            </w:r>
          </w:p>
        </w:tc>
        <w:tc>
          <w:tcPr>
            <w:tcW w:w="1218" w:type="dxa"/>
            <w:vAlign w:val="center"/>
          </w:tcPr>
          <w:p w14:paraId="3086C4D8">
            <w:pPr>
              <w:rPr>
                <w:rFonts w:hint="eastAsia" w:ascii="宋体" w:hAnsi="宋体"/>
                <w:sz w:val="21"/>
                <w:szCs w:val="21"/>
              </w:rPr>
            </w:pPr>
            <w:r>
              <w:rPr>
                <w:rFonts w:ascii="宋体" w:hAnsi="宋体"/>
                <w:sz w:val="21"/>
                <w:szCs w:val="21"/>
              </w:rPr>
              <w:t>分装后桥轮差工作气缸</w:t>
            </w:r>
          </w:p>
        </w:tc>
        <w:tc>
          <w:tcPr>
            <w:tcW w:w="6482" w:type="dxa"/>
            <w:vAlign w:val="center"/>
          </w:tcPr>
          <w:p w14:paraId="3D3A4F89">
            <w:pPr>
              <w:rPr>
                <w:rFonts w:ascii="宋体" w:hAnsi="宋体"/>
                <w:sz w:val="21"/>
                <w:szCs w:val="21"/>
              </w:rPr>
            </w:pPr>
            <w:r>
              <w:rPr>
                <w:rFonts w:ascii="宋体" w:hAnsi="宋体"/>
                <w:sz w:val="21"/>
                <w:szCs w:val="21"/>
              </w:rPr>
              <w:t>1、检查产品件如有缺损、变形、划伤、编号不正确不得装配；</w:t>
            </w:r>
          </w:p>
          <w:p w14:paraId="010A1609">
            <w:pPr>
              <w:rPr>
                <w:rFonts w:ascii="宋体" w:hAnsi="宋体"/>
                <w:sz w:val="21"/>
                <w:szCs w:val="21"/>
              </w:rPr>
            </w:pPr>
            <w:r>
              <w:rPr>
                <w:rFonts w:ascii="宋体" w:hAnsi="宋体"/>
                <w:sz w:val="21"/>
                <w:szCs w:val="21"/>
              </w:rPr>
              <w:t>2、注意分装手柄应正对阀体的螺纹孔，分装手柄可以直接拔出，其他部件维持原位，依次按弹性元件、卡簧、螺母座顺序装配；</w:t>
            </w:r>
          </w:p>
          <w:p w14:paraId="7AFC13E2">
            <w:pPr>
              <w:rPr>
                <w:rFonts w:ascii="宋体" w:hAnsi="宋体"/>
                <w:sz w:val="21"/>
                <w:szCs w:val="21"/>
              </w:rPr>
            </w:pPr>
            <w:r>
              <w:rPr>
                <w:rFonts w:ascii="宋体" w:hAnsi="宋体"/>
                <w:sz w:val="21"/>
                <w:szCs w:val="21"/>
              </w:rPr>
              <w:t>3、NG6螺母座的扭矩为M=5～6N.m，预置式扭力扳手设定值为5.5N.m；</w:t>
            </w:r>
          </w:p>
          <w:p w14:paraId="3393C348">
            <w:pPr>
              <w:rPr>
                <w:rFonts w:hint="eastAsia" w:ascii="宋体" w:hAnsi="宋体"/>
                <w:sz w:val="21"/>
                <w:szCs w:val="21"/>
              </w:rPr>
            </w:pPr>
            <w:r>
              <w:rPr>
                <w:rFonts w:ascii="宋体" w:hAnsi="宋体"/>
                <w:sz w:val="21"/>
                <w:szCs w:val="21"/>
              </w:rPr>
              <w:t>4、检验手柄插入抽出时均感觉有阻力，则说明装配完全；插入检验手柄能明显感觉到直接接触到了造型孔底部，且伴有撞击声，则说明漏装弹性元件；插入检验手柄，无阻力、没有咔哒声则说明漏装卡簧。</w:t>
            </w:r>
          </w:p>
        </w:tc>
      </w:tr>
      <w:tr w14:paraId="016AA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675" w:type="dxa"/>
            <w:vAlign w:val="center"/>
          </w:tcPr>
          <w:p w14:paraId="09048E28">
            <w:pPr>
              <w:spacing w:line="360" w:lineRule="exact"/>
              <w:jc w:val="center"/>
              <w:rPr>
                <w:rFonts w:hint="eastAsia" w:ascii="宋体" w:hAnsi="宋体"/>
                <w:kern w:val="0"/>
                <w:sz w:val="21"/>
                <w:szCs w:val="21"/>
              </w:rPr>
            </w:pPr>
            <w:r>
              <w:rPr>
                <w:rFonts w:ascii="宋体" w:hAnsi="宋体"/>
                <w:kern w:val="0"/>
                <w:sz w:val="21"/>
                <w:szCs w:val="21"/>
              </w:rPr>
              <w:t>13</w:t>
            </w:r>
          </w:p>
        </w:tc>
        <w:tc>
          <w:tcPr>
            <w:tcW w:w="1218" w:type="dxa"/>
            <w:vAlign w:val="center"/>
          </w:tcPr>
          <w:p w14:paraId="0ECE43D0">
            <w:pPr>
              <w:spacing w:line="360" w:lineRule="exact"/>
              <w:jc w:val="center"/>
              <w:rPr>
                <w:rFonts w:ascii="宋体" w:hAnsi="宋体"/>
                <w:kern w:val="0"/>
                <w:sz w:val="21"/>
                <w:szCs w:val="21"/>
              </w:rPr>
            </w:pPr>
            <w:r>
              <w:rPr>
                <w:rFonts w:hint="eastAsia" w:ascii="宋体" w:hAnsi="宋体"/>
                <w:kern w:val="0"/>
                <w:sz w:val="21"/>
                <w:szCs w:val="21"/>
              </w:rPr>
              <w:t>问题处理、服务支持</w:t>
            </w:r>
          </w:p>
        </w:tc>
        <w:tc>
          <w:tcPr>
            <w:tcW w:w="6482" w:type="dxa"/>
            <w:vAlign w:val="center"/>
          </w:tcPr>
          <w:p w14:paraId="1A0C4DA5">
            <w:pPr>
              <w:pStyle w:val="62"/>
              <w:spacing w:line="360" w:lineRule="exact"/>
              <w:jc w:val="left"/>
              <w:rPr>
                <w:rFonts w:ascii="宋体" w:hAnsi="宋体"/>
                <w:kern w:val="0"/>
                <w:szCs w:val="21"/>
              </w:rPr>
            </w:pPr>
            <w:r>
              <w:rPr>
                <w:rFonts w:hint="eastAsia" w:ascii="宋体" w:hAnsi="宋体"/>
                <w:kern w:val="0"/>
                <w:szCs w:val="21"/>
              </w:rPr>
              <w:t>1、负责安排人员针对车辆上线、下线、入库等过程中遇到与中后桥分装往来方面的问题处理协调；</w:t>
            </w:r>
          </w:p>
          <w:p w14:paraId="650B6691">
            <w:pPr>
              <w:pStyle w:val="62"/>
              <w:spacing w:line="360" w:lineRule="exact"/>
              <w:jc w:val="left"/>
              <w:rPr>
                <w:rFonts w:hint="eastAsia" w:ascii="宋体" w:hAnsi="宋体"/>
                <w:kern w:val="0"/>
                <w:szCs w:val="21"/>
              </w:rPr>
            </w:pPr>
            <w:r>
              <w:rPr>
                <w:rFonts w:hint="eastAsia" w:ascii="宋体" w:hAnsi="宋体"/>
                <w:kern w:val="0"/>
                <w:szCs w:val="21"/>
              </w:rPr>
              <w:t>2、负责总装下线、入库等改制车辆的中后桥分装部分提供服务支持。</w:t>
            </w:r>
          </w:p>
        </w:tc>
      </w:tr>
      <w:tr w14:paraId="22618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shd w:val="clear" w:color="auto" w:fill="FFFFFF"/>
            <w:vAlign w:val="center"/>
          </w:tcPr>
          <w:p w14:paraId="73C6C9AA">
            <w:pPr>
              <w:spacing w:line="360" w:lineRule="exact"/>
              <w:jc w:val="center"/>
              <w:rPr>
                <w:rFonts w:hint="eastAsia" w:ascii="宋体" w:hAnsi="宋体"/>
                <w:kern w:val="0"/>
                <w:sz w:val="21"/>
                <w:szCs w:val="21"/>
              </w:rPr>
            </w:pPr>
            <w:r>
              <w:rPr>
                <w:rFonts w:ascii="宋体" w:hAnsi="宋体"/>
                <w:kern w:val="0"/>
                <w:sz w:val="21"/>
                <w:szCs w:val="21"/>
              </w:rPr>
              <w:t>14</w:t>
            </w:r>
          </w:p>
        </w:tc>
        <w:tc>
          <w:tcPr>
            <w:tcW w:w="1218" w:type="dxa"/>
            <w:shd w:val="clear" w:color="auto" w:fill="FFFFFF"/>
            <w:vAlign w:val="center"/>
          </w:tcPr>
          <w:p w14:paraId="2C337419">
            <w:pPr>
              <w:spacing w:line="360" w:lineRule="exact"/>
              <w:jc w:val="center"/>
              <w:rPr>
                <w:rFonts w:hint="eastAsia" w:ascii="宋体" w:hAnsi="宋体"/>
                <w:kern w:val="0"/>
                <w:sz w:val="21"/>
                <w:szCs w:val="21"/>
              </w:rPr>
            </w:pPr>
            <w:r>
              <w:rPr>
                <w:rFonts w:hint="eastAsia" w:ascii="宋体" w:hAnsi="宋体"/>
                <w:kern w:val="0"/>
                <w:sz w:val="21"/>
                <w:szCs w:val="21"/>
              </w:rPr>
              <w:t>技术质量支持</w:t>
            </w:r>
          </w:p>
        </w:tc>
        <w:tc>
          <w:tcPr>
            <w:tcW w:w="6482" w:type="dxa"/>
            <w:shd w:val="clear" w:color="auto" w:fill="FFFFFF"/>
          </w:tcPr>
          <w:p w14:paraId="4CF9B354">
            <w:pPr>
              <w:spacing w:before="50" w:line="276" w:lineRule="auto"/>
              <w:rPr>
                <w:rFonts w:hint="eastAsia" w:ascii="宋体" w:hAnsi="宋体"/>
                <w:kern w:val="0"/>
                <w:sz w:val="21"/>
                <w:szCs w:val="21"/>
              </w:rPr>
            </w:pPr>
            <w:r>
              <w:rPr>
                <w:rFonts w:hint="eastAsia" w:ascii="宋体" w:hAnsi="宋体"/>
                <w:kern w:val="0"/>
                <w:sz w:val="21"/>
                <w:szCs w:val="21"/>
              </w:rPr>
              <w:t>严格按照操作规程、工艺要求进行操作。负责通过质量管理活动不断提高全体员工的质量意识，制定完善的施工工艺、检验制度和考核制度，主动采取质量预防措施，及时发现质量问题并及时纠正。如果发生质量事故，应及时查明原因，制订解决方案，并以书面形式报告，并按商定的处理方案实施。详情见装配过程工艺卡片。</w:t>
            </w:r>
          </w:p>
        </w:tc>
      </w:tr>
      <w:tr w14:paraId="45F22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shd w:val="clear" w:color="auto" w:fill="FFFFFF"/>
            <w:vAlign w:val="center"/>
          </w:tcPr>
          <w:p w14:paraId="13432C2B">
            <w:pPr>
              <w:spacing w:line="360" w:lineRule="exact"/>
              <w:jc w:val="center"/>
              <w:rPr>
                <w:rFonts w:hint="eastAsia" w:ascii="宋体" w:hAnsi="宋体"/>
                <w:kern w:val="0"/>
                <w:sz w:val="21"/>
                <w:szCs w:val="21"/>
              </w:rPr>
            </w:pPr>
            <w:r>
              <w:rPr>
                <w:rFonts w:ascii="宋体" w:hAnsi="宋体"/>
                <w:kern w:val="0"/>
                <w:sz w:val="21"/>
                <w:szCs w:val="21"/>
              </w:rPr>
              <w:t>15</w:t>
            </w:r>
          </w:p>
        </w:tc>
        <w:tc>
          <w:tcPr>
            <w:tcW w:w="1218" w:type="dxa"/>
            <w:shd w:val="clear" w:color="auto" w:fill="FFFFFF"/>
            <w:vAlign w:val="center"/>
          </w:tcPr>
          <w:p w14:paraId="13023242">
            <w:pPr>
              <w:spacing w:line="360" w:lineRule="exact"/>
              <w:jc w:val="center"/>
              <w:rPr>
                <w:rFonts w:ascii="宋体" w:hAnsi="宋体"/>
                <w:kern w:val="0"/>
                <w:sz w:val="21"/>
                <w:szCs w:val="21"/>
              </w:rPr>
            </w:pPr>
            <w:r>
              <w:rPr>
                <w:rFonts w:hint="eastAsia" w:ascii="宋体" w:hAnsi="宋体"/>
                <w:kern w:val="0"/>
                <w:sz w:val="21"/>
                <w:szCs w:val="21"/>
              </w:rPr>
              <w:t>人员管理</w:t>
            </w:r>
          </w:p>
        </w:tc>
        <w:tc>
          <w:tcPr>
            <w:tcW w:w="6482" w:type="dxa"/>
            <w:shd w:val="clear" w:color="auto" w:fill="FFFFFF"/>
          </w:tcPr>
          <w:p w14:paraId="564ED023">
            <w:pPr>
              <w:spacing w:line="360" w:lineRule="exact"/>
              <w:jc w:val="left"/>
              <w:rPr>
                <w:rFonts w:ascii="宋体" w:hAnsi="宋体"/>
                <w:kern w:val="0"/>
                <w:sz w:val="21"/>
                <w:szCs w:val="21"/>
              </w:rPr>
            </w:pPr>
            <w:r>
              <w:rPr>
                <w:rFonts w:hint="eastAsia" w:ascii="宋体" w:hAnsi="宋体"/>
                <w:kern w:val="0"/>
                <w:sz w:val="21"/>
                <w:szCs w:val="21"/>
              </w:rPr>
              <w:t>1、操作人员在卡车公司厂区作业时严格遵守各项管理制度。</w:t>
            </w:r>
          </w:p>
          <w:p w14:paraId="2893B777">
            <w:pPr>
              <w:spacing w:line="360" w:lineRule="exact"/>
              <w:jc w:val="left"/>
              <w:rPr>
                <w:rFonts w:hint="eastAsia" w:ascii="宋体" w:hAnsi="宋体"/>
                <w:kern w:val="0"/>
                <w:sz w:val="21"/>
                <w:szCs w:val="21"/>
              </w:rPr>
            </w:pPr>
            <w:r>
              <w:rPr>
                <w:rFonts w:hint="eastAsia" w:ascii="宋体" w:hAnsi="宋体"/>
                <w:kern w:val="0"/>
                <w:sz w:val="21"/>
                <w:szCs w:val="21"/>
              </w:rPr>
              <w:t>2、不得违章作业等，厂区内严禁吸烟、开车拨打电话。出现安全事故由承包方承担。</w:t>
            </w:r>
          </w:p>
        </w:tc>
      </w:tr>
      <w:tr w14:paraId="43DC2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shd w:val="clear" w:color="auto" w:fill="FFFFFF"/>
            <w:vAlign w:val="center"/>
          </w:tcPr>
          <w:p w14:paraId="75E30A9B">
            <w:pPr>
              <w:spacing w:line="360" w:lineRule="exact"/>
              <w:jc w:val="center"/>
              <w:rPr>
                <w:rFonts w:ascii="宋体" w:hAnsi="宋体"/>
                <w:kern w:val="0"/>
                <w:sz w:val="21"/>
                <w:szCs w:val="21"/>
              </w:rPr>
            </w:pPr>
            <w:r>
              <w:rPr>
                <w:rFonts w:hint="eastAsia" w:ascii="宋体" w:hAnsi="宋体"/>
                <w:kern w:val="0"/>
                <w:sz w:val="21"/>
                <w:szCs w:val="21"/>
              </w:rPr>
              <w:t>1</w:t>
            </w:r>
            <w:r>
              <w:rPr>
                <w:rFonts w:ascii="宋体" w:hAnsi="宋体"/>
                <w:kern w:val="0"/>
                <w:sz w:val="21"/>
                <w:szCs w:val="21"/>
              </w:rPr>
              <w:t>6</w:t>
            </w:r>
          </w:p>
        </w:tc>
        <w:tc>
          <w:tcPr>
            <w:tcW w:w="1218" w:type="dxa"/>
            <w:shd w:val="clear" w:color="auto" w:fill="FFFFFF"/>
            <w:vAlign w:val="center"/>
          </w:tcPr>
          <w:p w14:paraId="221ACEBA">
            <w:pPr>
              <w:spacing w:line="360" w:lineRule="exact"/>
              <w:jc w:val="center"/>
              <w:rPr>
                <w:rFonts w:hint="eastAsia" w:ascii="宋体" w:hAnsi="宋体"/>
                <w:kern w:val="0"/>
                <w:sz w:val="21"/>
                <w:szCs w:val="21"/>
              </w:rPr>
            </w:pPr>
            <w:r>
              <w:rPr>
                <w:rFonts w:hint="eastAsia" w:ascii="宋体" w:hAnsi="宋体"/>
                <w:kern w:val="0"/>
                <w:sz w:val="21"/>
                <w:szCs w:val="21"/>
              </w:rPr>
              <w:t>设备管理</w:t>
            </w:r>
          </w:p>
        </w:tc>
        <w:tc>
          <w:tcPr>
            <w:tcW w:w="6482" w:type="dxa"/>
            <w:shd w:val="clear" w:color="auto" w:fill="FFFFFF"/>
          </w:tcPr>
          <w:p w14:paraId="79797721">
            <w:pPr>
              <w:spacing w:line="360" w:lineRule="exact"/>
              <w:jc w:val="left"/>
              <w:rPr>
                <w:rFonts w:hint="eastAsia" w:ascii="宋体" w:hAnsi="宋体"/>
                <w:kern w:val="0"/>
                <w:sz w:val="21"/>
                <w:szCs w:val="21"/>
              </w:rPr>
            </w:pPr>
            <w:r>
              <w:rPr>
                <w:rFonts w:hint="eastAsia" w:ascii="宋体" w:hAnsi="宋体"/>
                <w:kern w:val="0"/>
                <w:sz w:val="21"/>
                <w:szCs w:val="21"/>
              </w:rPr>
              <w:t>做好设备日常维护保养，交接班等，设备出现故障应及时维修，确保设备完好率≥95%，正常作业。</w:t>
            </w:r>
          </w:p>
        </w:tc>
      </w:tr>
      <w:tr w14:paraId="51E14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shd w:val="clear" w:color="auto" w:fill="FFFFFF"/>
            <w:vAlign w:val="center"/>
          </w:tcPr>
          <w:p w14:paraId="705FA6E3">
            <w:pPr>
              <w:spacing w:line="360" w:lineRule="exact"/>
              <w:jc w:val="center"/>
              <w:rPr>
                <w:rFonts w:ascii="宋体" w:hAnsi="宋体"/>
                <w:kern w:val="0"/>
                <w:sz w:val="21"/>
                <w:szCs w:val="21"/>
              </w:rPr>
            </w:pPr>
            <w:r>
              <w:rPr>
                <w:rFonts w:ascii="宋体" w:hAnsi="宋体"/>
                <w:kern w:val="0"/>
                <w:sz w:val="21"/>
                <w:szCs w:val="21"/>
              </w:rPr>
              <w:t>17</w:t>
            </w:r>
          </w:p>
        </w:tc>
        <w:tc>
          <w:tcPr>
            <w:tcW w:w="1218" w:type="dxa"/>
            <w:shd w:val="clear" w:color="auto" w:fill="FFFFFF"/>
            <w:vAlign w:val="center"/>
          </w:tcPr>
          <w:p w14:paraId="20924EB3">
            <w:pPr>
              <w:spacing w:line="360" w:lineRule="exact"/>
              <w:jc w:val="center"/>
              <w:rPr>
                <w:rFonts w:ascii="宋体" w:hAnsi="宋体"/>
                <w:kern w:val="0"/>
                <w:sz w:val="21"/>
                <w:szCs w:val="21"/>
              </w:rPr>
            </w:pPr>
            <w:r>
              <w:rPr>
                <w:rFonts w:hint="eastAsia" w:ascii="宋体" w:hAnsi="宋体"/>
                <w:kern w:val="0"/>
                <w:sz w:val="21"/>
                <w:szCs w:val="21"/>
              </w:rPr>
              <w:t>安全管理</w:t>
            </w:r>
          </w:p>
        </w:tc>
        <w:tc>
          <w:tcPr>
            <w:tcW w:w="6482" w:type="dxa"/>
            <w:shd w:val="clear" w:color="auto" w:fill="FFFFFF"/>
            <w:vAlign w:val="center"/>
          </w:tcPr>
          <w:p w14:paraId="27E1E2CD">
            <w:pPr>
              <w:spacing w:line="360" w:lineRule="exact"/>
              <w:jc w:val="left"/>
              <w:rPr>
                <w:rFonts w:hint="eastAsia" w:ascii="宋体" w:hAnsi="宋体"/>
                <w:kern w:val="0"/>
                <w:sz w:val="21"/>
                <w:szCs w:val="21"/>
              </w:rPr>
            </w:pPr>
            <w:r>
              <w:rPr>
                <w:rFonts w:hint="eastAsia" w:ascii="宋体" w:hAnsi="宋体"/>
                <w:kern w:val="0"/>
                <w:sz w:val="21"/>
                <w:szCs w:val="21"/>
              </w:rPr>
              <w:t>管理制度覆盖业务全过程，并能确保作业流程有序顺畅、质量控制切实有效、具备应对突发事件能力。</w:t>
            </w:r>
          </w:p>
          <w:p w14:paraId="1FC687AD">
            <w:pPr>
              <w:numPr>
                <w:ilvl w:val="0"/>
                <w:numId w:val="31"/>
              </w:numPr>
              <w:spacing w:line="360" w:lineRule="exact"/>
              <w:jc w:val="left"/>
              <w:rPr>
                <w:rFonts w:hint="eastAsia" w:ascii="宋体" w:hAnsi="宋体"/>
                <w:kern w:val="0"/>
                <w:sz w:val="21"/>
                <w:szCs w:val="21"/>
              </w:rPr>
            </w:pPr>
            <w:r>
              <w:rPr>
                <w:rFonts w:hint="eastAsia" w:ascii="宋体" w:hAnsi="宋体"/>
                <w:kern w:val="0"/>
                <w:sz w:val="21"/>
                <w:szCs w:val="21"/>
              </w:rPr>
              <w:t>乙方应建立健全全员岗位安全生产责任制度。</w:t>
            </w:r>
          </w:p>
          <w:p w14:paraId="1E4FA9FA">
            <w:pPr>
              <w:numPr>
                <w:ilvl w:val="0"/>
                <w:numId w:val="31"/>
              </w:numPr>
              <w:spacing w:line="360" w:lineRule="exact"/>
              <w:jc w:val="left"/>
              <w:rPr>
                <w:rFonts w:ascii="宋体" w:hAnsi="宋体"/>
                <w:kern w:val="0"/>
                <w:sz w:val="21"/>
                <w:szCs w:val="21"/>
              </w:rPr>
            </w:pPr>
            <w:r>
              <w:rPr>
                <w:rFonts w:hint="eastAsia" w:ascii="宋体" w:hAnsi="宋体"/>
                <w:kern w:val="0"/>
                <w:sz w:val="21"/>
                <w:szCs w:val="21"/>
              </w:rPr>
              <w:t>乙方严格遵守甲方安全教育培训相关要求。</w:t>
            </w:r>
          </w:p>
          <w:p w14:paraId="7138A326">
            <w:pPr>
              <w:numPr>
                <w:ilvl w:val="0"/>
                <w:numId w:val="31"/>
              </w:numPr>
              <w:spacing w:line="360" w:lineRule="exact"/>
              <w:jc w:val="left"/>
              <w:rPr>
                <w:rFonts w:ascii="宋体" w:hAnsi="宋体"/>
                <w:kern w:val="0"/>
                <w:sz w:val="21"/>
                <w:szCs w:val="21"/>
              </w:rPr>
            </w:pPr>
            <w:r>
              <w:rPr>
                <w:rFonts w:hint="eastAsia" w:ascii="宋体" w:hAnsi="宋体"/>
                <w:kern w:val="0"/>
                <w:sz w:val="21"/>
                <w:szCs w:val="21"/>
              </w:rPr>
              <w:t>严格遵守安全操作规程作业，发现岗位安全操作规程存在重大缺陷或与实际要求不相符时，应及时反馈发包方。</w:t>
            </w:r>
          </w:p>
          <w:p w14:paraId="24D7E603">
            <w:pPr>
              <w:spacing w:line="360" w:lineRule="exact"/>
              <w:jc w:val="left"/>
              <w:rPr>
                <w:rFonts w:ascii="宋体" w:hAnsi="宋体"/>
                <w:kern w:val="0"/>
                <w:sz w:val="21"/>
                <w:szCs w:val="21"/>
              </w:rPr>
            </w:pPr>
            <w:r>
              <w:rPr>
                <w:rFonts w:hint="eastAsia" w:ascii="宋体" w:hAnsi="宋体"/>
                <w:kern w:val="0"/>
                <w:sz w:val="21"/>
                <w:szCs w:val="21"/>
              </w:rPr>
              <w:t>d)乙方应配合发包方建立安全、消防、环保及职业卫生管理制度，严格执行，并接受发包方监督。</w:t>
            </w:r>
          </w:p>
          <w:p w14:paraId="099FC8A6">
            <w:pPr>
              <w:spacing w:line="360" w:lineRule="exact"/>
              <w:jc w:val="left"/>
              <w:rPr>
                <w:rFonts w:hint="eastAsia" w:ascii="宋体" w:hAnsi="宋体"/>
                <w:kern w:val="0"/>
                <w:sz w:val="21"/>
                <w:szCs w:val="21"/>
              </w:rPr>
            </w:pPr>
            <w:r>
              <w:rPr>
                <w:rFonts w:hint="eastAsia" w:ascii="宋体" w:hAnsi="宋体"/>
                <w:kern w:val="0"/>
                <w:sz w:val="21"/>
                <w:szCs w:val="21"/>
              </w:rPr>
              <w:t>e）</w:t>
            </w:r>
            <w:r>
              <w:rPr>
                <w:rFonts w:ascii="宋体" w:hAnsi="宋体"/>
                <w:kern w:val="0"/>
                <w:sz w:val="21"/>
                <w:szCs w:val="21"/>
              </w:rPr>
              <w:t>签订安全协议，明确双方安全责任与义务</w:t>
            </w:r>
            <w:r>
              <w:rPr>
                <w:rFonts w:hint="eastAsia" w:ascii="宋体" w:hAnsi="宋体"/>
                <w:kern w:val="0"/>
                <w:sz w:val="21"/>
                <w:szCs w:val="21"/>
              </w:rPr>
              <w:t>。</w:t>
            </w:r>
          </w:p>
        </w:tc>
      </w:tr>
      <w:tr w14:paraId="142FA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shd w:val="clear" w:color="auto" w:fill="FFFFFF"/>
            <w:vAlign w:val="center"/>
          </w:tcPr>
          <w:p w14:paraId="4B6E3A6B">
            <w:pPr>
              <w:spacing w:line="360" w:lineRule="exact"/>
              <w:jc w:val="center"/>
              <w:rPr>
                <w:rFonts w:hint="eastAsia" w:ascii="宋体" w:hAnsi="宋体"/>
                <w:kern w:val="0"/>
                <w:sz w:val="21"/>
                <w:szCs w:val="21"/>
              </w:rPr>
            </w:pPr>
            <w:r>
              <w:rPr>
                <w:rFonts w:ascii="宋体" w:hAnsi="宋体"/>
                <w:kern w:val="0"/>
                <w:sz w:val="21"/>
                <w:szCs w:val="21"/>
              </w:rPr>
              <w:t>18</w:t>
            </w:r>
          </w:p>
        </w:tc>
        <w:tc>
          <w:tcPr>
            <w:tcW w:w="1218" w:type="dxa"/>
            <w:shd w:val="clear" w:color="auto" w:fill="FFFFFF"/>
            <w:vAlign w:val="center"/>
          </w:tcPr>
          <w:p w14:paraId="5EC400C6">
            <w:pPr>
              <w:spacing w:line="360" w:lineRule="exact"/>
              <w:jc w:val="center"/>
              <w:rPr>
                <w:rFonts w:hint="eastAsia" w:ascii="宋体" w:hAnsi="宋体"/>
                <w:kern w:val="0"/>
                <w:sz w:val="21"/>
                <w:szCs w:val="21"/>
              </w:rPr>
            </w:pPr>
            <w:r>
              <w:rPr>
                <w:rFonts w:hint="eastAsia" w:ascii="宋体" w:hAnsi="宋体"/>
                <w:kern w:val="0"/>
                <w:sz w:val="21"/>
                <w:szCs w:val="21"/>
              </w:rPr>
              <w:t>应急管理</w:t>
            </w:r>
          </w:p>
        </w:tc>
        <w:tc>
          <w:tcPr>
            <w:tcW w:w="6482" w:type="dxa"/>
            <w:shd w:val="clear" w:color="auto" w:fill="FFFFFF"/>
            <w:vAlign w:val="center"/>
          </w:tcPr>
          <w:p w14:paraId="205E86F8">
            <w:pPr>
              <w:spacing w:line="360" w:lineRule="exact"/>
              <w:jc w:val="left"/>
              <w:rPr>
                <w:rFonts w:ascii="宋体" w:hAnsi="宋体"/>
                <w:kern w:val="0"/>
                <w:sz w:val="21"/>
                <w:szCs w:val="21"/>
              </w:rPr>
            </w:pPr>
            <w:r>
              <w:rPr>
                <w:rFonts w:ascii="宋体" w:hAnsi="宋体"/>
                <w:kern w:val="0"/>
                <w:sz w:val="21"/>
                <w:szCs w:val="21"/>
              </w:rPr>
              <w:t>a</w:t>
            </w:r>
            <w:r>
              <w:rPr>
                <w:rFonts w:hint="eastAsia" w:ascii="宋体" w:hAnsi="宋体"/>
                <w:kern w:val="0"/>
                <w:sz w:val="21"/>
                <w:szCs w:val="21"/>
              </w:rPr>
              <w:t>）配合发包方开展安全消防管理及培训，严格执行发包方的安全消防制度及指令。</w:t>
            </w:r>
          </w:p>
          <w:p w14:paraId="656CA62B">
            <w:pPr>
              <w:spacing w:line="360" w:lineRule="exact"/>
              <w:jc w:val="left"/>
              <w:rPr>
                <w:rFonts w:hint="eastAsia" w:ascii="宋体" w:hAnsi="宋体"/>
                <w:kern w:val="0"/>
                <w:sz w:val="21"/>
                <w:szCs w:val="21"/>
              </w:rPr>
            </w:pPr>
            <w:r>
              <w:rPr>
                <w:rFonts w:ascii="宋体" w:hAnsi="宋体"/>
                <w:kern w:val="0"/>
                <w:sz w:val="21"/>
                <w:szCs w:val="21"/>
              </w:rPr>
              <w:t>b</w:t>
            </w:r>
            <w:r>
              <w:rPr>
                <w:rFonts w:hint="eastAsia" w:ascii="宋体" w:hAnsi="宋体"/>
                <w:kern w:val="0"/>
                <w:sz w:val="21"/>
                <w:szCs w:val="21"/>
              </w:rPr>
              <w:t>）参与发包方应急演练，熟知应急措施。</w:t>
            </w:r>
          </w:p>
        </w:tc>
      </w:tr>
      <w:tr w14:paraId="4E634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shd w:val="clear" w:color="auto" w:fill="FFFFFF"/>
            <w:vAlign w:val="center"/>
          </w:tcPr>
          <w:p w14:paraId="02ABC3B2">
            <w:pPr>
              <w:spacing w:line="360" w:lineRule="exact"/>
              <w:jc w:val="center"/>
              <w:rPr>
                <w:rFonts w:ascii="宋体" w:hAnsi="宋体"/>
                <w:kern w:val="0"/>
                <w:sz w:val="21"/>
                <w:szCs w:val="21"/>
              </w:rPr>
            </w:pPr>
            <w:r>
              <w:rPr>
                <w:rFonts w:ascii="宋体" w:hAnsi="宋体"/>
                <w:kern w:val="0"/>
                <w:sz w:val="21"/>
                <w:szCs w:val="21"/>
              </w:rPr>
              <w:t>19</w:t>
            </w:r>
          </w:p>
        </w:tc>
        <w:tc>
          <w:tcPr>
            <w:tcW w:w="1218" w:type="dxa"/>
            <w:shd w:val="clear" w:color="auto" w:fill="FFFFFF"/>
            <w:vAlign w:val="center"/>
          </w:tcPr>
          <w:p w14:paraId="127F3D70">
            <w:pPr>
              <w:spacing w:line="360" w:lineRule="exact"/>
              <w:jc w:val="center"/>
              <w:rPr>
                <w:rFonts w:hint="eastAsia" w:ascii="宋体" w:hAnsi="宋体"/>
                <w:kern w:val="0"/>
                <w:sz w:val="21"/>
                <w:szCs w:val="21"/>
              </w:rPr>
            </w:pPr>
            <w:r>
              <w:rPr>
                <w:rFonts w:hint="eastAsia" w:ascii="宋体" w:hAnsi="宋体"/>
                <w:kern w:val="0"/>
                <w:sz w:val="21"/>
                <w:szCs w:val="21"/>
              </w:rPr>
              <w:t>环保管理</w:t>
            </w:r>
          </w:p>
        </w:tc>
        <w:tc>
          <w:tcPr>
            <w:tcW w:w="6482" w:type="dxa"/>
            <w:shd w:val="clear" w:color="auto" w:fill="FFFFFF"/>
            <w:vAlign w:val="center"/>
          </w:tcPr>
          <w:p w14:paraId="3664A6E4">
            <w:pPr>
              <w:spacing w:line="360" w:lineRule="exact"/>
              <w:jc w:val="left"/>
              <w:rPr>
                <w:rFonts w:hint="eastAsia" w:ascii="宋体" w:hAnsi="宋体"/>
                <w:kern w:val="0"/>
                <w:sz w:val="21"/>
                <w:szCs w:val="21"/>
              </w:rPr>
            </w:pPr>
            <w:r>
              <w:rPr>
                <w:rFonts w:ascii="宋体" w:hAnsi="宋体"/>
                <w:kern w:val="0"/>
                <w:sz w:val="21"/>
                <w:szCs w:val="21"/>
              </w:rPr>
              <w:t>a</w:t>
            </w:r>
            <w:r>
              <w:rPr>
                <w:rFonts w:hint="eastAsia" w:ascii="宋体" w:hAnsi="宋体"/>
                <w:kern w:val="0"/>
                <w:sz w:val="21"/>
                <w:szCs w:val="21"/>
              </w:rPr>
              <w:t>）配合发包方开展环保培训，做好相关记录并严格按照要求开展工作。</w:t>
            </w:r>
          </w:p>
        </w:tc>
      </w:tr>
      <w:tr w14:paraId="6A2AC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shd w:val="clear" w:color="auto" w:fill="FFFFFF"/>
            <w:vAlign w:val="center"/>
          </w:tcPr>
          <w:p w14:paraId="50E638A2">
            <w:pPr>
              <w:spacing w:line="360" w:lineRule="exact"/>
              <w:jc w:val="center"/>
              <w:rPr>
                <w:rFonts w:ascii="宋体" w:hAnsi="宋体"/>
                <w:kern w:val="0"/>
                <w:sz w:val="21"/>
                <w:szCs w:val="21"/>
              </w:rPr>
            </w:pPr>
            <w:r>
              <w:rPr>
                <w:rFonts w:ascii="宋体" w:hAnsi="宋体"/>
                <w:kern w:val="0"/>
                <w:sz w:val="21"/>
                <w:szCs w:val="21"/>
              </w:rPr>
              <w:t>20</w:t>
            </w:r>
          </w:p>
        </w:tc>
        <w:tc>
          <w:tcPr>
            <w:tcW w:w="1218" w:type="dxa"/>
            <w:shd w:val="clear" w:color="auto" w:fill="FFFFFF"/>
            <w:vAlign w:val="center"/>
          </w:tcPr>
          <w:p w14:paraId="2B177685">
            <w:pPr>
              <w:spacing w:line="360" w:lineRule="exact"/>
              <w:jc w:val="center"/>
              <w:rPr>
                <w:rFonts w:hint="eastAsia" w:ascii="宋体" w:hAnsi="宋体"/>
                <w:kern w:val="0"/>
                <w:sz w:val="21"/>
                <w:szCs w:val="21"/>
              </w:rPr>
            </w:pPr>
            <w:r>
              <w:rPr>
                <w:rFonts w:hint="eastAsia" w:ascii="宋体" w:hAnsi="宋体"/>
                <w:kern w:val="0"/>
                <w:sz w:val="21"/>
                <w:szCs w:val="21"/>
              </w:rPr>
              <w:t>职业卫生管理</w:t>
            </w:r>
          </w:p>
        </w:tc>
        <w:tc>
          <w:tcPr>
            <w:tcW w:w="6482" w:type="dxa"/>
            <w:shd w:val="clear" w:color="auto" w:fill="FFFFFF"/>
            <w:vAlign w:val="center"/>
          </w:tcPr>
          <w:p w14:paraId="3E2A93B9">
            <w:pPr>
              <w:spacing w:line="360" w:lineRule="exact"/>
              <w:jc w:val="left"/>
              <w:rPr>
                <w:rFonts w:ascii="宋体" w:hAnsi="宋体"/>
                <w:kern w:val="0"/>
                <w:sz w:val="21"/>
                <w:szCs w:val="21"/>
              </w:rPr>
            </w:pPr>
            <w:r>
              <w:rPr>
                <w:rFonts w:ascii="宋体" w:hAnsi="宋体"/>
                <w:kern w:val="0"/>
                <w:sz w:val="21"/>
                <w:szCs w:val="21"/>
              </w:rPr>
              <w:t>a</w:t>
            </w:r>
            <w:r>
              <w:rPr>
                <w:rFonts w:hint="eastAsia" w:ascii="宋体" w:hAnsi="宋体"/>
                <w:kern w:val="0"/>
                <w:sz w:val="21"/>
                <w:szCs w:val="21"/>
              </w:rPr>
              <w:t>）承包方开展合规职业卫生岗前、岗中、离岗查体，建立职业卫生监护档案，并向发包方提供合规的人员检测报告。</w:t>
            </w:r>
          </w:p>
          <w:p w14:paraId="0271FE05">
            <w:pPr>
              <w:spacing w:line="360" w:lineRule="exact"/>
              <w:jc w:val="left"/>
              <w:rPr>
                <w:rFonts w:hint="eastAsia" w:ascii="宋体" w:hAnsi="宋体"/>
                <w:kern w:val="0"/>
                <w:sz w:val="21"/>
                <w:szCs w:val="21"/>
              </w:rPr>
            </w:pPr>
            <w:r>
              <w:rPr>
                <w:rFonts w:ascii="宋体" w:hAnsi="宋体"/>
                <w:kern w:val="0"/>
                <w:sz w:val="21"/>
                <w:szCs w:val="21"/>
              </w:rPr>
              <w:t>b</w:t>
            </w:r>
            <w:r>
              <w:rPr>
                <w:rFonts w:hint="eastAsia" w:ascii="宋体" w:hAnsi="宋体"/>
                <w:kern w:val="0"/>
                <w:sz w:val="21"/>
                <w:szCs w:val="21"/>
              </w:rPr>
              <w:t>）承包方人员出现职业卫生事故，由承包方负责处理。</w:t>
            </w:r>
          </w:p>
        </w:tc>
      </w:tr>
      <w:tr w14:paraId="28947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shd w:val="clear" w:color="auto" w:fill="FFFFFF"/>
            <w:vAlign w:val="center"/>
          </w:tcPr>
          <w:p w14:paraId="0674A882">
            <w:pPr>
              <w:spacing w:line="360" w:lineRule="exact"/>
              <w:jc w:val="center"/>
              <w:rPr>
                <w:rFonts w:ascii="宋体" w:hAnsi="宋体"/>
                <w:kern w:val="0"/>
                <w:sz w:val="21"/>
                <w:szCs w:val="21"/>
              </w:rPr>
            </w:pPr>
            <w:r>
              <w:rPr>
                <w:rFonts w:ascii="宋体" w:hAnsi="宋体"/>
                <w:kern w:val="0"/>
                <w:sz w:val="21"/>
                <w:szCs w:val="21"/>
              </w:rPr>
              <w:t>21</w:t>
            </w:r>
          </w:p>
        </w:tc>
        <w:tc>
          <w:tcPr>
            <w:tcW w:w="1218" w:type="dxa"/>
            <w:shd w:val="clear" w:color="auto" w:fill="FFFFFF"/>
            <w:vAlign w:val="center"/>
          </w:tcPr>
          <w:p w14:paraId="44712F96">
            <w:pPr>
              <w:spacing w:line="360" w:lineRule="exact"/>
              <w:jc w:val="center"/>
              <w:rPr>
                <w:rFonts w:hint="eastAsia" w:ascii="宋体" w:hAnsi="宋体"/>
                <w:kern w:val="0"/>
                <w:sz w:val="21"/>
                <w:szCs w:val="21"/>
              </w:rPr>
            </w:pPr>
            <w:r>
              <w:rPr>
                <w:rFonts w:hint="eastAsia" w:ascii="宋体" w:hAnsi="宋体"/>
                <w:kern w:val="0"/>
                <w:sz w:val="21"/>
                <w:szCs w:val="21"/>
              </w:rPr>
              <w:t>消防管理</w:t>
            </w:r>
          </w:p>
        </w:tc>
        <w:tc>
          <w:tcPr>
            <w:tcW w:w="6482" w:type="dxa"/>
            <w:shd w:val="clear" w:color="auto" w:fill="FFFFFF"/>
            <w:vAlign w:val="center"/>
          </w:tcPr>
          <w:p w14:paraId="453B5559">
            <w:pPr>
              <w:spacing w:line="360" w:lineRule="exact"/>
              <w:jc w:val="left"/>
              <w:rPr>
                <w:rFonts w:hint="eastAsia" w:ascii="宋体" w:hAnsi="宋体"/>
                <w:kern w:val="0"/>
                <w:sz w:val="21"/>
                <w:szCs w:val="21"/>
              </w:rPr>
            </w:pPr>
            <w:r>
              <w:rPr>
                <w:rFonts w:ascii="宋体" w:hAnsi="宋体"/>
                <w:kern w:val="0"/>
                <w:sz w:val="21"/>
                <w:szCs w:val="21"/>
              </w:rPr>
              <w:t>a</w:t>
            </w:r>
            <w:r>
              <w:rPr>
                <w:rFonts w:hint="eastAsia" w:ascii="宋体" w:hAnsi="宋体"/>
                <w:kern w:val="0"/>
                <w:sz w:val="21"/>
                <w:szCs w:val="21"/>
              </w:rPr>
              <w:t>）定期进行消防安全检查，保证现场消防设施、器材配置齐全运行正常。</w:t>
            </w:r>
          </w:p>
          <w:p w14:paraId="10461898">
            <w:pPr>
              <w:spacing w:line="360" w:lineRule="exact"/>
              <w:jc w:val="left"/>
              <w:rPr>
                <w:rFonts w:hint="eastAsia" w:ascii="宋体" w:hAnsi="宋体"/>
                <w:kern w:val="0"/>
                <w:sz w:val="21"/>
                <w:szCs w:val="21"/>
              </w:rPr>
            </w:pPr>
            <w:r>
              <w:rPr>
                <w:rFonts w:hint="eastAsia" w:ascii="宋体" w:hAnsi="宋体"/>
                <w:kern w:val="0"/>
                <w:sz w:val="21"/>
                <w:szCs w:val="21"/>
              </w:rPr>
              <w:t>b)自觉遵守公司消防安全管理办法、岗位消防安全操作规程，禁止违章作业。</w:t>
            </w:r>
          </w:p>
          <w:p w14:paraId="6C2A29DA">
            <w:pPr>
              <w:spacing w:line="360" w:lineRule="exact"/>
              <w:jc w:val="left"/>
              <w:rPr>
                <w:rFonts w:ascii="宋体" w:hAnsi="宋体"/>
                <w:kern w:val="0"/>
                <w:sz w:val="21"/>
                <w:szCs w:val="21"/>
              </w:rPr>
            </w:pPr>
            <w:r>
              <w:rPr>
                <w:rFonts w:hint="eastAsia" w:ascii="宋体" w:hAnsi="宋体"/>
                <w:kern w:val="0"/>
                <w:sz w:val="21"/>
                <w:szCs w:val="21"/>
              </w:rPr>
              <w:t>C)落实设备、人员静电防护要求，按照规范标准要求储存易燃易爆品，并建立台账专人管理。</w:t>
            </w:r>
          </w:p>
        </w:tc>
      </w:tr>
    </w:tbl>
    <w:p w14:paraId="62BCF588">
      <w:pPr>
        <w:spacing w:line="480" w:lineRule="exact"/>
        <w:ind w:firstLine="480"/>
        <w:jc w:val="left"/>
        <w:rPr>
          <w:rStyle w:val="69"/>
          <w:rFonts w:hint="eastAsia"/>
          <w:sz w:val="24"/>
        </w:rPr>
      </w:pPr>
      <w:r>
        <w:rPr>
          <w:rStyle w:val="69"/>
          <w:rFonts w:hint="eastAsia"/>
          <w:sz w:val="24"/>
        </w:rPr>
        <w:t>（二）业务量与软硬件配置及相关说明</w:t>
      </w:r>
    </w:p>
    <w:p w14:paraId="06245127">
      <w:pPr>
        <w:spacing w:line="480" w:lineRule="exact"/>
        <w:ind w:firstLine="480"/>
        <w:jc w:val="left"/>
        <w:rPr>
          <w:rStyle w:val="69"/>
          <w:sz w:val="24"/>
        </w:rPr>
      </w:pPr>
      <w:r>
        <w:rPr>
          <w:rStyle w:val="69"/>
          <w:rFonts w:hint="eastAsia"/>
          <w:sz w:val="24"/>
        </w:rPr>
        <w:t>1、</w:t>
      </w:r>
      <w:r>
        <w:rPr>
          <w:rStyle w:val="69"/>
          <w:rFonts w:hint="eastAsia" w:eastAsia="宋体"/>
          <w:sz w:val="24"/>
          <w:highlight w:val="yellow"/>
        </w:rPr>
        <w:t>2026</w:t>
      </w:r>
      <w:r>
        <w:rPr>
          <w:rStyle w:val="69"/>
          <w:rFonts w:hint="eastAsia"/>
          <w:sz w:val="24"/>
          <w:highlight w:val="yellow"/>
        </w:rPr>
        <w:t>年卡车公司总产量按照</w:t>
      </w:r>
      <w:r>
        <w:rPr>
          <w:rStyle w:val="69"/>
          <w:rFonts w:hint="eastAsia" w:eastAsia="宋体"/>
          <w:sz w:val="24"/>
          <w:highlight w:val="yellow"/>
        </w:rPr>
        <w:t>36050</w:t>
      </w:r>
      <w:r>
        <w:rPr>
          <w:rStyle w:val="69"/>
          <w:rFonts w:hint="eastAsia"/>
          <w:sz w:val="24"/>
          <w:highlight w:val="yellow"/>
        </w:rPr>
        <w:t>辆预估，该数据</w:t>
      </w:r>
      <w:r>
        <w:rPr>
          <w:rStyle w:val="69"/>
          <w:rFonts w:hint="eastAsia"/>
          <w:sz w:val="24"/>
        </w:rPr>
        <w:t>仅供投标人参考。</w:t>
      </w:r>
    </w:p>
    <w:p w14:paraId="3A4A0A7A">
      <w:pPr>
        <w:numPr>
          <w:ilvl w:val="0"/>
          <w:numId w:val="32"/>
        </w:numPr>
        <w:spacing w:line="480" w:lineRule="exact"/>
        <w:ind w:firstLine="480"/>
        <w:jc w:val="left"/>
        <w:rPr>
          <w:rStyle w:val="69"/>
          <w:sz w:val="24"/>
        </w:rPr>
      </w:pPr>
      <w:r>
        <w:rPr>
          <w:rStyle w:val="69"/>
          <w:rFonts w:hint="eastAsia"/>
          <w:sz w:val="24"/>
        </w:rPr>
        <w:t>业务运行预计配置的软硬件</w:t>
      </w:r>
    </w:p>
    <w:tbl>
      <w:tblPr>
        <w:tblStyle w:val="3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1595"/>
        <w:gridCol w:w="6011"/>
      </w:tblGrid>
      <w:tr w14:paraId="026AE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14:paraId="4580C4D5">
            <w:pPr>
              <w:spacing w:line="360" w:lineRule="exact"/>
              <w:jc w:val="center"/>
              <w:rPr>
                <w:rFonts w:ascii="宋体" w:hAnsi="宋体"/>
                <w:kern w:val="0"/>
                <w:sz w:val="21"/>
                <w:szCs w:val="21"/>
              </w:rPr>
            </w:pPr>
            <w:r>
              <w:rPr>
                <w:rFonts w:hint="eastAsia" w:ascii="宋体" w:hAnsi="宋体"/>
                <w:kern w:val="0"/>
                <w:sz w:val="21"/>
                <w:szCs w:val="21"/>
              </w:rPr>
              <w:t>序号</w:t>
            </w:r>
          </w:p>
        </w:tc>
        <w:tc>
          <w:tcPr>
            <w:tcW w:w="1595" w:type="dxa"/>
            <w:vAlign w:val="center"/>
          </w:tcPr>
          <w:p w14:paraId="780C0966">
            <w:pPr>
              <w:spacing w:line="360" w:lineRule="exact"/>
              <w:jc w:val="center"/>
              <w:rPr>
                <w:rFonts w:ascii="宋体" w:hAnsi="宋体"/>
                <w:kern w:val="0"/>
                <w:sz w:val="21"/>
                <w:szCs w:val="21"/>
              </w:rPr>
            </w:pPr>
            <w:r>
              <w:rPr>
                <w:rFonts w:hint="eastAsia" w:ascii="宋体" w:hAnsi="宋体"/>
                <w:kern w:val="0"/>
                <w:sz w:val="21"/>
                <w:szCs w:val="21"/>
              </w:rPr>
              <w:t>配置项目</w:t>
            </w:r>
          </w:p>
        </w:tc>
        <w:tc>
          <w:tcPr>
            <w:tcW w:w="6011" w:type="dxa"/>
            <w:vAlign w:val="center"/>
          </w:tcPr>
          <w:p w14:paraId="00D18F16">
            <w:pPr>
              <w:spacing w:line="360" w:lineRule="exact"/>
              <w:jc w:val="center"/>
              <w:rPr>
                <w:rFonts w:ascii="宋体" w:hAnsi="宋体"/>
                <w:kern w:val="0"/>
                <w:sz w:val="21"/>
                <w:szCs w:val="21"/>
              </w:rPr>
            </w:pPr>
            <w:r>
              <w:rPr>
                <w:rFonts w:hint="eastAsia" w:ascii="宋体" w:hAnsi="宋体"/>
                <w:kern w:val="0"/>
                <w:sz w:val="21"/>
                <w:szCs w:val="21"/>
              </w:rPr>
              <w:t>配置明细说明</w:t>
            </w:r>
          </w:p>
        </w:tc>
      </w:tr>
      <w:tr w14:paraId="3F704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14:paraId="5AAE453C">
            <w:pPr>
              <w:spacing w:line="360" w:lineRule="exact"/>
              <w:jc w:val="center"/>
              <w:rPr>
                <w:rFonts w:hint="eastAsia" w:ascii="宋体" w:hAnsi="宋体"/>
                <w:kern w:val="0"/>
                <w:sz w:val="21"/>
                <w:szCs w:val="21"/>
              </w:rPr>
            </w:pPr>
            <w:r>
              <w:rPr>
                <w:rFonts w:hint="eastAsia" w:ascii="宋体" w:hAnsi="宋体"/>
                <w:kern w:val="0"/>
                <w:sz w:val="21"/>
                <w:szCs w:val="21"/>
              </w:rPr>
              <w:t>1</w:t>
            </w:r>
          </w:p>
        </w:tc>
        <w:tc>
          <w:tcPr>
            <w:tcW w:w="1595" w:type="dxa"/>
            <w:vAlign w:val="center"/>
          </w:tcPr>
          <w:p w14:paraId="6AA2E466">
            <w:pPr>
              <w:spacing w:line="360" w:lineRule="exact"/>
              <w:jc w:val="center"/>
              <w:rPr>
                <w:rFonts w:hint="eastAsia" w:ascii="宋体" w:hAnsi="宋体"/>
                <w:kern w:val="0"/>
                <w:sz w:val="21"/>
                <w:szCs w:val="21"/>
              </w:rPr>
            </w:pPr>
            <w:r>
              <w:rPr>
                <w:rFonts w:hint="eastAsia" w:ascii="宋体" w:hAnsi="宋体"/>
                <w:kern w:val="0"/>
                <w:sz w:val="21"/>
                <w:szCs w:val="21"/>
              </w:rPr>
              <w:t>人员</w:t>
            </w:r>
          </w:p>
        </w:tc>
        <w:tc>
          <w:tcPr>
            <w:tcW w:w="6011" w:type="dxa"/>
            <w:vAlign w:val="center"/>
          </w:tcPr>
          <w:p w14:paraId="0621073B">
            <w:pPr>
              <w:spacing w:line="360" w:lineRule="exact"/>
              <w:jc w:val="left"/>
              <w:rPr>
                <w:rFonts w:hint="eastAsia" w:ascii="宋体" w:hAnsi="宋体"/>
                <w:kern w:val="0"/>
                <w:sz w:val="21"/>
                <w:szCs w:val="21"/>
              </w:rPr>
            </w:pPr>
            <w:r>
              <w:rPr>
                <w:rFonts w:ascii="宋体" w:hAnsi="宋体"/>
                <w:kern w:val="0"/>
                <w:sz w:val="21"/>
                <w:szCs w:val="21"/>
              </w:rPr>
              <w:t>a</w:t>
            </w:r>
            <w:r>
              <w:rPr>
                <w:rFonts w:hint="eastAsia" w:ascii="宋体" w:hAnsi="宋体"/>
                <w:kern w:val="0"/>
                <w:sz w:val="21"/>
                <w:szCs w:val="21"/>
              </w:rPr>
              <w:t>）人员配置数量、组织架构设置满足作业需求，单班不得少于19人。</w:t>
            </w:r>
          </w:p>
          <w:p w14:paraId="3C1F24AC">
            <w:pPr>
              <w:spacing w:line="360" w:lineRule="exact"/>
              <w:jc w:val="left"/>
              <w:rPr>
                <w:rFonts w:hint="eastAsia" w:ascii="宋体" w:hAnsi="宋体"/>
                <w:kern w:val="0"/>
                <w:sz w:val="21"/>
                <w:szCs w:val="21"/>
              </w:rPr>
            </w:pPr>
            <w:r>
              <w:rPr>
                <w:rFonts w:hint="eastAsia" w:ascii="宋体" w:hAnsi="宋体"/>
                <w:kern w:val="0"/>
                <w:sz w:val="21"/>
                <w:szCs w:val="21"/>
              </w:rPr>
              <w:t>b）特殊岗位人员须经过培训并取得相应资质，持证上岗。</w:t>
            </w:r>
          </w:p>
          <w:p w14:paraId="11CEA3D8">
            <w:pPr>
              <w:spacing w:line="360" w:lineRule="exact"/>
              <w:jc w:val="left"/>
              <w:rPr>
                <w:rFonts w:ascii="宋体" w:hAnsi="宋体"/>
                <w:kern w:val="0"/>
                <w:sz w:val="21"/>
                <w:szCs w:val="21"/>
              </w:rPr>
            </w:pPr>
            <w:r>
              <w:rPr>
                <w:rFonts w:ascii="宋体" w:hAnsi="宋体"/>
                <w:kern w:val="0"/>
                <w:sz w:val="21"/>
                <w:szCs w:val="21"/>
              </w:rPr>
              <w:t>C</w:t>
            </w:r>
            <w:r>
              <w:rPr>
                <w:rFonts w:hint="eastAsia" w:ascii="宋体" w:hAnsi="宋体"/>
                <w:kern w:val="0"/>
                <w:sz w:val="21"/>
                <w:szCs w:val="21"/>
              </w:rPr>
              <w:t>）作业人员需经安全教育培训考核合格后，方可上岗作业。</w:t>
            </w:r>
          </w:p>
        </w:tc>
      </w:tr>
      <w:tr w14:paraId="0C91F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14:paraId="50AB6918">
            <w:pPr>
              <w:spacing w:line="360" w:lineRule="exact"/>
              <w:jc w:val="center"/>
              <w:rPr>
                <w:rFonts w:hint="eastAsia" w:ascii="宋体" w:hAnsi="宋体"/>
                <w:kern w:val="0"/>
                <w:sz w:val="21"/>
                <w:szCs w:val="21"/>
              </w:rPr>
            </w:pPr>
            <w:r>
              <w:rPr>
                <w:rFonts w:hint="eastAsia" w:ascii="宋体" w:hAnsi="宋体"/>
                <w:kern w:val="0"/>
                <w:sz w:val="21"/>
                <w:szCs w:val="21"/>
              </w:rPr>
              <w:t>2</w:t>
            </w:r>
          </w:p>
        </w:tc>
        <w:tc>
          <w:tcPr>
            <w:tcW w:w="1595" w:type="dxa"/>
            <w:vAlign w:val="center"/>
          </w:tcPr>
          <w:p w14:paraId="5AEBAC9C">
            <w:pPr>
              <w:spacing w:line="360" w:lineRule="exact"/>
              <w:jc w:val="center"/>
              <w:rPr>
                <w:rFonts w:hint="eastAsia" w:ascii="宋体" w:hAnsi="宋体"/>
                <w:kern w:val="0"/>
                <w:sz w:val="21"/>
                <w:szCs w:val="21"/>
              </w:rPr>
            </w:pPr>
            <w:r>
              <w:rPr>
                <w:rFonts w:hint="eastAsia" w:ascii="宋体" w:hAnsi="宋体"/>
                <w:kern w:val="0"/>
                <w:sz w:val="21"/>
                <w:szCs w:val="21"/>
              </w:rPr>
              <w:t>设备</w:t>
            </w:r>
          </w:p>
        </w:tc>
        <w:tc>
          <w:tcPr>
            <w:tcW w:w="6011" w:type="dxa"/>
            <w:vAlign w:val="center"/>
          </w:tcPr>
          <w:p w14:paraId="1E49D648">
            <w:pPr>
              <w:spacing w:line="360" w:lineRule="exact"/>
              <w:jc w:val="left"/>
              <w:rPr>
                <w:rFonts w:ascii="宋体" w:hAnsi="宋体"/>
                <w:kern w:val="0"/>
                <w:sz w:val="21"/>
                <w:szCs w:val="21"/>
              </w:rPr>
            </w:pPr>
            <w:r>
              <w:rPr>
                <w:rFonts w:ascii="宋体" w:hAnsi="宋体"/>
                <w:kern w:val="0"/>
                <w:sz w:val="21"/>
                <w:szCs w:val="21"/>
              </w:rPr>
              <w:t>a</w:t>
            </w:r>
            <w:r>
              <w:rPr>
                <w:rFonts w:hint="eastAsia" w:ascii="宋体" w:hAnsi="宋体"/>
                <w:kern w:val="0"/>
                <w:sz w:val="21"/>
                <w:szCs w:val="21"/>
              </w:rPr>
              <w:t>）符合中后桥分装所需的产线、吊装设备、拧紧机等设备。</w:t>
            </w:r>
          </w:p>
          <w:p w14:paraId="11AE5A6E">
            <w:pPr>
              <w:spacing w:line="360" w:lineRule="exact"/>
              <w:jc w:val="left"/>
              <w:rPr>
                <w:rFonts w:hint="eastAsia" w:ascii="宋体" w:hAnsi="宋体"/>
                <w:kern w:val="0"/>
                <w:sz w:val="21"/>
                <w:szCs w:val="21"/>
              </w:rPr>
            </w:pPr>
            <w:r>
              <w:rPr>
                <w:rFonts w:ascii="宋体" w:hAnsi="宋体"/>
                <w:kern w:val="0"/>
                <w:sz w:val="21"/>
                <w:szCs w:val="21"/>
              </w:rPr>
              <w:t>b</w:t>
            </w:r>
            <w:r>
              <w:rPr>
                <w:rFonts w:hint="eastAsia" w:ascii="宋体" w:hAnsi="宋体"/>
                <w:kern w:val="0"/>
                <w:sz w:val="21"/>
                <w:szCs w:val="21"/>
              </w:rPr>
              <w:t>）以上设备由承包方提供。</w:t>
            </w:r>
          </w:p>
          <w:p w14:paraId="68CFF25E">
            <w:pPr>
              <w:spacing w:line="360" w:lineRule="exact"/>
              <w:jc w:val="left"/>
              <w:rPr>
                <w:rFonts w:hint="eastAsia" w:ascii="宋体" w:hAnsi="宋体"/>
                <w:kern w:val="0"/>
                <w:sz w:val="21"/>
                <w:szCs w:val="21"/>
              </w:rPr>
            </w:pPr>
            <w:r>
              <w:rPr>
                <w:rFonts w:hint="eastAsia" w:ascii="宋体" w:hAnsi="宋体"/>
                <w:kern w:val="0"/>
                <w:sz w:val="21"/>
                <w:szCs w:val="21"/>
              </w:rPr>
              <w:t>c）承包方应建立与作业相关的设备设施定期检查、维护、检测检验制度，确保设备正常运行。</w:t>
            </w:r>
          </w:p>
        </w:tc>
      </w:tr>
      <w:tr w14:paraId="23C4F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14:paraId="5735B91A">
            <w:pPr>
              <w:spacing w:line="360" w:lineRule="exact"/>
              <w:jc w:val="center"/>
              <w:rPr>
                <w:rFonts w:hint="eastAsia" w:ascii="宋体" w:hAnsi="宋体"/>
                <w:kern w:val="0"/>
                <w:sz w:val="21"/>
                <w:szCs w:val="21"/>
              </w:rPr>
            </w:pPr>
            <w:r>
              <w:rPr>
                <w:rFonts w:ascii="宋体" w:hAnsi="宋体"/>
                <w:kern w:val="0"/>
                <w:sz w:val="21"/>
                <w:szCs w:val="21"/>
              </w:rPr>
              <w:t>3</w:t>
            </w:r>
          </w:p>
        </w:tc>
        <w:tc>
          <w:tcPr>
            <w:tcW w:w="1595" w:type="dxa"/>
            <w:vAlign w:val="center"/>
          </w:tcPr>
          <w:p w14:paraId="430AF09D">
            <w:pPr>
              <w:spacing w:line="360" w:lineRule="exact"/>
              <w:jc w:val="center"/>
              <w:rPr>
                <w:rFonts w:hint="eastAsia" w:ascii="宋体" w:hAnsi="宋体"/>
                <w:kern w:val="0"/>
                <w:sz w:val="21"/>
                <w:szCs w:val="21"/>
              </w:rPr>
            </w:pPr>
            <w:r>
              <w:rPr>
                <w:rFonts w:hint="eastAsia" w:ascii="宋体" w:hAnsi="宋体"/>
                <w:kern w:val="0"/>
                <w:sz w:val="21"/>
                <w:szCs w:val="21"/>
              </w:rPr>
              <w:t>劳保用品</w:t>
            </w:r>
          </w:p>
        </w:tc>
        <w:tc>
          <w:tcPr>
            <w:tcW w:w="6011" w:type="dxa"/>
            <w:vAlign w:val="center"/>
          </w:tcPr>
          <w:p w14:paraId="15BD8C88">
            <w:pPr>
              <w:spacing w:line="360" w:lineRule="exact"/>
              <w:jc w:val="left"/>
              <w:rPr>
                <w:rFonts w:hint="eastAsia" w:ascii="宋体" w:hAnsi="宋体"/>
                <w:kern w:val="0"/>
                <w:sz w:val="21"/>
                <w:szCs w:val="21"/>
              </w:rPr>
            </w:pPr>
            <w:r>
              <w:rPr>
                <w:rFonts w:ascii="宋体" w:hAnsi="宋体"/>
                <w:kern w:val="0"/>
                <w:sz w:val="21"/>
                <w:szCs w:val="21"/>
              </w:rPr>
              <w:t>a</w:t>
            </w:r>
            <w:r>
              <w:rPr>
                <w:rFonts w:hint="eastAsia" w:ascii="宋体" w:hAnsi="宋体"/>
                <w:kern w:val="0"/>
                <w:sz w:val="21"/>
                <w:szCs w:val="21"/>
              </w:rPr>
              <w:t>）承包方为现场操作员工提供合规工作服、劳保鞋、手套以及职业卫生防护用品等。</w:t>
            </w:r>
          </w:p>
        </w:tc>
      </w:tr>
      <w:tr w14:paraId="25546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14:paraId="56CCAF17">
            <w:pPr>
              <w:spacing w:line="360" w:lineRule="exact"/>
              <w:jc w:val="center"/>
              <w:rPr>
                <w:rFonts w:ascii="宋体" w:hAnsi="宋体"/>
                <w:kern w:val="0"/>
                <w:sz w:val="21"/>
                <w:szCs w:val="21"/>
              </w:rPr>
            </w:pPr>
            <w:r>
              <w:rPr>
                <w:rFonts w:hint="eastAsia" w:ascii="宋体" w:hAnsi="宋体"/>
                <w:kern w:val="0"/>
                <w:sz w:val="21"/>
                <w:szCs w:val="21"/>
              </w:rPr>
              <w:t>4</w:t>
            </w:r>
          </w:p>
        </w:tc>
        <w:tc>
          <w:tcPr>
            <w:tcW w:w="1595" w:type="dxa"/>
            <w:vAlign w:val="center"/>
          </w:tcPr>
          <w:p w14:paraId="0565E438">
            <w:pPr>
              <w:spacing w:line="360" w:lineRule="exact"/>
              <w:jc w:val="center"/>
              <w:rPr>
                <w:rFonts w:hint="eastAsia" w:ascii="宋体" w:hAnsi="宋体"/>
                <w:kern w:val="0"/>
                <w:sz w:val="21"/>
                <w:szCs w:val="21"/>
              </w:rPr>
            </w:pPr>
            <w:r>
              <w:rPr>
                <w:rFonts w:hint="eastAsia" w:ascii="宋体" w:hAnsi="宋体"/>
                <w:kern w:val="0"/>
                <w:sz w:val="21"/>
                <w:szCs w:val="21"/>
              </w:rPr>
              <w:t>工位器具</w:t>
            </w:r>
          </w:p>
        </w:tc>
        <w:tc>
          <w:tcPr>
            <w:tcW w:w="6011" w:type="dxa"/>
            <w:vAlign w:val="center"/>
          </w:tcPr>
          <w:p w14:paraId="30F0EA2C">
            <w:pPr>
              <w:pStyle w:val="62"/>
              <w:spacing w:line="360" w:lineRule="exact"/>
              <w:jc w:val="left"/>
              <w:rPr>
                <w:rFonts w:hint="eastAsia" w:ascii="宋体" w:hAnsi="宋体"/>
                <w:kern w:val="0"/>
                <w:szCs w:val="21"/>
              </w:rPr>
            </w:pPr>
            <w:r>
              <w:rPr>
                <w:rFonts w:hint="eastAsia" w:ascii="宋体" w:hAnsi="宋体"/>
                <w:kern w:val="0"/>
                <w:szCs w:val="21"/>
              </w:rPr>
              <w:t>承包方提供符合工艺要求的桥分装总成工位器具，符合桥总成日常存放、仓储配送需要。</w:t>
            </w:r>
          </w:p>
        </w:tc>
      </w:tr>
      <w:tr w14:paraId="7B86B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14:paraId="32B8A52A">
            <w:pPr>
              <w:spacing w:line="360" w:lineRule="exact"/>
              <w:jc w:val="center"/>
              <w:rPr>
                <w:rFonts w:ascii="宋体" w:hAnsi="宋体"/>
                <w:kern w:val="0"/>
                <w:sz w:val="21"/>
                <w:szCs w:val="21"/>
              </w:rPr>
            </w:pPr>
            <w:r>
              <w:rPr>
                <w:rFonts w:hint="eastAsia" w:ascii="宋体" w:hAnsi="宋体"/>
                <w:kern w:val="0"/>
                <w:sz w:val="21"/>
                <w:szCs w:val="21"/>
              </w:rPr>
              <w:t>5</w:t>
            </w:r>
          </w:p>
        </w:tc>
        <w:tc>
          <w:tcPr>
            <w:tcW w:w="1595" w:type="dxa"/>
            <w:vAlign w:val="center"/>
          </w:tcPr>
          <w:p w14:paraId="70A5023D">
            <w:pPr>
              <w:spacing w:line="360" w:lineRule="exact"/>
              <w:jc w:val="center"/>
              <w:rPr>
                <w:rFonts w:hint="eastAsia" w:ascii="宋体" w:hAnsi="宋体"/>
                <w:kern w:val="0"/>
                <w:sz w:val="21"/>
                <w:szCs w:val="21"/>
              </w:rPr>
            </w:pPr>
            <w:r>
              <w:rPr>
                <w:rFonts w:hint="eastAsia" w:ascii="宋体" w:hAnsi="宋体"/>
                <w:kern w:val="0"/>
                <w:sz w:val="21"/>
                <w:szCs w:val="21"/>
              </w:rPr>
              <w:t>工具/辅料/能源</w:t>
            </w:r>
          </w:p>
        </w:tc>
        <w:tc>
          <w:tcPr>
            <w:tcW w:w="6011" w:type="dxa"/>
            <w:vAlign w:val="center"/>
          </w:tcPr>
          <w:p w14:paraId="0553D107">
            <w:pPr>
              <w:pStyle w:val="62"/>
              <w:spacing w:line="360" w:lineRule="exact"/>
              <w:jc w:val="left"/>
              <w:rPr>
                <w:rFonts w:hint="eastAsia" w:ascii="宋体" w:hAnsi="宋体"/>
                <w:kern w:val="0"/>
                <w:szCs w:val="21"/>
              </w:rPr>
            </w:pPr>
            <w:r>
              <w:rPr>
                <w:rFonts w:hint="eastAsia" w:ascii="宋体" w:hAnsi="宋体"/>
                <w:kern w:val="0"/>
                <w:szCs w:val="21"/>
              </w:rPr>
              <w:t>中后桥分装业务工具/辅料由发包方提供，风水电气等能源由发包方限额提供。</w:t>
            </w:r>
          </w:p>
        </w:tc>
      </w:tr>
      <w:tr w14:paraId="0C6AF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14:paraId="7B490C39">
            <w:pPr>
              <w:spacing w:line="360" w:lineRule="exact"/>
              <w:jc w:val="center"/>
              <w:rPr>
                <w:rFonts w:ascii="宋体" w:hAnsi="宋体"/>
                <w:kern w:val="0"/>
                <w:sz w:val="21"/>
                <w:szCs w:val="21"/>
              </w:rPr>
            </w:pPr>
            <w:r>
              <w:rPr>
                <w:rFonts w:ascii="宋体" w:hAnsi="宋体"/>
                <w:kern w:val="0"/>
                <w:sz w:val="21"/>
                <w:szCs w:val="21"/>
              </w:rPr>
              <w:t>6</w:t>
            </w:r>
          </w:p>
        </w:tc>
        <w:tc>
          <w:tcPr>
            <w:tcW w:w="1595" w:type="dxa"/>
            <w:vAlign w:val="center"/>
          </w:tcPr>
          <w:p w14:paraId="3C66E137">
            <w:pPr>
              <w:spacing w:line="360" w:lineRule="exact"/>
              <w:jc w:val="center"/>
              <w:rPr>
                <w:rFonts w:ascii="宋体" w:hAnsi="宋体"/>
                <w:kern w:val="0"/>
                <w:sz w:val="21"/>
                <w:szCs w:val="21"/>
              </w:rPr>
            </w:pPr>
            <w:r>
              <w:rPr>
                <w:rFonts w:hint="eastAsia" w:ascii="宋体" w:hAnsi="宋体"/>
                <w:kern w:val="0"/>
                <w:sz w:val="21"/>
                <w:szCs w:val="21"/>
              </w:rPr>
              <w:t>作业区域</w:t>
            </w:r>
          </w:p>
        </w:tc>
        <w:tc>
          <w:tcPr>
            <w:tcW w:w="6011" w:type="dxa"/>
            <w:vAlign w:val="center"/>
          </w:tcPr>
          <w:p w14:paraId="51DAD438">
            <w:pPr>
              <w:spacing w:line="360" w:lineRule="exact"/>
              <w:jc w:val="left"/>
              <w:rPr>
                <w:rFonts w:hint="eastAsia" w:ascii="宋体" w:hAnsi="宋体"/>
                <w:kern w:val="0"/>
                <w:sz w:val="21"/>
                <w:szCs w:val="21"/>
              </w:rPr>
            </w:pPr>
            <w:r>
              <w:rPr>
                <w:rFonts w:hint="eastAsia" w:ascii="宋体" w:hAnsi="宋体"/>
                <w:kern w:val="0"/>
                <w:sz w:val="21"/>
                <w:szCs w:val="21"/>
              </w:rPr>
              <w:t>a）作业区域由发包方提供，限于卡车公司内。</w:t>
            </w:r>
          </w:p>
          <w:p w14:paraId="530C4EFF">
            <w:pPr>
              <w:spacing w:line="360" w:lineRule="exact"/>
              <w:jc w:val="left"/>
              <w:rPr>
                <w:rFonts w:hint="eastAsia" w:ascii="宋体" w:hAnsi="宋体"/>
                <w:kern w:val="0"/>
                <w:sz w:val="21"/>
                <w:szCs w:val="21"/>
              </w:rPr>
            </w:pPr>
            <w:r>
              <w:rPr>
                <w:rFonts w:hint="eastAsia" w:ascii="宋体" w:hAnsi="宋体"/>
                <w:kern w:val="0"/>
                <w:sz w:val="21"/>
                <w:szCs w:val="21"/>
              </w:rPr>
              <w:t>b）管理有序，目视化管理完善，现场满足HOS管理要求。</w:t>
            </w:r>
          </w:p>
          <w:p w14:paraId="1A3F60A2">
            <w:pPr>
              <w:spacing w:line="360" w:lineRule="exact"/>
              <w:jc w:val="left"/>
              <w:rPr>
                <w:rFonts w:ascii="宋体" w:hAnsi="宋体"/>
                <w:kern w:val="0"/>
                <w:sz w:val="21"/>
                <w:szCs w:val="21"/>
              </w:rPr>
            </w:pPr>
            <w:r>
              <w:rPr>
                <w:rFonts w:hint="eastAsia" w:ascii="宋体" w:hAnsi="宋体"/>
                <w:kern w:val="0"/>
                <w:sz w:val="21"/>
                <w:szCs w:val="21"/>
              </w:rPr>
              <w:t>C)安全、消防、环保及职业卫生标识合规有效。</w:t>
            </w:r>
          </w:p>
        </w:tc>
      </w:tr>
    </w:tbl>
    <w:p w14:paraId="7DD5D130">
      <w:pPr>
        <w:spacing w:line="480" w:lineRule="exact"/>
        <w:ind w:firstLine="480"/>
        <w:jc w:val="left"/>
        <w:rPr>
          <w:rStyle w:val="69"/>
          <w:rFonts w:hint="eastAsia"/>
          <w:sz w:val="24"/>
        </w:rPr>
      </w:pPr>
      <w:r>
        <w:rPr>
          <w:rStyle w:val="69"/>
          <w:rFonts w:hint="eastAsia"/>
          <w:sz w:val="24"/>
        </w:rPr>
        <w:t>说明：以上是可满足卡车公司总产量</w:t>
      </w:r>
      <w:r>
        <w:rPr>
          <w:rStyle w:val="69"/>
          <w:rFonts w:hint="eastAsia" w:eastAsia="宋体"/>
          <w:sz w:val="24"/>
        </w:rPr>
        <w:t>33955</w:t>
      </w:r>
      <w:r>
        <w:rPr>
          <w:rStyle w:val="69"/>
          <w:rFonts w:hint="eastAsia"/>
          <w:sz w:val="24"/>
        </w:rPr>
        <w:t>辆时的基本配置，仅供投标人参考。以上配置均由投标人负责配置，费用均已包含在服务费中。如后期业务量发生增减变化，报价不予调整。投标人不能因此影响招标人的生产经营。</w:t>
      </w:r>
    </w:p>
    <w:p w14:paraId="0EC71C2C">
      <w:pPr>
        <w:pStyle w:val="2"/>
        <w:numPr>
          <w:ilvl w:val="0"/>
          <w:numId w:val="33"/>
        </w:numPr>
        <w:tabs>
          <w:tab w:val="left" w:pos="360"/>
          <w:tab w:val="left" w:pos="720"/>
        </w:tabs>
        <w:rPr>
          <w:rStyle w:val="69"/>
          <w:rFonts w:hint="eastAsia" w:eastAsia="宋体"/>
          <w:b w:val="0"/>
          <w:bCs w:val="0"/>
          <w:sz w:val="24"/>
        </w:rPr>
      </w:pPr>
      <w:r>
        <w:rPr>
          <w:rStyle w:val="69"/>
          <w:rFonts w:hint="eastAsia" w:eastAsia="宋体"/>
          <w:b w:val="0"/>
          <w:bCs w:val="0"/>
          <w:sz w:val="24"/>
        </w:rPr>
        <w:t>工艺定员</w:t>
      </w:r>
    </w:p>
    <w:p w14:paraId="07906FAC">
      <w:pPr>
        <w:ind w:firstLine="420" w:firstLineChars="200"/>
        <w:rPr>
          <w:highlight w:val="yellow"/>
        </w:rPr>
      </w:pPr>
      <w:r>
        <w:rPr>
          <w:rFonts w:hint="eastAsia"/>
        </w:rPr>
        <w:t>根据工时定额单班定员中桥9人，后桥10人。</w:t>
      </w:r>
    </w:p>
    <w:p w14:paraId="4B18C8FD">
      <w:pPr>
        <w:spacing w:line="480" w:lineRule="exact"/>
        <w:ind w:firstLine="480"/>
        <w:jc w:val="left"/>
        <w:rPr>
          <w:rFonts w:hint="eastAsia" w:ascii="宋体" w:hAnsi="宋体"/>
          <w:szCs w:val="21"/>
        </w:rPr>
      </w:pPr>
      <w:r>
        <w:rPr>
          <w:rFonts w:hint="eastAsia"/>
        </w:rPr>
        <w:t>中后桥分装工序工艺、产品严格按照卡车公司技术、质量部门要求进行操作；产能满足卡车公司生产单位生产需求。外包</w:t>
      </w:r>
      <w:r>
        <w:rPr>
          <w:rFonts w:hint="eastAsia" w:ascii="宋体" w:hAnsi="宋体"/>
          <w:szCs w:val="21"/>
        </w:rPr>
        <w:t>业务、产品、程序、研究或发展有关的一切数据、工艺、配方、图纸、商业秘密（包括但不限于市场信息及客户名单）（以下统称“保密资料”），上述保密资料均归发包方所有，未经发包方的事先书面授权，中标方不得把保密资料泄漏或转让、转许可给任何个人、单位或团体；承包方不得将上述图纸、工艺或技术等申报专利，详情见附件。</w:t>
      </w:r>
    </w:p>
    <w:p w14:paraId="0CA0E642">
      <w:pPr>
        <w:rPr>
          <w:rFonts w:hint="eastAsia"/>
        </w:rPr>
      </w:pPr>
    </w:p>
    <w:p w14:paraId="5C36D77F">
      <w:pPr>
        <w:rPr>
          <w:rFonts w:hint="eastAsia"/>
        </w:rPr>
      </w:pPr>
    </w:p>
    <w:p w14:paraId="55C56A76">
      <w:pPr>
        <w:rPr>
          <w:rFonts w:hint="default"/>
          <w:lang w:val="en-US" w:eastAsia="zh-CN"/>
        </w:rPr>
      </w:pPr>
      <w:r>
        <w:rPr>
          <w:rFonts w:hint="default"/>
          <w:lang w:val="en-US" w:eastAsia="zh-CN"/>
        </w:rPr>
        <w:br w:type="page"/>
      </w:r>
    </w:p>
    <w:p w14:paraId="5871DF53">
      <w:pPr>
        <w:pStyle w:val="71"/>
      </w:pPr>
      <w:bookmarkStart w:id="18" w:name="_Toc47976609"/>
      <w:bookmarkStart w:id="19" w:name="_Toc20595"/>
      <w:r>
        <w:rPr>
          <w:rFonts w:hint="eastAsia"/>
        </w:rPr>
        <w:t>第三部分　合同主要条款</w:t>
      </w:r>
      <w:bookmarkEnd w:id="18"/>
      <w:bookmarkEnd w:id="19"/>
    </w:p>
    <w:p w14:paraId="23914DBE">
      <w:pPr>
        <w:pStyle w:val="72"/>
        <w:numPr>
          <w:ilvl w:val="0"/>
          <w:numId w:val="34"/>
        </w:numPr>
        <w:ind w:left="420"/>
      </w:pPr>
      <w:bookmarkStart w:id="20" w:name="_Toc47976610"/>
      <w:r>
        <w:rPr>
          <w:rFonts w:hint="eastAsia"/>
          <w:lang w:val="en-US" w:eastAsia="zh-CN"/>
        </w:rPr>
        <w:t>标的、数量、</w:t>
      </w:r>
      <w:r>
        <w:rPr>
          <w:rFonts w:hint="eastAsia"/>
        </w:rPr>
        <w:t>交货期</w:t>
      </w:r>
      <w:bookmarkEnd w:id="20"/>
    </w:p>
    <w:p w14:paraId="18603CA8">
      <w:pPr>
        <w:pStyle w:val="72"/>
      </w:pPr>
      <w:bookmarkStart w:id="21" w:name="_Toc47976611"/>
      <w:r>
        <w:rPr>
          <w:rFonts w:hint="eastAsia"/>
        </w:rPr>
        <w:t>交货地点</w:t>
      </w:r>
      <w:bookmarkEnd w:id="21"/>
    </w:p>
    <w:p w14:paraId="3F03A936">
      <w:pPr>
        <w:pStyle w:val="72"/>
      </w:pPr>
      <w:bookmarkStart w:id="22" w:name="_Toc47976612"/>
      <w:r>
        <w:rPr>
          <w:rFonts w:hint="eastAsia"/>
          <w:lang w:val="en-US" w:eastAsia="zh-CN"/>
        </w:rPr>
        <w:t>价款及</w:t>
      </w:r>
      <w:r>
        <w:rPr>
          <w:rFonts w:hint="eastAsia"/>
        </w:rPr>
        <w:t>付款方式</w:t>
      </w:r>
      <w:bookmarkEnd w:id="22"/>
    </w:p>
    <w:p w14:paraId="0A7F4E98">
      <w:pPr>
        <w:pStyle w:val="72"/>
      </w:pPr>
      <w:bookmarkStart w:id="23" w:name="_Toc47976613"/>
      <w:r>
        <w:rPr>
          <w:rFonts w:hint="eastAsia"/>
          <w:lang w:val="en-US" w:eastAsia="zh-CN"/>
        </w:rPr>
        <w:t>质量要求、</w:t>
      </w:r>
      <w:r>
        <w:rPr>
          <w:rFonts w:hint="eastAsia"/>
        </w:rPr>
        <w:t>保修期及售后服务</w:t>
      </w:r>
      <w:bookmarkEnd w:id="23"/>
    </w:p>
    <w:p w14:paraId="50F6C5C1">
      <w:pPr>
        <w:pStyle w:val="72"/>
      </w:pPr>
      <w:bookmarkStart w:id="24" w:name="_Toc47976614"/>
      <w:r>
        <w:rPr>
          <w:rFonts w:hint="eastAsia"/>
        </w:rPr>
        <w:t>安装、调试及验收要求</w:t>
      </w:r>
      <w:bookmarkEnd w:id="24"/>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5" w:name="_Toc47976615"/>
      <w:bookmarkStart w:id="26" w:name="_Toc5925"/>
      <w:r>
        <w:rPr>
          <w:rFonts w:hint="eastAsia"/>
        </w:rPr>
        <w:t>第四部分　</w:t>
      </w:r>
      <w:bookmarkEnd w:id="25"/>
      <w:r>
        <w:rPr>
          <w:rFonts w:hint="eastAsia"/>
          <w:lang w:val="en-US" w:eastAsia="zh-CN"/>
        </w:rPr>
        <w:t>投标文件附件</w:t>
      </w:r>
      <w:bookmarkEnd w:id="26"/>
    </w:p>
    <w:p w14:paraId="600DE1DD">
      <w:pPr>
        <w:pStyle w:val="71"/>
        <w:jc w:val="left"/>
        <w:rPr>
          <w:rFonts w:hint="eastAsia" w:ascii="宋体" w:hAnsi="宋体" w:eastAsia="宋体" w:cs="宋体"/>
          <w:sz w:val="32"/>
          <w:szCs w:val="32"/>
          <w:highlight w:val="yellow"/>
          <w:lang w:eastAsia="zh-CN"/>
        </w:rPr>
      </w:pPr>
      <w:bookmarkStart w:id="27" w:name="_Toc47976616"/>
      <w:bookmarkStart w:id="28" w:name="_Toc4225"/>
      <w:r>
        <w:rPr>
          <w:rFonts w:hint="eastAsia" w:ascii="宋体" w:hAnsi="宋体" w:eastAsia="宋体" w:cs="宋体"/>
          <w:sz w:val="32"/>
          <w:szCs w:val="32"/>
          <w:highlight w:val="yellow"/>
        </w:rPr>
        <w:t>附件</w:t>
      </w:r>
      <w:bookmarkEnd w:id="27"/>
      <w:bookmarkEnd w:id="28"/>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29" w:name="_Toc47976618"/>
      <w:bookmarkStart w:id="30" w:name="_Toc29366869"/>
      <w:bookmarkStart w:id="31" w:name="_Toc29366865"/>
      <w:r>
        <w:rPr>
          <w:rFonts w:hint="eastAsia" w:ascii="宋体" w:hAnsi="宋体" w:eastAsia="宋体" w:cs="宋体"/>
          <w:sz w:val="32"/>
          <w:szCs w:val="32"/>
          <w:highlight w:val="yellow"/>
          <w:lang w:val="en-US" w:eastAsia="zh-CN"/>
        </w:rPr>
        <w:t>附件2</w:t>
      </w:r>
    </w:p>
    <w:bookmarkEnd w:id="29"/>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30"/>
    <w:bookmarkEnd w:id="31"/>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08FC764">
      <w:pPr>
        <w:pStyle w:val="72"/>
        <w:numPr>
          <w:ilvl w:val="0"/>
          <w:numId w:val="0"/>
        </w:numPr>
        <w:ind w:leftChars="0"/>
        <w:jc w:val="center"/>
        <w:rPr>
          <w:rFonts w:hint="eastAsia"/>
          <w:lang w:val="en-US" w:eastAsia="zh-CN"/>
        </w:rPr>
      </w:pPr>
      <w:r>
        <w:rPr>
          <w:rFonts w:hint="eastAsia"/>
          <w:lang w:val="en-US" w:eastAsia="zh-CN"/>
        </w:rPr>
        <w:t>开标一览表</w:t>
      </w:r>
    </w:p>
    <w:p w14:paraId="5C13057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5266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A936B4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1E0709A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17FDCA5F">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CFDF69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A18842B">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5BAA2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4A5755E0">
            <w:pPr>
              <w:jc w:val="center"/>
              <w:rPr>
                <w:rFonts w:ascii="Times New Roman" w:hAnsi="Times New Roman" w:eastAsia="宋体" w:cs="Times New Roman"/>
                <w:b/>
                <w:szCs w:val="20"/>
              </w:rPr>
            </w:pPr>
          </w:p>
        </w:tc>
        <w:tc>
          <w:tcPr>
            <w:tcW w:w="1518" w:type="dxa"/>
            <w:vAlign w:val="center"/>
          </w:tcPr>
          <w:p w14:paraId="54DC8446">
            <w:pPr>
              <w:jc w:val="center"/>
              <w:rPr>
                <w:rFonts w:hint="eastAsia" w:ascii="Times New Roman" w:hAnsi="Times New Roman" w:eastAsia="宋体" w:cs="Times New Roman"/>
                <w:b/>
                <w:szCs w:val="20"/>
                <w:lang w:eastAsia="zh-CN"/>
              </w:rPr>
            </w:pPr>
          </w:p>
        </w:tc>
        <w:tc>
          <w:tcPr>
            <w:tcW w:w="848" w:type="dxa"/>
            <w:vAlign w:val="center"/>
          </w:tcPr>
          <w:p w14:paraId="36DF2E5E">
            <w:pPr>
              <w:jc w:val="center"/>
              <w:rPr>
                <w:rFonts w:hint="eastAsia" w:ascii="Times New Roman" w:hAnsi="Times New Roman" w:eastAsia="宋体" w:cs="Times New Roman"/>
                <w:b/>
                <w:szCs w:val="20"/>
                <w:lang w:val="en-US" w:eastAsia="zh-CN"/>
              </w:rPr>
            </w:pPr>
          </w:p>
        </w:tc>
        <w:tc>
          <w:tcPr>
            <w:tcW w:w="2270" w:type="dxa"/>
            <w:vAlign w:val="center"/>
          </w:tcPr>
          <w:p w14:paraId="0FB381A6">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3D09461">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97597C8">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1FCF983E">
            <w:pPr>
              <w:jc w:val="center"/>
              <w:rPr>
                <w:rFonts w:ascii="Times New Roman" w:hAnsi="Times New Roman" w:eastAsia="宋体" w:cs="Times New Roman"/>
                <w:b/>
                <w:szCs w:val="20"/>
              </w:rPr>
            </w:pPr>
          </w:p>
        </w:tc>
      </w:tr>
    </w:tbl>
    <w:p w14:paraId="2D275DAE">
      <w:pPr>
        <w:rPr>
          <w:rFonts w:ascii="宋体" w:hAnsi="Arial" w:eastAsia="宋体" w:cs="Times New Roman"/>
          <w:sz w:val="24"/>
          <w:szCs w:val="24"/>
        </w:rPr>
      </w:pPr>
    </w:p>
    <w:p w14:paraId="631E0DA4">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2489D3A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FF33B77">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04E7938D">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37948116">
      <w:pPr>
        <w:pStyle w:val="14"/>
        <w:rPr>
          <w:rFonts w:hint="eastAsia" w:hAnsi="宋体" w:eastAsia="宋体" w:cs="Times New Roman"/>
          <w:b/>
          <w:bCs/>
          <w:szCs w:val="21"/>
          <w:highlight w:val="yellow"/>
        </w:rPr>
      </w:pPr>
    </w:p>
    <w:p w14:paraId="122437DB">
      <w:pPr>
        <w:pStyle w:val="14"/>
        <w:rPr>
          <w:rFonts w:hint="eastAsia" w:hAnsi="宋体" w:eastAsia="宋体" w:cs="Times New Roman"/>
          <w:b/>
          <w:bCs/>
          <w:szCs w:val="21"/>
          <w:highlight w:val="yellow"/>
        </w:rPr>
      </w:pPr>
    </w:p>
    <w:p w14:paraId="04CA4F0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56A16EB6">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C8223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5FBE699">
      <w:pPr>
        <w:pStyle w:val="72"/>
        <w:numPr>
          <w:ilvl w:val="0"/>
          <w:numId w:val="0"/>
        </w:numPr>
        <w:ind w:leftChars="0"/>
      </w:pPr>
      <w:r>
        <w:t xml:space="preserve"> </w:t>
      </w:r>
    </w:p>
    <w:p w14:paraId="629CACEA">
      <w:pPr>
        <w:pStyle w:val="72"/>
        <w:numPr>
          <w:ilvl w:val="0"/>
          <w:numId w:val="0"/>
        </w:numPr>
        <w:ind w:leftChars="0"/>
      </w:pPr>
    </w:p>
    <w:p w14:paraId="2CE14CF3">
      <w:pPr>
        <w:pStyle w:val="72"/>
        <w:numPr>
          <w:ilvl w:val="0"/>
          <w:numId w:val="0"/>
        </w:numPr>
        <w:ind w:leftChars="0"/>
      </w:pPr>
    </w:p>
    <w:p w14:paraId="2FBF7315">
      <w:pPr>
        <w:pStyle w:val="72"/>
        <w:numPr>
          <w:ilvl w:val="0"/>
          <w:numId w:val="0"/>
        </w:numPr>
        <w:ind w:leftChars="0"/>
      </w:pPr>
    </w:p>
    <w:p w14:paraId="5938BB61">
      <w:pPr>
        <w:pStyle w:val="72"/>
        <w:numPr>
          <w:ilvl w:val="0"/>
          <w:numId w:val="0"/>
        </w:numPr>
        <w:ind w:leftChars="0"/>
      </w:pPr>
    </w:p>
    <w:p w14:paraId="093739FC">
      <w:pPr>
        <w:pStyle w:val="72"/>
        <w:numPr>
          <w:ilvl w:val="0"/>
          <w:numId w:val="0"/>
        </w:numPr>
        <w:ind w:leftChars="0"/>
      </w:pPr>
    </w:p>
    <w:p w14:paraId="2C9B5DBD">
      <w:pPr>
        <w:pStyle w:val="72"/>
        <w:numPr>
          <w:ilvl w:val="0"/>
          <w:numId w:val="0"/>
        </w:numPr>
        <w:ind w:leftChars="0"/>
      </w:pPr>
    </w:p>
    <w:p w14:paraId="0013F30B">
      <w:pPr>
        <w:pStyle w:val="76"/>
        <w:ind w:firstLine="630" w:firstLineChars="300"/>
        <w:rPr>
          <w:rFonts w:hint="eastAsia"/>
        </w:rPr>
      </w:pPr>
    </w:p>
    <w:p w14:paraId="5824C4BF">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4DC52569">
      <w:pPr>
        <w:rPr>
          <w:rFonts w:ascii="宋体" w:hAnsi="宋体"/>
          <w:highlight w:val="none"/>
        </w:rPr>
      </w:pPr>
      <w:r>
        <w:rPr>
          <w:rFonts w:hint="eastAsia" w:ascii="宋体" w:hAnsi="宋体"/>
          <w:highlight w:val="none"/>
        </w:rPr>
        <w:t>项目名称：(XX项目)</w:t>
      </w:r>
    </w:p>
    <w:p w14:paraId="7C5EEEFF">
      <w:pPr>
        <w:rPr>
          <w:rFonts w:ascii="宋体" w:hAnsi="宋体"/>
          <w:highlight w:val="none"/>
        </w:rPr>
      </w:pPr>
    </w:p>
    <w:p w14:paraId="6E3467C4">
      <w:pPr>
        <w:rPr>
          <w:rFonts w:ascii="宋体" w:hAnsi="宋体"/>
          <w:szCs w:val="21"/>
          <w:highlight w:val="none"/>
        </w:rPr>
      </w:pPr>
      <w:r>
        <w:rPr>
          <w:rFonts w:hint="eastAsia" w:ascii="宋体" w:hAnsi="宋体"/>
          <w:szCs w:val="21"/>
          <w:highlight w:val="none"/>
        </w:rPr>
        <w:t>日期：  年   月   日</w:t>
      </w:r>
    </w:p>
    <w:p w14:paraId="278B8445">
      <w:pPr>
        <w:jc w:val="center"/>
        <w:rPr>
          <w:rFonts w:eastAsia="黑体"/>
          <w:b/>
          <w:bCs/>
          <w:sz w:val="28"/>
          <w:highlight w:val="none"/>
        </w:rPr>
      </w:pPr>
    </w:p>
    <w:p w14:paraId="4E16171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42C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745D662F">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395B0C6F">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73E794A8">
            <w:pPr>
              <w:jc w:val="center"/>
              <w:rPr>
                <w:rFonts w:ascii="宋体" w:hAnsi="宋体"/>
                <w:sz w:val="24"/>
                <w:highlight w:val="none"/>
              </w:rPr>
            </w:pPr>
            <w:r>
              <w:rPr>
                <w:rFonts w:hint="eastAsia" w:ascii="宋体" w:hAnsi="宋体"/>
                <w:sz w:val="24"/>
                <w:highlight w:val="none"/>
              </w:rPr>
              <w:t>偏离内容</w:t>
            </w:r>
          </w:p>
        </w:tc>
      </w:tr>
      <w:tr w14:paraId="6018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CAC8D2F">
            <w:pPr>
              <w:rPr>
                <w:rFonts w:ascii="宋体" w:hAnsi="宋体"/>
                <w:sz w:val="24"/>
                <w:highlight w:val="none"/>
              </w:rPr>
            </w:pPr>
          </w:p>
        </w:tc>
        <w:tc>
          <w:tcPr>
            <w:tcW w:w="1080" w:type="dxa"/>
            <w:vAlign w:val="center"/>
          </w:tcPr>
          <w:p w14:paraId="10C57CF7">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4D648324">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302B1B1A">
            <w:pPr>
              <w:jc w:val="center"/>
              <w:rPr>
                <w:rFonts w:ascii="宋体" w:hAnsi="宋体"/>
                <w:sz w:val="24"/>
                <w:highlight w:val="none"/>
              </w:rPr>
            </w:pPr>
          </w:p>
        </w:tc>
      </w:tr>
      <w:tr w14:paraId="1112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7922EA">
            <w:pPr>
              <w:jc w:val="center"/>
              <w:rPr>
                <w:rFonts w:ascii="宋体" w:hAnsi="宋体"/>
                <w:sz w:val="24"/>
                <w:highlight w:val="none"/>
              </w:rPr>
            </w:pPr>
            <w:r>
              <w:rPr>
                <w:rFonts w:hint="eastAsia" w:ascii="宋体" w:hAnsi="宋体"/>
                <w:sz w:val="24"/>
                <w:highlight w:val="none"/>
              </w:rPr>
              <w:t>1</w:t>
            </w:r>
          </w:p>
        </w:tc>
        <w:tc>
          <w:tcPr>
            <w:tcW w:w="1080" w:type="dxa"/>
            <w:vAlign w:val="center"/>
          </w:tcPr>
          <w:p w14:paraId="538ABA5F">
            <w:pPr>
              <w:rPr>
                <w:rFonts w:ascii="宋体" w:hAnsi="宋体"/>
                <w:sz w:val="24"/>
                <w:highlight w:val="none"/>
              </w:rPr>
            </w:pPr>
          </w:p>
        </w:tc>
        <w:tc>
          <w:tcPr>
            <w:tcW w:w="3060" w:type="dxa"/>
            <w:vAlign w:val="center"/>
          </w:tcPr>
          <w:p w14:paraId="3C498C71">
            <w:pPr>
              <w:rPr>
                <w:rFonts w:ascii="宋体" w:hAnsi="宋体"/>
                <w:sz w:val="24"/>
                <w:highlight w:val="none"/>
              </w:rPr>
            </w:pPr>
          </w:p>
        </w:tc>
        <w:tc>
          <w:tcPr>
            <w:tcW w:w="3554" w:type="dxa"/>
            <w:vAlign w:val="center"/>
          </w:tcPr>
          <w:p w14:paraId="2F6E3968">
            <w:pPr>
              <w:rPr>
                <w:rFonts w:ascii="宋体" w:hAnsi="宋体"/>
                <w:sz w:val="24"/>
                <w:highlight w:val="none"/>
              </w:rPr>
            </w:pPr>
          </w:p>
        </w:tc>
      </w:tr>
      <w:tr w14:paraId="76B9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40B3D6B">
            <w:pPr>
              <w:jc w:val="center"/>
              <w:rPr>
                <w:rFonts w:ascii="宋体" w:hAnsi="宋体"/>
                <w:sz w:val="24"/>
                <w:highlight w:val="none"/>
              </w:rPr>
            </w:pPr>
            <w:r>
              <w:rPr>
                <w:rFonts w:hint="eastAsia" w:ascii="宋体" w:hAnsi="宋体"/>
                <w:sz w:val="24"/>
                <w:highlight w:val="none"/>
              </w:rPr>
              <w:t>2</w:t>
            </w:r>
          </w:p>
        </w:tc>
        <w:tc>
          <w:tcPr>
            <w:tcW w:w="1080" w:type="dxa"/>
            <w:vAlign w:val="center"/>
          </w:tcPr>
          <w:p w14:paraId="2AD3B2F3">
            <w:pPr>
              <w:rPr>
                <w:rFonts w:ascii="宋体" w:hAnsi="宋体"/>
                <w:sz w:val="24"/>
                <w:highlight w:val="none"/>
              </w:rPr>
            </w:pPr>
          </w:p>
        </w:tc>
        <w:tc>
          <w:tcPr>
            <w:tcW w:w="3060" w:type="dxa"/>
            <w:vAlign w:val="center"/>
          </w:tcPr>
          <w:p w14:paraId="7F9B0AE5">
            <w:pPr>
              <w:rPr>
                <w:rFonts w:ascii="宋体" w:hAnsi="宋体"/>
                <w:sz w:val="24"/>
                <w:highlight w:val="none"/>
              </w:rPr>
            </w:pPr>
          </w:p>
        </w:tc>
        <w:tc>
          <w:tcPr>
            <w:tcW w:w="3554" w:type="dxa"/>
            <w:vAlign w:val="center"/>
          </w:tcPr>
          <w:p w14:paraId="010C3404">
            <w:pPr>
              <w:rPr>
                <w:rFonts w:ascii="宋体" w:hAnsi="宋体"/>
                <w:sz w:val="24"/>
                <w:highlight w:val="none"/>
              </w:rPr>
            </w:pPr>
          </w:p>
        </w:tc>
      </w:tr>
      <w:tr w14:paraId="46F5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1868C2">
            <w:pPr>
              <w:jc w:val="center"/>
              <w:rPr>
                <w:rFonts w:ascii="宋体" w:hAnsi="宋体"/>
                <w:sz w:val="24"/>
                <w:highlight w:val="none"/>
              </w:rPr>
            </w:pPr>
            <w:r>
              <w:rPr>
                <w:rFonts w:hint="eastAsia" w:ascii="宋体" w:hAnsi="宋体"/>
                <w:sz w:val="24"/>
                <w:highlight w:val="none"/>
              </w:rPr>
              <w:t>3</w:t>
            </w:r>
          </w:p>
        </w:tc>
        <w:tc>
          <w:tcPr>
            <w:tcW w:w="1080" w:type="dxa"/>
            <w:vAlign w:val="center"/>
          </w:tcPr>
          <w:p w14:paraId="7A8D31EC">
            <w:pPr>
              <w:rPr>
                <w:rFonts w:ascii="宋体" w:hAnsi="宋体"/>
                <w:sz w:val="24"/>
                <w:highlight w:val="none"/>
              </w:rPr>
            </w:pPr>
          </w:p>
        </w:tc>
        <w:tc>
          <w:tcPr>
            <w:tcW w:w="3060" w:type="dxa"/>
            <w:vAlign w:val="center"/>
          </w:tcPr>
          <w:p w14:paraId="756B7DFC">
            <w:pPr>
              <w:rPr>
                <w:rFonts w:ascii="宋体" w:hAnsi="宋体"/>
                <w:sz w:val="24"/>
                <w:highlight w:val="none"/>
              </w:rPr>
            </w:pPr>
          </w:p>
        </w:tc>
        <w:tc>
          <w:tcPr>
            <w:tcW w:w="3554" w:type="dxa"/>
            <w:vAlign w:val="center"/>
          </w:tcPr>
          <w:p w14:paraId="4D87A192">
            <w:pPr>
              <w:rPr>
                <w:rFonts w:ascii="宋体" w:hAnsi="宋体"/>
                <w:sz w:val="24"/>
                <w:highlight w:val="none"/>
              </w:rPr>
            </w:pPr>
          </w:p>
        </w:tc>
      </w:tr>
      <w:tr w14:paraId="6EBF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B2605B">
            <w:pPr>
              <w:jc w:val="center"/>
              <w:rPr>
                <w:rFonts w:ascii="宋体" w:hAnsi="宋体"/>
                <w:sz w:val="24"/>
                <w:highlight w:val="none"/>
              </w:rPr>
            </w:pPr>
            <w:r>
              <w:rPr>
                <w:rFonts w:hint="eastAsia" w:ascii="宋体" w:hAnsi="宋体"/>
                <w:sz w:val="24"/>
                <w:highlight w:val="none"/>
              </w:rPr>
              <w:t>4</w:t>
            </w:r>
          </w:p>
        </w:tc>
        <w:tc>
          <w:tcPr>
            <w:tcW w:w="1080" w:type="dxa"/>
            <w:vAlign w:val="center"/>
          </w:tcPr>
          <w:p w14:paraId="15952CF5">
            <w:pPr>
              <w:rPr>
                <w:rFonts w:ascii="宋体" w:hAnsi="宋体"/>
                <w:sz w:val="24"/>
                <w:highlight w:val="none"/>
              </w:rPr>
            </w:pPr>
          </w:p>
        </w:tc>
        <w:tc>
          <w:tcPr>
            <w:tcW w:w="3060" w:type="dxa"/>
            <w:vAlign w:val="center"/>
          </w:tcPr>
          <w:p w14:paraId="62A65E7B">
            <w:pPr>
              <w:rPr>
                <w:rFonts w:ascii="宋体" w:hAnsi="宋体"/>
                <w:sz w:val="24"/>
                <w:highlight w:val="none"/>
              </w:rPr>
            </w:pPr>
          </w:p>
        </w:tc>
        <w:tc>
          <w:tcPr>
            <w:tcW w:w="3554" w:type="dxa"/>
            <w:vAlign w:val="center"/>
          </w:tcPr>
          <w:p w14:paraId="408F497A">
            <w:pPr>
              <w:rPr>
                <w:rFonts w:ascii="宋体" w:hAnsi="宋体"/>
                <w:sz w:val="24"/>
                <w:highlight w:val="none"/>
              </w:rPr>
            </w:pPr>
          </w:p>
        </w:tc>
      </w:tr>
      <w:tr w14:paraId="6150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AF085D5">
            <w:pPr>
              <w:jc w:val="center"/>
              <w:rPr>
                <w:rFonts w:ascii="宋体" w:hAnsi="宋体"/>
                <w:sz w:val="24"/>
                <w:highlight w:val="none"/>
              </w:rPr>
            </w:pPr>
            <w:r>
              <w:rPr>
                <w:rFonts w:hint="eastAsia" w:ascii="宋体" w:hAnsi="宋体"/>
                <w:sz w:val="24"/>
                <w:highlight w:val="none"/>
              </w:rPr>
              <w:t>5</w:t>
            </w:r>
          </w:p>
        </w:tc>
        <w:tc>
          <w:tcPr>
            <w:tcW w:w="1080" w:type="dxa"/>
            <w:vAlign w:val="center"/>
          </w:tcPr>
          <w:p w14:paraId="3403E861">
            <w:pPr>
              <w:rPr>
                <w:rFonts w:ascii="宋体" w:hAnsi="宋体"/>
                <w:sz w:val="24"/>
                <w:highlight w:val="none"/>
              </w:rPr>
            </w:pPr>
          </w:p>
        </w:tc>
        <w:tc>
          <w:tcPr>
            <w:tcW w:w="3060" w:type="dxa"/>
            <w:vAlign w:val="center"/>
          </w:tcPr>
          <w:p w14:paraId="237ECA7D">
            <w:pPr>
              <w:rPr>
                <w:rFonts w:ascii="宋体" w:hAnsi="宋体"/>
                <w:sz w:val="24"/>
                <w:highlight w:val="none"/>
              </w:rPr>
            </w:pPr>
          </w:p>
        </w:tc>
        <w:tc>
          <w:tcPr>
            <w:tcW w:w="3554" w:type="dxa"/>
            <w:vAlign w:val="center"/>
          </w:tcPr>
          <w:p w14:paraId="59C54394">
            <w:pPr>
              <w:rPr>
                <w:rFonts w:ascii="宋体" w:hAnsi="宋体"/>
                <w:sz w:val="24"/>
                <w:highlight w:val="none"/>
              </w:rPr>
            </w:pPr>
          </w:p>
        </w:tc>
      </w:tr>
      <w:tr w14:paraId="142C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6C5A1DA">
            <w:pPr>
              <w:jc w:val="center"/>
              <w:rPr>
                <w:rFonts w:ascii="宋体" w:hAnsi="宋体"/>
                <w:sz w:val="24"/>
                <w:highlight w:val="none"/>
              </w:rPr>
            </w:pPr>
            <w:r>
              <w:rPr>
                <w:rFonts w:hint="eastAsia" w:ascii="宋体" w:hAnsi="宋体"/>
                <w:sz w:val="24"/>
                <w:highlight w:val="none"/>
              </w:rPr>
              <w:t>6</w:t>
            </w:r>
          </w:p>
        </w:tc>
        <w:tc>
          <w:tcPr>
            <w:tcW w:w="1080" w:type="dxa"/>
            <w:vAlign w:val="center"/>
          </w:tcPr>
          <w:p w14:paraId="591E72D4">
            <w:pPr>
              <w:rPr>
                <w:rFonts w:ascii="宋体" w:hAnsi="宋体"/>
                <w:sz w:val="24"/>
                <w:highlight w:val="none"/>
              </w:rPr>
            </w:pPr>
          </w:p>
        </w:tc>
        <w:tc>
          <w:tcPr>
            <w:tcW w:w="3060" w:type="dxa"/>
            <w:vAlign w:val="center"/>
          </w:tcPr>
          <w:p w14:paraId="214B514F">
            <w:pPr>
              <w:rPr>
                <w:rFonts w:ascii="宋体" w:hAnsi="宋体"/>
                <w:sz w:val="24"/>
                <w:highlight w:val="none"/>
              </w:rPr>
            </w:pPr>
          </w:p>
        </w:tc>
        <w:tc>
          <w:tcPr>
            <w:tcW w:w="3554" w:type="dxa"/>
            <w:vAlign w:val="center"/>
          </w:tcPr>
          <w:p w14:paraId="388AB4ED">
            <w:pPr>
              <w:rPr>
                <w:rFonts w:ascii="宋体" w:hAnsi="宋体"/>
                <w:sz w:val="24"/>
                <w:highlight w:val="none"/>
              </w:rPr>
            </w:pPr>
          </w:p>
        </w:tc>
      </w:tr>
      <w:tr w14:paraId="460B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139E5C3">
            <w:pPr>
              <w:jc w:val="center"/>
              <w:rPr>
                <w:rFonts w:ascii="宋体" w:hAnsi="宋体"/>
                <w:sz w:val="24"/>
                <w:highlight w:val="none"/>
              </w:rPr>
            </w:pPr>
            <w:r>
              <w:rPr>
                <w:rFonts w:hint="eastAsia" w:ascii="宋体" w:hAnsi="宋体"/>
                <w:sz w:val="24"/>
                <w:highlight w:val="none"/>
              </w:rPr>
              <w:t>7</w:t>
            </w:r>
          </w:p>
        </w:tc>
        <w:tc>
          <w:tcPr>
            <w:tcW w:w="1080" w:type="dxa"/>
            <w:vAlign w:val="center"/>
          </w:tcPr>
          <w:p w14:paraId="7A2B3692">
            <w:pPr>
              <w:rPr>
                <w:rFonts w:ascii="宋体" w:hAnsi="宋体"/>
                <w:sz w:val="24"/>
                <w:highlight w:val="none"/>
              </w:rPr>
            </w:pPr>
          </w:p>
        </w:tc>
        <w:tc>
          <w:tcPr>
            <w:tcW w:w="3060" w:type="dxa"/>
            <w:vAlign w:val="center"/>
          </w:tcPr>
          <w:p w14:paraId="43D5BC50">
            <w:pPr>
              <w:rPr>
                <w:rFonts w:ascii="宋体" w:hAnsi="宋体"/>
                <w:sz w:val="24"/>
                <w:highlight w:val="none"/>
              </w:rPr>
            </w:pPr>
          </w:p>
        </w:tc>
        <w:tc>
          <w:tcPr>
            <w:tcW w:w="3554" w:type="dxa"/>
            <w:vAlign w:val="center"/>
          </w:tcPr>
          <w:p w14:paraId="1EB034FF">
            <w:pPr>
              <w:rPr>
                <w:rFonts w:ascii="宋体" w:hAnsi="宋体"/>
                <w:sz w:val="24"/>
                <w:highlight w:val="none"/>
              </w:rPr>
            </w:pPr>
          </w:p>
        </w:tc>
      </w:tr>
      <w:tr w14:paraId="2453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51735A">
            <w:pPr>
              <w:jc w:val="center"/>
              <w:rPr>
                <w:rFonts w:ascii="宋体" w:hAnsi="宋体"/>
                <w:sz w:val="24"/>
                <w:highlight w:val="none"/>
              </w:rPr>
            </w:pPr>
            <w:r>
              <w:rPr>
                <w:rFonts w:hint="eastAsia" w:ascii="宋体" w:hAnsi="宋体"/>
                <w:sz w:val="24"/>
                <w:highlight w:val="none"/>
              </w:rPr>
              <w:t>8</w:t>
            </w:r>
          </w:p>
        </w:tc>
        <w:tc>
          <w:tcPr>
            <w:tcW w:w="1080" w:type="dxa"/>
            <w:vAlign w:val="center"/>
          </w:tcPr>
          <w:p w14:paraId="0A7BF74D">
            <w:pPr>
              <w:rPr>
                <w:rFonts w:ascii="宋体" w:hAnsi="宋体"/>
                <w:sz w:val="24"/>
                <w:highlight w:val="none"/>
              </w:rPr>
            </w:pPr>
          </w:p>
        </w:tc>
        <w:tc>
          <w:tcPr>
            <w:tcW w:w="3060" w:type="dxa"/>
            <w:vAlign w:val="center"/>
          </w:tcPr>
          <w:p w14:paraId="7B67645B">
            <w:pPr>
              <w:rPr>
                <w:rFonts w:ascii="宋体" w:hAnsi="宋体"/>
                <w:sz w:val="24"/>
                <w:highlight w:val="none"/>
              </w:rPr>
            </w:pPr>
          </w:p>
        </w:tc>
        <w:tc>
          <w:tcPr>
            <w:tcW w:w="3554" w:type="dxa"/>
            <w:vAlign w:val="center"/>
          </w:tcPr>
          <w:p w14:paraId="144C59C9">
            <w:pPr>
              <w:rPr>
                <w:rFonts w:ascii="宋体" w:hAnsi="宋体"/>
                <w:sz w:val="24"/>
                <w:highlight w:val="none"/>
              </w:rPr>
            </w:pPr>
          </w:p>
        </w:tc>
      </w:tr>
      <w:tr w14:paraId="3BAF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E3616E7">
            <w:pPr>
              <w:jc w:val="center"/>
              <w:rPr>
                <w:rFonts w:ascii="宋体" w:hAnsi="宋体"/>
                <w:sz w:val="24"/>
                <w:highlight w:val="none"/>
              </w:rPr>
            </w:pPr>
            <w:r>
              <w:rPr>
                <w:rFonts w:hint="eastAsia" w:ascii="宋体" w:hAnsi="宋体"/>
                <w:sz w:val="24"/>
                <w:highlight w:val="none"/>
              </w:rPr>
              <w:t>9</w:t>
            </w:r>
          </w:p>
        </w:tc>
        <w:tc>
          <w:tcPr>
            <w:tcW w:w="1080" w:type="dxa"/>
            <w:vAlign w:val="center"/>
          </w:tcPr>
          <w:p w14:paraId="4B369379">
            <w:pPr>
              <w:rPr>
                <w:rFonts w:ascii="宋体" w:hAnsi="宋体"/>
                <w:sz w:val="24"/>
                <w:highlight w:val="none"/>
              </w:rPr>
            </w:pPr>
          </w:p>
        </w:tc>
        <w:tc>
          <w:tcPr>
            <w:tcW w:w="3060" w:type="dxa"/>
            <w:vAlign w:val="center"/>
          </w:tcPr>
          <w:p w14:paraId="55224F27">
            <w:pPr>
              <w:rPr>
                <w:rFonts w:ascii="宋体" w:hAnsi="宋体"/>
                <w:sz w:val="24"/>
                <w:highlight w:val="none"/>
              </w:rPr>
            </w:pPr>
          </w:p>
        </w:tc>
        <w:tc>
          <w:tcPr>
            <w:tcW w:w="3554" w:type="dxa"/>
            <w:vAlign w:val="center"/>
          </w:tcPr>
          <w:p w14:paraId="50639014">
            <w:pPr>
              <w:rPr>
                <w:rFonts w:ascii="宋体" w:hAnsi="宋体"/>
                <w:sz w:val="24"/>
                <w:highlight w:val="none"/>
              </w:rPr>
            </w:pPr>
          </w:p>
        </w:tc>
      </w:tr>
      <w:tr w14:paraId="6CC5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F9D63E8">
            <w:pPr>
              <w:jc w:val="center"/>
              <w:rPr>
                <w:rFonts w:ascii="宋体" w:hAnsi="宋体"/>
                <w:sz w:val="24"/>
                <w:highlight w:val="none"/>
              </w:rPr>
            </w:pPr>
            <w:r>
              <w:rPr>
                <w:rFonts w:hint="eastAsia" w:ascii="宋体" w:hAnsi="宋体"/>
                <w:sz w:val="24"/>
                <w:highlight w:val="none"/>
              </w:rPr>
              <w:t>10</w:t>
            </w:r>
          </w:p>
        </w:tc>
        <w:tc>
          <w:tcPr>
            <w:tcW w:w="1080" w:type="dxa"/>
            <w:vAlign w:val="center"/>
          </w:tcPr>
          <w:p w14:paraId="5433C2BD">
            <w:pPr>
              <w:rPr>
                <w:rFonts w:ascii="宋体" w:hAnsi="宋体"/>
                <w:sz w:val="24"/>
                <w:highlight w:val="none"/>
              </w:rPr>
            </w:pPr>
          </w:p>
        </w:tc>
        <w:tc>
          <w:tcPr>
            <w:tcW w:w="3060" w:type="dxa"/>
            <w:vAlign w:val="center"/>
          </w:tcPr>
          <w:p w14:paraId="2D1D4A54">
            <w:pPr>
              <w:rPr>
                <w:rFonts w:ascii="宋体" w:hAnsi="宋体"/>
                <w:sz w:val="24"/>
                <w:highlight w:val="none"/>
              </w:rPr>
            </w:pPr>
          </w:p>
        </w:tc>
        <w:tc>
          <w:tcPr>
            <w:tcW w:w="3554" w:type="dxa"/>
            <w:vAlign w:val="center"/>
          </w:tcPr>
          <w:p w14:paraId="668B5942">
            <w:pPr>
              <w:rPr>
                <w:rFonts w:ascii="宋体" w:hAnsi="宋体"/>
                <w:sz w:val="24"/>
                <w:highlight w:val="none"/>
              </w:rPr>
            </w:pPr>
          </w:p>
        </w:tc>
      </w:tr>
    </w:tbl>
    <w:p w14:paraId="5C39E2CC">
      <w:pPr>
        <w:rPr>
          <w:rFonts w:ascii="宋体" w:hAnsi="宋体"/>
          <w:sz w:val="24"/>
          <w:highlight w:val="none"/>
        </w:rPr>
      </w:pPr>
    </w:p>
    <w:p w14:paraId="37AD7380">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61998052">
      <w:pPr>
        <w:rPr>
          <w:rFonts w:ascii="宋体" w:hAnsi="宋体"/>
          <w:sz w:val="24"/>
          <w:highlight w:val="none"/>
        </w:rPr>
      </w:pPr>
    </w:p>
    <w:p w14:paraId="069039FB">
      <w:pPr>
        <w:rPr>
          <w:rFonts w:ascii="宋体" w:hAnsi="宋体"/>
          <w:sz w:val="24"/>
          <w:highlight w:val="none"/>
        </w:rPr>
      </w:pPr>
    </w:p>
    <w:p w14:paraId="0101026E">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53969182">
      <w:pPr>
        <w:rPr>
          <w:rFonts w:hint="eastAsia" w:ascii="宋体" w:hAnsi="宋体"/>
          <w:sz w:val="24"/>
          <w:highlight w:val="none"/>
        </w:rPr>
      </w:pPr>
      <w:r>
        <w:rPr>
          <w:rFonts w:hint="eastAsia" w:ascii="宋体" w:hAnsi="宋体"/>
          <w:sz w:val="24"/>
          <w:highlight w:val="none"/>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业务外包”，业务主管部门为“制造工程部”。</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7EFCD97E">
      <w:pPr>
        <w:pStyle w:val="76"/>
        <w:rPr>
          <w:rFonts w:hint="default" w:ascii="宋体" w:hAnsi="宋体"/>
          <w:sz w:val="24"/>
          <w:highlight w:val="none"/>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CIDFont+F3">
    <w:altName w:val="Times New Roman"/>
    <w:panose1 w:val="00000000000000000000"/>
    <w:charset w:val="00"/>
    <w:family w:val="roman"/>
    <w:pitch w:val="default"/>
    <w:sig w:usb0="00000000" w:usb1="00000000" w:usb2="00000000" w:usb3="00000000" w:csb0="00040001" w:csb1="00000000"/>
  </w:font>
  <w:font w:name="CIDFont+F1">
    <w:altName w:val="Times New Roman"/>
    <w:panose1 w:val="00000000000000000000"/>
    <w:charset w:val="00"/>
    <w:family w:val="roman"/>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A062A3A8"/>
    <w:multiLevelType w:val="singleLevel"/>
    <w:tmpl w:val="A062A3A8"/>
    <w:lvl w:ilvl="0" w:tentative="0">
      <w:start w:val="1"/>
      <w:numFmt w:val="lowerLetter"/>
      <w:suff w:val="nothing"/>
      <w:lvlText w:val="%1）"/>
      <w:lvlJc w:val="left"/>
    </w:lvl>
  </w:abstractNum>
  <w:abstractNum w:abstractNumId="6">
    <w:nsid w:val="B12C4597"/>
    <w:multiLevelType w:val="singleLevel"/>
    <w:tmpl w:val="B12C4597"/>
    <w:lvl w:ilvl="0" w:tentative="0">
      <w:start w:val="1"/>
      <w:numFmt w:val="decimal"/>
      <w:lvlText w:val="%1."/>
      <w:lvlJc w:val="left"/>
      <w:pPr>
        <w:ind w:left="425" w:hanging="425"/>
      </w:pPr>
      <w:rPr>
        <w:rFonts w:hint="default"/>
      </w:rPr>
    </w:lvl>
  </w:abstractNum>
  <w:abstractNum w:abstractNumId="7">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8">
    <w:nsid w:val="BD4C6742"/>
    <w:multiLevelType w:val="singleLevel"/>
    <w:tmpl w:val="BD4C6742"/>
    <w:lvl w:ilvl="0" w:tentative="0">
      <w:start w:val="1"/>
      <w:numFmt w:val="decimal"/>
      <w:lvlText w:val="%1."/>
      <w:lvlJc w:val="left"/>
      <w:pPr>
        <w:ind w:left="425" w:hanging="425"/>
      </w:pPr>
      <w:rPr>
        <w:rFonts w:hint="default"/>
      </w:rPr>
    </w:lvl>
  </w:abstractNum>
  <w:abstractNum w:abstractNumId="9">
    <w:nsid w:val="BF66C36B"/>
    <w:multiLevelType w:val="singleLevel"/>
    <w:tmpl w:val="BF66C36B"/>
    <w:lvl w:ilvl="0" w:tentative="0">
      <w:start w:val="3"/>
      <w:numFmt w:val="chineseCounting"/>
      <w:suff w:val="nothing"/>
      <w:lvlText w:val="（%1）"/>
      <w:lvlJc w:val="left"/>
      <w:rPr>
        <w:rFonts w:hint="eastAsia"/>
      </w:rPr>
    </w:lvl>
  </w:abstractNum>
  <w:abstractNum w:abstractNumId="10">
    <w:nsid w:val="CA70C5AE"/>
    <w:multiLevelType w:val="singleLevel"/>
    <w:tmpl w:val="CA70C5AE"/>
    <w:lvl w:ilvl="0" w:tentative="0">
      <w:start w:val="1"/>
      <w:numFmt w:val="decimal"/>
      <w:lvlText w:val="%1."/>
      <w:lvlJc w:val="left"/>
      <w:pPr>
        <w:ind w:left="425" w:hanging="425"/>
      </w:pPr>
      <w:rPr>
        <w:rFonts w:hint="default"/>
      </w:rPr>
    </w:lvl>
  </w:abstractNum>
  <w:abstractNum w:abstractNumId="11">
    <w:nsid w:val="D9A4530E"/>
    <w:multiLevelType w:val="singleLevel"/>
    <w:tmpl w:val="D9A4530E"/>
    <w:lvl w:ilvl="0" w:tentative="0">
      <w:start w:val="1"/>
      <w:numFmt w:val="decimal"/>
      <w:lvlText w:val="(%1)"/>
      <w:lvlJc w:val="left"/>
      <w:pPr>
        <w:ind w:left="425" w:hanging="425"/>
      </w:pPr>
      <w:rPr>
        <w:rFonts w:hint="default"/>
      </w:rPr>
    </w:lvl>
  </w:abstractNum>
  <w:abstractNum w:abstractNumId="12">
    <w:nsid w:val="DC3F8C8B"/>
    <w:multiLevelType w:val="singleLevel"/>
    <w:tmpl w:val="DC3F8C8B"/>
    <w:lvl w:ilvl="0" w:tentative="0">
      <w:start w:val="1"/>
      <w:numFmt w:val="decimal"/>
      <w:lvlText w:val="%1."/>
      <w:lvlJc w:val="left"/>
      <w:pPr>
        <w:ind w:left="425" w:hanging="425"/>
      </w:pPr>
      <w:rPr>
        <w:rFonts w:hint="default"/>
      </w:rPr>
    </w:lvl>
  </w:abstractNum>
  <w:abstractNum w:abstractNumId="13">
    <w:nsid w:val="F9665F8D"/>
    <w:multiLevelType w:val="singleLevel"/>
    <w:tmpl w:val="F9665F8D"/>
    <w:lvl w:ilvl="0" w:tentative="0">
      <w:start w:val="2"/>
      <w:numFmt w:val="chineseCounting"/>
      <w:suff w:val="nothing"/>
      <w:lvlText w:val="第%1部分　"/>
      <w:lvlJc w:val="left"/>
      <w:rPr>
        <w:rFonts w:hint="eastAsia"/>
      </w:rPr>
    </w:lvl>
  </w:abstractNum>
  <w:abstractNum w:abstractNumId="14">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5">
    <w:nsid w:val="04BF98CE"/>
    <w:multiLevelType w:val="singleLevel"/>
    <w:tmpl w:val="04BF98CE"/>
    <w:lvl w:ilvl="0" w:tentative="0">
      <w:start w:val="1"/>
      <w:numFmt w:val="decimal"/>
      <w:suff w:val="nothing"/>
      <w:lvlText w:val="%1、"/>
      <w:lvlJc w:val="left"/>
    </w:lvl>
  </w:abstractNum>
  <w:abstractNum w:abstractNumId="16">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7">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8">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9">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0">
    <w:nsid w:val="3265E1EC"/>
    <w:multiLevelType w:val="singleLevel"/>
    <w:tmpl w:val="3265E1EC"/>
    <w:lvl w:ilvl="0" w:tentative="0">
      <w:start w:val="1"/>
      <w:numFmt w:val="decimal"/>
      <w:lvlText w:val="(%1)"/>
      <w:lvlJc w:val="left"/>
      <w:pPr>
        <w:ind w:left="425" w:hanging="425"/>
      </w:pPr>
      <w:rPr>
        <w:rFonts w:hint="default"/>
      </w:rPr>
    </w:lvl>
  </w:abstractNum>
  <w:abstractNum w:abstractNumId="21">
    <w:nsid w:val="3CF6EF77"/>
    <w:multiLevelType w:val="singleLevel"/>
    <w:tmpl w:val="3CF6EF77"/>
    <w:lvl w:ilvl="0" w:tentative="0">
      <w:start w:val="1"/>
      <w:numFmt w:val="decimal"/>
      <w:lvlText w:val="%1."/>
      <w:lvlJc w:val="left"/>
      <w:pPr>
        <w:ind w:left="425" w:hanging="425"/>
      </w:pPr>
      <w:rPr>
        <w:rFonts w:hint="default"/>
      </w:rPr>
    </w:lvl>
  </w:abstractNum>
  <w:abstractNum w:abstractNumId="22">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7">
    <w:nsid w:val="5983D379"/>
    <w:multiLevelType w:val="singleLevel"/>
    <w:tmpl w:val="5983D379"/>
    <w:lvl w:ilvl="0" w:tentative="0">
      <w:start w:val="1"/>
      <w:numFmt w:val="decimal"/>
      <w:lvlText w:val="(%1)"/>
      <w:lvlJc w:val="left"/>
      <w:pPr>
        <w:ind w:left="425" w:hanging="425"/>
      </w:pPr>
      <w:rPr>
        <w:rFonts w:hint="default"/>
      </w:rPr>
    </w:lvl>
  </w:abstractNum>
  <w:abstractNum w:abstractNumId="28">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
    <w:nsid w:val="738DCB07"/>
    <w:multiLevelType w:val="singleLevel"/>
    <w:tmpl w:val="738DCB07"/>
    <w:lvl w:ilvl="0" w:tentative="0">
      <w:start w:val="2"/>
      <w:numFmt w:val="decimal"/>
      <w:suff w:val="nothing"/>
      <w:lvlText w:val="%1、"/>
      <w:lvlJc w:val="left"/>
    </w:lvl>
  </w:abstractNum>
  <w:abstractNum w:abstractNumId="30">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3"/>
  </w:num>
  <w:num w:numId="2">
    <w:abstractNumId w:val="28"/>
  </w:num>
  <w:num w:numId="3">
    <w:abstractNumId w:val="26"/>
  </w:num>
  <w:num w:numId="4">
    <w:abstractNumId w:val="24"/>
  </w:num>
  <w:num w:numId="5">
    <w:abstractNumId w:val="16"/>
  </w:num>
  <w:num w:numId="6">
    <w:abstractNumId w:val="18"/>
  </w:num>
  <w:num w:numId="7">
    <w:abstractNumId w:val="19"/>
  </w:num>
  <w:num w:numId="8">
    <w:abstractNumId w:val="25"/>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7"/>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6"/>
  </w:num>
  <w:num w:numId="15">
    <w:abstractNumId w:val="0"/>
  </w:num>
  <w:num w:numId="16">
    <w:abstractNumId w:val="3"/>
  </w:num>
  <w:num w:numId="17">
    <w:abstractNumId w:val="27"/>
  </w:num>
  <w:num w:numId="18">
    <w:abstractNumId w:val="30"/>
  </w:num>
  <w:num w:numId="19">
    <w:abstractNumId w:val="20"/>
  </w:num>
  <w:num w:numId="20">
    <w:abstractNumId w:val="11"/>
  </w:num>
  <w:num w:numId="21">
    <w:abstractNumId w:val="10"/>
  </w:num>
  <w:num w:numId="22">
    <w:abstractNumId w:val="4"/>
  </w:num>
  <w:num w:numId="23">
    <w:abstractNumId w:val="1"/>
  </w:num>
  <w:num w:numId="24">
    <w:abstractNumId w:val="7"/>
  </w:num>
  <w:num w:numId="25">
    <w:abstractNumId w:val="14"/>
  </w:num>
  <w:num w:numId="26">
    <w:abstractNumId w:val="12"/>
  </w:num>
  <w:num w:numId="27">
    <w:abstractNumId w:val="22"/>
  </w:num>
  <w:num w:numId="28">
    <w:abstractNumId w:val="15"/>
  </w:num>
  <w:num w:numId="29">
    <w:abstractNumId w:val="21"/>
  </w:num>
  <w:num w:numId="30">
    <w:abstractNumId w:val="13"/>
  </w:num>
  <w:num w:numId="31">
    <w:abstractNumId w:val="5"/>
  </w:num>
  <w:num w:numId="32">
    <w:abstractNumId w:val="29"/>
  </w:num>
  <w:num w:numId="33">
    <w:abstractNumId w:val="9"/>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0E2F4B"/>
    <w:rsid w:val="0CB51572"/>
    <w:rsid w:val="0E3D4337"/>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A4125A1"/>
    <w:rsid w:val="2AD71300"/>
    <w:rsid w:val="2B271A58"/>
    <w:rsid w:val="2B6304A7"/>
    <w:rsid w:val="2BD4504B"/>
    <w:rsid w:val="2CBF4552"/>
    <w:rsid w:val="2CF6734C"/>
    <w:rsid w:val="2D663463"/>
    <w:rsid w:val="2EF96EE4"/>
    <w:rsid w:val="33817008"/>
    <w:rsid w:val="36254FE4"/>
    <w:rsid w:val="372F61E0"/>
    <w:rsid w:val="38942371"/>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51181DC1"/>
    <w:rsid w:val="51D50FD0"/>
    <w:rsid w:val="52274B10"/>
    <w:rsid w:val="52B9239A"/>
    <w:rsid w:val="54BD78FD"/>
    <w:rsid w:val="58A86DDE"/>
    <w:rsid w:val="59154AD7"/>
    <w:rsid w:val="5ADF548D"/>
    <w:rsid w:val="5D5C60B4"/>
    <w:rsid w:val="63F04A69"/>
    <w:rsid w:val="64654A97"/>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B92596F"/>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2"/>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fontstyle01"/>
    <w:qFormat/>
    <w:uiPriority w:val="0"/>
    <w:rPr>
      <w:rFonts w:hint="default" w:ascii="CIDFont+F3" w:hAnsi="CIDFont+F3"/>
      <w:color w:val="000000"/>
      <w:sz w:val="28"/>
      <w:szCs w:val="28"/>
    </w:rPr>
  </w:style>
  <w:style w:type="character" w:customStyle="1" w:styleId="112">
    <w:name w:val="fontstyle11"/>
    <w:qFormat/>
    <w:uiPriority w:val="0"/>
    <w:rPr>
      <w:rFonts w:hint="default" w:ascii="CIDFont+F1" w:hAnsi="CIDFont+F1"/>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29</Pages>
  <Words>9801</Words>
  <Characters>10471</Characters>
  <Lines>127</Lines>
  <Paragraphs>35</Paragraphs>
  <TotalTime>0</TotalTime>
  <ScaleCrop>false</ScaleCrop>
  <LinksUpToDate>false</LinksUpToDate>
  <CharactersWithSpaces>10533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2025-12-05T08:57:08Z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