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pStyle w:val="16"/>
        <w:jc w:val="center"/>
        <w:rPr>
          <w:rFonts w:hint="eastAsia"/>
          <w:lang w:eastAsia="zh-CN"/>
        </w:rPr>
      </w:pPr>
      <w:r>
        <w:rPr>
          <w:rFonts w:hint="eastAsia" w:ascii="Calibri" w:hAnsi="宋体" w:eastAsia="宋体" w:cs="Times New Roman"/>
          <w:b/>
          <w:bCs/>
          <w:color w:val="000000"/>
          <w:spacing w:val="-8"/>
          <w:kern w:val="2"/>
          <w:sz w:val="48"/>
          <w:szCs w:val="44"/>
          <w:lang w:val="en-US" w:eastAsia="zh-CN" w:bidi="ar-SA"/>
        </w:rPr>
        <w:t>新增纯水机项目</w:t>
      </w:r>
    </w:p>
    <w:p>
      <w:pPr>
        <w:pStyle w:val="16"/>
        <w:rPr>
          <w:rFonts w:hint="eastAsia"/>
          <w:lang w:eastAsia="zh-CN"/>
        </w:rPr>
      </w:pP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编制：</w:t>
      </w:r>
    </w:p>
    <w:p>
      <w:pPr>
        <w:spacing w:line="860" w:lineRule="exact"/>
        <w:jc w:val="center"/>
        <w:rPr>
          <w:rFonts w:hint="eastAsia" w:ascii="华文仿宋" w:hAnsi="华文仿宋" w:eastAsia="华文仿宋"/>
          <w:b/>
          <w:bCs/>
          <w:sz w:val="32"/>
          <w:szCs w:val="28"/>
        </w:rPr>
      </w:pPr>
      <w:r>
        <w:rPr>
          <w:rFonts w:hint="eastAsia" w:ascii="华文仿宋" w:hAnsi="华文仿宋" w:eastAsia="华文仿宋"/>
          <w:b/>
          <w:bCs/>
          <w:sz w:val="32"/>
          <w:szCs w:val="28"/>
        </w:rPr>
        <w:t>审核：</w:t>
      </w:r>
    </w:p>
    <w:p>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批准：</w:t>
      </w:r>
    </w:p>
    <w:p>
      <w:pPr>
        <w:pStyle w:val="16"/>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12</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3"/>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pPr>
            <w:pStyle w:val="23"/>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pPr>
            <w:pStyle w:val="23"/>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pPr>
            <w:pStyle w:val="16"/>
            <w:spacing w:line="480" w:lineRule="auto"/>
            <w:jc w:val="center"/>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6"/>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29"/>
                <w:rFonts w:ascii="宋体" w:hAnsi="宋体" w:eastAsia="宋体" w:cs="宋体"/>
                <w:b/>
                <w:sz w:val="28"/>
                <w:szCs w:val="28"/>
              </w:rPr>
            </w:pPr>
            <w:bookmarkStart w:id="3" w:name="_Toc346372875"/>
            <w:r>
              <w:rPr>
                <w:rStyle w:val="12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2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lang w:val="en-US"/>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新增纯水机项目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编号：FSCZB2025120123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7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highlight w:val="none"/>
                <w:lang w:val="en-US"/>
              </w:rPr>
            </w:pPr>
            <w:r>
              <w:rPr>
                <w:rFonts w:hint="eastAsia" w:ascii="宋体" w:hAnsi="宋体" w:eastAsia="宋体" w:cs="宋体"/>
                <w:b/>
                <w:bCs/>
                <w:sz w:val="24"/>
                <w:szCs w:val="24"/>
                <w:highlight w:val="none"/>
              </w:rPr>
              <w:t>招标内容：</w:t>
            </w:r>
            <w:r>
              <w:rPr>
                <w:rFonts w:hint="eastAsia" w:ascii="宋体" w:hAnsi="宋体" w:eastAsia="宋体" w:cs="宋体"/>
                <w:sz w:val="24"/>
                <w:szCs w:val="24"/>
                <w:u w:val="single"/>
                <w:lang w:val="en-US" w:eastAsia="zh-CN"/>
              </w:rPr>
              <w:t>新增纯水机项目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动力</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华奥路777号</w:t>
            </w:r>
            <w:r>
              <w:rPr>
                <w:rFonts w:hint="eastAsia" w:ascii="宋体" w:hAnsi="宋体" w:eastAsia="宋体" w:cs="宋体"/>
                <w:sz w:val="24"/>
                <w:szCs w:val="24"/>
                <w:highlight w:val="none"/>
              </w:rPr>
              <w:t xml:space="preserve"> </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商务联系人：</w:t>
            </w:r>
            <w:r>
              <w:rPr>
                <w:rFonts w:hint="eastAsia" w:ascii="宋体" w:hAnsi="宋体" w:eastAsia="宋体" w:cs="宋体"/>
                <w:b/>
                <w:snapToGrid w:val="0"/>
                <w:kern w:val="0"/>
                <w:sz w:val="24"/>
                <w:szCs w:val="24"/>
                <w:lang w:val="en-US" w:eastAsia="zh-CN"/>
              </w:rPr>
              <w:t>赵力</w:t>
            </w:r>
          </w:p>
          <w:p>
            <w:pPr>
              <w:ind w:firstLine="482" w:firstLineChars="200"/>
              <w:rPr>
                <w:rFonts w:hint="default"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电话：</w:t>
            </w:r>
            <w:r>
              <w:rPr>
                <w:rFonts w:hint="eastAsia" w:ascii="宋体" w:hAnsi="宋体" w:eastAsia="宋体" w:cs="宋体"/>
                <w:b/>
                <w:snapToGrid w:val="0"/>
                <w:kern w:val="0"/>
                <w:sz w:val="24"/>
                <w:szCs w:val="24"/>
                <w:lang w:val="en-US" w:eastAsia="zh-CN"/>
              </w:rPr>
              <w:t>17860606595</w:t>
            </w:r>
          </w:p>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邮箱：zhaoli@sinotruk.com</w:t>
            </w:r>
          </w:p>
          <w:p>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联系人：王昱晨</w:t>
            </w:r>
          </w:p>
          <w:p>
            <w:pPr>
              <w:ind w:firstLine="482" w:firstLineChars="200"/>
              <w:rPr>
                <w:rFonts w:hint="default" w:eastAsia="宋体"/>
                <w:highlight w:val="none"/>
                <w:lang w:val="en-US" w:eastAsia="zh-CN"/>
              </w:rPr>
            </w:pPr>
            <w:r>
              <w:rPr>
                <w:rFonts w:hint="eastAsia" w:ascii="宋体" w:hAnsi="宋体" w:eastAsia="宋体" w:cs="宋体"/>
                <w:b/>
                <w:snapToGrid w:val="0"/>
                <w:kern w:val="0"/>
                <w:sz w:val="24"/>
                <w:szCs w:val="24"/>
                <w:highlight w:val="none"/>
              </w:rPr>
              <w:t>电话：13396490216</w:t>
            </w:r>
          </w:p>
          <w:p>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：wangyuchen@sinotruk.com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pPr>
              <w:pStyle w:val="16"/>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auto"/>
                <w:sz w:val="24"/>
                <w:szCs w:val="24"/>
                <w:highlight w:val="none"/>
                <w:lang w:val="en-US" w:eastAsia="zh-CN"/>
              </w:rPr>
              <w:t>5.2</w:t>
            </w:r>
            <w:r>
              <w:rPr>
                <w:rFonts w:hint="eastAsia" w:hAnsi="宋体" w:eastAsia="宋体" w:cs="Times New Roman"/>
                <w:color w:val="000000"/>
                <w:sz w:val="24"/>
                <w:szCs w:val="24"/>
                <w:highlight w:val="none"/>
                <w:lang w:val="en-US" w:eastAsia="zh-CN"/>
              </w:rPr>
              <w:t>万元（含税，税率13%），超过投标限价无法投标。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color w:val="000000"/>
                <w:sz w:val="24"/>
                <w:szCs w:val="24"/>
                <w:highlight w:val="yellow"/>
                <w:u w:val="single"/>
                <w:lang w:val="en-US" w:eastAsia="zh-CN"/>
              </w:rPr>
              <w:t>200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w:t>
            </w:r>
            <w:r>
              <w:rPr>
                <w:rFonts w:hint="eastAsia" w:hAnsi="宋体" w:eastAsia="宋体" w:cs="宋体"/>
                <w:sz w:val="24"/>
                <w:szCs w:val="24"/>
              </w:rPr>
              <w:t>202</w:t>
            </w:r>
            <w:r>
              <w:rPr>
                <w:rFonts w:hint="eastAsia" w:hAnsi="宋体" w:eastAsia="宋体" w:cs="宋体"/>
                <w:sz w:val="24"/>
                <w:szCs w:val="24"/>
                <w:lang w:val="en-US" w:eastAsia="zh-CN"/>
              </w:rPr>
              <w:t>1</w:t>
            </w:r>
            <w:r>
              <w:rPr>
                <w:rFonts w:hint="eastAsia" w:hAnsi="宋体" w:eastAsia="宋体" w:cs="宋体"/>
                <w:sz w:val="24"/>
                <w:szCs w:val="24"/>
              </w:rPr>
              <w:t>年1月1日至今</w:t>
            </w:r>
            <w:r>
              <w:rPr>
                <w:rFonts w:hint="eastAsia" w:hAnsi="宋体" w:eastAsia="宋体" w:cs="宋体"/>
                <w:color w:val="000000"/>
                <w:sz w:val="24"/>
                <w:szCs w:val="24"/>
              </w:rPr>
              <w:t>经会计师事务所审计且出具无保留意见的财务审计报告，并加盖公章</w:t>
            </w:r>
            <w:r>
              <w:rPr>
                <w:rFonts w:hint="eastAsia" w:hAnsi="宋体" w:eastAsia="宋体" w:cs="宋体"/>
                <w:color w:val="000000"/>
                <w:sz w:val="24"/>
                <w:szCs w:val="24"/>
                <w:lang w:eastAsia="zh-CN"/>
              </w:rPr>
              <w:t>（</w:t>
            </w:r>
            <w:r>
              <w:rPr>
                <w:rFonts w:hint="eastAsia" w:hAnsi="宋体" w:eastAsia="宋体" w:cs="宋体"/>
                <w:color w:val="000000"/>
                <w:sz w:val="24"/>
                <w:szCs w:val="24"/>
              </w:rPr>
              <w:t>包括但不限于资产负债表、利润表、现金流量表），且未显示异常；</w:t>
            </w:r>
          </w:p>
          <w:p>
            <w:pPr>
              <w:pStyle w:val="16"/>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pPr>
              <w:pStyle w:val="16"/>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highlight w:val="none"/>
                <w:lang w:val="en-US" w:eastAsia="zh-CN"/>
              </w:rPr>
              <w:t>）未显示异常；</w:t>
            </w:r>
          </w:p>
          <w:p>
            <w:pPr>
              <w:pStyle w:val="16"/>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pPr>
              <w:pStyle w:val="16"/>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p>
            <w:pPr>
              <w:pStyle w:val="16"/>
              <w:ind w:firstLine="482" w:firstLineChars="200"/>
              <w:rPr>
                <w:rFonts w:hint="eastAsia" w:hAnsi="宋体" w:eastAsia="宋体" w:cs="宋体"/>
                <w:color w:val="000000"/>
                <w:sz w:val="24"/>
                <w:szCs w:val="24"/>
                <w:highlight w:val="none"/>
              </w:rPr>
            </w:pPr>
            <w:r>
              <w:rPr>
                <w:rFonts w:hint="eastAsia" w:hAnsi="宋体" w:eastAsia="宋体" w:cs="宋体"/>
                <w:b/>
                <w:bCs/>
                <w:sz w:val="24"/>
                <w:szCs w:val="24"/>
                <w:lang w:val="en-US" w:eastAsia="zh-CN"/>
              </w:rPr>
              <w:t>1-11</w:t>
            </w:r>
            <w:r>
              <w:rPr>
                <w:rFonts w:hint="default" w:hAnsi="宋体" w:eastAsia="宋体" w:cs="宋体"/>
                <w:b/>
                <w:bCs/>
                <w:sz w:val="24"/>
                <w:szCs w:val="24"/>
                <w:lang w:val="en-US" w:eastAsia="zh-CN"/>
              </w:rPr>
              <w:t>项文件必须提供，未提供者直接视为资质、资格审查未通过，无法继续参与投标！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17</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日17:00前；</w:t>
            </w:r>
          </w:p>
          <w:p>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12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22</w:t>
            </w:r>
            <w:r>
              <w:rPr>
                <w:rFonts w:hint="eastAsia" w:ascii="宋体" w:hAnsi="宋体" w:eastAsia="宋体" w:cs="宋体"/>
                <w:sz w:val="24"/>
                <w:szCs w:val="24"/>
                <w:highlight w:val="yellow"/>
              </w:rPr>
              <w:t>日1</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:00</w:t>
            </w:r>
            <w:r>
              <w:rPr>
                <w:rFonts w:hint="eastAsia" w:ascii="宋体" w:hAnsi="宋体" w:eastAsia="宋体" w:cs="宋体"/>
                <w:sz w:val="24"/>
                <w:szCs w:val="24"/>
                <w:highlight w:val="none"/>
              </w:rPr>
              <w:t>前；</w:t>
            </w:r>
          </w:p>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12</w:t>
            </w:r>
            <w:r>
              <w:rPr>
                <w:rFonts w:hint="eastAsia" w:eastAsia="宋体" w:cs="宋体"/>
                <w:highlight w:val="yellow"/>
              </w:rPr>
              <w:t>月</w:t>
            </w:r>
            <w:r>
              <w:rPr>
                <w:rFonts w:hint="eastAsia" w:eastAsia="宋体" w:cs="宋体"/>
                <w:highlight w:val="yellow"/>
                <w:lang w:val="en-US" w:eastAsia="zh-CN"/>
              </w:rPr>
              <w:t>22</w:t>
            </w:r>
            <w:r>
              <w:rPr>
                <w:rFonts w:hint="eastAsia" w:eastAsia="宋体" w:cs="宋体"/>
                <w:highlight w:val="yellow"/>
              </w:rPr>
              <w:t>日</w:t>
            </w:r>
            <w:r>
              <w:rPr>
                <w:rFonts w:hint="eastAsia" w:eastAsia="宋体" w:cs="宋体"/>
                <w:highlight w:val="yellow"/>
                <w:lang w:val="en-US" w:eastAsia="zh-CN"/>
              </w:rPr>
              <w:t>17时00分00秒</w:t>
            </w:r>
          </w:p>
          <w:p>
            <w:pPr>
              <w:pStyle w:val="112"/>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本次招标不需要提交纸质版文件，应标、投标均在中国重汽e采通平台应标投标。</w:t>
            </w:r>
            <w:r>
              <w:rPr>
                <w:rFonts w:hint="eastAsia" w:eastAsia="宋体" w:cs="宋体"/>
                <w:b/>
                <w:bCs w:val="0"/>
                <w:color w:val="auto"/>
                <w:sz w:val="24"/>
                <w:szCs w:val="24"/>
                <w:highlight w:val="yellow"/>
                <w:lang w:val="en-US" w:eastAsia="zh-CN"/>
              </w:rPr>
              <w:t>操作方式参考附件15、16</w:t>
            </w:r>
            <w:bookmarkStart w:id="126" w:name="_GoBack"/>
            <w:bookmarkEnd w:id="126"/>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12</w:t>
            </w:r>
            <w:r>
              <w:rPr>
                <w:rFonts w:hint="eastAsia" w:ascii="宋体" w:hAnsi="宋体" w:eastAsia="宋体" w:cs="宋体"/>
                <w:sz w:val="24"/>
                <w:szCs w:val="24"/>
                <w:highlight w:val="yellow"/>
              </w:rPr>
              <w:t>月</w:t>
            </w:r>
            <w:r>
              <w:rPr>
                <w:rFonts w:hint="eastAsia" w:hAnsi="宋体" w:eastAsia="宋体" w:cs="宋体"/>
                <w:sz w:val="24"/>
                <w:szCs w:val="24"/>
                <w:highlight w:val="yellow"/>
                <w:lang w:val="en-US" w:eastAsia="zh-CN"/>
              </w:rPr>
              <w:t>27</w:t>
            </w:r>
            <w:r>
              <w:rPr>
                <w:rFonts w:hint="eastAsia" w:ascii="宋体" w:hAnsi="宋体" w:eastAsia="宋体" w:cs="宋体"/>
                <w:sz w:val="24"/>
                <w:szCs w:val="24"/>
                <w:highlight w:val="yellow"/>
              </w:rPr>
              <w:t>日</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pPr>
              <w:pStyle w:val="16"/>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元</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w:t>
            </w:r>
            <w:r>
              <w:rPr>
                <w:rFonts w:hint="eastAsia" w:eastAsia="宋体" w:cs="Times New Roman"/>
                <w:sz w:val="24"/>
                <w:szCs w:val="28"/>
                <w:highlight w:val="red"/>
              </w:rPr>
              <w:t>公司名称+项目名称+投标保证金</w:t>
            </w:r>
            <w:r>
              <w:rPr>
                <w:rFonts w:hint="eastAsia" w:eastAsia="宋体" w:cs="Times New Roman"/>
                <w:sz w:val="24"/>
                <w:szCs w:val="28"/>
                <w:highlight w:val="red"/>
                <w:lang w:eastAsia="zh-CN"/>
              </w:rPr>
              <w:t>。（</w:t>
            </w:r>
            <w:r>
              <w:rPr>
                <w:rFonts w:hint="eastAsia" w:eastAsia="宋体" w:cs="Times New Roman"/>
                <w:sz w:val="24"/>
                <w:szCs w:val="28"/>
                <w:highlight w:val="red"/>
                <w:lang w:val="en-US" w:eastAsia="zh-CN"/>
              </w:rPr>
              <w:t>严格按照此格式备注</w:t>
            </w:r>
            <w:r>
              <w:rPr>
                <w:rFonts w:hint="eastAsia" w:eastAsia="宋体" w:cs="Times New Roman"/>
                <w:sz w:val="24"/>
                <w:szCs w:val="28"/>
                <w:highlight w:val="red"/>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27</w:t>
            </w:r>
            <w:r>
              <w:rPr>
                <w:rFonts w:hint="eastAsia" w:ascii="宋体" w:hAnsi="宋体" w:cs="宋体"/>
                <w:sz w:val="24"/>
                <w:szCs w:val="24"/>
                <w:highlight w:val="yellow"/>
              </w:rPr>
              <w:t>日1</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28</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ascii="宋体" w:hAnsi="宋体" w:eastAsia="宋体" w:cs="宋体"/>
                <w:sz w:val="24"/>
                <w:szCs w:val="24"/>
                <w:highlight w:val="yellow"/>
              </w:rPr>
              <w:t>暂定，以实际通知为准</w:t>
            </w:r>
            <w:r>
              <w:rPr>
                <w:rFonts w:hint="eastAsia" w:ascii="宋体" w:hAnsi="宋体" w:eastAsia="宋体" w:cs="宋体"/>
                <w:kern w:val="0"/>
                <w:sz w:val="24"/>
                <w:szCs w:val="24"/>
                <w:highlight w:val="yellow"/>
                <w:lang w:eastAsia="zh-CN"/>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1311</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pPr>
              <w:pStyle w:val="10"/>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资质标审核→唱标→技术标评审→商务标评审。技术标入围后，原则上选取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1.</w:t>
            </w:r>
            <w:r>
              <w:rPr>
                <w:rFonts w:hint="eastAsia" w:hAnsi="宋体" w:eastAsia="宋体" w:cs="宋体"/>
                <w:color w:val="000000"/>
                <w:sz w:val="24"/>
                <w:szCs w:val="24"/>
                <w:lang w:val="en-US" w:eastAsia="zh-CN"/>
              </w:rPr>
              <w:t>定标后</w:t>
            </w:r>
            <w:r>
              <w:rPr>
                <w:rFonts w:hint="eastAsia" w:hAnsi="宋体" w:eastAsia="宋体" w:cs="宋体"/>
                <w:color w:val="000000"/>
                <w:sz w:val="24"/>
                <w:szCs w:val="24"/>
              </w:rPr>
              <w:t>，</w:t>
            </w:r>
            <w:r>
              <w:rPr>
                <w:rFonts w:hint="eastAsia" w:hAnsi="宋体" w:eastAsia="宋体" w:cs="宋体"/>
                <w:color w:val="000000"/>
                <w:sz w:val="24"/>
                <w:szCs w:val="24"/>
                <w:lang w:val="en-US" w:eastAsia="zh-CN"/>
              </w:rPr>
              <w:t>180</w:t>
            </w:r>
            <w:r>
              <w:rPr>
                <w:rFonts w:hint="eastAsia" w:hAnsi="宋体" w:eastAsia="宋体" w:cs="宋体"/>
                <w:color w:val="000000"/>
                <w:sz w:val="24"/>
                <w:szCs w:val="24"/>
              </w:rPr>
              <w:t>个日历日之内交货至供货地点</w:t>
            </w:r>
            <w:r>
              <w:rPr>
                <w:rFonts w:hAnsi="宋体" w:eastAsia="宋体" w:cs="宋体"/>
                <w:color w:val="000000"/>
                <w:sz w:val="24"/>
                <w:szCs w:val="24"/>
              </w:rPr>
              <w:t>。</w:t>
            </w:r>
          </w:p>
          <w:p>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2.接续</w:t>
            </w:r>
            <w:r>
              <w:rPr>
                <w:rFonts w:hint="eastAsia" w:hAnsi="宋体" w:eastAsia="宋体" w:cs="宋体"/>
                <w:color w:val="000000"/>
                <w:sz w:val="24"/>
                <w:szCs w:val="24"/>
                <w:lang w:val="en-US" w:eastAsia="zh-CN"/>
              </w:rPr>
              <w:t>30</w:t>
            </w:r>
            <w:r>
              <w:rPr>
                <w:rFonts w:hint="eastAsia" w:hAnsi="宋体" w:eastAsia="宋体" w:cs="宋体"/>
                <w:color w:val="000000"/>
                <w:sz w:val="24"/>
                <w:szCs w:val="24"/>
              </w:rPr>
              <w:t>个日历日之内安装调试完毕。</w:t>
            </w:r>
          </w:p>
          <w:p>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3.接续30个日历日之内完成终验收。</w:t>
            </w:r>
          </w:p>
          <w:p>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安装调试时间或终验收时间超过规定时间的，投标人应当随标书提供详细的工期计划。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sz w:val="24"/>
                <w:szCs w:val="24"/>
                <w:highlight w:val="none"/>
                <w:u w:val="single"/>
                <w:lang w:eastAsia="zh-CN"/>
              </w:rPr>
              <w:t>质量部新建质检中心</w:t>
            </w:r>
            <w:r>
              <w:rPr>
                <w:rFonts w:hint="eastAsia"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0"/>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34"/>
              <w:spacing w:after="0" w:line="240" w:lineRule="auto"/>
              <w:ind w:firstLine="482"/>
              <w:rPr>
                <w:rFonts w:ascii="宋体" w:hAnsi="宋体" w:cs="宋体"/>
                <w:sz w:val="24"/>
                <w:szCs w:val="24"/>
              </w:rPr>
            </w:pPr>
            <w:r>
              <w:rPr>
                <w:rFonts w:hint="eastAsia" w:ascii="宋体" w:hAnsi="宋体" w:cs="宋体"/>
                <w:b/>
                <w:bCs/>
                <w:sz w:val="24"/>
                <w:szCs w:val="24"/>
                <w:u w:val="single"/>
              </w:rPr>
              <w:t>付款方式：半年期商业汇票（包括银行承兑汇票和商业承兑汇票）</w:t>
            </w:r>
          </w:p>
          <w:p>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rPr>
              <w:t>合同生效设备全部到齐无质量问题通过买方初步验收并到货后，卖方开具金额为该合同设备价格</w:t>
            </w:r>
            <w:r>
              <w:rPr>
                <w:rFonts w:hint="eastAsia" w:ascii="宋体" w:hAnsi="宋体" w:cs="宋体"/>
                <w:sz w:val="24"/>
                <w:szCs w:val="24"/>
                <w:lang w:val="en-US" w:eastAsia="zh-CN"/>
              </w:rPr>
              <w:t>3</w:t>
            </w:r>
            <w:r>
              <w:rPr>
                <w:rFonts w:hint="eastAsia" w:ascii="宋体" w:hAnsi="宋体" w:cs="宋体"/>
                <w:sz w:val="24"/>
                <w:szCs w:val="24"/>
              </w:rPr>
              <w:t>0%的增值税专用发票带</w:t>
            </w:r>
            <w:r>
              <w:rPr>
                <w:rFonts w:hint="eastAsia" w:ascii="宋体" w:hAnsi="宋体" w:cs="宋体"/>
                <w:sz w:val="24"/>
                <w:szCs w:val="24"/>
                <w:lang w:val="en-US" w:eastAsia="zh-CN"/>
              </w:rPr>
              <w:t>3</w:t>
            </w:r>
            <w:r>
              <w:rPr>
                <w:rFonts w:hint="eastAsia" w:ascii="宋体" w:hAnsi="宋体" w:cs="宋体"/>
                <w:sz w:val="24"/>
                <w:szCs w:val="24"/>
              </w:rPr>
              <w:t>0%的收据（含复印件二份），经买方依照财务制度审核无误后支付合同价款的</w:t>
            </w:r>
            <w:r>
              <w:rPr>
                <w:rFonts w:hint="eastAsia" w:ascii="宋体" w:hAnsi="宋体" w:cs="宋体"/>
                <w:sz w:val="24"/>
                <w:szCs w:val="24"/>
                <w:lang w:val="en-US" w:eastAsia="zh-CN"/>
              </w:rPr>
              <w:t>3</w:t>
            </w:r>
            <w:r>
              <w:rPr>
                <w:rFonts w:hint="eastAsia" w:ascii="宋体" w:hAnsi="宋体" w:cs="宋体"/>
                <w:sz w:val="24"/>
                <w:szCs w:val="24"/>
              </w:rPr>
              <w:t>0%。</w:t>
            </w:r>
          </w:p>
          <w:p>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rPr>
              <w:t>设备全部到齐，经现场安装、调试、验收合格交付使用后，卖方提交金额为合同价款</w:t>
            </w:r>
            <w:r>
              <w:rPr>
                <w:rFonts w:hint="eastAsia" w:ascii="宋体" w:hAnsi="宋体" w:cs="宋体"/>
                <w:sz w:val="24"/>
                <w:szCs w:val="24"/>
                <w:lang w:val="en-US" w:eastAsia="zh-CN"/>
              </w:rPr>
              <w:t>6</w:t>
            </w:r>
            <w:r>
              <w:rPr>
                <w:rFonts w:hint="eastAsia" w:ascii="宋体" w:hAnsi="宋体" w:cs="宋体"/>
                <w:sz w:val="24"/>
                <w:szCs w:val="24"/>
              </w:rPr>
              <w:t>0%的收据并附带下列单据，经买方依照财务制度审核无误后支付合同价款的</w:t>
            </w:r>
            <w:r>
              <w:rPr>
                <w:rFonts w:hint="eastAsia" w:ascii="宋体" w:hAnsi="宋体" w:cs="宋体"/>
                <w:sz w:val="24"/>
                <w:szCs w:val="24"/>
                <w:lang w:val="en-US" w:eastAsia="zh-CN"/>
              </w:rPr>
              <w:t>6</w:t>
            </w:r>
            <w:r>
              <w:rPr>
                <w:rFonts w:hint="eastAsia" w:ascii="宋体" w:hAnsi="宋体" w:cs="宋体"/>
                <w:sz w:val="24"/>
                <w:szCs w:val="24"/>
              </w:rPr>
              <w:t>0%。</w:t>
            </w:r>
          </w:p>
          <w:p>
            <w:pPr>
              <w:pStyle w:val="34"/>
              <w:spacing w:after="0" w:line="240" w:lineRule="auto"/>
              <w:ind w:left="0" w:leftChars="0" w:firstLine="480"/>
              <w:rPr>
                <w:rFonts w:ascii="宋体" w:hAnsi="宋体" w:cs="宋体"/>
                <w:sz w:val="24"/>
                <w:szCs w:val="24"/>
              </w:rPr>
            </w:pPr>
            <w:r>
              <w:rPr>
                <w:rFonts w:hint="eastAsia" w:ascii="宋体" w:hAnsi="宋体" w:cs="宋体"/>
                <w:sz w:val="24"/>
                <w:szCs w:val="24"/>
              </w:rPr>
              <w:t>a.金额为该合同设备价格</w:t>
            </w:r>
            <w:r>
              <w:rPr>
                <w:rFonts w:hint="eastAsia" w:ascii="宋体" w:hAnsi="宋体" w:cs="宋体"/>
                <w:sz w:val="24"/>
                <w:szCs w:val="24"/>
                <w:lang w:val="en-US" w:eastAsia="zh-CN"/>
              </w:rPr>
              <w:t>7</w:t>
            </w:r>
            <w:r>
              <w:rPr>
                <w:rFonts w:hint="eastAsia" w:ascii="宋体" w:hAnsi="宋体" w:cs="宋体"/>
                <w:sz w:val="24"/>
                <w:szCs w:val="24"/>
              </w:rPr>
              <w:t>0%的增值税专用发票（含复印件二份），具体开票信息详见发票信息表，根据表中所列分别开具增值税发票。</w:t>
            </w:r>
          </w:p>
          <w:p>
            <w:pPr>
              <w:pStyle w:val="34"/>
              <w:spacing w:after="0" w:line="240" w:lineRule="auto"/>
              <w:ind w:left="0" w:leftChars="0" w:firstLine="480"/>
              <w:rPr>
                <w:rFonts w:ascii="宋体" w:hAnsi="宋体" w:cs="宋体"/>
                <w:sz w:val="24"/>
                <w:szCs w:val="24"/>
              </w:rPr>
            </w:pPr>
            <w:r>
              <w:rPr>
                <w:rFonts w:hint="eastAsia" w:ascii="宋体" w:hAnsi="宋体" w:cs="宋体"/>
                <w:sz w:val="24"/>
                <w:szCs w:val="24"/>
              </w:rPr>
              <w:t>b.该套设备最终验收报告的原件及其复印件两份。</w:t>
            </w:r>
          </w:p>
          <w:p>
            <w:pPr>
              <w:pStyle w:val="34"/>
              <w:numPr>
                <w:ilvl w:val="0"/>
                <w:numId w:val="2"/>
              </w:numPr>
              <w:adjustRightInd w:val="0"/>
              <w:spacing w:after="0" w:line="240" w:lineRule="auto"/>
              <w:ind w:left="0" w:leftChars="0" w:firstLine="480"/>
              <w:rPr>
                <w:rFonts w:ascii="宋体" w:hAnsi="宋体" w:cs="宋体"/>
                <w:sz w:val="24"/>
                <w:szCs w:val="24"/>
              </w:rPr>
            </w:pPr>
            <w:r>
              <w:rPr>
                <w:rFonts w:hint="eastAsia" w:ascii="宋体" w:hAnsi="宋体" w:cs="宋体"/>
                <w:sz w:val="24"/>
                <w:szCs w:val="24"/>
              </w:rPr>
              <w:t>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highlight w:val="cyan"/>
              </w:rPr>
            </w:pPr>
            <w:r>
              <w:rPr>
                <w:rFonts w:hint="eastAsia" w:ascii="宋体" w:hAnsi="宋体" w:eastAsia="宋体" w:cs="宋体"/>
                <w:b/>
                <w:color w:val="000000"/>
                <w:sz w:val="24"/>
                <w:szCs w:val="24"/>
                <w:highlight w:val="none"/>
              </w:rPr>
              <w:t>增值税专用发票开票信息：</w:t>
            </w:r>
          </w:p>
          <w:p>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0"/>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0"/>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0"/>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none"/>
                <w:lang w:val="en-US" w:eastAsia="zh-CN"/>
              </w:rPr>
              <w:t>规定时间</w:t>
            </w:r>
            <w:r>
              <w:rPr>
                <w:rFonts w:hint="eastAsia" w:ascii="宋体" w:hAnsi="宋体" w:eastAsia="宋体" w:cs="宋体"/>
                <w:sz w:val="24"/>
                <w:szCs w:val="24"/>
                <w:highlight w:val="none"/>
              </w:rPr>
              <w:t>内需根据设计</w:t>
            </w:r>
            <w:r>
              <w:rPr>
                <w:rStyle w:val="41"/>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pPr>
        <w:pStyle w:val="16"/>
        <w:numPr>
          <w:ilvl w:val="0"/>
          <w:numId w:val="1"/>
        </w:numPr>
        <w:jc w:val="center"/>
        <w:outlineLvl w:val="0"/>
        <w:rPr>
          <w:rFonts w:ascii="Calibri" w:hAnsi="Calibri" w:eastAsia="宋体" w:cs="Times New Roman"/>
          <w:b/>
          <w:bCs/>
          <w:kern w:val="44"/>
          <w:sz w:val="36"/>
          <w:szCs w:val="44"/>
        </w:rPr>
        <w:sectPr>
          <w:headerReference r:id="rId9" w:type="default"/>
          <w:footerReference r:id="rId10" w:type="default"/>
          <w:pgSz w:w="11907" w:h="16840"/>
          <w:pgMar w:top="1304" w:right="1418" w:bottom="1304" w:left="1418" w:header="724" w:footer="851" w:gutter="0"/>
          <w:cols w:space="720" w:num="1"/>
          <w:docGrid w:linePitch="290" w:charSpace="-3931"/>
        </w:sectPr>
      </w:pPr>
    </w:p>
    <w:p>
      <w:pPr>
        <w:pStyle w:val="16"/>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6"/>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pPr>
        <w:pStyle w:val="16"/>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pPr>
        <w:pStyle w:val="112"/>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67001"/>
      <w:bookmarkStart w:id="7" w:name="_Toc33265653"/>
      <w:bookmarkStart w:id="8" w:name="_Toc33266914"/>
      <w:bookmarkStart w:id="9" w:name="_Toc33265752"/>
      <w:bookmarkStart w:id="10" w:name="_Toc33266627"/>
      <w:bookmarkStart w:id="11" w:name="_Toc33266950"/>
      <w:bookmarkStart w:id="12" w:name="_Toc33285487"/>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bookmarkStart w:id="14" w:name="_Toc33266628"/>
      <w:bookmarkStart w:id="15" w:name="_Toc33266915"/>
      <w:bookmarkStart w:id="16" w:name="_Toc33267002"/>
      <w:bookmarkStart w:id="17" w:name="_Toc33265654"/>
      <w:bookmarkStart w:id="18" w:name="_Toc395116634"/>
      <w:bookmarkStart w:id="19" w:name="_Toc33266951"/>
      <w:bookmarkStart w:id="20" w:name="_Toc33265753"/>
      <w:bookmarkStart w:id="21" w:name="_Toc33285489"/>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6"/>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numPr>
          <w:ilvl w:val="0"/>
          <w:numId w:val="10"/>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w:t>
      </w:r>
      <w:r>
        <w:rPr>
          <w:rFonts w:hint="eastAsia" w:hAnsi="宋体" w:eastAsia="宋体" w:cs="宋体"/>
          <w:color w:val="000000"/>
          <w:sz w:val="24"/>
          <w:szCs w:val="24"/>
          <w:lang w:val="en-US" w:eastAsia="zh-CN"/>
        </w:rPr>
        <w:t>投标限价</w:t>
      </w:r>
      <w:r>
        <w:rPr>
          <w:rFonts w:hint="eastAsia" w:ascii="宋体" w:hAnsi="宋体" w:eastAsia="宋体" w:cs="宋体"/>
          <w:color w:val="000000"/>
          <w:sz w:val="24"/>
          <w:szCs w:val="24"/>
          <w:lang w:eastAsia="zh-CN"/>
        </w:rPr>
        <w:t>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8"/>
      <w:bookmarkStart w:id="23" w:name="OLE_LINK27"/>
      <w:bookmarkStart w:id="24" w:name="OLE_LINK29"/>
      <w:bookmarkStart w:id="25" w:name="OLE_LINK25"/>
      <w:bookmarkStart w:id="26" w:name="OLE_LINK26"/>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中国重汽集团济南</w:t>
      </w:r>
      <w:r>
        <w:rPr>
          <w:rFonts w:hint="eastAsia" w:ascii="宋体" w:hAnsi="宋体" w:eastAsia="宋体" w:cs="宋体"/>
          <w:b/>
          <w:color w:val="000000"/>
          <w:sz w:val="24"/>
          <w:szCs w:val="24"/>
          <w:lang w:val="en-US" w:eastAsia="zh-CN"/>
        </w:rPr>
        <w:t>动力</w:t>
      </w:r>
      <w:r>
        <w:rPr>
          <w:rFonts w:hint="eastAsia" w:ascii="宋体" w:hAnsi="宋体" w:eastAsia="宋体" w:cs="宋体"/>
          <w:b/>
          <w:color w:val="000000"/>
          <w:sz w:val="24"/>
          <w:szCs w:val="24"/>
          <w:lang w:eastAsia="zh-CN"/>
        </w:rPr>
        <w:t>有限公司</w:t>
      </w:r>
      <w:r>
        <w:rPr>
          <w:rFonts w:hint="eastAsia" w:ascii="宋体" w:hAnsi="宋体" w:eastAsia="宋体" w:cs="宋体"/>
          <w:b/>
          <w:color w:val="000000"/>
          <w:sz w:val="24"/>
          <w:szCs w:val="24"/>
        </w:rPr>
        <w:t>。</w:t>
      </w:r>
    </w:p>
    <w:p>
      <w:pPr>
        <w:pStyle w:val="16"/>
        <w:spacing w:line="360" w:lineRule="auto"/>
        <w:jc w:val="center"/>
        <w:rPr>
          <w:rFonts w:hint="eastAsia" w:ascii="宋体" w:hAnsi="宋体" w:eastAsia="宋体" w:cs="宋体"/>
          <w:b/>
          <w:bCs/>
          <w:kern w:val="44"/>
          <w:sz w:val="24"/>
          <w:szCs w:val="24"/>
        </w:rPr>
        <w:sectPr>
          <w:footerReference r:id="rId11" w:type="default"/>
          <w:pgSz w:w="11907" w:h="16840"/>
          <w:pgMar w:top="1304" w:right="1418" w:bottom="1304" w:left="1418" w:header="724" w:footer="851" w:gutter="0"/>
          <w:cols w:space="720" w:num="1"/>
          <w:docGrid w:linePitch="290" w:charSpace="-3931"/>
        </w:sectPr>
      </w:pPr>
    </w:p>
    <w:p>
      <w:pPr>
        <w:pStyle w:val="16"/>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pPr>
        <w:pStyle w:val="16"/>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第四部分 技术标书</w:t>
      </w:r>
    </w:p>
    <w:p>
      <w:pPr>
        <w:pStyle w:val="16"/>
      </w:pPr>
    </w:p>
    <w:p>
      <w:pPr>
        <w:keepNext/>
        <w:keepLines/>
        <w:jc w:val="center"/>
        <w:rPr>
          <w:rFonts w:ascii="Calibri" w:hAnsi="宋体" w:eastAsia="宋体" w:cs="Times New Roman"/>
          <w:b/>
          <w:bCs/>
          <w:color w:val="FF0000"/>
          <w:spacing w:val="-8"/>
          <w:sz w:val="48"/>
          <w:szCs w:val="44"/>
        </w:rPr>
      </w:pPr>
      <w:r>
        <w:rPr>
          <w:rFonts w:hint="eastAsia" w:ascii="Calibri" w:hAnsi="宋体" w:eastAsia="宋体" w:cs="Times New Roman"/>
          <w:b/>
          <w:bCs/>
          <w:color w:val="000000"/>
          <w:spacing w:val="-8"/>
          <w:sz w:val="48"/>
          <w:szCs w:val="44"/>
        </w:rPr>
        <w:t>中国重汽集团</w:t>
      </w:r>
      <w:r>
        <w:rPr>
          <w:rFonts w:hint="eastAsia" w:ascii="Calibri" w:hAnsi="宋体" w:eastAsia="宋体" w:cs="Times New Roman"/>
          <w:b/>
          <w:bCs/>
          <w:spacing w:val="-8"/>
          <w:sz w:val="48"/>
          <w:szCs w:val="44"/>
        </w:rPr>
        <w:t>济南</w:t>
      </w:r>
      <w:r>
        <w:rPr>
          <w:rFonts w:hint="eastAsia" w:ascii="Calibri" w:hAnsi="宋体" w:eastAsia="宋体" w:cs="Times New Roman"/>
          <w:b/>
          <w:bCs/>
          <w:spacing w:val="-8"/>
          <w:sz w:val="48"/>
          <w:szCs w:val="44"/>
          <w:lang w:val="en-US" w:eastAsia="zh-CN"/>
        </w:rPr>
        <w:t>动力</w:t>
      </w:r>
      <w:r>
        <w:rPr>
          <w:rFonts w:hint="eastAsia" w:ascii="Calibri" w:hAnsi="宋体" w:eastAsia="宋体" w:cs="Times New Roman"/>
          <w:b/>
          <w:bCs/>
          <w:spacing w:val="-8"/>
          <w:sz w:val="48"/>
          <w:szCs w:val="44"/>
        </w:rPr>
        <w:t>有限公司</w:t>
      </w:r>
    </w:p>
    <w:p>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spacing w:val="-8"/>
          <w:sz w:val="48"/>
          <w:szCs w:val="44"/>
          <w:lang w:eastAsia="zh-CN"/>
        </w:rPr>
        <w:t>新增</w:t>
      </w:r>
      <w:r>
        <w:rPr>
          <w:rFonts w:hint="eastAsia" w:ascii="Calibri" w:hAnsi="宋体" w:eastAsia="宋体" w:cs="Times New Roman"/>
          <w:b/>
          <w:bCs/>
          <w:spacing w:val="-8"/>
          <w:sz w:val="48"/>
          <w:szCs w:val="44"/>
          <w:lang w:val="en-US" w:eastAsia="zh-CN"/>
        </w:rPr>
        <w:t>纯水机</w:t>
      </w:r>
      <w:r>
        <w:rPr>
          <w:rFonts w:hint="eastAsia" w:ascii="Calibri" w:hAnsi="宋体" w:eastAsia="宋体" w:cs="Times New Roman"/>
          <w:b/>
          <w:bCs/>
          <w:spacing w:val="-8"/>
          <w:sz w:val="48"/>
          <w:szCs w:val="44"/>
          <w:lang w:eastAsia="zh-CN"/>
        </w:rPr>
        <w:t>项目</w:t>
      </w:r>
    </w:p>
    <w:p>
      <w:pPr>
        <w:jc w:val="right"/>
        <w:rPr>
          <w:rFonts w:ascii="Calibri" w:hAnsi="Calibri" w:eastAsia="宋体" w:cs="Times New Roman"/>
          <w:color w:val="000000"/>
          <w:sz w:val="28"/>
          <w:szCs w:val="28"/>
        </w:rPr>
      </w:pPr>
    </w:p>
    <w:p>
      <w:pPr>
        <w:pStyle w:val="16"/>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16"/>
      </w:pPr>
    </w:p>
    <w:p>
      <w:pPr>
        <w:pStyle w:val="16"/>
        <w:rPr>
          <w:rFonts w:ascii="黑体" w:hAnsi="宋体" w:eastAsia="黑体" w:cs="Times New Roman"/>
          <w:color w:val="000000"/>
          <w:sz w:val="72"/>
          <w:szCs w:val="72"/>
        </w:rPr>
      </w:pPr>
    </w:p>
    <w:p>
      <w:pPr>
        <w:pStyle w:val="16"/>
        <w:rPr>
          <w:rFonts w:ascii="黑体" w:hAnsi="宋体" w:eastAsia="黑体" w:cs="Times New Roman"/>
          <w:color w:val="000000"/>
          <w:sz w:val="72"/>
          <w:szCs w:val="72"/>
        </w:rPr>
      </w:pPr>
    </w:p>
    <w:p>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编制：</w:t>
      </w:r>
    </w:p>
    <w:p>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审核：</w:t>
      </w:r>
    </w:p>
    <w:p>
      <w:pPr>
        <w:spacing w:line="860" w:lineRule="exact"/>
        <w:jc w:val="center"/>
        <w:rPr>
          <w:rFonts w:ascii="华文仿宋" w:hAnsi="华文仿宋" w:eastAsia="华文仿宋"/>
          <w:b/>
          <w:bCs/>
          <w:sz w:val="32"/>
          <w:szCs w:val="28"/>
        </w:rPr>
      </w:pPr>
      <w:r>
        <w:rPr>
          <w:rFonts w:hint="eastAsia" w:ascii="华文仿宋" w:hAnsi="华文仿宋" w:eastAsia="华文仿宋"/>
          <w:b/>
          <w:bCs/>
          <w:sz w:val="32"/>
          <w:szCs w:val="28"/>
        </w:rPr>
        <w:t>批准：</w:t>
      </w:r>
    </w:p>
    <w:p>
      <w:pPr>
        <w:pStyle w:val="16"/>
        <w:rPr>
          <w:b/>
          <w:bCs/>
        </w:rPr>
      </w:pPr>
    </w:p>
    <w:p>
      <w:pPr>
        <w:jc w:val="center"/>
        <w:rPr>
          <w:rFonts w:ascii="宋体" w:hAnsi="宋体" w:eastAsia="宋体" w:cs="Times New Roman"/>
          <w:color w:val="FF0000"/>
          <w:sz w:val="28"/>
          <w:szCs w:val="28"/>
        </w:rPr>
      </w:pPr>
      <w:r>
        <w:rPr>
          <w:rFonts w:hint="eastAsia" w:ascii="宋体" w:hAnsi="宋体" w:eastAsia="宋体" w:cs="Times New Roman"/>
          <w:color w:val="000000"/>
          <w:sz w:val="28"/>
          <w:szCs w:val="28"/>
        </w:rPr>
        <w:t>招标人：</w:t>
      </w:r>
      <w:r>
        <w:rPr>
          <w:rFonts w:hint="eastAsia" w:ascii="宋体" w:hAnsi="宋体" w:eastAsia="宋体" w:cs="Times New Roman"/>
          <w:sz w:val="28"/>
          <w:szCs w:val="28"/>
        </w:rPr>
        <w:t>中国重汽集团济南</w:t>
      </w:r>
      <w:r>
        <w:rPr>
          <w:rFonts w:hint="eastAsia" w:ascii="宋体" w:hAnsi="宋体" w:eastAsia="宋体" w:cs="Times New Roman"/>
          <w:sz w:val="28"/>
          <w:szCs w:val="28"/>
          <w:lang w:val="en-US" w:eastAsia="zh-CN"/>
        </w:rPr>
        <w:t>动力</w:t>
      </w:r>
      <w:r>
        <w:rPr>
          <w:rFonts w:hint="eastAsia" w:ascii="宋体" w:hAnsi="宋体" w:eastAsia="宋体" w:cs="Times New Roman"/>
          <w:sz w:val="28"/>
          <w:szCs w:val="28"/>
        </w:rPr>
        <w:t>有限公司</w:t>
      </w:r>
    </w:p>
    <w:p>
      <w:pPr>
        <w:pStyle w:val="11"/>
      </w:pPr>
    </w:p>
    <w:p>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rPr>
        <w:t>月</w:t>
      </w:r>
    </w:p>
    <w:p>
      <w:pPr>
        <w:spacing w:line="360" w:lineRule="auto"/>
        <w:rPr>
          <w:rFonts w:ascii="宋体" w:hAnsi="宋体" w:eastAsia="宋体" w:cs="Times New Roman"/>
          <w:b/>
          <w:sz w:val="36"/>
          <w:szCs w:val="36"/>
        </w:rPr>
      </w:pPr>
    </w:p>
    <w:p>
      <w:pPr>
        <w:pStyle w:val="11"/>
        <w:sectPr>
          <w:headerReference r:id="rId12" w:type="default"/>
          <w:footerReference r:id="rId13" w:type="default"/>
          <w:pgSz w:w="11907" w:h="16840"/>
          <w:pgMar w:top="1304" w:right="1418" w:bottom="1304" w:left="1418" w:header="724" w:footer="851" w:gutter="0"/>
          <w:pgNumType w:start="1"/>
          <w:cols w:space="720" w:num="1"/>
          <w:docGrid w:linePitch="290" w:charSpace="-3931"/>
        </w:sectPr>
      </w:pPr>
    </w:p>
    <w:p>
      <w:pPr>
        <w:keepNext/>
        <w:keepLines/>
        <w:spacing w:before="120" w:after="120" w:line="480" w:lineRule="exact"/>
        <w:jc w:val="center"/>
        <w:outlineLvl w:val="1"/>
        <w:rPr>
          <w:rFonts w:ascii="Times New Roman" w:hAnsi="Times New Roman" w:eastAsia="宋体" w:cs="Times New Roman"/>
          <w:b/>
          <w:bCs/>
          <w:color w:val="auto"/>
          <w:kern w:val="44"/>
          <w:sz w:val="28"/>
          <w:szCs w:val="28"/>
        </w:rPr>
      </w:pPr>
      <w:bookmarkStart w:id="32" w:name="_Toc28859"/>
      <w:r>
        <w:rPr>
          <w:rFonts w:hint="eastAsia" w:ascii="Times New Roman" w:hAnsi="Times New Roman" w:eastAsia="宋体" w:cs="Times New Roman"/>
          <w:b/>
          <w:bCs/>
          <w:color w:val="auto"/>
          <w:kern w:val="44"/>
          <w:sz w:val="28"/>
          <w:szCs w:val="28"/>
        </w:rPr>
        <w:t>第一章</w:t>
      </w:r>
      <w:r>
        <w:rPr>
          <w:rFonts w:ascii="Times New Roman" w:hAnsi="Times New Roman" w:eastAsia="宋体" w:cs="Times New Roman"/>
          <w:b/>
          <w:bCs/>
          <w:color w:val="auto"/>
          <w:kern w:val="44"/>
          <w:sz w:val="28"/>
          <w:szCs w:val="28"/>
        </w:rPr>
        <w:t xml:space="preserve">  </w:t>
      </w:r>
      <w:r>
        <w:rPr>
          <w:rFonts w:hint="eastAsia" w:ascii="Times New Roman" w:hAnsi="Times New Roman" w:eastAsia="宋体" w:cs="Times New Roman"/>
          <w:b/>
          <w:bCs/>
          <w:color w:val="auto"/>
          <w:kern w:val="44"/>
          <w:sz w:val="28"/>
          <w:szCs w:val="28"/>
        </w:rPr>
        <w:t>采购货物概况</w:t>
      </w:r>
    </w:p>
    <w:p>
      <w:pPr>
        <w:keepNext/>
        <w:keepLines/>
        <w:spacing w:before="120" w:after="120" w:line="360" w:lineRule="auto"/>
        <w:jc w:val="center"/>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第一节  使用环境</w:t>
      </w:r>
    </w:p>
    <w:p>
      <w:pPr>
        <w:spacing w:line="360" w:lineRule="auto"/>
        <w:outlineLvl w:val="3"/>
        <w:rPr>
          <w:rFonts w:hint="default" w:ascii="Times New Roman" w:hAnsi="Times New Roman" w:eastAsia="宋体" w:cs="Times New Roman"/>
          <w:color w:val="auto"/>
          <w:sz w:val="24"/>
          <w:szCs w:val="24"/>
          <w:u w:val="single"/>
          <w:shd w:val="pct10" w:color="auto" w:fill="FFFFFF"/>
          <w:lang w:val="en-US"/>
        </w:rPr>
      </w:pPr>
      <w:r>
        <w:rPr>
          <w:rFonts w:hint="eastAsia" w:ascii="Times New Roman" w:hAnsi="Times New Roman" w:eastAsia="宋体" w:cs="Times New Roman"/>
          <w:color w:val="auto"/>
          <w:sz w:val="24"/>
          <w:szCs w:val="24"/>
        </w:rPr>
        <w:t>一、项目名称：</w:t>
      </w:r>
      <w:r>
        <w:rPr>
          <w:rFonts w:hint="eastAsia" w:ascii="Times New Roman" w:hAnsi="Times New Roman" w:eastAsia="宋体" w:cs="Times New Roman"/>
          <w:color w:val="auto"/>
          <w:sz w:val="24"/>
          <w:szCs w:val="24"/>
          <w:u w:val="single"/>
          <w:lang w:val="en-US" w:eastAsia="zh-CN"/>
        </w:rPr>
        <w:t>新增纯水机项目</w:t>
      </w:r>
    </w:p>
    <w:p>
      <w:pPr>
        <w:spacing w:line="360" w:lineRule="auto"/>
        <w:outlineLvl w:val="3"/>
        <w:rPr>
          <w:rFonts w:hint="eastAsia" w:ascii="Times New Roman" w:hAnsi="Times New Roman" w:eastAsia="宋体" w:cs="Times New Roman"/>
          <w:color w:val="auto"/>
          <w:sz w:val="24"/>
          <w:szCs w:val="24"/>
          <w:highlight w:val="yellow"/>
          <w:u w:val="single"/>
          <w:shd w:val="pct10" w:color="auto" w:fill="FFFFFF"/>
          <w:lang w:eastAsia="zh-CN"/>
        </w:rPr>
      </w:pPr>
      <w:r>
        <w:rPr>
          <w:rFonts w:hint="eastAsia" w:ascii="Times New Roman" w:hAnsi="Times New Roman" w:eastAsia="宋体" w:cs="Times New Roman"/>
          <w:color w:val="auto"/>
          <w:sz w:val="24"/>
          <w:szCs w:val="24"/>
        </w:rPr>
        <w:t>二、建设地点：</w:t>
      </w:r>
      <w:r>
        <w:rPr>
          <w:rFonts w:hint="eastAsia" w:ascii="Times New Roman" w:hAnsi="Times New Roman" w:eastAsia="宋体" w:cs="Times New Roman"/>
          <w:color w:val="auto"/>
          <w:sz w:val="24"/>
          <w:szCs w:val="24"/>
          <w:u w:val="single"/>
          <w:lang w:eastAsia="zh-CN"/>
        </w:rPr>
        <w:t>质量部质检中心</w:t>
      </w:r>
    </w:p>
    <w:p>
      <w:pPr>
        <w:spacing w:line="360" w:lineRule="auto"/>
        <w:outlineLvl w:val="3"/>
        <w:rPr>
          <w:rFonts w:hint="eastAsia" w:ascii="Times New Roman" w:hAnsi="Times New Roman" w:eastAsia="宋体" w:cs="Times New Roman"/>
          <w:color w:val="auto"/>
          <w:sz w:val="24"/>
          <w:szCs w:val="24"/>
          <w:lang w:eastAsia="zh-CN"/>
        </w:rPr>
      </w:pPr>
      <w:r>
        <w:rPr>
          <w:rFonts w:hint="eastAsia" w:ascii="Times New Roman" w:hAnsi="Times New Roman" w:eastAsia="宋体" w:cs="Times New Roman"/>
          <w:color w:val="auto"/>
          <w:sz w:val="24"/>
          <w:szCs w:val="24"/>
        </w:rPr>
        <w:t>三、使用地点：</w:t>
      </w:r>
      <w:r>
        <w:rPr>
          <w:rFonts w:hint="eastAsia" w:ascii="Times New Roman" w:hAnsi="Times New Roman" w:eastAsia="宋体" w:cs="Times New Roman"/>
          <w:color w:val="auto"/>
          <w:sz w:val="24"/>
          <w:szCs w:val="24"/>
          <w:u w:val="single"/>
          <w:lang w:eastAsia="zh-CN"/>
        </w:rPr>
        <w:t>质量部质检中心</w:t>
      </w:r>
    </w:p>
    <w:p>
      <w:pPr>
        <w:spacing w:line="360" w:lineRule="auto"/>
        <w:outlineLvl w:val="3"/>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四、工作制度：全年工作365天、两班制、设备年时基数</w:t>
      </w:r>
      <w:r>
        <w:rPr>
          <w:rFonts w:ascii="Times New Roman" w:hAnsi="Times New Roman" w:eastAsia="宋体" w:cs="Times New Roman"/>
          <w:color w:val="auto"/>
          <w:sz w:val="24"/>
          <w:szCs w:val="24"/>
        </w:rPr>
        <w:t>4380</w:t>
      </w:r>
      <w:r>
        <w:rPr>
          <w:rFonts w:hint="eastAsia" w:ascii="Times New Roman" w:hAnsi="Times New Roman" w:eastAsia="宋体" w:cs="Times New Roman"/>
          <w:color w:val="auto"/>
          <w:sz w:val="24"/>
          <w:szCs w:val="24"/>
        </w:rPr>
        <w:t>小时。</w:t>
      </w:r>
    </w:p>
    <w:p>
      <w:pPr>
        <w:spacing w:line="360" w:lineRule="auto"/>
        <w:outlineLvl w:val="3"/>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五、使用地点区域自然环境：</w:t>
      </w:r>
    </w:p>
    <w:p>
      <w:pPr>
        <w:spacing w:line="360" w:lineRule="auto"/>
        <w:ind w:firstLine="480" w:firstLineChars="200"/>
        <w:rPr>
          <w:rFonts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rPr>
        <w:t>1.海拔高度：4000m以下。</w:t>
      </w:r>
    </w:p>
    <w:p>
      <w:pPr>
        <w:spacing w:line="360" w:lineRule="auto"/>
        <w:ind w:firstLine="480" w:firstLineChars="200"/>
        <w:rPr>
          <w:rFonts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rPr>
        <w:t xml:space="preserve">2.环境温度：(20 ± </w:t>
      </w:r>
      <w:r>
        <w:rPr>
          <w:rFonts w:hint="eastAsia" w:ascii="Times New Roman" w:hAnsi="Times New Roman" w:eastAsia="宋体" w:cs="Times New Roman"/>
          <w:bCs/>
          <w:color w:val="auto"/>
          <w:sz w:val="24"/>
          <w:szCs w:val="24"/>
          <w:lang w:val="en-US" w:eastAsia="zh-CN"/>
        </w:rPr>
        <w:t>5</w:t>
      </w:r>
      <w:r>
        <w:rPr>
          <w:rFonts w:hint="eastAsia" w:ascii="Times New Roman" w:hAnsi="Times New Roman" w:eastAsia="宋体" w:cs="Times New Roman"/>
          <w:bCs/>
          <w:color w:val="auto"/>
          <w:sz w:val="24"/>
          <w:szCs w:val="24"/>
        </w:rPr>
        <w:t>)°C</w:t>
      </w:r>
    </w:p>
    <w:p>
      <w:pPr>
        <w:spacing w:line="360" w:lineRule="auto"/>
        <w:ind w:firstLine="480" w:firstLineChars="200"/>
        <w:rPr>
          <w:rFonts w:hint="eastAsia" w:ascii="Times New Roman" w:hAnsi="Times New Roman" w:eastAsia="宋体" w:cs="Times New Roman"/>
          <w:bCs/>
          <w:color w:val="auto"/>
          <w:sz w:val="24"/>
          <w:szCs w:val="24"/>
          <w:lang w:eastAsia="zh-CN"/>
        </w:rPr>
      </w:pPr>
      <w:r>
        <w:rPr>
          <w:rFonts w:hint="eastAsia" w:ascii="Times New Roman" w:hAnsi="Times New Roman" w:eastAsia="宋体" w:cs="Times New Roman"/>
          <w:bCs/>
          <w:color w:val="auto"/>
          <w:sz w:val="24"/>
          <w:szCs w:val="24"/>
        </w:rPr>
        <w:t>3.相对湿度：低于 80%</w:t>
      </w:r>
      <w:r>
        <w:rPr>
          <w:rFonts w:hint="eastAsia" w:ascii="Times New Roman" w:hAnsi="Times New Roman" w:eastAsia="宋体" w:cs="Times New Roman"/>
          <w:bCs/>
          <w:color w:val="auto"/>
          <w:sz w:val="24"/>
          <w:szCs w:val="24"/>
          <w:lang w:eastAsia="zh-CN"/>
        </w:rPr>
        <w:t>。</w:t>
      </w:r>
    </w:p>
    <w:p>
      <w:pPr>
        <w:spacing w:line="360" w:lineRule="auto"/>
        <w:outlineLvl w:val="3"/>
        <w:rPr>
          <w:rFonts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rPr>
        <w:t>六、使用试验室环境条件：</w:t>
      </w:r>
    </w:p>
    <w:p>
      <w:pPr>
        <w:spacing w:line="360" w:lineRule="auto"/>
        <w:ind w:firstLine="480" w:firstLineChars="200"/>
        <w:rPr>
          <w:rFonts w:ascii="Times New Roman" w:hAnsi="Times New Roman" w:eastAsia="宋体" w:cs="Times New Roman"/>
          <w:bCs/>
          <w:color w:val="auto"/>
          <w:sz w:val="24"/>
          <w:szCs w:val="24"/>
          <w:highlight w:val="none"/>
        </w:rPr>
      </w:pPr>
      <w:r>
        <w:rPr>
          <w:rFonts w:hint="eastAsia" w:ascii="Times New Roman" w:hAnsi="Times New Roman" w:eastAsia="宋体" w:cs="Times New Roman"/>
          <w:bCs/>
          <w:color w:val="auto"/>
          <w:sz w:val="24"/>
          <w:szCs w:val="24"/>
          <w:highlight w:val="none"/>
        </w:rPr>
        <w:t>电力：电压：100 - 240 V AC（-6%，+10%）</w:t>
      </w:r>
      <w:r>
        <w:rPr>
          <w:rFonts w:hint="eastAsia" w:ascii="Times New Roman" w:hAnsi="Times New Roman" w:eastAsia="宋体" w:cs="Times New Roman"/>
          <w:bCs/>
          <w:color w:val="auto"/>
          <w:sz w:val="24"/>
          <w:szCs w:val="24"/>
          <w:highlight w:val="none"/>
          <w:lang w:eastAsia="zh-CN"/>
        </w:rPr>
        <w:t>，</w:t>
      </w:r>
      <w:r>
        <w:rPr>
          <w:rFonts w:hint="eastAsia" w:ascii="Times New Roman" w:hAnsi="Times New Roman" w:eastAsia="宋体" w:cs="Times New Roman"/>
          <w:bCs/>
          <w:color w:val="auto"/>
          <w:sz w:val="24"/>
          <w:szCs w:val="24"/>
          <w:highlight w:val="none"/>
        </w:rPr>
        <w:t>频率：50 或 60 Hz (±1%)</w:t>
      </w:r>
    </w:p>
    <w:p>
      <w:pPr>
        <w:keepNext/>
        <w:keepLines/>
        <w:spacing w:before="120" w:after="120" w:line="360" w:lineRule="auto"/>
        <w:jc w:val="center"/>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第二节  采购货物概况</w:t>
      </w:r>
    </w:p>
    <w:p>
      <w:pPr>
        <w:spacing w:line="360" w:lineRule="auto"/>
        <w:outlineLvl w:val="3"/>
        <w:rPr>
          <w:rFonts w:ascii="Times New Roman" w:hAnsi="Times New Roman" w:eastAsia="宋体" w:cs="Times New Roman"/>
          <w:color w:val="auto"/>
          <w:sz w:val="24"/>
          <w:szCs w:val="24"/>
        </w:rPr>
      </w:pPr>
      <w:r>
        <w:rPr>
          <w:rFonts w:hint="eastAsia" w:ascii="Times New Roman" w:hAnsi="Times New Roman" w:eastAsia="宋体" w:cs="Times New Roman"/>
          <w:b/>
          <w:color w:val="auto"/>
          <w:sz w:val="24"/>
          <w:szCs w:val="24"/>
        </w:rPr>
        <w:t>一、货物名称：</w:t>
      </w:r>
      <w:r>
        <w:rPr>
          <w:rFonts w:hint="eastAsia" w:ascii="Times New Roman" w:hAnsi="Times New Roman" w:eastAsia="宋体" w:cs="Times New Roman"/>
          <w:color w:val="auto"/>
          <w:sz w:val="24"/>
          <w:szCs w:val="24"/>
          <w:u w:val="single"/>
          <w:lang w:val="en-US" w:eastAsia="zh-CN"/>
        </w:rPr>
        <w:t>纯水机</w:t>
      </w:r>
      <w:r>
        <w:rPr>
          <w:rFonts w:hint="eastAsia" w:ascii="Times New Roman" w:hAnsi="Times New Roman" w:eastAsia="宋体" w:cs="Times New Roman"/>
          <w:color w:val="auto"/>
          <w:sz w:val="24"/>
          <w:szCs w:val="24"/>
        </w:rPr>
        <w:t>（详见下表）</w:t>
      </w:r>
    </w:p>
    <w:p>
      <w:pPr>
        <w:spacing w:line="360" w:lineRule="auto"/>
        <w:outlineLvl w:val="3"/>
        <w:rPr>
          <w:rFonts w:ascii="Times New Roman" w:hAnsi="Times New Roman" w:eastAsia="宋体" w:cs="Times New Roman"/>
          <w:color w:val="auto"/>
          <w:sz w:val="24"/>
          <w:szCs w:val="24"/>
        </w:rPr>
      </w:pPr>
      <w:r>
        <w:rPr>
          <w:rFonts w:hint="eastAsia" w:ascii="Times New Roman" w:hAnsi="Times New Roman" w:eastAsia="宋体" w:cs="Times New Roman"/>
          <w:b/>
          <w:color w:val="auto"/>
          <w:sz w:val="24"/>
          <w:szCs w:val="24"/>
        </w:rPr>
        <w:t>二、货物数量：</w:t>
      </w:r>
      <w:r>
        <w:rPr>
          <w:rFonts w:hint="eastAsia" w:ascii="Times New Roman" w:hAnsi="Times New Roman" w:eastAsia="宋体" w:cs="Times New Roman"/>
          <w:color w:val="auto"/>
          <w:sz w:val="24"/>
          <w:szCs w:val="24"/>
          <w:u w:val="single"/>
          <w:shd w:val="pct10" w:color="auto" w:fill="FFFFFF"/>
          <w:lang w:val="en-US" w:eastAsia="zh-CN"/>
        </w:rPr>
        <w:t>1台（套）</w:t>
      </w:r>
      <w:r>
        <w:rPr>
          <w:rFonts w:hint="eastAsia" w:ascii="Times New Roman" w:hAnsi="Times New Roman" w:eastAsia="宋体" w:cs="Times New Roman"/>
          <w:color w:val="auto"/>
          <w:sz w:val="24"/>
          <w:szCs w:val="24"/>
        </w:rPr>
        <w:t>（详见下表）</w:t>
      </w:r>
    </w:p>
    <w:p>
      <w:pPr>
        <w:spacing w:line="360" w:lineRule="auto"/>
        <w:outlineLvl w:val="3"/>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三、分投分中：不允许</w:t>
      </w:r>
    </w:p>
    <w:p>
      <w:pPr>
        <w:spacing w:line="360" w:lineRule="auto"/>
        <w:jc w:val="center"/>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采购货物主要构成一览表</w:t>
      </w:r>
    </w:p>
    <w:tbl>
      <w:tblPr>
        <w:tblStyle w:val="35"/>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919"/>
        <w:gridCol w:w="2559"/>
        <w:gridCol w:w="1513"/>
        <w:gridCol w:w="1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keepNext w:val="0"/>
              <w:keepLines w:val="0"/>
              <w:widowControl/>
              <w:suppressLineNumbers w:val="0"/>
              <w:spacing w:line="360" w:lineRule="auto"/>
              <w:jc w:val="center"/>
              <w:textAlignment w:val="center"/>
              <w:rPr>
                <w:rFonts w:ascii="Times New Roman" w:hAnsi="Times New Roman" w:eastAsia="宋体" w:cs="Times New Roman"/>
                <w:color w:val="auto"/>
                <w:sz w:val="24"/>
                <w:szCs w:val="24"/>
              </w:rPr>
            </w:pPr>
            <w:r>
              <w:rPr>
                <w:rFonts w:hint="eastAsia" w:ascii="Times New Roman" w:hAnsi="Times New Roman" w:eastAsia="宋体" w:cs="Times New Roman"/>
                <w:i w:val="0"/>
                <w:iCs w:val="0"/>
                <w:color w:val="auto"/>
                <w:kern w:val="0"/>
                <w:sz w:val="24"/>
                <w:szCs w:val="24"/>
                <w:u w:val="none"/>
                <w:lang w:val="en-US" w:eastAsia="zh-CN" w:bidi="ar"/>
              </w:rPr>
              <w:t>序号</w:t>
            </w:r>
          </w:p>
        </w:tc>
        <w:tc>
          <w:tcPr>
            <w:tcW w:w="2919" w:type="dxa"/>
            <w:vAlign w:val="center"/>
          </w:tcPr>
          <w:p>
            <w:pPr>
              <w:keepNext w:val="0"/>
              <w:keepLines w:val="0"/>
              <w:widowControl/>
              <w:suppressLineNumbers w:val="0"/>
              <w:spacing w:line="360" w:lineRule="auto"/>
              <w:jc w:val="center"/>
              <w:textAlignment w:val="center"/>
              <w:rPr>
                <w:rFonts w:ascii="Times New Roman" w:hAnsi="Times New Roman" w:eastAsia="宋体" w:cs="Times New Roman"/>
                <w:color w:val="auto"/>
                <w:sz w:val="24"/>
                <w:szCs w:val="24"/>
              </w:rPr>
            </w:pPr>
            <w:r>
              <w:rPr>
                <w:rFonts w:hint="eastAsia" w:ascii="Times New Roman" w:hAnsi="Times New Roman" w:eastAsia="宋体" w:cs="Times New Roman"/>
                <w:i w:val="0"/>
                <w:iCs w:val="0"/>
                <w:color w:val="auto"/>
                <w:kern w:val="0"/>
                <w:sz w:val="24"/>
                <w:szCs w:val="24"/>
                <w:u w:val="none"/>
                <w:lang w:val="en-US" w:eastAsia="zh-CN" w:bidi="ar"/>
              </w:rPr>
              <w:t>名称</w:t>
            </w:r>
          </w:p>
        </w:tc>
        <w:tc>
          <w:tcPr>
            <w:tcW w:w="2559" w:type="dxa"/>
            <w:vAlign w:val="center"/>
          </w:tcPr>
          <w:p>
            <w:pPr>
              <w:keepNext w:val="0"/>
              <w:keepLines w:val="0"/>
              <w:widowControl/>
              <w:suppressLineNumbers w:val="0"/>
              <w:spacing w:line="360" w:lineRule="auto"/>
              <w:jc w:val="center"/>
              <w:textAlignment w:val="center"/>
              <w:rPr>
                <w:rFonts w:ascii="Times New Roman" w:hAnsi="Times New Roman" w:eastAsia="宋体" w:cs="Times New Roman"/>
                <w:color w:val="auto"/>
                <w:sz w:val="24"/>
                <w:szCs w:val="24"/>
              </w:rPr>
            </w:pPr>
            <w:r>
              <w:rPr>
                <w:rFonts w:hint="eastAsia" w:ascii="Times New Roman" w:hAnsi="Times New Roman" w:eastAsia="宋体" w:cs="Times New Roman"/>
                <w:i w:val="0"/>
                <w:iCs w:val="0"/>
                <w:color w:val="auto"/>
                <w:kern w:val="0"/>
                <w:sz w:val="24"/>
                <w:szCs w:val="24"/>
                <w:u w:val="none"/>
                <w:lang w:val="en-US" w:eastAsia="zh-CN" w:bidi="ar"/>
              </w:rPr>
              <w:t>型号规格</w:t>
            </w:r>
          </w:p>
        </w:tc>
        <w:tc>
          <w:tcPr>
            <w:tcW w:w="1513" w:type="dxa"/>
            <w:vAlign w:val="center"/>
          </w:tcPr>
          <w:p>
            <w:pPr>
              <w:keepNext w:val="0"/>
              <w:keepLines w:val="0"/>
              <w:widowControl/>
              <w:suppressLineNumbers w:val="0"/>
              <w:spacing w:line="360" w:lineRule="auto"/>
              <w:jc w:val="center"/>
              <w:textAlignment w:val="center"/>
              <w:rPr>
                <w:rFonts w:ascii="Times New Roman" w:hAnsi="Times New Roman" w:eastAsia="宋体" w:cs="Times New Roman"/>
                <w:color w:val="auto"/>
                <w:sz w:val="24"/>
                <w:szCs w:val="24"/>
              </w:rPr>
            </w:pPr>
            <w:r>
              <w:rPr>
                <w:rFonts w:hint="eastAsia" w:ascii="Times New Roman" w:hAnsi="Times New Roman" w:eastAsia="宋体" w:cs="Times New Roman"/>
                <w:i w:val="0"/>
                <w:iCs w:val="0"/>
                <w:color w:val="auto"/>
                <w:kern w:val="0"/>
                <w:sz w:val="24"/>
                <w:szCs w:val="24"/>
                <w:u w:val="none"/>
                <w:lang w:val="en-US" w:eastAsia="zh-CN" w:bidi="ar"/>
              </w:rPr>
              <w:t>单位</w:t>
            </w:r>
          </w:p>
        </w:tc>
        <w:tc>
          <w:tcPr>
            <w:tcW w:w="1105" w:type="dxa"/>
            <w:vAlign w:val="center"/>
          </w:tcPr>
          <w:p>
            <w:pPr>
              <w:keepNext w:val="0"/>
              <w:keepLines w:val="0"/>
              <w:widowControl/>
              <w:suppressLineNumbers w:val="0"/>
              <w:spacing w:line="360" w:lineRule="auto"/>
              <w:jc w:val="center"/>
              <w:textAlignment w:val="center"/>
              <w:rPr>
                <w:rFonts w:ascii="Times New Roman" w:hAnsi="Times New Roman" w:eastAsia="宋体" w:cs="Times New Roman"/>
                <w:color w:val="auto"/>
                <w:sz w:val="24"/>
                <w:szCs w:val="24"/>
              </w:rPr>
            </w:pPr>
            <w:r>
              <w:rPr>
                <w:rFonts w:hint="eastAsia" w:ascii="Times New Roman" w:hAnsi="Times New Roman" w:eastAsia="宋体" w:cs="Times New Roman"/>
                <w:i w:val="0"/>
                <w:iCs w:val="0"/>
                <w:color w:val="auto"/>
                <w:kern w:val="0"/>
                <w:sz w:val="24"/>
                <w:szCs w:val="24"/>
                <w:u w:val="none"/>
                <w:lang w:val="en-US" w:eastAsia="zh-CN" w:bidi="ar"/>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shd w:val="clear" w:color="auto" w:fill="auto"/>
            <w:vAlign w:val="center"/>
          </w:tcPr>
          <w:p>
            <w:pPr>
              <w:keepNext w:val="0"/>
              <w:keepLines w:val="0"/>
              <w:widowControl/>
              <w:suppressLineNumbers w:val="0"/>
              <w:spacing w:line="360" w:lineRule="auto"/>
              <w:jc w:val="center"/>
              <w:textAlignment w:val="center"/>
              <w:rPr>
                <w:rFonts w:hint="eastAsia" w:ascii="Times New Roman" w:hAnsi="Times New Roman" w:eastAsia="宋体" w:cs="Times New Roman"/>
                <w:i w:val="0"/>
                <w:iCs w:val="0"/>
                <w:color w:val="auto"/>
                <w:kern w:val="0"/>
                <w:sz w:val="24"/>
                <w:szCs w:val="24"/>
                <w:u w:val="none"/>
                <w:lang w:val="en-US" w:eastAsia="zh-CN" w:bidi="ar"/>
              </w:rPr>
            </w:pPr>
            <w:r>
              <w:rPr>
                <w:rFonts w:hint="eastAsia" w:ascii="Times New Roman" w:hAnsi="Times New Roman" w:eastAsia="宋体" w:cs="Times New Roman"/>
                <w:i w:val="0"/>
                <w:iCs w:val="0"/>
                <w:color w:val="auto"/>
                <w:kern w:val="0"/>
                <w:sz w:val="24"/>
                <w:szCs w:val="24"/>
                <w:u w:val="none"/>
                <w:lang w:val="en-US" w:eastAsia="zh-CN" w:bidi="ar"/>
              </w:rPr>
              <w:t>1</w:t>
            </w:r>
          </w:p>
        </w:tc>
        <w:tc>
          <w:tcPr>
            <w:tcW w:w="2919" w:type="dxa"/>
            <w:shd w:val="clear" w:color="auto" w:fill="auto"/>
            <w:vAlign w:val="center"/>
          </w:tcPr>
          <w:p>
            <w:pPr>
              <w:jc w:val="center"/>
              <w:rPr>
                <w:rFonts w:hint="eastAsia" w:ascii="Times New Roman" w:hAnsi="Times New Roman" w:eastAsia="宋体" w:cs="Times New Roman"/>
                <w:color w:val="auto"/>
                <w:kern w:val="2"/>
                <w:sz w:val="24"/>
                <w:szCs w:val="24"/>
                <w:u w:val="single"/>
                <w:lang w:val="en-US" w:eastAsia="zh-CN" w:bidi="ar-SA"/>
              </w:rPr>
            </w:pPr>
            <w:r>
              <w:rPr>
                <w:rFonts w:hint="eastAsia" w:ascii="Times New Roman" w:hAnsi="Times New Roman" w:eastAsia="宋体" w:cs="Times New Roman"/>
                <w:color w:val="auto"/>
                <w:sz w:val="24"/>
                <w:szCs w:val="24"/>
                <w:u w:val="single"/>
                <w:lang w:val="en-US" w:eastAsia="zh-CN"/>
              </w:rPr>
              <w:t>纯水机</w:t>
            </w:r>
          </w:p>
        </w:tc>
        <w:tc>
          <w:tcPr>
            <w:tcW w:w="2559" w:type="dxa"/>
            <w:shd w:val="clear" w:color="auto" w:fill="auto"/>
            <w:vAlign w:val="center"/>
          </w:tcPr>
          <w:p>
            <w:pPr>
              <w:keepNext w:val="0"/>
              <w:keepLines w:val="0"/>
              <w:widowControl/>
              <w:suppressLineNumbers w:val="0"/>
              <w:spacing w:line="360" w:lineRule="auto"/>
              <w:jc w:val="center"/>
              <w:textAlignment w:val="center"/>
              <w:rPr>
                <w:rFonts w:hint="eastAsia" w:ascii="Times New Roman" w:hAnsi="Times New Roman" w:eastAsia="宋体" w:cs="Times New Roman"/>
                <w:i w:val="0"/>
                <w:iCs w:val="0"/>
                <w:color w:val="auto"/>
                <w:kern w:val="0"/>
                <w:sz w:val="24"/>
                <w:szCs w:val="24"/>
                <w:u w:val="none"/>
                <w:lang w:val="en-US" w:eastAsia="zh-CN" w:bidi="ar"/>
              </w:rPr>
            </w:pPr>
            <w:r>
              <w:rPr>
                <w:rFonts w:hint="eastAsia" w:ascii="Times New Roman" w:hAnsi="Times New Roman" w:eastAsia="宋体" w:cs="Times New Roman"/>
                <w:i w:val="0"/>
                <w:iCs w:val="0"/>
                <w:color w:val="auto"/>
                <w:kern w:val="0"/>
                <w:sz w:val="24"/>
                <w:szCs w:val="24"/>
                <w:u w:val="none"/>
                <w:lang w:val="en-US" w:eastAsia="zh-CN" w:bidi="ar"/>
              </w:rPr>
              <w:t>见第二章技术要求</w:t>
            </w:r>
          </w:p>
        </w:tc>
        <w:tc>
          <w:tcPr>
            <w:tcW w:w="1513" w:type="dxa"/>
            <w:shd w:val="clear" w:color="auto" w:fill="auto"/>
            <w:vAlign w:val="center"/>
          </w:tcPr>
          <w:p>
            <w:pPr>
              <w:keepNext w:val="0"/>
              <w:keepLines w:val="0"/>
              <w:widowControl/>
              <w:suppressLineNumbers w:val="0"/>
              <w:spacing w:line="360" w:lineRule="auto"/>
              <w:jc w:val="center"/>
              <w:textAlignment w:val="center"/>
              <w:rPr>
                <w:rFonts w:hint="eastAsia" w:ascii="Times New Roman" w:hAnsi="Times New Roman" w:eastAsia="宋体" w:cs="Times New Roman"/>
                <w:i w:val="0"/>
                <w:iCs w:val="0"/>
                <w:color w:val="auto"/>
                <w:kern w:val="0"/>
                <w:sz w:val="24"/>
                <w:szCs w:val="24"/>
                <w:u w:val="none"/>
                <w:lang w:val="en-US" w:eastAsia="zh-CN" w:bidi="ar"/>
              </w:rPr>
            </w:pPr>
            <w:r>
              <w:rPr>
                <w:rFonts w:hint="eastAsia" w:ascii="Times New Roman" w:hAnsi="Times New Roman" w:eastAsia="宋体" w:cs="Times New Roman"/>
                <w:i w:val="0"/>
                <w:iCs w:val="0"/>
                <w:color w:val="auto"/>
                <w:kern w:val="0"/>
                <w:sz w:val="24"/>
                <w:szCs w:val="24"/>
                <w:u w:val="none"/>
                <w:lang w:val="en-US" w:eastAsia="zh-CN" w:bidi="ar"/>
              </w:rPr>
              <w:t>套</w:t>
            </w:r>
          </w:p>
        </w:tc>
        <w:tc>
          <w:tcPr>
            <w:tcW w:w="1105" w:type="dxa"/>
            <w:shd w:val="clear" w:color="auto" w:fill="auto"/>
            <w:vAlign w:val="center"/>
          </w:tcPr>
          <w:p>
            <w:pPr>
              <w:keepNext w:val="0"/>
              <w:keepLines w:val="0"/>
              <w:widowControl/>
              <w:suppressLineNumbers w:val="0"/>
              <w:spacing w:line="360" w:lineRule="auto"/>
              <w:jc w:val="center"/>
              <w:textAlignment w:val="center"/>
              <w:rPr>
                <w:rFonts w:hint="eastAsia" w:ascii="Times New Roman" w:hAnsi="Times New Roman" w:eastAsia="宋体" w:cs="Times New Roman"/>
                <w:i w:val="0"/>
                <w:iCs w:val="0"/>
                <w:color w:val="auto"/>
                <w:kern w:val="0"/>
                <w:sz w:val="24"/>
                <w:szCs w:val="24"/>
                <w:u w:val="none"/>
                <w:lang w:val="en-US" w:eastAsia="zh-CN" w:bidi="ar"/>
              </w:rPr>
            </w:pPr>
            <w:r>
              <w:rPr>
                <w:rFonts w:hint="eastAsia" w:ascii="Times New Roman" w:hAnsi="Times New Roman" w:eastAsia="宋体" w:cs="Times New Roman"/>
                <w:i w:val="0"/>
                <w:iCs w:val="0"/>
                <w:color w:val="auto"/>
                <w:kern w:val="0"/>
                <w:sz w:val="24"/>
                <w:szCs w:val="24"/>
                <w:u w:val="none"/>
                <w:lang w:val="en-US" w:eastAsia="zh-CN" w:bidi="ar"/>
              </w:rPr>
              <w:t>1</w:t>
            </w:r>
          </w:p>
        </w:tc>
      </w:tr>
    </w:tbl>
    <w:p>
      <w:pPr>
        <w:spacing w:line="360" w:lineRule="auto"/>
        <w:rPr>
          <w:rFonts w:hint="eastAsia" w:ascii="Times New Roman" w:hAnsi="Times New Roman" w:eastAsia="宋体" w:cs="Times New Roman"/>
          <w:bCs/>
          <w:color w:val="auto"/>
          <w:sz w:val="24"/>
          <w:szCs w:val="24"/>
        </w:rPr>
      </w:pPr>
    </w:p>
    <w:p>
      <w:pPr>
        <w:spacing w:line="360" w:lineRule="auto"/>
        <w:ind w:firstLine="480" w:firstLineChars="200"/>
        <w:rPr>
          <w:rFonts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rPr>
        <w:t>2.本表“供货方式”指：交钥匙方式——包括制造、运输、定点卸货、安装、调试和协助验收以及约定培训等。</w:t>
      </w:r>
    </w:p>
    <w:p>
      <w:pPr>
        <w:spacing w:line="360" w:lineRule="auto"/>
        <w:outlineLvl w:val="3"/>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四、采购货物特别说明</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招标人所列货物的名称和规格型号，如为某一供应商所特有，则该名称和规格型号可作参考，但要求投标人所提供的货物必须满足本技术标书实质性要求。</w:t>
      </w:r>
    </w:p>
    <w:p>
      <w:pPr>
        <w:pStyle w:val="16"/>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本项目涉及设备部分为进口品牌，于第二章技术要求部分具体约束。</w:t>
      </w:r>
    </w:p>
    <w:p>
      <w:pPr>
        <w:pStyle w:val="11"/>
        <w:spacing w:before="0" w:after="0" w:afterLines="0"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本项目涉及设备，需按甲方要求提供设备零部件明细，并进行价格拆解。</w:t>
      </w:r>
    </w:p>
    <w:p>
      <w:pPr>
        <w:pStyle w:val="11"/>
        <w:spacing w:before="0" w:after="0" w:afterLines="0"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本项目涉及的所有设备通讯协议需在技术方案评审时一并免费提交给招标方，并协助招标方开展设备集成工作。</w:t>
      </w:r>
    </w:p>
    <w:p>
      <w:pPr>
        <w:pStyle w:val="11"/>
        <w:spacing w:before="0" w:after="0" w:afterLines="0"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各单元原理图、电路图、程序框图、技术规格和指标、接口协议、各部件型号和参数清单在协议签订2个月内提供。</w:t>
      </w:r>
    </w:p>
    <w:p>
      <w:pPr>
        <w:widowControl/>
        <w:jc w:val="left"/>
        <w:rPr>
          <w:rFonts w:ascii="Times New Roman" w:hAnsi="Times New Roman" w:cs="Times New Roman"/>
          <w:color w:val="auto"/>
        </w:rPr>
      </w:pPr>
      <w:r>
        <w:rPr>
          <w:rFonts w:ascii="Times New Roman" w:hAnsi="Times New Roman" w:cs="Times New Roman"/>
          <w:color w:val="auto"/>
        </w:rPr>
        <w:br w:type="page"/>
      </w:r>
    </w:p>
    <w:p>
      <w:pPr>
        <w:keepNext/>
        <w:keepLines/>
        <w:spacing w:before="120" w:after="120" w:line="480" w:lineRule="exact"/>
        <w:jc w:val="center"/>
        <w:outlineLvl w:val="1"/>
        <w:rPr>
          <w:rFonts w:ascii="Times New Roman" w:hAnsi="Times New Roman" w:eastAsia="宋体" w:cs="Times New Roman"/>
          <w:bCs/>
          <w:color w:val="auto"/>
          <w:kern w:val="44"/>
          <w:sz w:val="24"/>
          <w:szCs w:val="24"/>
        </w:rPr>
      </w:pPr>
      <w:r>
        <w:rPr>
          <w:rFonts w:hint="eastAsia" w:ascii="Times New Roman" w:hAnsi="Times New Roman" w:eastAsia="宋体" w:cs="Times New Roman"/>
          <w:b/>
          <w:bCs/>
          <w:color w:val="auto"/>
          <w:kern w:val="44"/>
          <w:sz w:val="24"/>
          <w:szCs w:val="24"/>
        </w:rPr>
        <w:t>第二章  技术要求</w:t>
      </w:r>
    </w:p>
    <w:p>
      <w:pPr>
        <w:pStyle w:val="4"/>
        <w:ind w:firstLine="420"/>
        <w:rPr>
          <w:rFonts w:ascii="Times New Roman" w:hAnsi="Times New Roman" w:cs="Times New Roman"/>
          <w:b w:val="0"/>
          <w:bCs w:val="0"/>
          <w:color w:val="auto"/>
          <w:sz w:val="24"/>
          <w:szCs w:val="24"/>
        </w:rPr>
      </w:pPr>
      <w:r>
        <w:rPr>
          <w:rFonts w:hint="eastAsia" w:ascii="Times New Roman" w:hAnsi="Times New Roman" w:cs="Times New Roman"/>
          <w:color w:val="auto"/>
          <w:sz w:val="24"/>
          <w:szCs w:val="24"/>
        </w:rPr>
        <w:t>一、特别提示</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1.本章技术要求，仅对功能、设计、结构、性能、安装和试验检验等方面，提出了最低和一般性的技术要求，并未对一切技术细节作出规定。</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2.本技术要求所使用的标准、规范等，如与投标人所执行的标准、规范不一致时，应按高于本技术要求所列的标准、规范执行。</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bCs/>
          <w:color w:val="auto"/>
          <w:sz w:val="24"/>
          <w:szCs w:val="24"/>
        </w:rPr>
        <w:t>4.投标人应根据招投标货物具体要求，提出</w:t>
      </w:r>
      <w:r>
        <w:rPr>
          <w:rFonts w:hint="eastAsia" w:ascii="Times New Roman" w:hAnsi="Times New Roman" w:eastAsia="宋体" w:cs="Times New Roman"/>
          <w:color w:val="auto"/>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ind w:firstLine="42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6.为避免投标人优势在招标评审时漏项，质保期超出本技术标书要求的，应当在投标文件“技术偏离”中特别注明。</w:t>
      </w:r>
    </w:p>
    <w:p>
      <w:pPr>
        <w:spacing w:line="420" w:lineRule="exact"/>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7.投标文件中，针对“特别提示”条款所做的回应，将作为投标人能否中标的重要依据之一。</w:t>
      </w:r>
    </w:p>
    <w:p>
      <w:pPr>
        <w:pStyle w:val="4"/>
        <w:ind w:firstLine="420"/>
        <w:rPr>
          <w:rFonts w:ascii="Times New Roman" w:hAnsi="Times New Roman" w:cs="Times New Roman"/>
          <w:b w:val="0"/>
          <w:bCs w:val="0"/>
          <w:color w:val="auto"/>
          <w:sz w:val="24"/>
          <w:szCs w:val="24"/>
        </w:rPr>
      </w:pPr>
      <w:r>
        <w:rPr>
          <w:rFonts w:hint="eastAsia" w:ascii="Times New Roman" w:hAnsi="Times New Roman" w:cs="Times New Roman"/>
          <w:color w:val="auto"/>
          <w:sz w:val="24"/>
          <w:szCs w:val="24"/>
        </w:rPr>
        <w:t>二、基本要求</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1.投标人所供的货物，必须符合中国最新版的法律、法规和相关标准、规范的要求，符合项目所在地政府有关特殊要求。</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2.投标人所供货物涉及的专利权技术以及知识产权保护的其它技术等，应保证招标人不因此受到任何侵权指控以及实际损失。</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3.投标人应保证所供货物的先进性、可靠性、经济性和实用性，并为全新货物（或设备）。</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4.投标人应满足招标人提出的各项技术要求，必要时应当免费提供技术承诺或担保。</w:t>
      </w:r>
    </w:p>
    <w:p>
      <w:pPr>
        <w:spacing w:line="360" w:lineRule="auto"/>
        <w:ind w:firstLine="480" w:firstLineChars="200"/>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6.投标人应保证所供货物的完整性和成套性，能保证货物的正常运行、使用。</w:t>
      </w:r>
    </w:p>
    <w:p>
      <w:pPr>
        <w:spacing w:line="420" w:lineRule="exact"/>
        <w:ind w:firstLine="480" w:firstLineChars="200"/>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7.投标人应对招标人采购的货物所涉及的技术、产能等信息负有保密义务，招标人拥有追究投标人泄密责任的权利；招标人如有需要，投标人应无条件签署保密协议。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.程序图纸要求</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.1 供方必须提供所有设备程序的源代码，包括但不限于 PLC程序、HMI 程序、机器人程序、视觉程序、伺服等。</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.2 供方所提供的程序不得设置任何密码、保护等限制手段，PLC 不得设置修改下载权限，功能块不得设置密码保护。</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.3 HMI 界面等需要密码保护的程序，供方必须提供所有级别的用户名、密码。</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.4 供方需在设备入场前提供设备程序源码，HMI 界面各级用户名和密码，并保证与现场程序一致。</w:t>
      </w:r>
    </w:p>
    <w:p>
      <w:pPr>
        <w:spacing w:line="360" w:lineRule="auto"/>
        <w:ind w:firstLine="480" w:firstLineChars="200"/>
        <w:rPr>
          <w:rFonts w:hint="eastAsia" w:ascii="宋体" w:hAnsi="宋体" w:eastAsia="宋体" w:cs="Times New Roman"/>
          <w:b w:val="0"/>
          <w:bCs w:val="0"/>
          <w:sz w:val="24"/>
          <w:szCs w:val="24"/>
          <w:highlight w:val="none"/>
        </w:rPr>
      </w:pPr>
      <w:r>
        <w:rPr>
          <w:rFonts w:hint="eastAsia" w:ascii="宋体" w:hAnsi="宋体" w:eastAsia="宋体" w:cs="Times New Roman"/>
          <w:b w:val="0"/>
          <w:bCs w:val="0"/>
          <w:sz w:val="24"/>
          <w:szCs w:val="24"/>
          <w:highlight w:val="none"/>
          <w:lang w:val="en-US" w:eastAsia="zh-CN"/>
        </w:rPr>
        <w:t>8</w:t>
      </w:r>
      <w:r>
        <w:rPr>
          <w:rFonts w:hint="eastAsia" w:ascii="宋体" w:hAnsi="宋体" w:eastAsia="宋体" w:cs="Times New Roman"/>
          <w:b w:val="0"/>
          <w:bCs w:val="0"/>
          <w:sz w:val="24"/>
          <w:szCs w:val="24"/>
          <w:highlight w:val="none"/>
        </w:rPr>
        <w:t>.5 供方需在终验收前提供最新的设备程序源码和电气图纸，图纸要求为可编辑原格式（EPLAN、CAD 格式）且与实际接线一致。</w:t>
      </w:r>
    </w:p>
    <w:p>
      <w:pPr>
        <w:pStyle w:val="4"/>
        <w:ind w:firstLine="420"/>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rPr>
        <w:t>三、技术要求</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1.设备用途：该纯水机为全自动供给1台</w:t>
      </w:r>
      <w:r>
        <w:rPr>
          <w:rFonts w:hint="eastAsia" w:hAnsi="宋体" w:eastAsia="宋体" w:cs="Times New Roman"/>
          <w:color w:val="auto"/>
          <w:sz w:val="24"/>
          <w:szCs w:val="24"/>
          <w:highlight w:val="none"/>
          <w:lang w:val="en-US" w:eastAsia="zh-CN"/>
        </w:rPr>
        <w:t xml:space="preserve">Q-Lab </w:t>
      </w:r>
      <w:r>
        <w:rPr>
          <w:rFonts w:hint="eastAsia" w:ascii="宋体" w:hAnsi="宋体" w:eastAsia="宋体" w:cs="Times New Roman"/>
          <w:color w:val="auto"/>
          <w:sz w:val="24"/>
          <w:szCs w:val="24"/>
          <w:highlight w:val="none"/>
          <w:lang w:val="en-US" w:eastAsia="zh-CN"/>
        </w:rPr>
        <w:t>Q-Sun xe-3系列氙灯试验箱所需超纯水。</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2.进水水源为自来水，可满足水压0.15-0.4Mpa。</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ascii="宋体" w:hAnsi="宋体" w:eastAsia="宋体" w:cs="Times New Roman"/>
          <w:color w:val="auto"/>
          <w:sz w:val="24"/>
          <w:szCs w:val="24"/>
          <w:highlight w:val="none"/>
          <w:lang w:val="en-US" w:eastAsia="zh-CN"/>
        </w:rPr>
        <w:t>3.产水量25℃时不低于</w:t>
      </w:r>
      <w:r>
        <w:rPr>
          <w:rFonts w:hint="eastAsia" w:hAnsi="宋体" w:eastAsia="宋体" w:cs="Times New Roman"/>
          <w:color w:val="auto"/>
          <w:sz w:val="24"/>
          <w:szCs w:val="24"/>
          <w:highlight w:val="none"/>
          <w:lang w:val="en-US" w:eastAsia="zh-CN"/>
        </w:rPr>
        <w:t>15</w:t>
      </w:r>
      <w:r>
        <w:rPr>
          <w:rFonts w:hint="eastAsia" w:ascii="宋体" w:hAnsi="宋体" w:eastAsia="宋体" w:cs="Times New Roman"/>
          <w:color w:val="auto"/>
          <w:sz w:val="24"/>
          <w:szCs w:val="24"/>
          <w:highlight w:val="none"/>
          <w:lang w:val="en-US" w:eastAsia="zh-CN"/>
        </w:rPr>
        <w:t>L/h，</w:t>
      </w:r>
      <w:r>
        <w:rPr>
          <w:rFonts w:hint="eastAsia" w:hAnsi="宋体" w:eastAsia="宋体" w:cs="Times New Roman"/>
          <w:color w:val="auto"/>
          <w:sz w:val="24"/>
          <w:szCs w:val="24"/>
          <w:highlight w:val="none"/>
          <w:lang w:val="en-US" w:eastAsia="zh-CN"/>
        </w:rPr>
        <w:t>产水回收率不低于65%</w:t>
      </w:r>
      <w:r>
        <w:rPr>
          <w:rFonts w:hint="eastAsia" w:ascii="宋体" w:hAnsi="宋体" w:eastAsia="宋体" w:cs="Times New Roman"/>
          <w:color w:val="auto"/>
          <w:sz w:val="24"/>
          <w:szCs w:val="24"/>
          <w:highlight w:val="none"/>
          <w:lang w:val="en-US" w:eastAsia="zh-CN"/>
        </w:rPr>
        <w:t>。</w:t>
      </w:r>
    </w:p>
    <w:p>
      <w:pPr>
        <w:pStyle w:val="16"/>
        <w:spacing w:line="360" w:lineRule="auto"/>
        <w:rPr>
          <w:rFonts w:hint="default" w:ascii="宋体" w:hAnsi="宋体" w:eastAsia="宋体" w:cs="Times New Roman"/>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ascii="宋体" w:hAnsi="宋体" w:eastAsia="宋体" w:cs="Times New Roman"/>
          <w:color w:val="auto"/>
          <w:sz w:val="24"/>
          <w:szCs w:val="24"/>
          <w:highlight w:val="none"/>
          <w:lang w:val="en-US" w:eastAsia="zh-CN"/>
        </w:rPr>
        <w:t>4.纯水水质应满足日晒老化ASTM G155，ISO4892.2, ASTM D4459,GB/T 16422.2等用水标准，同时符合GB/T6682 Ⅰ级超纯水标准，电阻率≥1</w:t>
      </w:r>
      <w:r>
        <w:rPr>
          <w:rFonts w:hint="eastAsia"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lang w:val="en-US" w:eastAsia="zh-CN"/>
        </w:rPr>
        <w:t>MΩ.cm，硅含量</w:t>
      </w:r>
      <w:r>
        <w:rPr>
          <w:rFonts w:hint="eastAsia" w:hAnsi="宋体" w:eastAsia="宋体" w:cs="Times New Roman"/>
          <w:color w:val="auto"/>
          <w:sz w:val="24"/>
          <w:szCs w:val="24"/>
          <w:highlight w:val="none"/>
          <w:lang w:val="en-US" w:eastAsia="zh-CN"/>
        </w:rPr>
        <w:t>≤</w:t>
      </w:r>
      <w:r>
        <w:rPr>
          <w:rFonts w:hint="eastAsia" w:ascii="宋体" w:hAnsi="宋体" w:eastAsia="宋体" w:cs="Times New Roman"/>
          <w:color w:val="auto"/>
          <w:sz w:val="24"/>
          <w:szCs w:val="24"/>
          <w:highlight w:val="none"/>
          <w:lang w:val="en-US" w:eastAsia="zh-CN"/>
        </w:rPr>
        <w:t xml:space="preserve"> 0.01</w:t>
      </w:r>
      <w:r>
        <w:rPr>
          <w:rFonts w:hint="eastAsia" w:hAnsi="宋体" w:eastAsia="宋体" w:cs="Times New Roman"/>
          <w:color w:val="auto"/>
          <w:sz w:val="24"/>
          <w:szCs w:val="24"/>
          <w:highlight w:val="none"/>
          <w:lang w:val="en-US" w:eastAsia="zh-CN"/>
        </w:rPr>
        <w:t>mg/L</w:t>
      </w:r>
      <w:r>
        <w:rPr>
          <w:rFonts w:hint="eastAsia" w:ascii="宋体" w:hAnsi="宋体" w:eastAsia="宋体" w:cs="Times New Roman"/>
          <w:color w:val="auto"/>
          <w:sz w:val="24"/>
          <w:szCs w:val="24"/>
          <w:highlight w:val="none"/>
          <w:lang w:val="en-US" w:eastAsia="zh-CN"/>
        </w:rPr>
        <w:t>，吸光度（254nm,1cm光程）</w:t>
      </w:r>
      <w:r>
        <w:rPr>
          <w:rFonts w:hint="eastAsia" w:hAnsi="宋体" w:eastAsia="宋体" w:cs="Times New Roman"/>
          <w:color w:val="auto"/>
          <w:sz w:val="24"/>
          <w:szCs w:val="24"/>
          <w:highlight w:val="none"/>
          <w:lang w:val="en-US" w:eastAsia="zh-CN"/>
        </w:rPr>
        <w:t>≤</w:t>
      </w:r>
      <w:r>
        <w:rPr>
          <w:rFonts w:hint="eastAsia" w:ascii="宋体" w:hAnsi="宋体" w:eastAsia="宋体" w:cs="Times New Roman"/>
          <w:color w:val="auto"/>
          <w:sz w:val="24"/>
          <w:szCs w:val="24"/>
          <w:highlight w:val="none"/>
          <w:lang w:val="en-US" w:eastAsia="zh-CN"/>
        </w:rPr>
        <w:t>0.001</w:t>
      </w:r>
      <w:r>
        <w:rPr>
          <w:rFonts w:hint="eastAsia" w:hAnsi="宋体" w:eastAsia="宋体" w:cs="Times New Roman"/>
          <w:color w:val="auto"/>
          <w:sz w:val="24"/>
          <w:szCs w:val="24"/>
          <w:highlight w:val="none"/>
          <w:lang w:val="en-US" w:eastAsia="zh-CN"/>
        </w:rPr>
        <w:t>，PH值6-8</w:t>
      </w:r>
      <w:r>
        <w:rPr>
          <w:rFonts w:hint="eastAsia" w:ascii="宋体" w:hAnsi="宋体" w:eastAsia="宋体" w:cs="Times New Roman"/>
          <w:color w:val="auto"/>
          <w:sz w:val="24"/>
          <w:szCs w:val="24"/>
          <w:highlight w:val="none"/>
          <w:lang w:val="en-US" w:eastAsia="zh-CN"/>
        </w:rPr>
        <w:t>。</w:t>
      </w:r>
    </w:p>
    <w:p>
      <w:pPr>
        <w:pStyle w:val="16"/>
        <w:spacing w:line="360" w:lineRule="auto"/>
        <w:rPr>
          <w:rFonts w:hint="default"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5.输送压力应匹配Q-Sun xe-3系列氙灯试验箱</w:t>
      </w:r>
      <w:r>
        <w:rPr>
          <w:rFonts w:hint="eastAsia" w:hAnsi="宋体" w:eastAsia="宋体" w:cs="Times New Roman"/>
          <w:color w:val="auto"/>
          <w:sz w:val="24"/>
          <w:szCs w:val="24"/>
          <w:highlight w:val="none"/>
          <w:lang w:val="en-US" w:eastAsia="zh-CN"/>
        </w:rPr>
        <w:t>（额定压力要求207-620kPa），保证水压稳定性。</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6.输送流量应满足匹配1台Q-Sun xe-3系列氙灯试验箱</w:t>
      </w:r>
      <w:r>
        <w:rPr>
          <w:rFonts w:hint="eastAsia" w:hAnsi="宋体" w:eastAsia="宋体" w:cs="Times New Roman"/>
          <w:color w:val="auto"/>
          <w:sz w:val="24"/>
          <w:szCs w:val="24"/>
          <w:highlight w:val="none"/>
          <w:lang w:val="en-US" w:eastAsia="zh-CN"/>
        </w:rPr>
        <w:t>（额定流量要求1.4L/min），</w:t>
      </w:r>
      <w:r>
        <w:rPr>
          <w:rFonts w:hint="eastAsia" w:ascii="宋体" w:hAnsi="宋体" w:eastAsia="宋体" w:cs="Times New Roman"/>
          <w:color w:val="auto"/>
          <w:sz w:val="24"/>
          <w:szCs w:val="24"/>
          <w:highlight w:val="none"/>
          <w:lang w:val="en-US" w:eastAsia="zh-CN"/>
        </w:rPr>
        <w:t>可持续供水并自动随喷淋加湿不同调整流量，可满足设备模拟户外湿度的影响及仿真雨水的效果。</w:t>
      </w:r>
    </w:p>
    <w:p>
      <w:pPr>
        <w:pStyle w:val="16"/>
        <w:numPr>
          <w:ilvl w:val="0"/>
          <w:numId w:val="0"/>
        </w:numPr>
        <w:spacing w:line="360" w:lineRule="auto"/>
        <w:rPr>
          <w:rFonts w:hint="eastAsia" w:ascii="宋体" w:hAnsi="宋体" w:eastAsia="宋体" w:cs="Times New Roman"/>
          <w:color w:val="auto"/>
          <w:sz w:val="24"/>
          <w:szCs w:val="24"/>
          <w:highlight w:val="none"/>
          <w:lang w:val="en-US" w:eastAsia="zh-CN"/>
        </w:rPr>
      </w:pPr>
      <w:r>
        <w:rPr>
          <w:rFonts w:hint="eastAsia" w:hAnsi="宋体" w:eastAsia="宋体" w:cs="Times New Roman"/>
          <w:color w:val="auto"/>
          <w:sz w:val="24"/>
          <w:szCs w:val="24"/>
          <w:highlight w:val="none"/>
          <w:lang w:val="en-US" w:eastAsia="zh-CN"/>
        </w:rPr>
        <w:t>7.储水箱</w:t>
      </w:r>
      <w:r>
        <w:rPr>
          <w:rFonts w:hint="eastAsia" w:ascii="宋体" w:hAnsi="宋体" w:eastAsia="宋体" w:cs="Times New Roman"/>
          <w:color w:val="auto"/>
          <w:sz w:val="24"/>
          <w:szCs w:val="24"/>
          <w:highlight w:val="none"/>
          <w:lang w:val="en-US" w:eastAsia="zh-CN"/>
        </w:rPr>
        <w:t>容量≥</w:t>
      </w:r>
      <w:r>
        <w:rPr>
          <w:rFonts w:hint="eastAsia" w:hAnsi="宋体" w:eastAsia="宋体" w:cs="Times New Roman"/>
          <w:color w:val="auto"/>
          <w:sz w:val="24"/>
          <w:szCs w:val="24"/>
          <w:highlight w:val="none"/>
          <w:lang w:val="en-US" w:eastAsia="zh-CN"/>
        </w:rPr>
        <w:t>8</w:t>
      </w:r>
      <w:r>
        <w:rPr>
          <w:rFonts w:hint="eastAsia" w:ascii="宋体" w:hAnsi="宋体" w:eastAsia="宋体" w:cs="Times New Roman"/>
          <w:color w:val="auto"/>
          <w:sz w:val="24"/>
          <w:szCs w:val="24"/>
          <w:highlight w:val="none"/>
          <w:lang w:val="en-US" w:eastAsia="zh-CN"/>
        </w:rPr>
        <w:t>0L，</w:t>
      </w:r>
      <w:r>
        <w:rPr>
          <w:rFonts w:hint="eastAsia" w:hAnsi="宋体" w:eastAsia="宋体" w:cs="Times New Roman"/>
          <w:color w:val="auto"/>
          <w:sz w:val="24"/>
          <w:szCs w:val="24"/>
          <w:highlight w:val="none"/>
          <w:lang w:val="en-US" w:eastAsia="zh-CN"/>
        </w:rPr>
        <w:t>配备</w:t>
      </w:r>
      <w:r>
        <w:rPr>
          <w:rFonts w:hint="eastAsia" w:ascii="宋体" w:hAnsi="宋体" w:eastAsia="宋体" w:cs="Times New Roman"/>
          <w:color w:val="auto"/>
          <w:sz w:val="24"/>
          <w:szCs w:val="24"/>
          <w:highlight w:val="none"/>
          <w:lang w:val="en-US" w:eastAsia="zh-CN"/>
        </w:rPr>
        <w:t>输送增压功能，输送压力可</w:t>
      </w:r>
      <w:r>
        <w:rPr>
          <w:rFonts w:hint="eastAsia" w:hAnsi="宋体" w:eastAsia="宋体" w:cs="Times New Roman"/>
          <w:color w:val="auto"/>
          <w:sz w:val="24"/>
          <w:szCs w:val="24"/>
          <w:highlight w:val="none"/>
          <w:lang w:val="en-US" w:eastAsia="zh-CN"/>
        </w:rPr>
        <w:t>显示，</w:t>
      </w:r>
      <w:r>
        <w:rPr>
          <w:rFonts w:hint="eastAsia" w:ascii="宋体" w:hAnsi="宋体" w:eastAsia="宋体" w:cs="Times New Roman"/>
          <w:color w:val="auto"/>
          <w:sz w:val="24"/>
          <w:szCs w:val="24"/>
          <w:highlight w:val="none"/>
          <w:lang w:val="en-US" w:eastAsia="zh-CN"/>
        </w:rPr>
        <w:t>低溶出、无死角设计，避免水质二次污染</w:t>
      </w:r>
      <w:r>
        <w:rPr>
          <w:rFonts w:hint="eastAsia" w:hAnsi="宋体" w:eastAsia="宋体" w:cs="Times New Roman"/>
          <w:color w:val="auto"/>
          <w:sz w:val="24"/>
          <w:szCs w:val="24"/>
          <w:highlight w:val="none"/>
          <w:lang w:val="en-US" w:eastAsia="zh-CN"/>
        </w:rPr>
        <w:t>。</w:t>
      </w:r>
    </w:p>
    <w:p>
      <w:pPr>
        <w:pStyle w:val="16"/>
        <w:numPr>
          <w:ilvl w:val="0"/>
          <w:numId w:val="0"/>
        </w:numPr>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hAnsi="宋体" w:eastAsia="宋体" w:cs="Times New Roman"/>
          <w:color w:val="auto"/>
          <w:sz w:val="24"/>
          <w:szCs w:val="24"/>
          <w:highlight w:val="none"/>
          <w:lang w:val="en-US" w:eastAsia="zh-CN"/>
        </w:rPr>
        <w:t>8.</w:t>
      </w:r>
      <w:r>
        <w:rPr>
          <w:rFonts w:hint="eastAsia" w:ascii="宋体" w:hAnsi="宋体" w:eastAsia="宋体" w:cs="Times New Roman"/>
          <w:color w:val="auto"/>
          <w:sz w:val="24"/>
          <w:szCs w:val="24"/>
          <w:highlight w:val="none"/>
          <w:lang w:val="en-US" w:eastAsia="zh-CN"/>
        </w:rPr>
        <w:t>双级反渗透工艺</w:t>
      </w:r>
      <w:r>
        <w:rPr>
          <w:rFonts w:hint="eastAsia" w:hAnsi="宋体" w:eastAsia="宋体" w:cs="Times New Roman"/>
          <w:color w:val="auto"/>
          <w:sz w:val="24"/>
          <w:szCs w:val="24"/>
          <w:highlight w:val="none"/>
          <w:lang w:val="en-US" w:eastAsia="zh-CN"/>
        </w:rPr>
        <w:t>，RO反渗透膜采用美国陶氏、日本东丽或同等国际知名品牌，保证纯水水质稳定。</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hAnsi="宋体" w:eastAsia="宋体" w:cs="Times New Roman"/>
          <w:color w:val="auto"/>
          <w:sz w:val="24"/>
          <w:szCs w:val="24"/>
          <w:highlight w:val="none"/>
          <w:lang w:val="en-US" w:eastAsia="zh-CN"/>
        </w:rPr>
        <w:t>9</w:t>
      </w:r>
      <w:r>
        <w:rPr>
          <w:rFonts w:hint="eastAsia" w:ascii="宋体" w:hAnsi="宋体" w:eastAsia="宋体" w:cs="Times New Roman"/>
          <w:color w:val="auto"/>
          <w:sz w:val="24"/>
          <w:szCs w:val="24"/>
          <w:highlight w:val="none"/>
          <w:lang w:val="en-US" w:eastAsia="zh-CN"/>
        </w:rPr>
        <w:t>.设备可使用微电脑进行智能控制，可自动造水、输送，冲洗，自由数字设定调节输送压力。</w:t>
      </w:r>
    </w:p>
    <w:p>
      <w:pPr>
        <w:pStyle w:val="16"/>
        <w:spacing w:line="360" w:lineRule="auto"/>
        <w:rPr>
          <w:rFonts w:hint="eastAsia" w:ascii="宋体" w:hAnsi="宋体" w:eastAsia="宋体" w:cs="Times New Roman"/>
          <w:color w:val="auto"/>
          <w:sz w:val="21"/>
          <w:szCs w:val="21"/>
          <w:highlight w:val="none"/>
          <w:lang w:val="en-US" w:eastAsia="zh-CN"/>
        </w:rPr>
      </w:pPr>
      <w:r>
        <w:rPr>
          <w:rFonts w:hint="eastAsia" w:hAnsi="宋体" w:eastAsia="宋体" w:cs="Times New Roman"/>
          <w:color w:val="auto"/>
          <w:sz w:val="24"/>
          <w:szCs w:val="24"/>
          <w:highlight w:val="none"/>
          <w:lang w:val="en-US" w:eastAsia="zh-CN"/>
        </w:rPr>
        <w:t>10</w:t>
      </w:r>
      <w:r>
        <w:rPr>
          <w:rFonts w:hint="eastAsia" w:ascii="宋体" w:hAnsi="宋体" w:eastAsia="宋体" w:cs="Times New Roman"/>
          <w:color w:val="auto"/>
          <w:sz w:val="24"/>
          <w:szCs w:val="24"/>
          <w:highlight w:val="none"/>
          <w:lang w:val="en-US" w:eastAsia="zh-CN"/>
        </w:rPr>
        <w:t>.采用高精数字传感器，全自动远程高频次高精度自动响应Q-Sun xe-3系列氙灯试验箱的用水指令。</w:t>
      </w:r>
    </w:p>
    <w:p>
      <w:pPr>
        <w:pStyle w:val="16"/>
        <w:spacing w:line="360" w:lineRule="auto"/>
        <w:rPr>
          <w:rFonts w:hint="eastAsia" w:ascii="宋体" w:hAnsi="宋体" w:eastAsia="宋体" w:cs="Times New Roman"/>
          <w:color w:val="auto"/>
          <w:sz w:val="24"/>
          <w:szCs w:val="24"/>
          <w:highlight w:val="none"/>
          <w:lang w:val="en-US" w:eastAsia="zh-CN"/>
        </w:rPr>
      </w:pPr>
      <w:r>
        <w:rPr>
          <w:rFonts w:hint="eastAsia" w:hAnsi="宋体" w:eastAsia="宋体" w:cs="Times New Roman"/>
          <w:color w:val="auto"/>
          <w:sz w:val="21"/>
          <w:szCs w:val="21"/>
          <w:highlight w:val="none"/>
          <w:lang w:val="en-US" w:eastAsia="zh-CN"/>
        </w:rPr>
        <w:t>11</w:t>
      </w:r>
      <w:r>
        <w:rPr>
          <w:rFonts w:hint="eastAsia" w:ascii="宋体" w:hAnsi="宋体" w:eastAsia="宋体" w:cs="Times New Roman"/>
          <w:color w:val="auto"/>
          <w:sz w:val="21"/>
          <w:szCs w:val="21"/>
          <w:highlight w:val="none"/>
          <w:lang w:val="en-US" w:eastAsia="zh-CN"/>
        </w:rPr>
        <w:t>.</w:t>
      </w:r>
      <w:r>
        <w:rPr>
          <w:rFonts w:hint="eastAsia" w:ascii="宋体" w:hAnsi="宋体" w:eastAsia="宋体" w:cs="Times New Roman"/>
          <w:color w:val="auto"/>
          <w:sz w:val="24"/>
          <w:szCs w:val="24"/>
          <w:highlight w:val="none"/>
          <w:lang w:val="en-US" w:eastAsia="zh-CN"/>
        </w:rPr>
        <w:t>设备应具备停电自恢复功能，停电来电后可与Q-Sun xe-3系列氙灯试验箱同步自动恢复启动。</w:t>
      </w:r>
    </w:p>
    <w:p>
      <w:pPr>
        <w:pStyle w:val="16"/>
        <w:spacing w:line="360" w:lineRule="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12.设备应具备在线监测功能，</w:t>
      </w:r>
      <w:r>
        <w:rPr>
          <w:rFonts w:ascii="宋体" w:hAnsi="宋体" w:eastAsia="宋体" w:cs="宋体"/>
          <w:sz w:val="24"/>
          <w:szCs w:val="24"/>
        </w:rPr>
        <w:t>纯水电导率、超纯水电阻率</w:t>
      </w:r>
      <w:r>
        <w:rPr>
          <w:rFonts w:hint="eastAsia" w:hAnsi="宋体" w:eastAsia="宋体" w:cs="宋体"/>
          <w:sz w:val="24"/>
          <w:szCs w:val="24"/>
          <w:lang w:val="en-US" w:eastAsia="zh-CN"/>
        </w:rPr>
        <w:t>、</w:t>
      </w:r>
      <w:r>
        <w:rPr>
          <w:rFonts w:ascii="宋体" w:hAnsi="宋体" w:eastAsia="宋体" w:cs="宋体"/>
          <w:sz w:val="24"/>
          <w:szCs w:val="24"/>
        </w:rPr>
        <w:t>输压均可在线数字显示</w:t>
      </w:r>
      <w:r>
        <w:rPr>
          <w:rFonts w:hint="eastAsia" w:ascii="宋体" w:hAnsi="宋体" w:eastAsia="宋体" w:cs="Times New Roman"/>
          <w:color w:val="auto"/>
          <w:sz w:val="24"/>
          <w:szCs w:val="24"/>
          <w:highlight w:val="none"/>
          <w:lang w:val="en-US" w:eastAsia="zh-CN"/>
        </w:rPr>
        <w:t>。</w:t>
      </w:r>
      <w:r>
        <w:rPr>
          <w:rFonts w:hint="eastAsia" w:hAnsi="宋体" w:eastAsia="宋体" w:cs="Times New Roman"/>
          <w:color w:val="auto"/>
          <w:sz w:val="24"/>
          <w:szCs w:val="24"/>
          <w:highlight w:val="none"/>
          <w:lang w:val="en-US" w:eastAsia="zh-CN"/>
        </w:rPr>
        <w:t>并附带一台</w:t>
      </w:r>
      <w:r>
        <w:rPr>
          <w:rFonts w:hint="eastAsia" w:eastAsia="宋体" w:cs="Times New Roman"/>
          <w:color w:val="auto"/>
          <w:sz w:val="24"/>
          <w:szCs w:val="24"/>
          <w:highlight w:val="none"/>
          <w:lang w:val="en-US" w:eastAsia="zh-CN"/>
        </w:rPr>
        <w:t>电导率检测仪，可检测纯水电导率，精度0.01μS/cm。</w:t>
      </w:r>
    </w:p>
    <w:p>
      <w:pPr>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13.设备能效</w:t>
      </w:r>
    </w:p>
    <w:p>
      <w:pPr>
        <w:spacing w:line="360" w:lineRule="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13.1</w:t>
      </w:r>
      <w:r>
        <w:rPr>
          <w:rFonts w:hint="default" w:ascii="宋体" w:hAnsi="宋体" w:eastAsia="宋体" w:cs="Times New Roman"/>
          <w:color w:val="auto"/>
          <w:sz w:val="24"/>
          <w:szCs w:val="24"/>
          <w:highlight w:val="none"/>
          <w:lang w:val="en-US" w:eastAsia="zh-CN"/>
        </w:rPr>
        <w:t>优先采购节能产品和环境标志产品。可参照节能机电设备（产品）推荐目录（工信部）、“能效之星”产品目录（工信部）。</w:t>
      </w:r>
    </w:p>
    <w:p>
      <w:pPr>
        <w:spacing w:line="360" w:lineRule="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13.2</w:t>
      </w:r>
      <w:r>
        <w:rPr>
          <w:rFonts w:hint="default" w:ascii="宋体" w:hAnsi="宋体" w:eastAsia="宋体" w:cs="Times New Roman"/>
          <w:color w:val="auto"/>
          <w:sz w:val="24"/>
          <w:szCs w:val="24"/>
          <w:highlight w:val="none"/>
          <w:lang w:val="en-US" w:eastAsia="zh-CN"/>
        </w:rPr>
        <w:t>电机等部件的能效等级不低于国家现行标准二级能效且需提供能效标识。进口产品的能效不应低于原产国现行能效标准二级能效。如：对应欧洲标准电动机的能效等级不低于IE3。</w:t>
      </w:r>
    </w:p>
    <w:p>
      <w:pPr>
        <w:spacing w:line="360" w:lineRule="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13.3</w:t>
      </w:r>
      <w:r>
        <w:rPr>
          <w:rFonts w:hint="default" w:ascii="宋体" w:hAnsi="宋体" w:eastAsia="宋体" w:cs="Times New Roman"/>
          <w:color w:val="auto"/>
          <w:sz w:val="24"/>
          <w:szCs w:val="24"/>
          <w:highlight w:val="none"/>
          <w:lang w:val="en-US" w:eastAsia="zh-CN"/>
        </w:rPr>
        <w:t>不应采购列入国家高耗能落后机电设备（产品）淘汰目录的产品（工信部）</w:t>
      </w:r>
      <w:r>
        <w:rPr>
          <w:rFonts w:hint="eastAsia" w:ascii="宋体" w:hAnsi="宋体" w:eastAsia="宋体" w:cs="Times New Roman"/>
          <w:color w:val="auto"/>
          <w:sz w:val="24"/>
          <w:szCs w:val="24"/>
          <w:highlight w:val="none"/>
          <w:lang w:val="en-US" w:eastAsia="zh-CN"/>
        </w:rPr>
        <w:t>。</w:t>
      </w:r>
    </w:p>
    <w:p>
      <w:pPr>
        <w:spacing w:line="360" w:lineRule="auto"/>
        <w:rPr>
          <w:rFonts w:hint="default" w:ascii="宋体" w:hAnsi="宋体" w:eastAsia="宋体" w:cs="Times New Roman"/>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r>
        <w:rPr>
          <w:rFonts w:hint="eastAsia" w:ascii="宋体" w:hAnsi="宋体" w:eastAsia="宋体" w:cs="宋体"/>
          <w:sz w:val="24"/>
          <w:szCs w:val="24"/>
        </w:rPr>
        <w:t>安全及安全</w:t>
      </w:r>
      <w:r>
        <w:rPr>
          <w:rFonts w:ascii="宋体" w:hAnsi="宋体" w:eastAsia="宋体" w:cs="宋体"/>
          <w:sz w:val="24"/>
          <w:szCs w:val="24"/>
        </w:rPr>
        <w:t>装置</w:t>
      </w:r>
      <w:r>
        <w:rPr>
          <w:rFonts w:hint="eastAsia" w:ascii="宋体" w:hAnsi="宋体" w:eastAsia="宋体" w:cs="宋体"/>
          <w:sz w:val="24"/>
          <w:szCs w:val="24"/>
          <w:lang w:eastAsia="zh-CN"/>
        </w:rPr>
        <w:t>：</w:t>
      </w:r>
      <w:r>
        <w:rPr>
          <w:rFonts w:ascii="宋体" w:hAnsi="宋体" w:eastAsia="宋体" w:cs="宋体"/>
          <w:sz w:val="24"/>
          <w:szCs w:val="24"/>
        </w:rPr>
        <w:t>设备设施的设计、安装应符合</w:t>
      </w:r>
      <w:r>
        <w:rPr>
          <w:rFonts w:hint="default" w:ascii="宋体" w:hAnsi="宋体" w:eastAsia="宋体" w:cs="Times New Roman"/>
          <w:color w:val="auto"/>
          <w:sz w:val="24"/>
          <w:szCs w:val="24"/>
          <w:highlight w:val="none"/>
          <w:lang w:val="en-US" w:eastAsia="zh-CN"/>
        </w:rPr>
        <w:t>《大中型企业安全生产标准化管理体系要求》（GB/T 33000-2025）</w:t>
      </w:r>
      <w:r>
        <w:rPr>
          <w:rFonts w:ascii="宋体" w:hAnsi="宋体" w:eastAsia="宋体" w:cs="宋体"/>
          <w:sz w:val="24"/>
          <w:szCs w:val="24"/>
        </w:rPr>
        <w:t>的要求；具有断电保护、报警功能等安全措施，具备低压、停水、停电、过载等自动保护功能</w:t>
      </w:r>
      <w:r>
        <w:rPr>
          <w:rFonts w:hint="eastAsia" w:ascii="宋体" w:hAnsi="宋体" w:eastAsia="宋体" w:cs="宋体"/>
          <w:sz w:val="24"/>
          <w:szCs w:val="24"/>
          <w:lang w:eastAsia="zh-CN"/>
        </w:rPr>
        <w:t>，</w:t>
      </w:r>
      <w:r>
        <w:rPr>
          <w:rFonts w:ascii="宋体" w:hAnsi="宋体" w:eastAsia="宋体" w:cs="宋体"/>
          <w:sz w:val="24"/>
          <w:szCs w:val="24"/>
        </w:rPr>
        <w:t>具备防漏水检测</w:t>
      </w:r>
      <w:r>
        <w:rPr>
          <w:rFonts w:hint="eastAsia" w:ascii="宋体" w:hAnsi="宋体" w:eastAsia="宋体" w:cs="宋体"/>
          <w:sz w:val="24"/>
          <w:szCs w:val="24"/>
          <w:lang w:eastAsia="zh-CN"/>
        </w:rPr>
        <w:t>、</w:t>
      </w:r>
      <w:r>
        <w:rPr>
          <w:rFonts w:ascii="宋体" w:hAnsi="宋体" w:eastAsia="宋体" w:cs="宋体"/>
          <w:sz w:val="24"/>
          <w:szCs w:val="24"/>
        </w:rPr>
        <w:t>紧急情况下断水断电功能。</w:t>
      </w:r>
    </w:p>
    <w:p>
      <w:pPr>
        <w:pStyle w:val="4"/>
        <w:rPr>
          <w:rFonts w:ascii="Times New Roman" w:hAnsi="Times New Roman" w:cs="Times New Roman"/>
          <w:b w:val="0"/>
          <w:bCs w:val="0"/>
          <w:color w:val="auto"/>
          <w:sz w:val="24"/>
          <w:szCs w:val="24"/>
        </w:rPr>
      </w:pPr>
      <w:r>
        <w:rPr>
          <w:rFonts w:hint="eastAsia" w:ascii="Times New Roman" w:hAnsi="Times New Roman" w:cs="Times New Roman"/>
          <w:color w:val="auto"/>
          <w:sz w:val="24"/>
          <w:szCs w:val="24"/>
        </w:rPr>
        <w:t>四、执行标准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1.招标人此处所列标准仅为涉及的主要标准，而且不保证其为最新版执行标准；投标人应当在投标文件中认真予以填写、补充和修改完善。</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2.投标人需要执行的标准，应当采用所供货物通过买方组织的最终验收之日已经开始执行的最新标准。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3.采购货物的产品质量、技术标准如在招投标文件中无相应说明，则按中华人民共和国有关部门颁发的最新的国标或专业（部）标准执行及相应的国际标准。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4.采购货物没有国家或专业（部）标准的，按企业标准执行时，卖方应在合同签署之前，将所涉及的企业标准提供给买方确认。</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5.采购货物如果采用国际标准，其执行标准由投标人提供、招标人确认。</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6.采购货物所涉及的标准不统一时，原则上按照最严格标准执行。</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7.涉及的主要标准表</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5245"/>
        <w:gridCol w:w="1984"/>
        <w:gridCol w:w="10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6" w:type="dxa"/>
            <w:vAlign w:val="center"/>
          </w:tcPr>
          <w:p>
            <w:pPr>
              <w:spacing w:line="360" w:lineRule="auto"/>
              <w:jc w:val="center"/>
              <w:rPr>
                <w:rFonts w:ascii="Times New Roman" w:hAnsi="Times New Roman" w:cs="Times New Roman"/>
                <w:b/>
                <w:color w:val="auto"/>
              </w:rPr>
            </w:pPr>
            <w:r>
              <w:rPr>
                <w:rFonts w:hint="eastAsia" w:ascii="Times New Roman" w:hAnsi="Times New Roman" w:cs="Times New Roman"/>
                <w:b/>
                <w:color w:val="auto"/>
              </w:rPr>
              <w:t>序号</w:t>
            </w:r>
          </w:p>
        </w:tc>
        <w:tc>
          <w:tcPr>
            <w:tcW w:w="5245" w:type="dxa"/>
            <w:vAlign w:val="center"/>
          </w:tcPr>
          <w:p>
            <w:pPr>
              <w:spacing w:line="360" w:lineRule="auto"/>
              <w:jc w:val="center"/>
              <w:rPr>
                <w:rFonts w:ascii="Times New Roman" w:hAnsi="Times New Roman" w:cs="Times New Roman"/>
                <w:b/>
                <w:color w:val="auto"/>
              </w:rPr>
            </w:pPr>
            <w:r>
              <w:rPr>
                <w:rFonts w:hint="eastAsia" w:ascii="Times New Roman" w:hAnsi="Times New Roman" w:cs="Times New Roman"/>
                <w:b/>
                <w:color w:val="auto"/>
              </w:rPr>
              <w:t>标准名称</w:t>
            </w:r>
          </w:p>
        </w:tc>
        <w:tc>
          <w:tcPr>
            <w:tcW w:w="1984" w:type="dxa"/>
            <w:vAlign w:val="center"/>
          </w:tcPr>
          <w:p>
            <w:pPr>
              <w:spacing w:line="360" w:lineRule="auto"/>
              <w:jc w:val="center"/>
              <w:rPr>
                <w:rFonts w:ascii="Times New Roman" w:hAnsi="Times New Roman" w:cs="Times New Roman"/>
                <w:b/>
                <w:color w:val="auto"/>
              </w:rPr>
            </w:pPr>
            <w:r>
              <w:rPr>
                <w:rFonts w:hint="eastAsia" w:ascii="Times New Roman" w:hAnsi="Times New Roman" w:cs="Times New Roman"/>
                <w:b/>
                <w:color w:val="auto"/>
              </w:rPr>
              <w:t>标准编号</w:t>
            </w:r>
          </w:p>
        </w:tc>
        <w:tc>
          <w:tcPr>
            <w:tcW w:w="1098" w:type="dxa"/>
            <w:vAlign w:val="center"/>
          </w:tcPr>
          <w:p>
            <w:pPr>
              <w:spacing w:line="360" w:lineRule="auto"/>
              <w:jc w:val="center"/>
              <w:rPr>
                <w:rFonts w:ascii="Times New Roman" w:hAnsi="Times New Roman" w:cs="Times New Roman"/>
                <w:b/>
                <w:color w:val="auto"/>
              </w:rPr>
            </w:pPr>
            <w:r>
              <w:rPr>
                <w:rFonts w:hint="eastAsia" w:ascii="Times New Roman" w:hAnsi="Times New Roman" w:cs="Times New Roman"/>
                <w:b/>
                <w:color w:val="auto"/>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676" w:type="dxa"/>
            <w:vAlign w:val="center"/>
          </w:tcPr>
          <w:p>
            <w:pPr>
              <w:spacing w:line="360" w:lineRule="auto"/>
              <w:jc w:val="center"/>
              <w:rPr>
                <w:rFonts w:hint="eastAsia" w:ascii="宋体" w:hAnsi="宋体" w:eastAsia="宋体" w:cs="宋体"/>
                <w:color w:val="auto"/>
              </w:rPr>
            </w:pPr>
            <w:r>
              <w:rPr>
                <w:rFonts w:hint="eastAsia" w:ascii="宋体" w:hAnsi="宋体" w:eastAsia="宋体" w:cs="宋体"/>
                <w:color w:val="auto"/>
              </w:rPr>
              <w:t>1</w:t>
            </w:r>
          </w:p>
        </w:tc>
        <w:tc>
          <w:tcPr>
            <w:tcW w:w="5245" w:type="dxa"/>
            <w:shd w:val="clear" w:color="auto" w:fill="auto"/>
            <w:vAlign w:val="center"/>
          </w:tcPr>
          <w:p>
            <w:pPr>
              <w:spacing w:line="360" w:lineRule="auto"/>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非金属材料曝晒用氙弧灯设备的操作标准实施规程</w:t>
            </w:r>
          </w:p>
        </w:tc>
        <w:tc>
          <w:tcPr>
            <w:tcW w:w="1984" w:type="dxa"/>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ASTM G155</w:t>
            </w:r>
          </w:p>
        </w:tc>
        <w:tc>
          <w:tcPr>
            <w:tcW w:w="1098" w:type="dxa"/>
            <w:vAlign w:val="center"/>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6" w:type="dxa"/>
            <w:vAlign w:val="center"/>
          </w:tcPr>
          <w:p>
            <w:pPr>
              <w:spacing w:line="360" w:lineRule="auto"/>
              <w:jc w:val="center"/>
              <w:rPr>
                <w:rFonts w:hint="eastAsia" w:ascii="宋体" w:hAnsi="宋体" w:eastAsia="宋体" w:cs="宋体"/>
                <w:color w:val="auto"/>
              </w:rPr>
            </w:pPr>
            <w:r>
              <w:rPr>
                <w:rFonts w:hint="eastAsia" w:ascii="宋体" w:hAnsi="宋体" w:eastAsia="宋体" w:cs="宋体"/>
                <w:color w:val="auto"/>
              </w:rPr>
              <w:t>2</w:t>
            </w:r>
          </w:p>
        </w:tc>
        <w:tc>
          <w:tcPr>
            <w:tcW w:w="5245" w:type="dxa"/>
            <w:shd w:val="clear" w:color="auto" w:fill="auto"/>
            <w:vAlign w:val="center"/>
          </w:tcPr>
          <w:p>
            <w:pPr>
              <w:spacing w:line="360" w:lineRule="auto"/>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塑料 实验室光源暴露试验方法 第2部分：氙弧灯</w:t>
            </w:r>
          </w:p>
        </w:tc>
        <w:tc>
          <w:tcPr>
            <w:tcW w:w="1984" w:type="dxa"/>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ISO 4892.2</w:t>
            </w:r>
          </w:p>
        </w:tc>
        <w:tc>
          <w:tcPr>
            <w:tcW w:w="1098" w:type="dxa"/>
            <w:vAlign w:val="center"/>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Align w:val="center"/>
          </w:tcPr>
          <w:p>
            <w:pPr>
              <w:spacing w:line="360"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3</w:t>
            </w:r>
          </w:p>
        </w:tc>
        <w:tc>
          <w:tcPr>
            <w:tcW w:w="0" w:type="auto"/>
            <w:shd w:val="clear" w:color="auto" w:fill="auto"/>
            <w:vAlign w:val="center"/>
          </w:tcPr>
          <w:p>
            <w:pPr>
              <w:spacing w:line="360" w:lineRule="auto"/>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室内用塑料的氙弧灯暴露保准实施规程</w:t>
            </w:r>
          </w:p>
        </w:tc>
        <w:tc>
          <w:tcPr>
            <w:tcW w:w="1984" w:type="dxa"/>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ASTM D4459</w:t>
            </w:r>
          </w:p>
        </w:tc>
        <w:tc>
          <w:tcPr>
            <w:tcW w:w="1098" w:type="dxa"/>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Align w:val="center"/>
          </w:tcPr>
          <w:p>
            <w:pPr>
              <w:spacing w:line="360"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4</w:t>
            </w:r>
          </w:p>
        </w:tc>
        <w:tc>
          <w:tcPr>
            <w:tcW w:w="0" w:type="auto"/>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塑料 实验室光源暴露试验方法 第2部分：氙弧灯</w:t>
            </w:r>
          </w:p>
        </w:tc>
        <w:tc>
          <w:tcPr>
            <w:tcW w:w="1984" w:type="dxa"/>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GB/T 16422.2</w:t>
            </w:r>
          </w:p>
        </w:tc>
        <w:tc>
          <w:tcPr>
            <w:tcW w:w="1098" w:type="dxa"/>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Align w:val="center"/>
          </w:tcPr>
          <w:p>
            <w:pPr>
              <w:spacing w:line="360"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5</w:t>
            </w:r>
          </w:p>
        </w:tc>
        <w:tc>
          <w:tcPr>
            <w:tcW w:w="0" w:type="auto"/>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分析实验室用水规格和试验方法</w:t>
            </w:r>
          </w:p>
        </w:tc>
        <w:tc>
          <w:tcPr>
            <w:tcW w:w="1984" w:type="dxa"/>
            <w:shd w:val="clear" w:color="auto" w:fill="auto"/>
            <w:vAlign w:val="center"/>
          </w:tcPr>
          <w:p>
            <w:pPr>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GB/T 6682</w:t>
            </w:r>
          </w:p>
        </w:tc>
        <w:tc>
          <w:tcPr>
            <w:tcW w:w="1098" w:type="dxa"/>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shd w:val="clear" w:color="auto" w:fill="auto"/>
            <w:vAlign w:val="center"/>
          </w:tcPr>
          <w:p>
            <w:pPr>
              <w:spacing w:line="360" w:lineRule="auto"/>
              <w:jc w:val="center"/>
              <w:rPr>
                <w:rFonts w:hint="eastAsia" w:ascii="宋体" w:hAnsi="宋体" w:eastAsia="宋体" w:cs="宋体"/>
                <w:color w:val="auto"/>
                <w:kern w:val="2"/>
                <w:sz w:val="21"/>
                <w:szCs w:val="22"/>
                <w:lang w:val="en-US" w:eastAsia="zh-CN" w:bidi="ar-SA"/>
              </w:rPr>
            </w:pPr>
            <w:r>
              <w:rPr>
                <w:rFonts w:hint="eastAsia" w:ascii="宋体" w:hAnsi="宋体" w:eastAsia="宋体" w:cs="宋体"/>
                <w:color w:val="auto"/>
                <w:lang w:val="en-US" w:eastAsia="zh-CN"/>
              </w:rPr>
              <w:t>15</w:t>
            </w:r>
          </w:p>
        </w:tc>
        <w:tc>
          <w:tcPr>
            <w:tcW w:w="0" w:type="auto"/>
            <w:shd w:val="clear" w:color="auto" w:fill="auto"/>
            <w:vAlign w:val="center"/>
          </w:tcPr>
          <w:p>
            <w:pPr>
              <w:spacing w:line="360" w:lineRule="auto"/>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设备设施颜色标识</w:t>
            </w:r>
          </w:p>
        </w:tc>
        <w:tc>
          <w:tcPr>
            <w:tcW w:w="1984" w:type="dxa"/>
            <w:shd w:val="clear" w:color="auto" w:fill="auto"/>
            <w:vAlign w:val="center"/>
          </w:tcPr>
          <w:p>
            <w:pPr>
              <w:spacing w:line="360" w:lineRule="auto"/>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Q/ZZ 30070-2020</w:t>
            </w:r>
          </w:p>
        </w:tc>
        <w:tc>
          <w:tcPr>
            <w:tcW w:w="1098" w:type="dxa"/>
          </w:tcPr>
          <w:p>
            <w:pPr>
              <w:spacing w:line="360" w:lineRule="auto"/>
              <w:jc w:val="center"/>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0" w:type="auto"/>
            <w:shd w:val="clear" w:color="auto" w:fill="auto"/>
            <w:vAlign w:val="center"/>
          </w:tcPr>
          <w:p>
            <w:pPr>
              <w:spacing w:line="360" w:lineRule="auto"/>
              <w:jc w:val="center"/>
              <w:rPr>
                <w:rFonts w:hint="eastAsia" w:ascii="宋体" w:hAnsi="宋体" w:eastAsia="宋体" w:cs="宋体"/>
                <w:color w:val="auto"/>
                <w:kern w:val="2"/>
                <w:sz w:val="21"/>
                <w:szCs w:val="22"/>
                <w:lang w:val="en-US" w:eastAsia="zh-CN" w:bidi="ar-SA"/>
              </w:rPr>
            </w:pPr>
            <w:r>
              <w:rPr>
                <w:rFonts w:hint="eastAsia" w:ascii="宋体" w:hAnsi="宋体" w:eastAsia="宋体" w:cs="宋体"/>
                <w:color w:val="auto"/>
                <w:lang w:val="en-US" w:eastAsia="zh-CN"/>
              </w:rPr>
              <w:t>16</w:t>
            </w:r>
          </w:p>
        </w:tc>
        <w:tc>
          <w:tcPr>
            <w:tcW w:w="0" w:type="auto"/>
            <w:shd w:val="clear" w:color="auto" w:fill="auto"/>
            <w:vAlign w:val="center"/>
          </w:tcPr>
          <w:p>
            <w:pPr>
              <w:spacing w:line="360" w:lineRule="auto"/>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大中型企业安全生产标准化管理体系要求</w:t>
            </w:r>
          </w:p>
        </w:tc>
        <w:tc>
          <w:tcPr>
            <w:tcW w:w="0" w:type="auto"/>
            <w:shd w:val="clear" w:color="auto" w:fill="auto"/>
            <w:vAlign w:val="center"/>
          </w:tcPr>
          <w:p>
            <w:pPr>
              <w:spacing w:line="360" w:lineRule="auto"/>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GB/T 33000-2025</w:t>
            </w:r>
          </w:p>
        </w:tc>
        <w:tc>
          <w:tcPr>
            <w:tcW w:w="0" w:type="auto"/>
          </w:tcPr>
          <w:p>
            <w:pPr>
              <w:spacing w:line="360" w:lineRule="auto"/>
              <w:jc w:val="center"/>
              <w:rPr>
                <w:rFonts w:ascii="Times New Roman" w:hAnsi="Times New Roman" w:eastAsia="宋体" w:cs="Times New Roman"/>
                <w:bCs/>
                <w:color w:val="auto"/>
                <w:szCs w:val="21"/>
              </w:rPr>
            </w:pPr>
          </w:p>
        </w:tc>
      </w:tr>
    </w:tbl>
    <w:p>
      <w:pPr>
        <w:rPr>
          <w:rFonts w:ascii="Times New Roman" w:hAnsi="Times New Roman" w:eastAsia="宋体" w:cs="Times New Roman"/>
          <w:color w:val="auto"/>
          <w:szCs w:val="20"/>
        </w:rPr>
        <w:sectPr>
          <w:footerReference r:id="rId14" w:type="default"/>
          <w:pgSz w:w="11906" w:h="16838"/>
          <w:pgMar w:top="1474" w:right="1418" w:bottom="1134" w:left="1418" w:header="851" w:footer="992" w:gutter="0"/>
          <w:cols w:space="425" w:num="1"/>
          <w:docGrid w:type="lines" w:linePitch="312" w:charSpace="0"/>
        </w:sectPr>
      </w:pPr>
    </w:p>
    <w:p>
      <w:pPr>
        <w:keepNext/>
        <w:keepLines/>
        <w:jc w:val="center"/>
        <w:outlineLvl w:val="1"/>
        <w:rPr>
          <w:rFonts w:ascii="Times New Roman" w:hAnsi="Times New Roman" w:eastAsia="宋体" w:cs="Times New Roman"/>
          <w:b/>
          <w:bCs/>
          <w:color w:val="auto"/>
          <w:kern w:val="44"/>
          <w:sz w:val="28"/>
          <w:szCs w:val="28"/>
        </w:rPr>
      </w:pPr>
      <w:r>
        <w:rPr>
          <w:rFonts w:hint="eastAsia" w:ascii="Times New Roman" w:hAnsi="Times New Roman" w:eastAsia="宋体" w:cs="Times New Roman"/>
          <w:b/>
          <w:bCs/>
          <w:color w:val="auto"/>
          <w:kern w:val="44"/>
          <w:sz w:val="28"/>
          <w:szCs w:val="28"/>
        </w:rPr>
        <w:t>第三章</w:t>
      </w:r>
      <w:r>
        <w:rPr>
          <w:rFonts w:ascii="Times New Roman" w:hAnsi="Times New Roman" w:eastAsia="宋体" w:cs="Times New Roman"/>
          <w:b/>
          <w:bCs/>
          <w:color w:val="auto"/>
          <w:kern w:val="44"/>
          <w:sz w:val="28"/>
          <w:szCs w:val="28"/>
        </w:rPr>
        <w:t xml:space="preserve">  </w:t>
      </w:r>
      <w:r>
        <w:rPr>
          <w:rFonts w:hint="eastAsia" w:ascii="Times New Roman" w:hAnsi="Times New Roman" w:eastAsia="宋体" w:cs="Times New Roman"/>
          <w:b/>
          <w:bCs/>
          <w:color w:val="auto"/>
          <w:kern w:val="44"/>
          <w:sz w:val="28"/>
          <w:szCs w:val="28"/>
        </w:rPr>
        <w:t>供货范围及供货方式</w:t>
      </w:r>
    </w:p>
    <w:p>
      <w:pPr>
        <w:rPr>
          <w:rFonts w:ascii="Times New Roman" w:hAnsi="Times New Roman" w:cs="Times New Roman"/>
          <w:color w:val="auto"/>
        </w:rPr>
      </w:pPr>
    </w:p>
    <w:p>
      <w:pPr>
        <w:keepNext/>
        <w:keepLines/>
        <w:spacing w:line="360" w:lineRule="auto"/>
        <w:jc w:val="center"/>
        <w:outlineLvl w:val="2"/>
        <w:rPr>
          <w:rFonts w:ascii="Times New Roman" w:hAnsi="Times New Roman" w:eastAsia="宋体" w:cs="Times New Roman"/>
          <w:b/>
          <w:bCs/>
          <w:color w:val="auto"/>
          <w:sz w:val="24"/>
          <w:szCs w:val="32"/>
        </w:rPr>
      </w:pPr>
      <w:r>
        <w:rPr>
          <w:rFonts w:hint="eastAsia" w:ascii="Times New Roman" w:hAnsi="Times New Roman" w:eastAsia="宋体" w:cs="Times New Roman"/>
          <w:b/>
          <w:bCs/>
          <w:color w:val="auto"/>
          <w:sz w:val="24"/>
          <w:szCs w:val="32"/>
        </w:rPr>
        <w:t>第一节  供货范围</w:t>
      </w:r>
    </w:p>
    <w:p>
      <w:pPr>
        <w:spacing w:line="420" w:lineRule="exact"/>
        <w:ind w:firstLine="482" w:firstLineChars="200"/>
        <w:outlineLvl w:val="3"/>
        <w:rPr>
          <w:rFonts w:ascii="Times New Roman" w:hAnsi="Times New Roman" w:eastAsia="宋体" w:cs="Times New Roman"/>
          <w:color w:val="auto"/>
          <w:sz w:val="24"/>
          <w:szCs w:val="24"/>
        </w:rPr>
      </w:pPr>
      <w:r>
        <w:rPr>
          <w:rFonts w:hint="eastAsia" w:ascii="Times New Roman" w:hAnsi="Times New Roman" w:eastAsia="宋体" w:cs="Times New Roman"/>
          <w:b/>
          <w:bCs/>
          <w:color w:val="auto"/>
          <w:sz w:val="24"/>
          <w:szCs w:val="24"/>
        </w:rPr>
        <w:t>一、供货范围</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4536"/>
        <w:gridCol w:w="479"/>
        <w:gridCol w:w="479"/>
        <w:gridCol w:w="3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0" w:type="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名称</w:t>
            </w:r>
          </w:p>
        </w:tc>
        <w:tc>
          <w:tcPr>
            <w:tcW w:w="0" w:type="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单位</w:t>
            </w:r>
          </w:p>
        </w:tc>
        <w:tc>
          <w:tcPr>
            <w:tcW w:w="0" w:type="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数量</w:t>
            </w:r>
          </w:p>
        </w:tc>
        <w:tc>
          <w:tcPr>
            <w:tcW w:w="0" w:type="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pPr>
              <w:widowControl/>
              <w:jc w:val="center"/>
              <w:textAlignment w:val="center"/>
              <w:rPr>
                <w:rFonts w:hint="eastAsia" w:ascii="宋体" w:hAnsi="宋体" w:eastAsia="宋体" w:cs="宋体"/>
                <w:color w:val="auto"/>
                <w:sz w:val="21"/>
                <w:szCs w:val="21"/>
                <w:lang w:val="en-US" w:eastAsia="zh-CN"/>
              </w:rPr>
            </w:pPr>
            <w:r>
              <w:rPr>
                <w:rFonts w:hint="eastAsia" w:ascii="宋体" w:hAnsi="宋体" w:eastAsia="宋体" w:cs="宋体"/>
                <w:color w:val="000000"/>
                <w:sz w:val="21"/>
                <w:szCs w:val="21"/>
                <w:lang w:val="en-US" w:eastAsia="zh-CN"/>
              </w:rPr>
              <w:t>1</w:t>
            </w:r>
          </w:p>
        </w:tc>
        <w:tc>
          <w:tcPr>
            <w:tcW w:w="4536"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纯水机</w:t>
            </w:r>
          </w:p>
        </w:tc>
        <w:tc>
          <w:tcPr>
            <w:tcW w:w="0" w:type="auto"/>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套</w:t>
            </w:r>
          </w:p>
        </w:tc>
        <w:tc>
          <w:tcPr>
            <w:tcW w:w="0" w:type="auto"/>
            <w:shd w:val="clear" w:color="auto" w:fill="auto"/>
            <w:vAlign w:val="center"/>
          </w:tcPr>
          <w:p>
            <w:pPr>
              <w:keepNext w:val="0"/>
              <w:keepLines w:val="0"/>
              <w:widowControl/>
              <w:suppressLineNumbers w:val="0"/>
              <w:spacing w:line="240" w:lineRule="auto"/>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1</w:t>
            </w:r>
          </w:p>
        </w:tc>
        <w:tc>
          <w:tcPr>
            <w:tcW w:w="0" w:type="auto"/>
            <w:shd w:val="clear" w:color="auto" w:fill="auto"/>
            <w:vAlign w:val="center"/>
          </w:tcPr>
          <w:p>
            <w:pPr>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CNAS、CAL、CMA（国际或国家）计量认证资质的市级以上国家法定计量检定机构出具的校准</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检定证书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pPr>
              <w:widowControl/>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w:t>
            </w:r>
          </w:p>
        </w:tc>
        <w:tc>
          <w:tcPr>
            <w:tcW w:w="453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储水箱</w:t>
            </w:r>
          </w:p>
        </w:tc>
        <w:tc>
          <w:tcPr>
            <w:tcW w:w="0" w:type="auto"/>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台</w:t>
            </w:r>
          </w:p>
        </w:tc>
        <w:tc>
          <w:tcPr>
            <w:tcW w:w="0" w:type="auto"/>
            <w:shd w:val="clear" w:color="auto" w:fill="auto"/>
            <w:vAlign w:val="center"/>
          </w:tcPr>
          <w:p>
            <w:pPr>
              <w:keepNext w:val="0"/>
              <w:keepLines w:val="0"/>
              <w:widowControl/>
              <w:suppressLineNumbers w:val="0"/>
              <w:spacing w:line="240" w:lineRule="auto"/>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1</w:t>
            </w:r>
          </w:p>
        </w:tc>
        <w:tc>
          <w:tcPr>
            <w:tcW w:w="0" w:type="auto"/>
            <w:shd w:val="clear" w:color="auto" w:fill="auto"/>
            <w:vAlign w:val="center"/>
          </w:tcPr>
          <w:p>
            <w:pPr>
              <w:jc w:val="center"/>
              <w:textAlignment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pPr>
              <w:widowControl/>
              <w:jc w:val="center"/>
              <w:textAlignment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3</w:t>
            </w:r>
          </w:p>
        </w:tc>
        <w:tc>
          <w:tcPr>
            <w:tcW w:w="4536"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便携式电导率检测仪</w:t>
            </w:r>
          </w:p>
        </w:tc>
        <w:tc>
          <w:tcPr>
            <w:tcW w:w="0" w:type="auto"/>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台</w:t>
            </w:r>
          </w:p>
        </w:tc>
        <w:tc>
          <w:tcPr>
            <w:tcW w:w="0" w:type="auto"/>
            <w:shd w:val="clear" w:color="auto" w:fill="auto"/>
            <w:vAlign w:val="center"/>
          </w:tcPr>
          <w:p>
            <w:pPr>
              <w:keepNext w:val="0"/>
              <w:keepLines w:val="0"/>
              <w:widowControl/>
              <w:suppressLineNumbers w:val="0"/>
              <w:spacing w:line="240" w:lineRule="auto"/>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1</w:t>
            </w:r>
          </w:p>
        </w:tc>
        <w:tc>
          <w:tcPr>
            <w:tcW w:w="0" w:type="auto"/>
            <w:shd w:val="clear" w:color="auto" w:fill="auto"/>
            <w:vAlign w:val="center"/>
          </w:tcPr>
          <w:p>
            <w:pPr>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CNAS、CAL、CMA（国际或国家）计量认证资质的市级以上国家法定计量检定机构出具的校准</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检定证书</w:t>
            </w:r>
          </w:p>
        </w:tc>
      </w:tr>
    </w:tbl>
    <w:p>
      <w:pPr>
        <w:spacing w:line="360" w:lineRule="auto"/>
        <w:ind w:firstLine="482" w:firstLineChars="200"/>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（一）一般界定</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3.包括货物维护维修所必需的专用工具。</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包括为保证货物自身正常运行所必需的、满足使用地点环境条件的通风、冷却、降温等必需设施。</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如投标人难以提供或无优势提供以及属于选用配置的，则应当在投标文件的技术偏离条款中，予以详细说明并注明投标报价未包含该部分的货值。</w:t>
      </w:r>
    </w:p>
    <w:p>
      <w:pPr>
        <w:spacing w:line="360" w:lineRule="auto"/>
        <w:ind w:firstLine="482" w:firstLineChars="200"/>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（二）供货范围边界界定</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4.以“交钥匙”方式采购的货物，在满足技术标书本节上述要求之外，同时包括货物正常运行、使用所需要的过桥、护栏、防护网、盖板等辅助设。</w:t>
      </w:r>
    </w:p>
    <w:p>
      <w:pPr>
        <w:spacing w:line="360" w:lineRule="auto"/>
        <w:ind w:firstLine="482" w:firstLineChars="200"/>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二、备品备件、易损件和专用耗材供货范围</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1.备品备件、易损件和专用耗材是招标人为保证货物质保期之后正常运行</w:t>
      </w:r>
      <w:r>
        <w:rPr>
          <w:rFonts w:hint="eastAsia" w:ascii="Times New Roman" w:hAnsi="Times New Roman" w:eastAsia="宋体" w:cs="Times New Roman"/>
          <w:color w:val="auto"/>
          <w:sz w:val="24"/>
          <w:szCs w:val="24"/>
          <w:lang w:val="en-US" w:eastAsia="zh-CN"/>
        </w:rPr>
        <w:t>两</w:t>
      </w:r>
      <w:r>
        <w:rPr>
          <w:rFonts w:hint="eastAsia" w:ascii="Times New Roman" w:hAnsi="Times New Roman" w:eastAsia="宋体" w:cs="Times New Roman"/>
          <w:color w:val="auto"/>
          <w:sz w:val="24"/>
          <w:szCs w:val="24"/>
        </w:rPr>
        <w:t>年所自备自用的备品备件、易损件和专用耗材。</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2.供货范围包括易损件和专用耗材的制造图纸及其技术要求等资料，如涉及专有技术或无法提供，应在投标文件中予以澄清或说明。</w:t>
      </w:r>
    </w:p>
    <w:p>
      <w:pPr>
        <w:spacing w:line="360" w:lineRule="auto"/>
        <w:ind w:firstLine="482" w:firstLineChars="200"/>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三、技术资料供货范围</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技术资料供货范围包括：</w:t>
      </w:r>
    </w:p>
    <w:p>
      <w:pPr>
        <w:spacing w:line="360" w:lineRule="auto"/>
        <w:ind w:firstLine="480" w:firstLineChars="200"/>
        <w:rPr>
          <w:rFonts w:ascii="Times New Roman" w:hAnsi="Times New Roman" w:eastAsia="宋体" w:cs="Times New Roman"/>
          <w:bCs/>
          <w:color w:val="auto"/>
          <w:sz w:val="24"/>
          <w:szCs w:val="24"/>
        </w:rPr>
      </w:pPr>
      <w:r>
        <w:rPr>
          <w:rFonts w:hint="eastAsia" w:ascii="Times New Roman" w:hAnsi="Times New Roman" w:eastAsia="宋体" w:cs="Times New Roman"/>
          <w:color w:val="auto"/>
          <w:sz w:val="24"/>
          <w:szCs w:val="24"/>
        </w:rPr>
        <w:t>1.在</w:t>
      </w:r>
      <w:r>
        <w:rPr>
          <w:rFonts w:hint="eastAsia" w:ascii="Times New Roman" w:hAnsi="Times New Roman" w:eastAsia="宋体" w:cs="Times New Roman"/>
          <w:bCs/>
          <w:color w:val="auto"/>
          <w:sz w:val="24"/>
          <w:szCs w:val="24"/>
        </w:rPr>
        <w:t>合同签订后</w:t>
      </w:r>
      <w:r>
        <w:rPr>
          <w:rFonts w:hint="eastAsia" w:ascii="Times New Roman" w:hAnsi="Times New Roman" w:eastAsia="宋体" w:cs="Times New Roman"/>
          <w:bCs/>
          <w:color w:val="auto"/>
          <w:sz w:val="24"/>
          <w:szCs w:val="24"/>
          <w:u w:val="single"/>
          <w:shd w:val="pct10" w:color="auto" w:fill="FFFFFF"/>
        </w:rPr>
        <w:t xml:space="preserve"> </w:t>
      </w:r>
      <w:r>
        <w:rPr>
          <w:rFonts w:hint="eastAsia" w:ascii="Times New Roman" w:hAnsi="Times New Roman" w:eastAsia="宋体" w:cs="Times New Roman"/>
          <w:bCs/>
          <w:color w:val="auto"/>
          <w:sz w:val="24"/>
          <w:szCs w:val="24"/>
          <w:u w:val="single"/>
          <w:shd w:val="pct10" w:color="auto" w:fill="FFFFFF"/>
          <w:lang w:val="en-US" w:eastAsia="zh-CN"/>
        </w:rPr>
        <w:t>15</w:t>
      </w:r>
      <w:r>
        <w:rPr>
          <w:rFonts w:hint="eastAsia" w:ascii="Times New Roman" w:hAnsi="Times New Roman" w:eastAsia="宋体" w:cs="Times New Roman"/>
          <w:bCs/>
          <w:color w:val="auto"/>
          <w:sz w:val="24"/>
          <w:szCs w:val="24"/>
          <w:u w:val="single"/>
          <w:shd w:val="pct10" w:color="auto" w:fill="FFFFFF"/>
        </w:rPr>
        <w:t xml:space="preserve"> </w:t>
      </w:r>
      <w:r>
        <w:rPr>
          <w:rFonts w:hint="eastAsia" w:ascii="Times New Roman" w:hAnsi="Times New Roman" w:eastAsia="宋体" w:cs="Times New Roman"/>
          <w:bCs/>
          <w:color w:val="auto"/>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2.在预验收前，提供货物各部分的功能描述文件、图片、影像等资料（进口、设备应有中外文对照）。</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5.在终验收后的第一笔货款支付日之前，提供包括货物的备品备件、易损件和专用耗材的图纸及技术参数、技术要求等资料。</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8.本条款所列的技术资料、图片、影像等，投标人应各提供</w:t>
      </w:r>
      <w:r>
        <w:rPr>
          <w:rFonts w:ascii="Times New Roman" w:hAnsi="Times New Roman" w:eastAsia="宋体" w:cs="Times New Roman"/>
          <w:color w:val="auto"/>
          <w:sz w:val="24"/>
          <w:szCs w:val="24"/>
        </w:rPr>
        <w:t>3</w:t>
      </w:r>
      <w:r>
        <w:rPr>
          <w:rFonts w:hint="eastAsia" w:ascii="Times New Roman" w:hAnsi="Times New Roman" w:eastAsia="宋体" w:cs="Times New Roman"/>
          <w:color w:val="auto"/>
          <w:sz w:val="24"/>
          <w:szCs w:val="24"/>
        </w:rPr>
        <w:t>套，其中</w:t>
      </w:r>
      <w:r>
        <w:rPr>
          <w:rFonts w:ascii="Times New Roman" w:hAnsi="Times New Roman" w:eastAsia="宋体" w:cs="Times New Roman"/>
          <w:color w:val="auto"/>
          <w:sz w:val="24"/>
          <w:szCs w:val="24"/>
        </w:rPr>
        <w:t>1</w:t>
      </w:r>
      <w:r>
        <w:rPr>
          <w:rFonts w:hint="eastAsia" w:ascii="Times New Roman" w:hAnsi="Times New Roman" w:eastAsia="宋体" w:cs="Times New Roman"/>
          <w:color w:val="auto"/>
          <w:sz w:val="24"/>
          <w:szCs w:val="24"/>
        </w:rPr>
        <w:t>套为电子版光盘；每份技术文件应装有目录清单。</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9.本条款所列要求，如招标人认为投标人提供的资料不能满足要求时，有权要求投标人免费补充或增加。</w:t>
      </w:r>
    </w:p>
    <w:p>
      <w:pPr>
        <w:spacing w:line="360" w:lineRule="auto"/>
        <w:ind w:firstLine="482" w:firstLineChars="200"/>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四、供货范围特别提示</w:t>
      </w:r>
    </w:p>
    <w:p>
      <w:pPr>
        <w:spacing w:line="360" w:lineRule="auto"/>
        <w:ind w:firstLine="480" w:firstLineChars="200"/>
        <w:rPr>
          <w:rFonts w:ascii="Times New Roman" w:hAnsi="Times New Roman" w:eastAsia="宋体" w:cs="Times New Roman"/>
          <w:color w:val="auto"/>
          <w:sz w:val="24"/>
          <w:szCs w:val="20"/>
        </w:rPr>
      </w:pPr>
      <w:r>
        <w:rPr>
          <w:rFonts w:hint="eastAsia" w:ascii="Times New Roman" w:hAnsi="Times New Roman" w:eastAsia="宋体" w:cs="Times New Roman"/>
          <w:color w:val="auto"/>
          <w:sz w:val="24"/>
          <w:szCs w:val="24"/>
        </w:rPr>
        <w:t>如果投标人认为本节所列的供货范围难以满足，则仍需要按照本要求提供，但该部分货物应当在投标报价中单独列明货物名称及品质、货值。</w:t>
      </w:r>
    </w:p>
    <w:p>
      <w:pPr>
        <w:keepNext/>
        <w:keepLines/>
        <w:spacing w:line="360" w:lineRule="auto"/>
        <w:jc w:val="center"/>
        <w:outlineLvl w:val="2"/>
        <w:rPr>
          <w:rFonts w:ascii="Times New Roman" w:hAnsi="Times New Roman" w:eastAsia="宋体" w:cs="Times New Roman"/>
          <w:b/>
          <w:bCs/>
          <w:color w:val="auto"/>
          <w:sz w:val="24"/>
          <w:szCs w:val="32"/>
        </w:rPr>
      </w:pPr>
      <w:r>
        <w:rPr>
          <w:rFonts w:hint="eastAsia" w:ascii="Times New Roman" w:hAnsi="Times New Roman" w:eastAsia="宋体" w:cs="Times New Roman"/>
          <w:b/>
          <w:bCs/>
          <w:color w:val="auto"/>
          <w:sz w:val="24"/>
          <w:szCs w:val="32"/>
        </w:rPr>
        <w:t>第二节  供货方式</w:t>
      </w:r>
    </w:p>
    <w:p>
      <w:pPr>
        <w:spacing w:line="360" w:lineRule="auto"/>
        <w:ind w:firstLine="482" w:firstLineChars="200"/>
        <w:outlineLvl w:val="3"/>
        <w:rPr>
          <w:rFonts w:ascii="Times New Roman" w:hAnsi="Times New Roman" w:eastAsia="宋体" w:cs="Times New Roman"/>
          <w:color w:val="auto"/>
          <w:sz w:val="24"/>
          <w:szCs w:val="24"/>
        </w:rPr>
      </w:pPr>
      <w:r>
        <w:rPr>
          <w:rFonts w:hint="eastAsia" w:ascii="Times New Roman" w:hAnsi="Times New Roman" w:eastAsia="宋体" w:cs="Times New Roman"/>
          <w:b/>
          <w:color w:val="auto"/>
          <w:sz w:val="24"/>
          <w:szCs w:val="24"/>
        </w:rPr>
        <w:t>一、供货方式</w:t>
      </w:r>
    </w:p>
    <w:p>
      <w:pPr>
        <w:spacing w:line="360" w:lineRule="auto"/>
        <w:ind w:firstLine="480" w:firstLineChars="200"/>
        <w:rPr>
          <w:rFonts w:ascii="Times New Roman" w:hAnsi="Times New Roman" w:eastAsia="宋体" w:cs="Times New Roman"/>
          <w:b/>
          <w:i/>
          <w:color w:val="auto"/>
          <w:sz w:val="24"/>
          <w:szCs w:val="24"/>
        </w:rPr>
      </w:pPr>
      <w:r>
        <w:rPr>
          <w:rFonts w:hint="eastAsia" w:ascii="Times New Roman" w:hAnsi="Times New Roman" w:eastAsia="宋体" w:cs="Times New Roman"/>
          <w:color w:val="auto"/>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outlineLvl w:val="3"/>
        <w:rPr>
          <w:rFonts w:ascii="Times New Roman" w:hAnsi="Times New Roman" w:eastAsia="宋体" w:cs="Times New Roman"/>
          <w:color w:val="auto"/>
          <w:sz w:val="24"/>
          <w:szCs w:val="24"/>
        </w:rPr>
      </w:pPr>
      <w:r>
        <w:rPr>
          <w:rFonts w:hint="eastAsia" w:ascii="Times New Roman" w:hAnsi="Times New Roman" w:eastAsia="宋体" w:cs="Times New Roman"/>
          <w:b/>
          <w:bCs/>
          <w:color w:val="auto"/>
          <w:sz w:val="24"/>
          <w:szCs w:val="24"/>
        </w:rPr>
        <w:t>二、供货地点：</w:t>
      </w:r>
      <w:r>
        <w:rPr>
          <w:rFonts w:hint="eastAsia" w:ascii="Times New Roman" w:hAnsi="Times New Roman" w:eastAsia="宋体" w:cs="Times New Roman"/>
          <w:color w:val="auto"/>
          <w:sz w:val="24"/>
          <w:szCs w:val="24"/>
          <w:u w:val="single"/>
          <w:lang w:eastAsia="zh-CN"/>
        </w:rPr>
        <w:t>质量部质检中心</w:t>
      </w:r>
      <w:r>
        <w:rPr>
          <w:rFonts w:hint="eastAsia" w:ascii="Times New Roman" w:hAnsi="Times New Roman" w:eastAsia="宋体" w:cs="Times New Roman"/>
          <w:color w:val="auto"/>
          <w:sz w:val="24"/>
          <w:szCs w:val="24"/>
        </w:rPr>
        <w:t>。</w:t>
      </w:r>
    </w:p>
    <w:p>
      <w:pPr>
        <w:spacing w:line="360" w:lineRule="auto"/>
        <w:ind w:firstLine="482" w:firstLineChars="200"/>
        <w:jc w:val="left"/>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三、供货时间</w:t>
      </w:r>
    </w:p>
    <w:p>
      <w:pPr>
        <w:spacing w:line="360" w:lineRule="auto"/>
        <w:ind w:firstLine="480" w:firstLineChars="200"/>
        <w:jc w:val="left"/>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1.自合同生效后，接招标方通知后于</w:t>
      </w:r>
      <w:r>
        <w:rPr>
          <w:rFonts w:hint="eastAsia" w:ascii="Times New Roman" w:hAnsi="Times New Roman" w:eastAsia="宋体" w:cs="Times New Roman"/>
          <w:color w:val="auto"/>
          <w:sz w:val="24"/>
          <w:szCs w:val="24"/>
          <w:u w:val="single"/>
          <w:lang w:val="en-US" w:eastAsia="zh-CN"/>
        </w:rPr>
        <w:t>30</w:t>
      </w:r>
      <w:r>
        <w:rPr>
          <w:rFonts w:hint="eastAsia" w:ascii="Times New Roman" w:hAnsi="Times New Roman" w:eastAsia="宋体" w:cs="Times New Roman"/>
          <w:color w:val="auto"/>
          <w:sz w:val="24"/>
          <w:szCs w:val="24"/>
        </w:rPr>
        <w:t>个日历日内，中标人须交付设备到招标人指定的安装和使用的现场，并保证整套测试系统正常进入试运行状态。</w:t>
      </w:r>
    </w:p>
    <w:p>
      <w:pPr>
        <w:spacing w:line="360" w:lineRule="auto"/>
        <w:ind w:firstLine="480" w:firstLineChars="200"/>
        <w:jc w:val="left"/>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2.接续</w:t>
      </w:r>
      <w:r>
        <w:rPr>
          <w:rFonts w:hint="eastAsia" w:ascii="Times New Roman" w:hAnsi="Times New Roman" w:eastAsia="宋体" w:cs="Times New Roman"/>
          <w:color w:val="auto"/>
          <w:sz w:val="24"/>
          <w:szCs w:val="24"/>
          <w:u w:val="single"/>
          <w:lang w:val="en-US" w:eastAsia="zh-CN"/>
        </w:rPr>
        <w:t>10</w:t>
      </w:r>
      <w:r>
        <w:rPr>
          <w:rFonts w:hint="eastAsia" w:ascii="Times New Roman" w:hAnsi="Times New Roman" w:eastAsia="宋体" w:cs="Times New Roman"/>
          <w:color w:val="auto"/>
          <w:sz w:val="24"/>
          <w:szCs w:val="24"/>
        </w:rPr>
        <w:t>个日历日之内安装调试完毕。</w:t>
      </w:r>
    </w:p>
    <w:p>
      <w:pPr>
        <w:spacing w:line="360" w:lineRule="auto"/>
        <w:ind w:firstLine="480" w:firstLineChars="200"/>
        <w:jc w:val="left"/>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3.接续</w:t>
      </w:r>
      <w:r>
        <w:rPr>
          <w:rFonts w:hint="eastAsia" w:ascii="Times New Roman" w:hAnsi="Times New Roman" w:eastAsia="宋体" w:cs="Times New Roman"/>
          <w:color w:val="auto"/>
          <w:sz w:val="24"/>
          <w:szCs w:val="24"/>
          <w:u w:val="single"/>
          <w:lang w:val="en-US" w:eastAsia="zh-CN"/>
        </w:rPr>
        <w:t>60</w:t>
      </w:r>
      <w:r>
        <w:rPr>
          <w:rFonts w:hint="eastAsia" w:ascii="Times New Roman" w:hAnsi="Times New Roman" w:eastAsia="宋体" w:cs="Times New Roman"/>
          <w:color w:val="auto"/>
          <w:sz w:val="24"/>
          <w:szCs w:val="24"/>
        </w:rPr>
        <w:t>个日历日之内完成终验收。</w:t>
      </w:r>
    </w:p>
    <w:p>
      <w:pPr>
        <w:spacing w:line="360" w:lineRule="auto"/>
        <w:ind w:firstLine="482" w:firstLineChars="200"/>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四、包装</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4.应对包装件做必要的加固和固定，以防止运输可能造成的损坏。</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8.包装箱应连续编号，不应出现重复编号。</w:t>
      </w:r>
    </w:p>
    <w:p>
      <w:pPr>
        <w:adjustRightInd w:val="0"/>
        <w:snapToGrid w:val="0"/>
        <w:spacing w:line="360" w:lineRule="auto"/>
        <w:ind w:firstLine="480" w:firstLineChars="200"/>
        <w:rPr>
          <w:rFonts w:ascii="Times New Roman" w:hAnsi="Times New Roman" w:eastAsia="宋体" w:cs="Times New Roman"/>
          <w:color w:val="auto"/>
          <w:sz w:val="24"/>
          <w:szCs w:val="20"/>
        </w:rPr>
      </w:pPr>
      <w:r>
        <w:rPr>
          <w:rFonts w:hint="eastAsia" w:ascii="Times New Roman" w:hAnsi="Times New Roman" w:eastAsia="宋体" w:cs="Times New Roman"/>
          <w:color w:val="auto"/>
          <w:sz w:val="24"/>
          <w:szCs w:val="24"/>
        </w:rPr>
        <w:t>9.在不受到外界破坏情况下，包装应保证自交货日起一年内货物（或设备）完好无损</w:t>
      </w:r>
      <w:r>
        <w:rPr>
          <w:rFonts w:hint="eastAsia" w:ascii="Times New Roman" w:hAnsi="Times New Roman" w:eastAsia="宋体" w:cs="Times New Roman"/>
          <w:color w:val="auto"/>
          <w:sz w:val="24"/>
          <w:szCs w:val="20"/>
        </w:rPr>
        <w:t>。</w:t>
      </w:r>
    </w:p>
    <w:p>
      <w:pPr>
        <w:adjustRightInd w:val="0"/>
        <w:snapToGrid w:val="0"/>
        <w:spacing w:line="360" w:lineRule="auto"/>
        <w:ind w:firstLine="482" w:firstLineChars="200"/>
        <w:outlineLvl w:val="3"/>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五、运输</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2.同批货物（或设备）应统一包装、编号运输。</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Times New Roman" w:hAnsi="Times New Roman" w:eastAsia="宋体" w:cs="Times New Roman"/>
          <w:color w:val="auto"/>
          <w:sz w:val="24"/>
          <w:szCs w:val="20"/>
        </w:rPr>
      </w:pPr>
      <w:r>
        <w:rPr>
          <w:rFonts w:hint="eastAsia" w:ascii="Times New Roman" w:hAnsi="Times New Roman" w:eastAsia="宋体" w:cs="Times New Roman"/>
          <w:color w:val="auto"/>
          <w:sz w:val="24"/>
          <w:szCs w:val="24"/>
        </w:rPr>
        <w:t>5.货物（或设备）运抵交货地点后，应负责货物（或设备）的卸货、搬运、保管等事宜，或按照合同约定</w:t>
      </w:r>
      <w:r>
        <w:rPr>
          <w:rFonts w:hint="eastAsia" w:ascii="Times New Roman" w:hAnsi="Times New Roman" w:eastAsia="宋体" w:cs="Times New Roman"/>
          <w:color w:val="auto"/>
          <w:sz w:val="24"/>
          <w:szCs w:val="20"/>
        </w:rPr>
        <w:t>。</w:t>
      </w:r>
    </w:p>
    <w:p>
      <w:pPr>
        <w:keepNext/>
        <w:keepLines/>
        <w:spacing w:line="360" w:lineRule="auto"/>
        <w:jc w:val="center"/>
        <w:outlineLvl w:val="1"/>
        <w:rPr>
          <w:rFonts w:ascii="Times New Roman" w:hAnsi="Times New Roman" w:eastAsia="宋体" w:cs="Times New Roman"/>
          <w:b/>
          <w:bCs/>
          <w:color w:val="auto"/>
          <w:kern w:val="44"/>
          <w:sz w:val="24"/>
          <w:szCs w:val="24"/>
        </w:rPr>
      </w:pPr>
      <w:r>
        <w:rPr>
          <w:rFonts w:ascii="Times New Roman" w:hAnsi="Times New Roman" w:eastAsia="黑体" w:cs="Times New Roman"/>
          <w:bCs/>
          <w:color w:val="auto"/>
          <w:kern w:val="44"/>
          <w:sz w:val="36"/>
          <w:szCs w:val="24"/>
        </w:rPr>
        <w:br w:type="page"/>
      </w:r>
      <w:bookmarkStart w:id="33" w:name="_Toc169605884"/>
      <w:r>
        <w:rPr>
          <w:rFonts w:hint="eastAsia" w:ascii="Times New Roman" w:hAnsi="Times New Roman" w:eastAsia="宋体" w:cs="Times New Roman"/>
          <w:b/>
          <w:bCs/>
          <w:color w:val="auto"/>
          <w:kern w:val="44"/>
          <w:sz w:val="24"/>
          <w:szCs w:val="24"/>
        </w:rPr>
        <w:t>第四章  质保期及售后服务</w:t>
      </w:r>
      <w:bookmarkEnd w:id="33"/>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一、质保期及质保要求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1.全部供货范围内的设备、材料、零配件和工器具等，除合同特别约定外，其质保期均自终验收签字生效之日起</w:t>
      </w:r>
      <w:r>
        <w:rPr>
          <w:rFonts w:hint="eastAsia" w:ascii="Times New Roman" w:hAnsi="Times New Roman" w:eastAsia="宋体" w:cs="Times New Roman"/>
          <w:color w:val="auto"/>
          <w:sz w:val="24"/>
          <w:szCs w:val="24"/>
          <w:u w:val="single"/>
        </w:rPr>
        <w:t xml:space="preserve"> </w:t>
      </w:r>
      <w:r>
        <w:rPr>
          <w:rFonts w:hint="eastAsia" w:ascii="Times New Roman" w:hAnsi="Times New Roman" w:eastAsia="宋体" w:cs="Times New Roman"/>
          <w:color w:val="auto"/>
          <w:sz w:val="24"/>
          <w:szCs w:val="24"/>
          <w:u w:val="single"/>
          <w:lang w:val="en-US" w:eastAsia="zh-CN"/>
        </w:rPr>
        <w:t>12</w:t>
      </w:r>
      <w:r>
        <w:rPr>
          <w:rFonts w:hint="eastAsia" w:ascii="Times New Roman" w:hAnsi="Times New Roman" w:eastAsia="宋体" w:cs="Times New Roman"/>
          <w:color w:val="auto"/>
          <w:sz w:val="24"/>
          <w:szCs w:val="24"/>
          <w:u w:val="single"/>
        </w:rPr>
        <w:t xml:space="preserve"> </w:t>
      </w:r>
      <w:r>
        <w:rPr>
          <w:rFonts w:hint="eastAsia" w:ascii="Times New Roman" w:hAnsi="Times New Roman" w:eastAsia="宋体" w:cs="Times New Roman"/>
          <w:color w:val="auto"/>
          <w:sz w:val="24"/>
          <w:szCs w:val="24"/>
        </w:rPr>
        <w:t>个月。</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设计使用寿命短于质保期的易损件除外，但属于易损件的，应当有明确说明。</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w:t>
      </w:r>
      <w:r>
        <w:rPr>
          <w:rFonts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rPr>
        <w:t>质保期内免费提供针对本技术条件要求内容范围内的测试脚本开发适配服务。</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二、技术及培训服务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应负责在买方货物使用现场，对技术、维修和操作人员提供免费的理论、技术和操作、维修等方面的技术指导和培训，并接受买方有关人员的技术咨询。培训标准以招标方测试工程师具备根据中标方提供的测试执行手册独立进行测试及分析测试结果的能力、具备根据中标方提供的测试平台独立完成测试脚本开发及适配的能力为准。</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2.应免费提供一定数量的培训资料。</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三、安装调试及验收服务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6.服务缺陷视同货物缺陷和履约延期。</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四、售后服务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2.如发现所提供的货物存在问题，需要卖方解决或配合解决时：在质保期之内，应在接到通知后</w:t>
      </w:r>
      <w:r>
        <w:rPr>
          <w:rFonts w:hint="eastAsia" w:ascii="Times New Roman" w:hAnsi="Times New Roman" w:eastAsia="宋体" w:cs="Times New Roman"/>
          <w:color w:val="auto"/>
          <w:sz w:val="24"/>
          <w:szCs w:val="24"/>
          <w:u w:val="single"/>
          <w:shd w:val="pct10" w:color="auto" w:fill="FFFFFF"/>
        </w:rPr>
        <w:t>24</w:t>
      </w:r>
      <w:r>
        <w:rPr>
          <w:rFonts w:hint="eastAsia" w:ascii="Times New Roman" w:hAnsi="Times New Roman" w:eastAsia="宋体" w:cs="Times New Roman"/>
          <w:color w:val="auto"/>
          <w:sz w:val="24"/>
          <w:szCs w:val="24"/>
        </w:rPr>
        <w:t>小时内派有关人员到达现场；在质保期之外，应在接到通知后</w:t>
      </w:r>
      <w:r>
        <w:rPr>
          <w:rFonts w:hint="eastAsia" w:ascii="Times New Roman" w:hAnsi="Times New Roman" w:eastAsia="宋体" w:cs="Times New Roman"/>
          <w:color w:val="auto"/>
          <w:sz w:val="24"/>
          <w:szCs w:val="24"/>
          <w:u w:val="single"/>
          <w:shd w:val="pct10" w:color="auto" w:fill="FFFFFF"/>
        </w:rPr>
        <w:t>72</w:t>
      </w:r>
      <w:r>
        <w:rPr>
          <w:rFonts w:hint="eastAsia" w:ascii="Times New Roman" w:hAnsi="Times New Roman" w:eastAsia="宋体" w:cs="Times New Roman"/>
          <w:color w:val="auto"/>
          <w:sz w:val="24"/>
          <w:szCs w:val="24"/>
        </w:rPr>
        <w:t>小时内派有关人员到达现场。</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3.卖方派往买方使用现场的人员，应具有较高的业务素质；现场解决问题时，不得无故拖延或推迟，应为买方提供最佳的服务。</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五、其它服务</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1.若卖方所提供货物有需要进口的，卖方一般应自行、自费办理。</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3.本章节条款所列“免费”，并非指定不可收费，而是指招标文件、投标文件、答疑文件、技术交流文件、技术标书和合同等范围之外，投标人不可另行收取的费用。</w:t>
      </w:r>
    </w:p>
    <w:p>
      <w:pPr>
        <w:pStyle w:val="16"/>
        <w:spacing w:line="360" w:lineRule="auto"/>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br w:type="page"/>
      </w:r>
    </w:p>
    <w:p>
      <w:pPr>
        <w:keepNext/>
        <w:keepLines/>
        <w:spacing w:line="360" w:lineRule="auto"/>
        <w:jc w:val="center"/>
        <w:outlineLvl w:val="1"/>
        <w:rPr>
          <w:rFonts w:ascii="Times New Roman" w:hAnsi="Times New Roman" w:eastAsia="宋体" w:cs="Times New Roman"/>
          <w:b/>
          <w:bCs/>
          <w:color w:val="auto"/>
          <w:kern w:val="44"/>
          <w:sz w:val="24"/>
          <w:szCs w:val="24"/>
        </w:rPr>
      </w:pPr>
      <w:bookmarkStart w:id="34" w:name="_Toc465187646"/>
      <w:r>
        <w:rPr>
          <w:rFonts w:hint="eastAsia" w:ascii="Times New Roman" w:hAnsi="Times New Roman" w:eastAsia="宋体" w:cs="Times New Roman"/>
          <w:b/>
          <w:bCs/>
          <w:color w:val="auto"/>
          <w:kern w:val="44"/>
          <w:sz w:val="24"/>
          <w:szCs w:val="24"/>
        </w:rPr>
        <w:t>第五章  预验收和终验收</w:t>
      </w:r>
      <w:bookmarkEnd w:id="34"/>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一、验收依据和验收标准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2.如果验收过程中，发现招标文件、投标文件、答疑文件、技术交流文件等与技术标书、合同存在差异，原则上以涉及条款中对买方最有利条款为验收依据。</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二、检验</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1.国产货物的检验一般由买卖双方共同进行或按照合同要求进行。</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2.进口货物的检验，卖方需要按照下述要求进行：</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三、验收基本条件</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验收一般分预验收和终验收两部分。买方在设备集成现场进行预验收，验收地交通（中国济南至验收地往返）、食宿由买方自理。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1.预验收基本要求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1.1 卖方已经按照“供货范围”要求提供了预验收资料，并且资料齐全、完整和有效。</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1.2 货物应完整且所有的零部件应该安装牢固，外观无损伤，所有的焊缝饱满、无残渣等缺陷。</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1.3 货物的油漆质量应饱满、有光泽，无掉漆、无色差、无“桔皮”等不良现象（特殊标志除外）。</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1.4 货物标牌完整、清晰、明确。</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1.5</w:t>
      </w:r>
      <w:r>
        <w:rPr>
          <w:rFonts w:ascii="Times New Roman" w:hAnsi="Times New Roman" w:eastAsia="宋体" w:cs="Times New Roman"/>
          <w:color w:val="auto"/>
          <w:sz w:val="24"/>
          <w:szCs w:val="24"/>
        </w:rPr>
        <w:t xml:space="preserve"> </w:t>
      </w:r>
      <w:r>
        <w:rPr>
          <w:rFonts w:hint="eastAsia" w:ascii="Times New Roman" w:hAnsi="Times New Roman" w:eastAsia="宋体" w:cs="Times New Roman"/>
          <w:color w:val="auto"/>
          <w:sz w:val="24"/>
          <w:szCs w:val="24"/>
        </w:rPr>
        <w:t>货物的安全要求符合中国最新的相关法律、法规、标准和规范以及合同要求。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w:t>
      </w:r>
      <w:r>
        <w:rPr>
          <w:rFonts w:ascii="Times New Roman" w:hAnsi="Times New Roman" w:eastAsia="宋体" w:cs="Times New Roman"/>
          <w:color w:val="auto"/>
          <w:sz w:val="24"/>
          <w:szCs w:val="24"/>
        </w:rPr>
        <w:t xml:space="preserve">.6 </w:t>
      </w:r>
      <w:r>
        <w:rPr>
          <w:rFonts w:hint="eastAsia" w:ascii="Times New Roman" w:hAnsi="Times New Roman" w:eastAsia="宋体" w:cs="Times New Roman"/>
          <w:color w:val="auto"/>
          <w:sz w:val="24"/>
          <w:szCs w:val="24"/>
        </w:rPr>
        <w:t>系统设备品牌、型号、数量与合同约定内容一致；各设备资料齐全，完整有效。</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2.终验收一般条件</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2.1</w:t>
      </w:r>
      <w:r>
        <w:rPr>
          <w:rFonts w:hint="eastAsia" w:ascii="Times New Roman" w:hAnsi="Times New Roman" w:eastAsia="宋体" w:cs="Times New Roman"/>
          <w:color w:val="auto"/>
          <w:sz w:val="24"/>
          <w:szCs w:val="24"/>
        </w:rPr>
        <w:t>设备已完成硬件与软件系统的整体功能测试与调试，且功能正常。</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2.2</w:t>
      </w:r>
      <w:r>
        <w:rPr>
          <w:rFonts w:hint="eastAsia" w:ascii="Times New Roman" w:hAnsi="Times New Roman" w:eastAsia="宋体" w:cs="Times New Roman"/>
          <w:color w:val="auto"/>
          <w:sz w:val="24"/>
          <w:szCs w:val="24"/>
        </w:rPr>
        <w:t>通过了</w:t>
      </w:r>
      <w:r>
        <w:rPr>
          <w:rFonts w:ascii="Times New Roman" w:hAnsi="Times New Roman" w:eastAsia="宋体" w:cs="Times New Roman"/>
          <w:color w:val="auto"/>
          <w:sz w:val="24"/>
          <w:szCs w:val="24"/>
        </w:rPr>
        <w:t>预验收而且没有出现新的质量问题，或者满足预验收条款。</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2.3货物安装调试完毕，并至少经过了验收要求的负荷试运行。</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2.4货物正常运行时，噪声等环境影响因素满足国家和当地环保主管部门规定，安全措施落实、有效。</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2.5计量仪器、仪表配套合理，采用中国的法定计量单位，计量准确、灵敏可靠。保证设计指标和仪器说明书的参数的实现。</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2.6试运行期间或之后无维修、调整等行为（特殊情况除外）。</w:t>
      </w:r>
    </w:p>
    <w:p>
      <w:pPr>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2.7货物质量、技术性能等，达到签定的技术协议书和合同规定的终验收标准。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w:t>
      </w:r>
      <w:r>
        <w:rPr>
          <w:rFonts w:ascii="Times New Roman" w:hAnsi="Times New Roman" w:eastAsia="宋体" w:cs="Times New Roman"/>
          <w:color w:val="auto"/>
          <w:sz w:val="24"/>
          <w:szCs w:val="24"/>
        </w:rPr>
        <w:t>8</w:t>
      </w:r>
      <w:r>
        <w:rPr>
          <w:rFonts w:hint="eastAsia" w:ascii="Times New Roman" w:hAnsi="Times New Roman" w:eastAsia="宋体" w:cs="Times New Roman"/>
          <w:color w:val="auto"/>
          <w:sz w:val="24"/>
          <w:szCs w:val="24"/>
        </w:rPr>
        <w:t>首次计量由乙方负责，由</w:t>
      </w:r>
      <w:r>
        <w:rPr>
          <w:rFonts w:hint="eastAsia" w:ascii="Times New Roman" w:hAnsi="Times New Roman" w:eastAsia="宋体" w:cs="Times New Roman"/>
          <w:color w:val="auto"/>
          <w:sz w:val="24"/>
          <w:szCs w:val="24"/>
          <w:lang w:val="en-US" w:eastAsia="zh-CN"/>
        </w:rPr>
        <w:t>市</w:t>
      </w:r>
      <w:r>
        <w:rPr>
          <w:rFonts w:hint="eastAsia" w:ascii="Times New Roman" w:hAnsi="Times New Roman" w:eastAsia="宋体" w:cs="Times New Roman"/>
          <w:color w:val="auto"/>
          <w:sz w:val="24"/>
          <w:szCs w:val="24"/>
        </w:rPr>
        <w:t>级或以上的计量机构计量，按照系统约束的性能指标进行计量检定，合格后方可进行终验收。</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w:t>
      </w:r>
      <w:r>
        <w:rPr>
          <w:rFonts w:hint="eastAsia" w:ascii="Times New Roman" w:hAnsi="Times New Roman" w:eastAsia="宋体" w:cs="Times New Roman"/>
          <w:color w:val="auto"/>
          <w:sz w:val="24"/>
          <w:szCs w:val="24"/>
        </w:rPr>
        <w:t>终验收技术要求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w:t>
      </w:r>
      <w:r>
        <w:rPr>
          <w:rFonts w:ascii="Times New Roman" w:hAnsi="Times New Roman" w:eastAsia="宋体" w:cs="Times New Roman"/>
          <w:color w:val="auto"/>
          <w:sz w:val="24"/>
          <w:szCs w:val="24"/>
        </w:rPr>
        <w:t>.1设备安装调试完成后，再需要经过一个考核期的</w:t>
      </w:r>
      <w:r>
        <w:rPr>
          <w:rFonts w:hint="eastAsia" w:ascii="Times New Roman" w:hAnsi="Times New Roman" w:eastAsia="宋体" w:cs="Times New Roman"/>
          <w:color w:val="auto"/>
          <w:sz w:val="24"/>
          <w:szCs w:val="24"/>
        </w:rPr>
        <w:t>运行测试使用</w:t>
      </w:r>
      <w:r>
        <w:rPr>
          <w:rFonts w:ascii="Times New Roman" w:hAnsi="Times New Roman" w:eastAsia="宋体" w:cs="Times New Roman"/>
          <w:color w:val="auto"/>
          <w:sz w:val="24"/>
          <w:szCs w:val="24"/>
        </w:rPr>
        <w:t>，考核整个系统的</w:t>
      </w:r>
      <w:r>
        <w:rPr>
          <w:rFonts w:hint="eastAsia" w:ascii="Times New Roman" w:hAnsi="Times New Roman" w:eastAsia="宋体" w:cs="Times New Roman"/>
          <w:color w:val="auto"/>
          <w:sz w:val="24"/>
          <w:szCs w:val="24"/>
        </w:rPr>
        <w:t>软硬件运行的可靠性。</w:t>
      </w:r>
      <w:r>
        <w:rPr>
          <w:rFonts w:ascii="Times New Roman" w:hAnsi="Times New Roman" w:eastAsia="宋体" w:cs="Times New Roman"/>
          <w:color w:val="auto"/>
          <w:sz w:val="24"/>
          <w:szCs w:val="24"/>
        </w:rPr>
        <w:t>考核期不少于30个工作日，考核期间不得出现影响设备使用性能的重要故障或重要部件损坏</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sz w:val="24"/>
          <w:szCs w:val="24"/>
        </w:rPr>
        <w:t>考核期满足要求后进行最终验收</w:t>
      </w:r>
      <w:r>
        <w:rPr>
          <w:rFonts w:hint="eastAsia" w:ascii="Times New Roman" w:hAnsi="Times New Roman" w:eastAsia="宋体" w:cs="Times New Roman"/>
          <w:color w:val="auto"/>
          <w:sz w:val="24"/>
          <w:szCs w:val="24"/>
        </w:rPr>
        <w:t>。</w:t>
      </w:r>
    </w:p>
    <w:p>
      <w:pPr>
        <w:adjustRightInd w:val="0"/>
        <w:snapToGrid w:val="0"/>
        <w:spacing w:line="360" w:lineRule="auto"/>
        <w:ind w:firstLine="480" w:firstLineChars="200"/>
        <w:rPr>
          <w:rFonts w:hint="eastAsia" w:ascii="Times New Roman" w:hAnsi="Times New Roman" w:eastAsia="宋体" w:cs="Times New Roman"/>
          <w:color w:val="auto"/>
          <w:sz w:val="24"/>
          <w:szCs w:val="24"/>
          <w:lang w:eastAsia="zh-CN"/>
        </w:rPr>
      </w:pPr>
      <w:r>
        <w:rPr>
          <w:rFonts w:ascii="Times New Roman" w:hAnsi="Times New Roman" w:eastAsia="宋体" w:cs="Times New Roman"/>
          <w:color w:val="auto"/>
          <w:sz w:val="24"/>
          <w:szCs w:val="24"/>
        </w:rPr>
        <w:t>3.2由买方和卖方共同组织设备的终验收，所提供测试系统设备必须满足本技术协议</w:t>
      </w:r>
      <w:r>
        <w:rPr>
          <w:rFonts w:hint="eastAsia" w:ascii="Times New Roman" w:hAnsi="Times New Roman" w:eastAsia="宋体" w:cs="Times New Roman"/>
          <w:color w:val="auto"/>
          <w:sz w:val="24"/>
          <w:szCs w:val="24"/>
        </w:rPr>
        <w:t>及合同约定的</w:t>
      </w:r>
      <w:r>
        <w:rPr>
          <w:rFonts w:ascii="Times New Roman" w:hAnsi="Times New Roman" w:eastAsia="宋体" w:cs="Times New Roman"/>
          <w:color w:val="auto"/>
          <w:sz w:val="24"/>
          <w:szCs w:val="24"/>
        </w:rPr>
        <w:t>全部技术要求</w:t>
      </w:r>
      <w:r>
        <w:rPr>
          <w:rFonts w:hint="eastAsia" w:ascii="Times New Roman" w:hAnsi="Times New Roman" w:eastAsia="宋体" w:cs="Times New Roman"/>
          <w:color w:val="auto"/>
          <w:sz w:val="24"/>
          <w:szCs w:val="24"/>
          <w:lang w:eastAsia="zh-CN"/>
        </w:rPr>
        <w:t>。</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3.3由买方和卖方共同编制终验收报告并签字确认</w:t>
      </w:r>
      <w:r>
        <w:rPr>
          <w:rFonts w:hint="eastAsia" w:ascii="Times New Roman" w:hAnsi="Times New Roman" w:eastAsia="宋体" w:cs="Times New Roman"/>
          <w:color w:val="auto"/>
          <w:sz w:val="24"/>
          <w:szCs w:val="24"/>
        </w:rPr>
        <w:t>。</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3.4终验收期间，</w:t>
      </w:r>
      <w:r>
        <w:rPr>
          <w:rFonts w:hint="eastAsia" w:ascii="Times New Roman" w:hAnsi="Times New Roman" w:eastAsia="宋体" w:cs="Times New Roman"/>
          <w:color w:val="auto"/>
          <w:sz w:val="24"/>
          <w:szCs w:val="24"/>
        </w:rPr>
        <w:t>卖方</w:t>
      </w:r>
      <w:r>
        <w:rPr>
          <w:rFonts w:ascii="Times New Roman" w:hAnsi="Times New Roman" w:eastAsia="宋体" w:cs="Times New Roman"/>
          <w:color w:val="auto"/>
          <w:sz w:val="24"/>
          <w:szCs w:val="24"/>
        </w:rPr>
        <w:t>自行负责交通、食宿、保险等费用</w:t>
      </w:r>
      <w:r>
        <w:rPr>
          <w:rFonts w:hint="eastAsia" w:ascii="Times New Roman" w:hAnsi="Times New Roman" w:eastAsia="宋体" w:cs="Times New Roman"/>
          <w:color w:val="auto"/>
          <w:sz w:val="24"/>
          <w:szCs w:val="24"/>
        </w:rPr>
        <w:t>。</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3.5最终验收以双方签订的合同和条件为准，逐项进行最终验收</w:t>
      </w:r>
      <w:r>
        <w:rPr>
          <w:rFonts w:hint="eastAsia" w:ascii="Times New Roman" w:hAnsi="Times New Roman" w:eastAsia="宋体" w:cs="Times New Roman"/>
          <w:color w:val="auto"/>
          <w:sz w:val="24"/>
          <w:szCs w:val="24"/>
        </w:rPr>
        <w:t>。</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3.6对于终验收买方提出的问题，卖方应在15个工作日内完成整改。</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3.7终验收通过后买卖双方共同签署终验收报告，并移交、核对全部供货范围内物品。</w:t>
      </w:r>
    </w:p>
    <w:p>
      <w:pPr>
        <w:pStyle w:val="16"/>
        <w:spacing w:line="360" w:lineRule="auto"/>
        <w:rPr>
          <w:rFonts w:ascii="Times New Roman" w:hAnsi="Times New Roman" w:eastAsia="宋体" w:cs="Times New Roman"/>
          <w:color w:val="auto"/>
          <w:sz w:val="24"/>
          <w:szCs w:val="24"/>
        </w:rPr>
      </w:pPr>
    </w:p>
    <w:p>
      <w:pPr>
        <w:pStyle w:val="131"/>
        <w:spacing w:line="360" w:lineRule="auto"/>
        <w:outlineLvl w:val="1"/>
        <w:rPr>
          <w:rFonts w:ascii="Times New Roman" w:hAnsi="Times New Roman" w:eastAsia="宋体" w:cs="Times New Roman"/>
          <w:b/>
          <w:bCs w:val="0"/>
          <w:iCs/>
          <w:color w:val="auto"/>
          <w:sz w:val="24"/>
        </w:rPr>
      </w:pPr>
      <w:bookmarkStart w:id="35" w:name="_Toc30824"/>
      <w:bookmarkStart w:id="36" w:name="_Toc465187647"/>
      <w:bookmarkStart w:id="37" w:name="_Toc131008493"/>
      <w:r>
        <w:rPr>
          <w:rFonts w:hint="eastAsia" w:ascii="Times New Roman" w:hAnsi="Times New Roman" w:eastAsia="宋体" w:cs="Times New Roman"/>
          <w:b/>
          <w:bCs w:val="0"/>
          <w:iCs/>
          <w:color w:val="auto"/>
          <w:sz w:val="24"/>
        </w:rPr>
        <w:t>第六章  投标技术文件一般要求</w:t>
      </w:r>
      <w:bookmarkEnd w:id="35"/>
      <w:bookmarkEnd w:id="36"/>
      <w:bookmarkEnd w:id="37"/>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一、技术文件一般内容要求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1.投标人应认真阅读招标文件和本技术标书，并按要求编写投标技术文件。</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3.投标技术文件至少应根据投标货物的关键设备、总成、零部件或系统作出满足或优于招标文件要求的详细说明。</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4.投标技术文件至少应按照招标文件要求（或投标人建议）列明备品备件、易损件和专用耗材明细。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6.投标的货物，应当根据其配置和备品备件、易损件、专用耗材情况，尽可能详细且分类填入下表：</w:t>
      </w:r>
    </w:p>
    <w:p>
      <w:pPr>
        <w:adjustRightInd w:val="0"/>
        <w:snapToGrid w:val="0"/>
        <w:spacing w:line="360" w:lineRule="auto"/>
        <w:ind w:firstLine="482" w:firstLineChars="200"/>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lang w:val="en-US" w:eastAsia="zh-CN"/>
        </w:rPr>
        <w:t>☆</w:t>
      </w:r>
      <w:r>
        <w:rPr>
          <w:rFonts w:hint="eastAsia" w:ascii="Times New Roman" w:hAnsi="Times New Roman" w:eastAsia="宋体" w:cs="Times New Roman"/>
          <w:b/>
          <w:bCs/>
          <w:color w:val="auto"/>
          <w:sz w:val="24"/>
          <w:szCs w:val="24"/>
        </w:rPr>
        <w:t>6.1备品备件、易损件和专用耗材明细表：</w:t>
      </w:r>
    </w:p>
    <w:p>
      <w:pPr>
        <w:adjustRightInd w:val="0"/>
        <w:snapToGrid w:val="0"/>
        <w:spacing w:line="360" w:lineRule="auto"/>
        <w:ind w:firstLine="482" w:firstLineChars="200"/>
        <w:rPr>
          <w:rFonts w:hint="default" w:ascii="Times New Roman" w:hAnsi="Times New Roman" w:eastAsia="宋体" w:cs="Times New Roman"/>
          <w:b/>
          <w:bCs/>
          <w:color w:val="auto"/>
          <w:sz w:val="24"/>
          <w:szCs w:val="24"/>
          <w:highlight w:val="yellow"/>
          <w:lang w:val="en-US" w:eastAsia="zh-CN"/>
        </w:rPr>
      </w:pPr>
      <w:r>
        <w:rPr>
          <w:rFonts w:hint="eastAsia" w:ascii="Times New Roman" w:hAnsi="Times New Roman" w:eastAsia="宋体" w:cs="Times New Roman"/>
          <w:b/>
          <w:bCs/>
          <w:color w:val="auto"/>
          <w:sz w:val="24"/>
          <w:szCs w:val="24"/>
          <w:highlight w:val="yellow"/>
          <w:lang w:val="en-US" w:eastAsia="zh-CN"/>
        </w:rPr>
        <w:t>必须提供本项目生命周期内所涉及到所有备品备件、易损件和专用耗材明细表，以便于质保期外，招标人能够根据清单快速找到同规格产品。</w:t>
      </w:r>
    </w:p>
    <w:p>
      <w:pPr>
        <w:adjustRightInd w:val="0"/>
        <w:snapToGrid w:val="0"/>
        <w:spacing w:line="420" w:lineRule="exact"/>
        <w:ind w:firstLine="1890" w:firstLineChars="900"/>
        <w:rPr>
          <w:rFonts w:hint="eastAsia"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备品备件、易损件和专用耗材明细表             单位：元</w:t>
      </w:r>
    </w:p>
    <w:tbl>
      <w:tblPr>
        <w:tblStyle w:val="35"/>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1705"/>
        <w:gridCol w:w="1010"/>
        <w:gridCol w:w="1558"/>
        <w:gridCol w:w="793"/>
        <w:gridCol w:w="793"/>
        <w:gridCol w:w="24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序号</w:t>
            </w:r>
          </w:p>
        </w:tc>
        <w:tc>
          <w:tcPr>
            <w:tcW w:w="1705" w:type="dxa"/>
          </w:tcPr>
          <w:p>
            <w:pPr>
              <w:adjustRightInd w:val="0"/>
              <w:snapToGrid w:val="0"/>
              <w:spacing w:line="360" w:lineRule="exact"/>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名称</w:t>
            </w:r>
          </w:p>
        </w:tc>
        <w:tc>
          <w:tcPr>
            <w:tcW w:w="1010" w:type="dxa"/>
          </w:tcPr>
          <w:p>
            <w:pPr>
              <w:adjustRightInd w:val="0"/>
              <w:snapToGrid w:val="0"/>
              <w:spacing w:line="360" w:lineRule="exact"/>
              <w:jc w:val="center"/>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品牌</w:t>
            </w:r>
          </w:p>
        </w:tc>
        <w:tc>
          <w:tcPr>
            <w:tcW w:w="1558" w:type="dxa"/>
          </w:tcPr>
          <w:p>
            <w:pPr>
              <w:adjustRightInd w:val="0"/>
              <w:snapToGrid w:val="0"/>
              <w:spacing w:line="360" w:lineRule="exact"/>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型号规格</w:t>
            </w:r>
          </w:p>
        </w:tc>
        <w:tc>
          <w:tcPr>
            <w:tcW w:w="793" w:type="dxa"/>
          </w:tcPr>
          <w:p>
            <w:pPr>
              <w:adjustRightInd w:val="0"/>
              <w:snapToGrid w:val="0"/>
              <w:spacing w:line="360" w:lineRule="exact"/>
              <w:jc w:val="center"/>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单位</w:t>
            </w:r>
          </w:p>
        </w:tc>
        <w:tc>
          <w:tcPr>
            <w:tcW w:w="793" w:type="dxa"/>
          </w:tcPr>
          <w:p>
            <w:pPr>
              <w:adjustRightInd w:val="0"/>
              <w:snapToGrid w:val="0"/>
              <w:spacing w:line="360" w:lineRule="exact"/>
              <w:jc w:val="center"/>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单</w:t>
            </w:r>
            <w:r>
              <w:rPr>
                <w:rFonts w:hint="eastAsia" w:ascii="Times New Roman" w:hAnsi="Times New Roman" w:eastAsia="宋体" w:cs="Times New Roman"/>
                <w:color w:val="auto"/>
              </w:rPr>
              <w:t>价</w:t>
            </w:r>
          </w:p>
        </w:tc>
        <w:tc>
          <w:tcPr>
            <w:tcW w:w="2461" w:type="dxa"/>
          </w:tcPr>
          <w:p>
            <w:pPr>
              <w:adjustRightInd w:val="0"/>
              <w:snapToGrid w:val="0"/>
              <w:spacing w:line="360" w:lineRule="exact"/>
              <w:jc w:val="center"/>
              <w:rPr>
                <w:rFonts w:hint="eastAsia" w:ascii="Times New Roman" w:hAnsi="Times New Roman" w:eastAsia="宋体" w:cs="Times New Roman"/>
                <w:color w:val="auto"/>
              </w:rPr>
            </w:pPr>
            <w:r>
              <w:rPr>
                <w:rFonts w:hint="eastAsia" w:ascii="Times New Roman" w:hAnsi="Times New Roman" w:eastAsia="宋体" w:cs="Times New Roman"/>
                <w:color w:val="auto"/>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w:t>
            </w:r>
          </w:p>
        </w:tc>
        <w:tc>
          <w:tcPr>
            <w:tcW w:w="1705" w:type="dxa"/>
          </w:tcPr>
          <w:p>
            <w:pPr>
              <w:adjustRightInd w:val="0"/>
              <w:snapToGrid w:val="0"/>
              <w:spacing w:line="36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粗滤滤芯</w:t>
            </w: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default" w:ascii="Times New Roman" w:hAnsi="Times New Roman" w:eastAsia="宋体" w:cs="Times New Roman"/>
                <w:color w:val="auto"/>
                <w:lang w:val="en-US" w:eastAsia="zh-CN"/>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w:t>
            </w:r>
          </w:p>
        </w:tc>
        <w:tc>
          <w:tcPr>
            <w:tcW w:w="1705" w:type="dxa"/>
          </w:tcPr>
          <w:p>
            <w:pPr>
              <w:adjustRightInd w:val="0"/>
              <w:snapToGrid w:val="0"/>
              <w:spacing w:line="360" w:lineRule="exact"/>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精滤滤芯</w:t>
            </w: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3</w:t>
            </w:r>
          </w:p>
        </w:tc>
        <w:tc>
          <w:tcPr>
            <w:tcW w:w="1705" w:type="dxa"/>
          </w:tcPr>
          <w:p>
            <w:pPr>
              <w:adjustRightInd w:val="0"/>
              <w:snapToGrid w:val="0"/>
              <w:spacing w:line="36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反渗透膜</w:t>
            </w: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4</w:t>
            </w:r>
          </w:p>
        </w:tc>
        <w:tc>
          <w:tcPr>
            <w:tcW w:w="1705" w:type="dxa"/>
          </w:tcPr>
          <w:p>
            <w:pPr>
              <w:adjustRightInd w:val="0"/>
              <w:snapToGrid w:val="0"/>
              <w:spacing w:line="360" w:lineRule="exact"/>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超纯柱</w:t>
            </w: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hint="eastAsia" w:ascii="Times New Roman" w:hAnsi="Times New Roman" w:eastAsia="宋体" w:cs="Times New Roman"/>
                <w:color w:val="auto"/>
              </w:rPr>
            </w:pPr>
          </w:p>
        </w:tc>
        <w:tc>
          <w:tcPr>
            <w:tcW w:w="1705" w:type="dxa"/>
          </w:tcPr>
          <w:p>
            <w:pPr>
              <w:adjustRightInd w:val="0"/>
              <w:snapToGrid w:val="0"/>
              <w:spacing w:line="360" w:lineRule="exact"/>
              <w:rPr>
                <w:rFonts w:hint="eastAsia" w:ascii="Times New Roman" w:hAnsi="Times New Roman" w:eastAsia="宋体" w:cs="Times New Roman"/>
                <w:color w:val="auto"/>
              </w:rPr>
            </w:pP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98" w:type="dxa"/>
          </w:tcPr>
          <w:p>
            <w:pPr>
              <w:adjustRightInd w:val="0"/>
              <w:snapToGrid w:val="0"/>
              <w:spacing w:line="360" w:lineRule="exact"/>
              <w:jc w:val="center"/>
              <w:rPr>
                <w:rFonts w:hint="eastAsia" w:ascii="Times New Roman" w:hAnsi="Times New Roman" w:eastAsia="宋体" w:cs="Times New Roman"/>
                <w:color w:val="auto"/>
              </w:rPr>
            </w:pPr>
          </w:p>
        </w:tc>
        <w:tc>
          <w:tcPr>
            <w:tcW w:w="1705" w:type="dxa"/>
          </w:tcPr>
          <w:p>
            <w:pPr>
              <w:adjustRightInd w:val="0"/>
              <w:snapToGrid w:val="0"/>
              <w:spacing w:line="360" w:lineRule="exact"/>
              <w:rPr>
                <w:rFonts w:hint="eastAsia" w:ascii="Times New Roman" w:hAnsi="Times New Roman" w:eastAsia="宋体" w:cs="Times New Roman"/>
                <w:color w:val="auto"/>
              </w:rPr>
            </w:pPr>
          </w:p>
        </w:tc>
        <w:tc>
          <w:tcPr>
            <w:tcW w:w="1010" w:type="dxa"/>
          </w:tcPr>
          <w:p>
            <w:pPr>
              <w:adjustRightInd w:val="0"/>
              <w:snapToGrid w:val="0"/>
              <w:spacing w:line="360" w:lineRule="exact"/>
              <w:rPr>
                <w:rFonts w:hint="eastAsia" w:ascii="Times New Roman" w:hAnsi="Times New Roman" w:eastAsia="宋体" w:cs="Times New Roman"/>
                <w:color w:val="auto"/>
              </w:rPr>
            </w:pPr>
          </w:p>
        </w:tc>
        <w:tc>
          <w:tcPr>
            <w:tcW w:w="1558"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793" w:type="dxa"/>
          </w:tcPr>
          <w:p>
            <w:pPr>
              <w:adjustRightInd w:val="0"/>
              <w:snapToGrid w:val="0"/>
              <w:spacing w:line="360" w:lineRule="exact"/>
              <w:jc w:val="center"/>
              <w:rPr>
                <w:rFonts w:hint="eastAsia" w:ascii="Times New Roman" w:hAnsi="Times New Roman" w:eastAsia="宋体" w:cs="Times New Roman"/>
                <w:color w:val="auto"/>
              </w:rPr>
            </w:pPr>
          </w:p>
        </w:tc>
        <w:tc>
          <w:tcPr>
            <w:tcW w:w="2461" w:type="dxa"/>
          </w:tcPr>
          <w:p>
            <w:pPr>
              <w:adjustRightInd w:val="0"/>
              <w:snapToGrid w:val="0"/>
              <w:spacing w:line="360" w:lineRule="exact"/>
              <w:rPr>
                <w:rFonts w:hint="eastAsia" w:ascii="Times New Roman" w:hAnsi="Times New Roman" w:eastAsia="宋体" w:cs="Times New Roman"/>
                <w:color w:val="auto"/>
              </w:rPr>
            </w:pPr>
          </w:p>
        </w:tc>
      </w:tr>
    </w:tbl>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6.3应当尽可能将货物的配置列全、列细，这将有助于投标人胜出；</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6.4单价与总价之间、总价与分类小计价之间、分类小计价与合计价之间数据应当齐全而且准确；</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6.5  本条款表格中的制造商，应当为全称或公认的简称。</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二、技术文件中货物报价格式要求</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2.如果投标总报价与其它价格出现错误或不一致，将有可能导致废标。</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4.备品备件、易损件和专用耗材，招标人将可能与投标人按照投标价格另行签署供货合同。</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5.要求投标总报价、分项报价、明细报价之间应当具有相互间对应关系以及填报分项和明细报价，仅为便于评标而不妨碍投标人以最合适的形式签署合同。</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三、验收标准及内容要求</w:t>
      </w:r>
    </w:p>
    <w:p>
      <w:pPr>
        <w:adjustRightInd w:val="0"/>
        <w:snapToGrid w:val="0"/>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2"/>
        <w:spacing w:before="120" w:after="120" w:line="360" w:lineRule="auto"/>
        <w:rPr>
          <w:rFonts w:ascii="Times New Roman" w:hAnsi="Times New Roman" w:eastAsia="宋体" w:cs="Times New Roman"/>
          <w:b w:val="0"/>
          <w:color w:val="auto"/>
          <w:sz w:val="24"/>
          <w:szCs w:val="24"/>
        </w:rPr>
        <w:sectPr>
          <w:footerReference r:id="rId16" w:type="first"/>
          <w:footerReference r:id="rId15" w:type="default"/>
          <w:pgSz w:w="11906" w:h="16838"/>
          <w:pgMar w:top="1588" w:right="1418" w:bottom="1134" w:left="1418" w:header="851" w:footer="992" w:gutter="0"/>
          <w:cols w:space="720" w:num="1"/>
          <w:titlePg/>
          <w:docGrid w:linePitch="312" w:charSpace="0"/>
        </w:sectPr>
      </w:pPr>
      <w:bookmarkStart w:id="38" w:name="_Toc465187648"/>
    </w:p>
    <w:p>
      <w:pPr>
        <w:pStyle w:val="131"/>
        <w:spacing w:line="360" w:lineRule="auto"/>
        <w:outlineLvl w:val="1"/>
        <w:rPr>
          <w:rFonts w:ascii="Times New Roman" w:hAnsi="Times New Roman" w:eastAsia="宋体" w:cs="Times New Roman"/>
          <w:b/>
          <w:bCs w:val="0"/>
          <w:iCs/>
          <w:color w:val="auto"/>
          <w:sz w:val="24"/>
        </w:rPr>
      </w:pPr>
      <w:bookmarkStart w:id="39" w:name="_Toc131008494"/>
      <w:bookmarkStart w:id="40" w:name="_Toc19570"/>
      <w:r>
        <w:rPr>
          <w:rFonts w:hint="eastAsia" w:ascii="Times New Roman" w:hAnsi="Times New Roman" w:eastAsia="宋体" w:cs="Times New Roman"/>
          <w:b/>
          <w:bCs w:val="0"/>
          <w:iCs/>
          <w:color w:val="auto"/>
          <w:sz w:val="24"/>
        </w:rPr>
        <w:t>第七章  其它要求及说明</w:t>
      </w:r>
      <w:bookmarkEnd w:id="38"/>
      <w:bookmarkEnd w:id="39"/>
      <w:bookmarkEnd w:id="40"/>
    </w:p>
    <w:p>
      <w:pPr>
        <w:pStyle w:val="118"/>
        <w:spacing w:line="360" w:lineRule="auto"/>
        <w:rPr>
          <w:rFonts w:ascii="Times New Roman" w:hAnsi="Times New Roman" w:cs="Times New Roman"/>
          <w:color w:val="auto"/>
        </w:rPr>
      </w:pPr>
      <w:r>
        <w:rPr>
          <w:rFonts w:hint="eastAsia" w:ascii="Times New Roman" w:hAnsi="Times New Roman" w:cs="Times New Roman"/>
          <w:color w:val="auto"/>
        </w:rPr>
        <w:t>一、要求</w:t>
      </w:r>
    </w:p>
    <w:p>
      <w:pPr>
        <w:pStyle w:val="19"/>
        <w:spacing w:line="360" w:lineRule="auto"/>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为保证本技术标书所列采购货物的质量以及先进性、可靠性、经济性和实用性，要求投标人在投标文件中，至少应具备以下资格证明文件或资料：</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2.投标人应当是通过有关资格认证的法人。应当在投标文件中提供有效期内的资格认证证书，如：ISO9001、VDA6.1、QS9000等。</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3.国产设备应附有采购货物（或设备）涉及的由“中国质量认证中心”颁发的《中国国家强制性产品认证证书》（CCC证书）。</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4.应附有其它与投标单位、采购货物有关的荣誉证书或资料。</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5.必须附有投标货物涉及产品要求的、国家或行业管理规定要求的、或者投标人认为能够体现其投标货物合法性及先进性的最高级别的证明材料（投标货物不涉及的除外）：</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5.1国家相关机构颁发的有效期之内所必需的《生产许可证》；</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5.2产品（或技术）鉴定报告/证书、专利证书或专利许可证书、新技术成果证书等；</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5.3产品相关检验、试验报告，如：型式试验检验报告、安全试验检验报告、电弧效应试验报告、噪声检测报告等；</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5.4其它能够证明所供货物的质量水平、技术水平、安全性水平、节能性水平、环保性水平等相关的其它证明文件或资料、报告等；</w:t>
      </w:r>
    </w:p>
    <w:p>
      <w:pPr>
        <w:spacing w:line="360" w:lineRule="auto"/>
        <w:ind w:firstLine="477" w:firstLineChars="199"/>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5.5该类报告或证明材料对于投标人胜出乃至中标极为重要！</w:t>
      </w:r>
    </w:p>
    <w:p>
      <w:pPr>
        <w:numPr>
          <w:ilvl w:val="255"/>
          <w:numId w:val="0"/>
        </w:numPr>
        <w:spacing w:line="360" w:lineRule="auto"/>
        <w:ind w:firstLine="482" w:firstLineChars="200"/>
        <w:rPr>
          <w:rFonts w:ascii="Times New Roman" w:hAnsi="Times New Roman" w:eastAsia="宋体" w:cs="Times New Roman"/>
          <w:color w:val="auto"/>
          <w:sz w:val="24"/>
          <w:szCs w:val="24"/>
        </w:rPr>
      </w:pPr>
      <w:r>
        <w:rPr>
          <w:rFonts w:hint="eastAsia" w:ascii="Times New Roman" w:hAnsi="Times New Roman" w:eastAsia="宋体" w:cs="Times New Roman"/>
          <w:b/>
          <w:color w:val="auto"/>
          <w:sz w:val="24"/>
          <w:szCs w:val="24"/>
        </w:rPr>
        <w:t>6.必须附有：</w:t>
      </w:r>
      <w:r>
        <w:rPr>
          <w:rFonts w:hint="eastAsia" w:ascii="Times New Roman" w:hAnsi="Times New Roman" w:eastAsia="宋体" w:cs="Times New Roman"/>
          <w:color w:val="auto"/>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pPr>
        <w:pStyle w:val="118"/>
        <w:spacing w:line="360" w:lineRule="auto"/>
        <w:rPr>
          <w:rFonts w:ascii="Times New Roman" w:hAnsi="Times New Roman" w:cs="Times New Roman"/>
          <w:color w:val="auto"/>
        </w:rPr>
      </w:pPr>
      <w:r>
        <w:rPr>
          <w:rFonts w:hint="eastAsia" w:ascii="Times New Roman" w:hAnsi="Times New Roman" w:cs="Times New Roman"/>
          <w:color w:val="auto"/>
        </w:rPr>
        <w:t>二、其他</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2.即使有建议意见或建议方案，仍应依据招标文件和本技术标书要求，编写符合要求的投标文件。建议方案或建议意见，应以单独篇章或文件，予以说明和报价。</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pPr>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4.招标文件、投标文件、答疑文件、技术交流文件、技术标书等，在采购过程全部为有效文件，如有差异，以对招标人最有利的条款为准。</w:t>
      </w:r>
    </w:p>
    <w:p>
      <w:pPr>
        <w:spacing w:line="360" w:lineRule="auto"/>
        <w:ind w:firstLine="480" w:firstLineChars="200"/>
        <w:rPr>
          <w:rFonts w:ascii="Times New Roman" w:hAnsi="Times New Roman" w:eastAsia="宋体" w:cs="Times New Roman"/>
          <w:color w:val="auto"/>
          <w:sz w:val="24"/>
          <w:szCs w:val="24"/>
        </w:rPr>
        <w:sectPr>
          <w:footerReference r:id="rId18" w:type="first"/>
          <w:footerReference r:id="rId17" w:type="default"/>
          <w:pgSz w:w="11907" w:h="16840"/>
          <w:pgMar w:top="1304" w:right="1418" w:bottom="1304" w:left="1418" w:header="724" w:footer="851" w:gutter="0"/>
          <w:pgNumType w:fmt="decimal"/>
          <w:cols w:space="720" w:num="1"/>
          <w:docGrid w:linePitch="290" w:charSpace="-3931"/>
        </w:sectPr>
      </w:pPr>
      <w:r>
        <w:rPr>
          <w:rFonts w:hint="eastAsia" w:ascii="Times New Roman" w:hAnsi="Times New Roman" w:eastAsia="宋体" w:cs="Times New Roman"/>
          <w:color w:val="auto"/>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2"/>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pPr>
        <w:pStyle w:val="16"/>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headerReference r:id="rId19" w:type="default"/>
          <w:footerReference r:id="rId20" w:type="default"/>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41" w:name="_Toc29691"/>
      <w:r>
        <w:rPr>
          <w:rFonts w:hint="eastAsia" w:ascii="宋体" w:hAnsi="宋体" w:cs="宋体"/>
          <w:bCs/>
          <w:sz w:val="22"/>
          <w:szCs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2" w:name="_Toc11930"/>
      <w:bookmarkStart w:id="43" w:name="_Toc17619"/>
      <w:bookmarkStart w:id="44" w:name="_Toc11823"/>
      <w:bookmarkStart w:id="45" w:name="_Toc16330018"/>
      <w:r>
        <w:rPr>
          <w:rFonts w:hint="eastAsia" w:ascii="黑体" w:hAnsi="黑体" w:eastAsia="黑体" w:cstheme="minorEastAsia"/>
          <w:b w:val="0"/>
          <w:sz w:val="28"/>
          <w:szCs w:val="28"/>
        </w:rPr>
        <w:t>1 合同设备</w:t>
      </w:r>
      <w:bookmarkEnd w:id="42"/>
      <w:bookmarkEnd w:id="43"/>
      <w:bookmarkEnd w:id="44"/>
      <w:bookmarkEnd w:id="4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46" w:name="_Toc32510"/>
      <w:bookmarkStart w:id="47" w:name="_Toc29026"/>
      <w:bookmarkStart w:id="48"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9" w:name="_Toc16330019"/>
      <w:r>
        <w:rPr>
          <w:rFonts w:hint="eastAsia" w:ascii="黑体" w:hAnsi="黑体" w:eastAsia="黑体" w:cstheme="minorEastAsia"/>
          <w:b w:val="0"/>
          <w:sz w:val="28"/>
          <w:szCs w:val="28"/>
        </w:rPr>
        <w:t>2 包装</w:t>
      </w:r>
      <w:bookmarkEnd w:id="46"/>
      <w:bookmarkEnd w:id="47"/>
      <w:bookmarkEnd w:id="48"/>
      <w:bookmarkEnd w:id="4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0" w:name="_Toc2833"/>
      <w:bookmarkStart w:id="51" w:name="_Toc16330020"/>
      <w:bookmarkStart w:id="52" w:name="_Toc27453"/>
      <w:bookmarkStart w:id="53" w:name="_Toc27144"/>
      <w:r>
        <w:rPr>
          <w:rFonts w:hint="eastAsia" w:ascii="黑体" w:hAnsi="黑体" w:eastAsia="黑体" w:cstheme="minorEastAsia"/>
          <w:b w:val="0"/>
          <w:sz w:val="28"/>
          <w:szCs w:val="28"/>
        </w:rPr>
        <w:t>3 运输标记</w:t>
      </w:r>
      <w:bookmarkEnd w:id="50"/>
      <w:bookmarkEnd w:id="51"/>
      <w:bookmarkEnd w:id="52"/>
      <w:bookmarkEnd w:id="5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4" w:name="_Toc7431"/>
      <w:bookmarkStart w:id="55" w:name="_Toc16330021"/>
      <w:bookmarkStart w:id="56" w:name="_Toc10630"/>
      <w:bookmarkStart w:id="57" w:name="_Toc16133"/>
      <w:r>
        <w:rPr>
          <w:rFonts w:hint="eastAsia" w:ascii="黑体" w:hAnsi="黑体" w:eastAsia="黑体" w:cstheme="minorEastAsia"/>
          <w:b w:val="0"/>
          <w:sz w:val="28"/>
          <w:szCs w:val="28"/>
        </w:rPr>
        <w:t>4 检验</w:t>
      </w:r>
      <w:bookmarkEnd w:id="54"/>
      <w:bookmarkEnd w:id="55"/>
      <w:bookmarkEnd w:id="56"/>
      <w:bookmarkEnd w:id="5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8" w:name="_Toc19850"/>
      <w:bookmarkStart w:id="59" w:name="_Toc11217"/>
      <w:bookmarkStart w:id="60" w:name="_Toc24467"/>
      <w:bookmarkStart w:id="61" w:name="_Toc16330022"/>
      <w:r>
        <w:rPr>
          <w:rFonts w:hint="eastAsia" w:ascii="黑体" w:hAnsi="黑体" w:eastAsia="黑体" w:cstheme="minorEastAsia"/>
          <w:b w:val="0"/>
          <w:sz w:val="28"/>
          <w:szCs w:val="28"/>
        </w:rPr>
        <w:t>5 权利担保</w:t>
      </w:r>
      <w:bookmarkEnd w:id="58"/>
      <w:bookmarkEnd w:id="59"/>
      <w:bookmarkEnd w:id="60"/>
      <w:bookmarkEnd w:id="6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2" w:name="_Toc14809"/>
      <w:bookmarkStart w:id="63" w:name="_Toc27500"/>
      <w:bookmarkStart w:id="64" w:name="_Toc11759"/>
      <w:bookmarkStart w:id="65" w:name="_Toc16330023"/>
      <w:r>
        <w:rPr>
          <w:rFonts w:hint="eastAsia" w:ascii="黑体" w:hAnsi="黑体" w:eastAsia="黑体" w:cstheme="minorEastAsia"/>
          <w:b w:val="0"/>
          <w:sz w:val="28"/>
          <w:szCs w:val="28"/>
        </w:rPr>
        <w:t>6 交货</w:t>
      </w:r>
      <w:bookmarkEnd w:id="62"/>
      <w:bookmarkEnd w:id="63"/>
      <w:bookmarkEnd w:id="64"/>
      <w:bookmarkEnd w:id="6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6" w:name="_Toc25510"/>
      <w:bookmarkStart w:id="67" w:name="_Toc2984"/>
      <w:bookmarkStart w:id="68" w:name="_Toc16330024"/>
      <w:bookmarkStart w:id="69" w:name="_Toc8024"/>
      <w:r>
        <w:rPr>
          <w:rFonts w:hint="eastAsia" w:ascii="黑体" w:hAnsi="黑体" w:eastAsia="黑体" w:cstheme="minorEastAsia"/>
          <w:b w:val="0"/>
          <w:sz w:val="28"/>
          <w:szCs w:val="28"/>
        </w:rPr>
        <w:t>7 安装、调试</w:t>
      </w:r>
      <w:bookmarkEnd w:id="66"/>
      <w:bookmarkEnd w:id="67"/>
      <w:bookmarkEnd w:id="68"/>
      <w:bookmarkEnd w:id="69"/>
    </w:p>
    <w:p>
      <w:pPr>
        <w:pStyle w:val="10"/>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0" w:name="_Toc6350"/>
      <w:bookmarkStart w:id="71" w:name="_Toc14260"/>
      <w:bookmarkStart w:id="72" w:name="_Toc16330025"/>
      <w:bookmarkStart w:id="73" w:name="_Toc14098"/>
      <w:r>
        <w:rPr>
          <w:rFonts w:hint="eastAsia" w:ascii="黑体" w:hAnsi="黑体" w:eastAsia="黑体" w:cstheme="minorEastAsia"/>
          <w:b w:val="0"/>
          <w:sz w:val="28"/>
          <w:szCs w:val="28"/>
        </w:rPr>
        <w:t>8 价款与支付</w:t>
      </w:r>
      <w:bookmarkEnd w:id="70"/>
      <w:bookmarkEnd w:id="71"/>
      <w:bookmarkEnd w:id="72"/>
      <w:bookmarkEnd w:id="7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8.3.1合同生效设备全部到齐无质量问题通过买方初步验收并到货后,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74" w:name="_Toc14531628"/>
      <w:bookmarkStart w:id="75"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74"/>
      <w:bookmarkEnd w:id="75"/>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6" w:name="_Toc25708"/>
      <w:bookmarkStart w:id="77" w:name="_Toc24085"/>
      <w:bookmarkStart w:id="78" w:name="_Toc6726"/>
      <w:bookmarkStart w:id="79" w:name="_Toc16330026"/>
      <w:r>
        <w:rPr>
          <w:rFonts w:hint="eastAsia" w:ascii="黑体" w:hAnsi="黑体" w:eastAsia="黑体" w:cstheme="minorEastAsia"/>
          <w:b w:val="0"/>
          <w:sz w:val="28"/>
          <w:szCs w:val="28"/>
        </w:rPr>
        <w:t>9 质量保证及售后服务</w:t>
      </w:r>
      <w:bookmarkEnd w:id="76"/>
      <w:bookmarkEnd w:id="77"/>
      <w:bookmarkEnd w:id="78"/>
      <w:bookmarkEnd w:id="79"/>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0" w:name="_Toc12927"/>
      <w:bookmarkStart w:id="81" w:name="_Toc15570"/>
      <w:bookmarkStart w:id="82" w:name="_Toc16330027"/>
      <w:bookmarkStart w:id="83" w:name="_Toc10359"/>
      <w:r>
        <w:rPr>
          <w:rFonts w:hint="eastAsia" w:ascii="黑体" w:hAnsi="黑体" w:eastAsia="黑体" w:cstheme="minorEastAsia"/>
          <w:b w:val="0"/>
          <w:sz w:val="28"/>
          <w:szCs w:val="28"/>
        </w:rPr>
        <w:t>10法定责任</w:t>
      </w:r>
      <w:bookmarkEnd w:id="80"/>
      <w:bookmarkEnd w:id="81"/>
      <w:bookmarkEnd w:id="82"/>
      <w:bookmarkEnd w:id="8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4" w:name="_Toc30381"/>
      <w:bookmarkStart w:id="85" w:name="_Toc27314"/>
      <w:bookmarkStart w:id="86" w:name="_Toc9708"/>
      <w:bookmarkStart w:id="87" w:name="_Toc16330028"/>
      <w:r>
        <w:rPr>
          <w:rFonts w:hint="eastAsia" w:ascii="黑体" w:hAnsi="黑体" w:eastAsia="黑体" w:cstheme="minorEastAsia"/>
          <w:b w:val="0"/>
          <w:sz w:val="28"/>
          <w:szCs w:val="28"/>
        </w:rPr>
        <w:t>11 违约责任</w:t>
      </w:r>
      <w:bookmarkEnd w:id="84"/>
      <w:bookmarkEnd w:id="85"/>
      <w:bookmarkEnd w:id="86"/>
      <w:bookmarkEnd w:id="87"/>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8" w:name="_Toc1827"/>
      <w:bookmarkStart w:id="89" w:name="_Toc9172"/>
      <w:bookmarkStart w:id="90" w:name="_Toc16330029"/>
      <w:bookmarkStart w:id="91" w:name="_Toc31554"/>
      <w:r>
        <w:rPr>
          <w:rFonts w:hint="eastAsia" w:ascii="黑体" w:hAnsi="黑体" w:eastAsia="黑体" w:cstheme="minorEastAsia"/>
          <w:b w:val="0"/>
          <w:sz w:val="28"/>
          <w:szCs w:val="28"/>
        </w:rPr>
        <w:t>12 合同的终止与解除</w:t>
      </w:r>
      <w:bookmarkEnd w:id="88"/>
      <w:bookmarkEnd w:id="89"/>
      <w:bookmarkEnd w:id="90"/>
      <w:bookmarkEnd w:id="9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2" w:name="_Toc16330030"/>
      <w:bookmarkStart w:id="93" w:name="_Toc8620"/>
      <w:bookmarkStart w:id="94" w:name="_Toc13671"/>
      <w:bookmarkStart w:id="95" w:name="_Toc31945"/>
      <w:r>
        <w:rPr>
          <w:rFonts w:hint="eastAsia" w:ascii="黑体" w:hAnsi="黑体" w:eastAsia="黑体" w:cstheme="minorEastAsia"/>
          <w:b w:val="0"/>
          <w:sz w:val="28"/>
          <w:szCs w:val="28"/>
        </w:rPr>
        <w:t>13 不可抗力</w:t>
      </w:r>
      <w:bookmarkEnd w:id="92"/>
      <w:bookmarkEnd w:id="93"/>
      <w:bookmarkEnd w:id="94"/>
      <w:bookmarkEnd w:id="9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6" w:name="_Toc637"/>
      <w:bookmarkStart w:id="97" w:name="_Toc31243"/>
      <w:bookmarkStart w:id="98" w:name="_Toc16330031"/>
      <w:bookmarkStart w:id="99" w:name="_Toc30389"/>
      <w:r>
        <w:rPr>
          <w:rFonts w:hint="eastAsia" w:ascii="黑体" w:hAnsi="黑体" w:eastAsia="黑体" w:cstheme="minorEastAsia"/>
          <w:b w:val="0"/>
          <w:sz w:val="28"/>
          <w:szCs w:val="28"/>
        </w:rPr>
        <w:t>14 通讯</w:t>
      </w:r>
      <w:bookmarkEnd w:id="96"/>
      <w:bookmarkEnd w:id="97"/>
      <w:bookmarkEnd w:id="98"/>
      <w:bookmarkEnd w:id="9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3"/>
        <w:tabs>
          <w:tab w:val="right" w:leader="dot" w:pos="9061"/>
        </w:tabs>
        <w:spacing w:before="240" w:beforeLines="100"/>
        <w:jc w:val="both"/>
        <w:rPr>
          <w:rFonts w:ascii="黑体" w:hAnsi="黑体" w:eastAsia="黑体" w:cstheme="minorEastAsia"/>
          <w:b w:val="0"/>
          <w:sz w:val="28"/>
          <w:szCs w:val="28"/>
        </w:rPr>
      </w:pPr>
      <w:bookmarkStart w:id="100" w:name="_Toc9915"/>
      <w:bookmarkStart w:id="101" w:name="_Toc12984"/>
      <w:bookmarkStart w:id="102" w:name="_Toc11290"/>
      <w:bookmarkStart w:id="103" w:name="_Toc16330032"/>
      <w:r>
        <w:rPr>
          <w:rFonts w:hint="eastAsia" w:ascii="黑体" w:hAnsi="黑体" w:eastAsia="黑体" w:cstheme="minorEastAsia"/>
          <w:b w:val="0"/>
          <w:sz w:val="28"/>
          <w:szCs w:val="28"/>
        </w:rPr>
        <w:t>15 适用法律及争议解决</w:t>
      </w:r>
      <w:bookmarkEnd w:id="100"/>
      <w:bookmarkEnd w:id="101"/>
      <w:bookmarkEnd w:id="102"/>
      <w:bookmarkEnd w:id="10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4" w:name="_Toc23906"/>
      <w:bookmarkStart w:id="105" w:name="_Toc18207"/>
      <w:bookmarkStart w:id="106" w:name="_Toc23765"/>
      <w:bookmarkStart w:id="107" w:name="_Toc16330033"/>
      <w:r>
        <w:rPr>
          <w:rFonts w:hint="eastAsia" w:ascii="黑体" w:hAnsi="黑体" w:eastAsia="黑体" w:cstheme="minorEastAsia"/>
          <w:b w:val="0"/>
          <w:sz w:val="28"/>
          <w:szCs w:val="28"/>
        </w:rPr>
        <w:t>16 附件</w:t>
      </w:r>
      <w:bookmarkEnd w:id="104"/>
      <w:bookmarkEnd w:id="105"/>
      <w:bookmarkEnd w:id="106"/>
      <w:bookmarkEnd w:id="10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8" w:name="_Toc17656"/>
      <w:bookmarkStart w:id="109" w:name="_Toc31331"/>
      <w:bookmarkStart w:id="110" w:name="_Toc27202"/>
      <w:bookmarkStart w:id="111" w:name="_Toc16330034"/>
      <w:r>
        <w:rPr>
          <w:rFonts w:hint="eastAsia" w:ascii="黑体" w:hAnsi="黑体" w:eastAsia="黑体" w:cstheme="minorEastAsia"/>
          <w:b w:val="0"/>
          <w:sz w:val="28"/>
          <w:szCs w:val="28"/>
        </w:rPr>
        <w:t>17 其他规定</w:t>
      </w:r>
      <w:bookmarkEnd w:id="108"/>
      <w:bookmarkEnd w:id="109"/>
      <w:bookmarkEnd w:id="110"/>
      <w:bookmarkEnd w:id="11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12" w:name="_Toc17952"/>
      <w:bookmarkStart w:id="113" w:name="_Toc29136"/>
      <w:bookmarkStart w:id="114" w:name="_Toc19077"/>
      <w:bookmarkStart w:id="115" w:name="_Toc16330035"/>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12"/>
      <w:bookmarkEnd w:id="113"/>
      <w:bookmarkEnd w:id="114"/>
      <w:bookmarkEnd w:id="11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3"/>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5"/>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Theme="minorEastAsia" w:hAnsiTheme="minorEastAsia" w:eastAsiaTheme="minorEastAsia" w:cstheme="minorEastAsia"/>
          <w:sz w:val="20"/>
          <w:szCs w:val="20"/>
        </w:rPr>
      </w:pPr>
      <w:bookmarkStart w:id="116" w:name="_Toc3778"/>
      <w:bookmarkStart w:id="117" w:name="_Toc25120"/>
      <w:bookmarkStart w:id="118" w:name="_Toc5379"/>
      <w:bookmarkStart w:id="119" w:name="_Toc16330037"/>
      <w:bookmarkStart w:id="120" w:name="_Toc24623"/>
      <w:r>
        <w:rPr>
          <w:rFonts w:hint="eastAsia" w:asciiTheme="minorEastAsia" w:hAnsiTheme="minorEastAsia" w:eastAsiaTheme="minorEastAsia" w:cstheme="minorEastAsia"/>
          <w:sz w:val="20"/>
          <w:szCs w:val="20"/>
        </w:rPr>
        <w:br w:type="page"/>
      </w:r>
    </w:p>
    <w:p>
      <w:pPr>
        <w:pStyle w:val="3"/>
        <w:tabs>
          <w:tab w:val="right" w:leader="dot" w:pos="9061"/>
        </w:tabs>
        <w:ind w:left="0"/>
        <w:jc w:val="both"/>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16"/>
      <w:bookmarkEnd w:id="117"/>
      <w:bookmarkEnd w:id="118"/>
      <w:bookmarkEnd w:id="119"/>
      <w:bookmarkEnd w:id="120"/>
      <w:r>
        <w:rPr>
          <w:rFonts w:hint="eastAsia" w:ascii="黑体" w:hAnsi="黑体" w:eastAsia="黑体" w:cstheme="minorEastAsia"/>
          <w:b w:val="0"/>
          <w:sz w:val="28"/>
          <w:szCs w:val="28"/>
        </w:rPr>
        <w:t>技术协议书</w:t>
      </w:r>
    </w:p>
    <w:p>
      <w:pPr>
        <w:ind w:right="360"/>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pPr>
        <w:jc w:val="right"/>
        <w:rPr>
          <w:rFonts w:asciiTheme="minorEastAsia" w:hAnsiTheme="minorEastAsia" w:eastAsiaTheme="minorEastAsia" w:cstheme="minorEastAsia"/>
          <w:sz w:val="20"/>
          <w:szCs w:val="20"/>
        </w:rPr>
      </w:pP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21" w:name="_Toc14341849"/>
    </w:p>
    <w:p>
      <w:pPr>
        <w:ind w:right="480"/>
        <w:jc w:val="center"/>
        <w:rPr>
          <w:sz w:val="24"/>
          <w:szCs w:val="24"/>
        </w:rPr>
      </w:pPr>
      <w:r>
        <w:rPr>
          <w:rFonts w:hint="eastAsia" w:ascii="楷体_GB2312" w:hAnsi="宋体" w:eastAsia="楷体_GB2312"/>
          <w:sz w:val="24"/>
        </w:rPr>
        <w:t xml:space="preserve">                                    </w:t>
      </w:r>
    </w:p>
    <w:bookmarkEnd w:id="121"/>
    <w:p>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11"/>
        <w:spacing w:before="8"/>
        <w:ind w:left="0" w:firstLine="0"/>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1"/>
        <w:spacing w:before="9"/>
        <w:ind w:left="0" w:firstLine="0"/>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1"/>
        <w:ind w:left="0" w:firstLine="0"/>
        <w:rPr>
          <w:rFonts w:ascii="楷体" w:hAnsi="楷体" w:eastAsia="楷体" w:cs="楷体"/>
          <w:b/>
          <w:sz w:val="24"/>
          <w:szCs w:val="28"/>
        </w:rPr>
      </w:pPr>
    </w:p>
    <w:p>
      <w:pPr>
        <w:pStyle w:val="11"/>
        <w:spacing w:before="1"/>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1"/>
        <w:ind w:left="0" w:firstLine="0"/>
        <w:rPr>
          <w:rFonts w:ascii="楷体" w:hAnsi="楷体" w:eastAsia="楷体" w:cs="楷体"/>
          <w:b/>
          <w:sz w:val="24"/>
          <w:szCs w:val="28"/>
        </w:rPr>
      </w:pPr>
    </w:p>
    <w:p>
      <w:pPr>
        <w:pStyle w:val="11"/>
        <w:spacing w:before="4"/>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hint="eastAsia" w:ascii="Calibri" w:hAnsi="Calibri" w:eastAsia="宋体" w:cs="Times New Roman"/>
          <w:b/>
          <w:bCs/>
          <w:kern w:val="44"/>
          <w:sz w:val="36"/>
          <w:szCs w:val="44"/>
        </w:rPr>
        <w:sectPr>
          <w:footerReference r:id="rId23" w:type="first"/>
          <w:headerReference r:id="rId21" w:type="default"/>
          <w:footerReference r:id="rId22" w:type="default"/>
          <w:pgSz w:w="11906" w:h="16838"/>
          <w:pgMar w:top="1588" w:right="1418" w:bottom="1134" w:left="1418" w:header="851" w:footer="992" w:gutter="0"/>
          <w:pgNumType w:fmt="decimal"/>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1"/>
    </w:p>
    <w:p>
      <w:pPr>
        <w:keepNext/>
        <w:keepLines/>
        <w:outlineLvl w:val="9"/>
        <w:rPr>
          <w:rFonts w:hint="eastAsia" w:ascii="Times New Roman" w:hAnsi="Times New Roman" w:eastAsia="宋体" w:cs="Times New Roman"/>
          <w:b/>
          <w:bCs/>
          <w:color w:val="000000"/>
          <w:sz w:val="24"/>
          <w:szCs w:val="24"/>
        </w:rPr>
      </w:pPr>
    </w:p>
    <w:p>
      <w:pPr>
        <w:pStyle w:val="16"/>
        <w:rPr>
          <w:rFonts w:hint="eastAsia"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pPr>
        <w:pStyle w:val="16"/>
        <w:rPr>
          <w:rFonts w:hint="eastAsia" w:ascii="Times New Roman" w:hAnsi="Times New Roman" w:eastAsia="宋体" w:cs="Times New Roman"/>
          <w:b/>
          <w:bCs/>
          <w:color w:val="000000"/>
          <w:sz w:val="24"/>
          <w:szCs w:val="24"/>
        </w:rPr>
        <w:sectPr>
          <w:footerReference r:id="rId26" w:type="first"/>
          <w:headerReference r:id="rId24" w:type="default"/>
          <w:footerReference r:id="rId2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2" w:name="_Toc639004"/>
      <w:bookmarkStart w:id="123" w:name="_Toc25811"/>
      <w:bookmarkStart w:id="124" w:name="_Toc353881012"/>
      <w:bookmarkStart w:id="125"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2"/>
      <w:bookmarkEnd w:id="123"/>
      <w:bookmarkEnd w:id="124"/>
      <w:bookmarkEnd w:id="125"/>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w:t>
      </w:r>
      <w:r>
        <w:rPr>
          <w:rFonts w:hint="eastAsia" w:ascii="宋体" w:hAnsi="宋体" w:eastAsia="宋体" w:cs="Times New Roman"/>
          <w:color w:val="000000"/>
          <w:sz w:val="24"/>
          <w:szCs w:val="24"/>
          <w:lang w:val="en-US" w:eastAsia="zh-CN"/>
        </w:rPr>
        <w:t>动力</w:t>
      </w:r>
      <w:r>
        <w:rPr>
          <w:rFonts w:hint="eastAsia" w:ascii="宋体" w:hAnsi="宋体" w:eastAsia="宋体" w:cs="Times New Roman"/>
          <w:color w:val="000000"/>
          <w:sz w:val="24"/>
          <w:szCs w:val="24"/>
          <w:lang w:eastAsia="zh-CN"/>
        </w:rPr>
        <w:t>有限公司</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新增旧件分析拆解、检测能力提升项目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6"/>
        <w:rPr>
          <w:rFonts w:ascii="黑体" w:hAnsi="Calibri" w:eastAsia="黑体" w:cs="Times New Roman"/>
          <w:color w:val="000000"/>
          <w:sz w:val="24"/>
          <w:szCs w:val="24"/>
        </w:rPr>
      </w:pPr>
    </w:p>
    <w:p>
      <w:pPr>
        <w:pStyle w:val="16"/>
        <w:rPr>
          <w:rFonts w:ascii="黑体" w:hAnsi="Calibri" w:eastAsia="黑体" w:cs="Times New Roman"/>
          <w:color w:val="000000"/>
          <w:sz w:val="24"/>
          <w:szCs w:val="24"/>
        </w:rPr>
      </w:pPr>
    </w:p>
    <w:p>
      <w:pPr>
        <w:pStyle w:val="16"/>
        <w:rPr>
          <w:rFonts w:ascii="黑体" w:hAnsi="Calibri" w:eastAsia="黑体" w:cs="Times New Roman"/>
          <w:color w:val="000000"/>
          <w:sz w:val="24"/>
          <w:szCs w:val="24"/>
        </w:rPr>
      </w:pPr>
    </w:p>
    <w:p>
      <w:pPr>
        <w:pStyle w:val="16"/>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新增旧件分析拆解、检测能力提升项目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CGZX2024110063</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6"/>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0"/>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0"/>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0"/>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0"/>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0"/>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14"/>
              <w:ind w:left="720"/>
            </w:pPr>
            <w:r>
              <w:t xml:space="preserve">品牌区分 </w:t>
            </w:r>
          </w:p>
        </w:tc>
        <w:tc>
          <w:tcPr>
            <w:tcW w:w="7500" w:type="dxa"/>
            <w:gridSpan w:val="6"/>
          </w:tcPr>
          <w:p>
            <w:pPr>
              <w:pStyle w:val="130"/>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0"/>
              <w:spacing w:before="15"/>
              <w:ind w:left="279"/>
            </w:pPr>
            <w:r>
              <w:rPr>
                <w:spacing w:val="-2"/>
              </w:rPr>
              <w:t>质量</w:t>
            </w:r>
            <w:r>
              <w:t xml:space="preserve"> </w:t>
            </w:r>
          </w:p>
          <w:p>
            <w:pPr>
              <w:pStyle w:val="130"/>
              <w:spacing w:before="30" w:line="277" w:lineRule="exact"/>
              <w:ind w:left="279"/>
            </w:pPr>
            <w:r>
              <w:rPr>
                <w:rFonts w:hint="eastAsia"/>
              </w:rPr>
              <w:t>体系</w:t>
            </w:r>
          </w:p>
        </w:tc>
        <w:tc>
          <w:tcPr>
            <w:tcW w:w="2820" w:type="dxa"/>
            <w:gridSpan w:val="2"/>
          </w:tcPr>
          <w:p>
            <w:pPr>
              <w:pStyle w:val="130"/>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0"/>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rPr>
          <w:rFonts w:ascii="Times New Roman" w:hAnsi="Times New Roman" w:eastAsia="宋体" w:cs="Times New Roman"/>
          <w:b/>
          <w:bCs/>
          <w:color w:val="000000"/>
          <w:sz w:val="24"/>
          <w:szCs w:val="24"/>
        </w:rPr>
      </w:pPr>
    </w:p>
    <w:p>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6"/>
        <w:rPr>
          <w:rFonts w:ascii="Times New Roman" w:hAnsi="Times New Roman" w:eastAsia="宋体" w:cs="Times New Roman"/>
          <w:b/>
          <w:bCs/>
          <w:color w:val="000000"/>
          <w:sz w:val="24"/>
          <w:szCs w:val="24"/>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21</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宋体"/>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新增旧件分析拆解、检测能力提升项目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w:t>
      </w:r>
      <w:r>
        <w:rPr>
          <w:rFonts w:hint="eastAsia" w:ascii="宋体" w:hAnsi="宋体" w:eastAsia="宋体" w:cs="Times New Roman"/>
          <w:b/>
          <w:bCs/>
          <w:sz w:val="24"/>
          <w:szCs w:val="20"/>
          <w:lang w:val="en-US" w:eastAsia="zh-CN"/>
        </w:rPr>
        <w:t>动力</w:t>
      </w:r>
      <w:r>
        <w:rPr>
          <w:rFonts w:hint="eastAsia" w:ascii="宋体" w:hAnsi="宋体" w:eastAsia="宋体" w:cs="Times New Roman"/>
          <w:b/>
          <w:bCs/>
          <w:sz w:val="24"/>
          <w:szCs w:val="20"/>
          <w:lang w:eastAsia="zh-CN"/>
        </w:rPr>
        <w:t>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新增旧件分析拆解、检测能力提升项目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pPr>
    </w:p>
    <w:p>
      <w:pPr>
        <w:pStyle w:val="45"/>
        <w:rPr>
          <w:rFonts w:ascii="宋体" w:hAnsi="Calibri" w:eastAsia="宋体" w:cs="宋体"/>
          <w:b/>
          <w:bCs/>
          <w:color w:val="000000"/>
          <w:sz w:val="28"/>
          <w:szCs w:val="20"/>
        </w:rPr>
      </w:pPr>
    </w:p>
    <w:p>
      <w:pPr>
        <w:pStyle w:val="45"/>
        <w:rPr>
          <w:rFonts w:ascii="宋体" w:hAnsi="Calibri" w:eastAsia="宋体" w:cs="宋体"/>
          <w:b/>
          <w:bCs/>
          <w:color w:val="000000"/>
          <w:sz w:val="28"/>
          <w:szCs w:val="20"/>
        </w:rPr>
      </w:pPr>
    </w:p>
    <w:p>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91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2003"/>
        <w:gridCol w:w="2599"/>
        <w:gridCol w:w="1026"/>
        <w:gridCol w:w="679"/>
        <w:gridCol w:w="1430"/>
        <w:gridCol w:w="83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567" w:type="dxa"/>
            <w:vAlign w:val="center"/>
          </w:tcPr>
          <w:p>
            <w:pPr>
              <w:keepNext w:val="0"/>
              <w:keepLines w:val="0"/>
              <w:pageBreakBefore w:val="0"/>
              <w:widowControl w:val="0"/>
              <w:kinsoku/>
              <w:wordWrap/>
              <w:overflowPunct/>
              <w:topLinePunct w:val="0"/>
              <w:autoSpaceDE/>
              <w:autoSpaceDN/>
              <w:bidi w:val="0"/>
              <w:adjustRightInd/>
              <w:snapToGrid/>
              <w:spacing w:line="186" w:lineRule="auto"/>
              <w:ind w:left="0"/>
              <w:jc w:val="center"/>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003"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599"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jc w:val="center"/>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026"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79" w:type="dxa"/>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30" w:type="dxa"/>
            <w:tcBorders>
              <w:lef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6</w:t>
            </w:r>
          </w:p>
        </w:tc>
        <w:tc>
          <w:tcPr>
            <w:tcW w:w="832"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firstLine="420" w:firstLineChars="200"/>
              <w:jc w:val="left"/>
              <w:textAlignment w:val="auto"/>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vAlign w:val="center"/>
          </w:tcPr>
          <w:p>
            <w:pPr>
              <w:spacing w:line="221" w:lineRule="auto"/>
              <w:jc w:val="center"/>
              <w:rPr>
                <w:rFonts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序号</w:t>
            </w:r>
          </w:p>
        </w:tc>
        <w:tc>
          <w:tcPr>
            <w:tcW w:w="2003" w:type="dxa"/>
            <w:vAlign w:val="center"/>
          </w:tcPr>
          <w:p>
            <w:pPr>
              <w:spacing w:line="221" w:lineRule="auto"/>
              <w:jc w:val="center"/>
              <w:rPr>
                <w:rFonts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货物名称</w:t>
            </w:r>
          </w:p>
        </w:tc>
        <w:tc>
          <w:tcPr>
            <w:tcW w:w="259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02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67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430"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83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p>
        </w:tc>
        <w:tc>
          <w:tcPr>
            <w:tcW w:w="200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5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026"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p>
        </w:tc>
        <w:tc>
          <w:tcPr>
            <w:tcW w:w="6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430" w:type="dxa"/>
            <w:tcBorders>
              <w:left w:val="single" w:color="000000" w:sz="4" w:space="0"/>
            </w:tcBorders>
          </w:tcPr>
          <w:p>
            <w:pPr>
              <w:rPr>
                <w:rFonts w:ascii="Arial"/>
                <w:sz w:val="18"/>
                <w:szCs w:val="18"/>
              </w:rPr>
            </w:pPr>
          </w:p>
        </w:tc>
        <w:tc>
          <w:tcPr>
            <w:tcW w:w="832" w:type="dxa"/>
          </w:tcPr>
          <w:p>
            <w:pPr>
              <w:rPr>
                <w:rFonts w:ascii="Arial"/>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p>
        </w:tc>
        <w:tc>
          <w:tcPr>
            <w:tcW w:w="200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5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430" w:type="dxa"/>
            <w:tcBorders>
              <w:left w:val="single" w:color="000000" w:sz="4" w:space="0"/>
            </w:tcBorders>
          </w:tcPr>
          <w:p>
            <w:pPr>
              <w:rPr>
                <w:rFonts w:ascii="Arial"/>
                <w:sz w:val="18"/>
                <w:szCs w:val="18"/>
              </w:rPr>
            </w:pPr>
          </w:p>
        </w:tc>
        <w:tc>
          <w:tcPr>
            <w:tcW w:w="832" w:type="dxa"/>
          </w:tcPr>
          <w:p>
            <w:pPr>
              <w:rPr>
                <w:rFonts w:ascii="Arial"/>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p>
        </w:tc>
        <w:tc>
          <w:tcPr>
            <w:tcW w:w="2003" w:type="dxa"/>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5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430" w:type="dxa"/>
            <w:tcBorders>
              <w:left w:val="single" w:color="000000" w:sz="4" w:space="0"/>
            </w:tcBorders>
          </w:tcPr>
          <w:p>
            <w:pPr>
              <w:rPr>
                <w:rFonts w:ascii="Arial"/>
                <w:sz w:val="18"/>
                <w:szCs w:val="18"/>
              </w:rPr>
            </w:pPr>
          </w:p>
        </w:tc>
        <w:tc>
          <w:tcPr>
            <w:tcW w:w="832" w:type="dxa"/>
          </w:tcPr>
          <w:p>
            <w:pPr>
              <w:rPr>
                <w:rFonts w:ascii="Arial"/>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shd w:val="clear" w:color="auto" w:fill="auto"/>
            <w:vAlign w:val="center"/>
          </w:tcPr>
          <w:p>
            <w:pPr>
              <w:widowControl/>
              <w:jc w:val="center"/>
              <w:textAlignment w:val="center"/>
              <w:rPr>
                <w:rFonts w:hint="default" w:ascii="仿宋_GB2312" w:hAnsi="仿宋_GB2312" w:eastAsia="仿宋_GB2312" w:cs="仿宋_GB2312"/>
                <w:color w:val="000000"/>
                <w:kern w:val="0"/>
                <w:sz w:val="21"/>
                <w:szCs w:val="21"/>
                <w:lang w:val="en-US" w:eastAsia="zh-CN" w:bidi="ar"/>
              </w:rPr>
            </w:pPr>
          </w:p>
        </w:tc>
        <w:tc>
          <w:tcPr>
            <w:tcW w:w="2003" w:type="dxa"/>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5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430" w:type="dxa"/>
            <w:tcBorders>
              <w:left w:val="single" w:color="000000" w:sz="4" w:space="0"/>
            </w:tcBorders>
          </w:tcPr>
          <w:p>
            <w:pPr>
              <w:rPr>
                <w:rFonts w:ascii="Arial"/>
                <w:sz w:val="18"/>
                <w:szCs w:val="18"/>
              </w:rPr>
            </w:pPr>
          </w:p>
        </w:tc>
        <w:tc>
          <w:tcPr>
            <w:tcW w:w="832" w:type="dxa"/>
          </w:tcPr>
          <w:p>
            <w:pPr>
              <w:rPr>
                <w:rFonts w:ascii="Arial"/>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567" w:type="dxa"/>
            <w:shd w:val="clear" w:color="auto" w:fill="auto"/>
            <w:vAlign w:val="center"/>
          </w:tcPr>
          <w:p>
            <w:pPr>
              <w:widowControl/>
              <w:jc w:val="center"/>
              <w:textAlignment w:val="center"/>
              <w:rPr>
                <w:rFonts w:hint="default" w:ascii="仿宋_GB2312" w:hAnsi="仿宋_GB2312" w:eastAsia="仿宋_GB2312" w:cs="仿宋_GB2312"/>
                <w:color w:val="000000"/>
                <w:kern w:val="0"/>
                <w:sz w:val="21"/>
                <w:szCs w:val="21"/>
                <w:lang w:val="en-US" w:eastAsia="zh-CN" w:bidi="ar"/>
              </w:rPr>
            </w:pPr>
          </w:p>
        </w:tc>
        <w:tc>
          <w:tcPr>
            <w:tcW w:w="2003" w:type="dxa"/>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25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430" w:type="dxa"/>
            <w:tcBorders>
              <w:left w:val="single" w:color="000000" w:sz="4" w:space="0"/>
            </w:tcBorders>
          </w:tcPr>
          <w:p>
            <w:pPr>
              <w:rPr>
                <w:rFonts w:ascii="Arial"/>
              </w:rPr>
            </w:pPr>
          </w:p>
        </w:tc>
        <w:tc>
          <w:tcPr>
            <w:tcW w:w="83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567" w:type="dxa"/>
            <w:vAlign w:val="center"/>
          </w:tcPr>
          <w:p>
            <w:pPr>
              <w:adjustRightInd w:val="0"/>
              <w:snapToGrid w:val="0"/>
              <w:spacing w:before="0" w:line="240" w:lineRule="auto"/>
              <w:ind w:left="0"/>
              <w:jc w:val="center"/>
              <w:rPr>
                <w:rFonts w:ascii="宋体" w:hAnsi="宋体" w:eastAsia="宋体" w:cs="宋体"/>
                <w:szCs w:val="21"/>
              </w:rPr>
            </w:pPr>
          </w:p>
        </w:tc>
        <w:tc>
          <w:tcPr>
            <w:tcW w:w="2003" w:type="dxa"/>
          </w:tcPr>
          <w:p>
            <w:pPr>
              <w:rPr>
                <w:rFonts w:ascii="Arial"/>
              </w:rPr>
            </w:pPr>
            <w:r>
              <w:rPr>
                <w:rFonts w:hint="eastAsia" w:ascii="宋体" w:hAnsi="宋体" w:eastAsia="宋体" w:cstheme="minorBidi"/>
                <w:color w:val="FF0000"/>
                <w:sz w:val="18"/>
                <w:szCs w:val="18"/>
              </w:rPr>
              <w:t>以上投标设备不足之处请往下添加序号自行补充</w:t>
            </w:r>
          </w:p>
        </w:tc>
        <w:tc>
          <w:tcPr>
            <w:tcW w:w="2599" w:type="dxa"/>
          </w:tcPr>
          <w:p>
            <w:pPr>
              <w:rPr>
                <w:rFonts w:ascii="Arial"/>
              </w:rPr>
            </w:pPr>
          </w:p>
        </w:tc>
        <w:tc>
          <w:tcPr>
            <w:tcW w:w="1026" w:type="dxa"/>
          </w:tcPr>
          <w:p>
            <w:pPr>
              <w:rPr>
                <w:rFonts w:ascii="Arial"/>
              </w:rPr>
            </w:pPr>
          </w:p>
        </w:tc>
        <w:tc>
          <w:tcPr>
            <w:tcW w:w="679" w:type="dxa"/>
          </w:tcPr>
          <w:p>
            <w:pPr>
              <w:rPr>
                <w:rFonts w:ascii="Arial"/>
              </w:rPr>
            </w:pPr>
          </w:p>
        </w:tc>
        <w:tc>
          <w:tcPr>
            <w:tcW w:w="1430" w:type="dxa"/>
            <w:tcBorders>
              <w:left w:val="single" w:color="000000" w:sz="4" w:space="0"/>
            </w:tcBorders>
          </w:tcPr>
          <w:p>
            <w:pPr>
              <w:rPr>
                <w:rFonts w:ascii="Arial"/>
              </w:rPr>
            </w:pPr>
          </w:p>
        </w:tc>
        <w:tc>
          <w:tcPr>
            <w:tcW w:w="832" w:type="dxa"/>
          </w:tcPr>
          <w:p>
            <w:pPr>
              <w:rPr>
                <w:rFonts w:ascii="Arial"/>
              </w:rPr>
            </w:pPr>
          </w:p>
        </w:tc>
      </w:tr>
    </w:tbl>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b w:val="0"/>
          <w:bCs w:val="0"/>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pStyle w:val="45"/>
        <w:rPr>
          <w:rFonts w:ascii="宋体" w:hAnsi="Calibri" w:eastAsia="宋体" w:cs="宋体"/>
          <w:b/>
          <w:bCs/>
          <w:color w:val="000000"/>
          <w:sz w:val="28"/>
          <w:szCs w:val="20"/>
        </w:rPr>
        <w:sectPr>
          <w:footerReference r:id="rId32" w:type="first"/>
          <w:footerReference r:id="rId3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21</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新增旧件分析拆解、检测能力提升项目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21</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footerReference r:id="rId3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szCs w:val="24"/>
          <w:highlight w:val="none"/>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新增旧件分析拆解、检测能力提升项目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w:t>
      </w:r>
      <w:r>
        <w:rPr>
          <w:rFonts w:hint="eastAsia" w:ascii="宋体" w:hAnsi="宋体" w:eastAsia="宋体" w:cs="Times New Roman"/>
          <w:b/>
          <w:bCs/>
          <w:sz w:val="24"/>
          <w:szCs w:val="20"/>
          <w:lang w:val="en-US" w:eastAsia="zh-CN"/>
        </w:rPr>
        <w:t>动力</w:t>
      </w:r>
      <w:r>
        <w:rPr>
          <w:rFonts w:hint="eastAsia" w:ascii="宋体" w:hAnsi="宋体" w:eastAsia="宋体" w:cs="Times New Roman"/>
          <w:b/>
          <w:bCs/>
          <w:sz w:val="24"/>
          <w:szCs w:val="20"/>
          <w:lang w:eastAsia="zh-CN"/>
        </w:rPr>
        <w:t>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35" w:type="first"/>
          <w:footerReference r:id="rId3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新增旧件分析拆解、检测能力提升项目</w:t>
      </w:r>
      <w:r>
        <w:rPr>
          <w:rFonts w:ascii="宋体" w:hAnsi="宋体" w:eastAsia="宋体" w:cs="Times New Roman"/>
          <w:color w:val="000000"/>
          <w:sz w:val="24"/>
          <w:szCs w:val="24"/>
        </w:rPr>
        <w:t xml:space="preserve">                                                        </w:t>
      </w:r>
    </w:p>
    <w:tbl>
      <w:tblPr>
        <w:tblStyle w:val="3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新增旧件分析拆解、检测能力提升项目</w:t>
            </w:r>
          </w:p>
        </w:tc>
        <w:tc>
          <w:tcPr>
            <w:tcW w:w="848" w:type="dxa"/>
            <w:vAlign w:val="center"/>
          </w:tcPr>
          <w:p>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6"/>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6"/>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keepNext/>
        <w:keepLines/>
        <w:spacing w:line="400" w:lineRule="exact"/>
        <w:jc w:val="center"/>
        <w:rPr>
          <w:rFonts w:ascii="宋体" w:hAnsi="宋体" w:eastAsia="宋体" w:cs="宋体"/>
          <w:spacing w:val="8"/>
          <w:sz w:val="24"/>
          <w:szCs w:val="24"/>
          <w14:textOutline w14:w="5791" w14:cap="flat" w14:cmpd="sng" w14:algn="ctr">
            <w14:solidFill>
              <w14:srgbClr w14:val="000000"/>
            </w14:solidFill>
            <w14:prstDash w14:val="solid"/>
            <w14:miter w14:val="0"/>
          </w14:textOutline>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before="52" w:line="221" w:lineRule="auto"/>
        <w:ind w:left="9"/>
        <w:jc w:val="right"/>
        <w:rPr>
          <w:rFonts w:ascii="宋体" w:hAnsi="宋体" w:eastAsia="宋体" w:cs="Times New Roman"/>
          <w:b/>
          <w:bCs/>
          <w:sz w:val="24"/>
          <w:szCs w:val="24"/>
        </w:rPr>
      </w:pPr>
    </w:p>
    <w:tbl>
      <w:tblPr>
        <w:tblStyle w:val="128"/>
        <w:tblW w:w="13997" w:type="dxa"/>
        <w:tblInd w:w="13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58"/>
        <w:gridCol w:w="2801"/>
        <w:gridCol w:w="3604"/>
        <w:gridCol w:w="765"/>
        <w:gridCol w:w="900"/>
        <w:gridCol w:w="1110"/>
        <w:gridCol w:w="1380"/>
        <w:gridCol w:w="1725"/>
        <w:gridCol w:w="115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558"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1</w:t>
            </w:r>
          </w:p>
        </w:tc>
        <w:tc>
          <w:tcPr>
            <w:tcW w:w="2801"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2</w:t>
            </w:r>
          </w:p>
        </w:tc>
        <w:tc>
          <w:tcPr>
            <w:tcW w:w="3604"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3</w:t>
            </w:r>
          </w:p>
        </w:tc>
        <w:tc>
          <w:tcPr>
            <w:tcW w:w="765"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4</w:t>
            </w:r>
          </w:p>
        </w:tc>
        <w:tc>
          <w:tcPr>
            <w:tcW w:w="900"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5</w:t>
            </w:r>
          </w:p>
        </w:tc>
        <w:tc>
          <w:tcPr>
            <w:tcW w:w="1110"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6</w:t>
            </w:r>
          </w:p>
        </w:tc>
        <w:tc>
          <w:tcPr>
            <w:tcW w:w="1380" w:type="dxa"/>
            <w:tcBorders>
              <w:top w:val="single" w:color="000000" w:sz="2" w:space="0"/>
              <w:left w:val="single" w:color="000000" w:sz="2" w:space="0"/>
              <w:bottom w:val="single" w:color="000000" w:sz="2" w:space="0"/>
              <w:right w:val="single" w:color="000000" w:sz="4"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7</w:t>
            </w:r>
          </w:p>
        </w:tc>
        <w:tc>
          <w:tcPr>
            <w:tcW w:w="1725" w:type="dxa"/>
            <w:tcBorders>
              <w:top w:val="single" w:color="000000" w:sz="2" w:space="0"/>
              <w:left w:val="nil"/>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8</w:t>
            </w: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1" w:hRule="atLeast"/>
        </w:trPr>
        <w:tc>
          <w:tcPr>
            <w:tcW w:w="558"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序</w:t>
            </w:r>
            <w:r>
              <w:rPr>
                <w:rFonts w:hint="eastAsia" w:ascii="宋体" w:hAnsi="宋体" w:eastAsia="Times New Roman" w:cs="Times New Roman"/>
                <w:b/>
                <w:spacing w:val="-1"/>
                <w:kern w:val="0"/>
                <w:sz w:val="20"/>
                <w:szCs w:val="20"/>
              </w:rPr>
              <w:t>号</w:t>
            </w:r>
          </w:p>
        </w:tc>
        <w:tc>
          <w:tcPr>
            <w:tcW w:w="2801"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货物名</w:t>
            </w:r>
            <w:r>
              <w:rPr>
                <w:rFonts w:hint="eastAsia" w:ascii="宋体" w:hAnsi="宋体" w:eastAsia="Times New Roman" w:cs="Times New Roman"/>
                <w:b/>
                <w:spacing w:val="-1"/>
                <w:kern w:val="0"/>
                <w:sz w:val="20"/>
                <w:szCs w:val="20"/>
              </w:rPr>
              <w:t>称</w:t>
            </w:r>
          </w:p>
        </w:tc>
        <w:tc>
          <w:tcPr>
            <w:tcW w:w="3604"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型号和</w:t>
            </w:r>
            <w:r>
              <w:rPr>
                <w:rFonts w:hint="eastAsia" w:ascii="宋体" w:hAnsi="宋体" w:eastAsia="Times New Roman" w:cs="Times New Roman"/>
                <w:b/>
                <w:spacing w:val="-1"/>
                <w:kern w:val="0"/>
                <w:sz w:val="20"/>
                <w:szCs w:val="20"/>
              </w:rPr>
              <w:t>规格</w:t>
            </w:r>
          </w:p>
        </w:tc>
        <w:tc>
          <w:tcPr>
            <w:tcW w:w="765"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spacing w:val="-2"/>
                <w:kern w:val="0"/>
                <w:sz w:val="20"/>
                <w:szCs w:val="20"/>
              </w:rPr>
            </w:pPr>
            <w:r>
              <w:rPr>
                <w:rFonts w:hint="eastAsia" w:ascii="宋体" w:hAnsi="宋体" w:eastAsia="Times New Roman" w:cs="Times New Roman"/>
                <w:b/>
                <w:spacing w:val="-2"/>
                <w:kern w:val="0"/>
                <w:sz w:val="20"/>
                <w:szCs w:val="20"/>
              </w:rPr>
              <w:t>单位</w:t>
            </w:r>
          </w:p>
        </w:tc>
        <w:tc>
          <w:tcPr>
            <w:tcW w:w="900"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spacing w:val="-2"/>
                <w:kern w:val="0"/>
                <w:sz w:val="20"/>
                <w:szCs w:val="20"/>
              </w:rPr>
              <w:t>数量</w:t>
            </w:r>
          </w:p>
        </w:tc>
        <w:tc>
          <w:tcPr>
            <w:tcW w:w="1110"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spacing w:val="-3"/>
                <w:kern w:val="0"/>
                <w:sz w:val="20"/>
                <w:szCs w:val="20"/>
              </w:rPr>
              <w:t>原</w:t>
            </w:r>
            <w:r>
              <w:rPr>
                <w:rFonts w:hint="eastAsia" w:ascii="宋体" w:hAnsi="宋体" w:eastAsia="Times New Roman" w:cs="Times New Roman"/>
                <w:b/>
                <w:spacing w:val="-2"/>
                <w:kern w:val="0"/>
                <w:sz w:val="20"/>
                <w:szCs w:val="20"/>
              </w:rPr>
              <w:t>产地和</w:t>
            </w:r>
            <w:r>
              <w:rPr>
                <w:rFonts w:hint="eastAsia" w:ascii="宋体" w:hAnsi="宋体" w:eastAsia="Times New Roman" w:cs="Times New Roman"/>
                <w:b/>
                <w:spacing w:val="-1"/>
                <w:kern w:val="0"/>
                <w:sz w:val="20"/>
                <w:szCs w:val="20"/>
              </w:rPr>
              <w:t>制造商名</w:t>
            </w:r>
            <w:r>
              <w:rPr>
                <w:rFonts w:hint="eastAsia" w:ascii="宋体" w:hAnsi="宋体" w:eastAsia="Times New Roman" w:cs="Times New Roman"/>
                <w:b/>
                <w:kern w:val="0"/>
                <w:sz w:val="20"/>
                <w:szCs w:val="20"/>
              </w:rPr>
              <w:t>称</w:t>
            </w:r>
          </w:p>
        </w:tc>
        <w:tc>
          <w:tcPr>
            <w:tcW w:w="1380" w:type="dxa"/>
            <w:tcBorders>
              <w:top w:val="single" w:color="000000" w:sz="2" w:space="0"/>
              <w:left w:val="single" w:color="000000" w:sz="2" w:space="0"/>
              <w:bottom w:val="single" w:color="000000" w:sz="2" w:space="0"/>
              <w:right w:val="single" w:color="000000" w:sz="4" w:space="0"/>
            </w:tcBorders>
            <w:vAlign w:val="center"/>
          </w:tcPr>
          <w:p>
            <w:pPr>
              <w:jc w:val="center"/>
              <w:rPr>
                <w:rFonts w:ascii="宋体" w:hAnsi="宋体" w:eastAsia="Times New Roman" w:cs="Times New Roman"/>
                <w:b/>
                <w:kern w:val="0"/>
                <w:sz w:val="20"/>
                <w:szCs w:val="20"/>
              </w:rPr>
            </w:pPr>
            <w:r>
              <w:rPr>
                <w:rFonts w:hint="eastAsia" w:ascii="宋体" w:hAnsi="宋体" w:eastAsia="Times New Roman" w:cs="Times New Roman"/>
                <w:b/>
                <w:spacing w:val="1"/>
                <w:kern w:val="0"/>
                <w:sz w:val="20"/>
                <w:szCs w:val="20"/>
              </w:rPr>
              <w:t>单</w:t>
            </w:r>
            <w:r>
              <w:rPr>
                <w:rFonts w:hint="eastAsia" w:ascii="宋体" w:hAnsi="宋体" w:eastAsia="Times New Roman" w:cs="Times New Roman"/>
                <w:b/>
                <w:kern w:val="0"/>
                <w:sz w:val="20"/>
                <w:szCs w:val="20"/>
              </w:rPr>
              <w:t>价</w:t>
            </w:r>
            <w:r>
              <w:rPr>
                <w:rFonts w:hint="eastAsia" w:ascii="宋体" w:hAnsi="宋体" w:eastAsia="Times New Roman" w:cs="Times New Roman"/>
                <w:b/>
                <w:spacing w:val="-3"/>
                <w:kern w:val="0"/>
                <w:sz w:val="20"/>
                <w:szCs w:val="20"/>
              </w:rPr>
              <w:t>（不含税）</w:t>
            </w:r>
          </w:p>
          <w:p>
            <w:pPr>
              <w:jc w:val="center"/>
              <w:rPr>
                <w:rFonts w:ascii="宋体" w:hAnsi="宋体" w:eastAsia="宋体" w:cs="Times New Roman"/>
                <w:b/>
                <w:kern w:val="0"/>
                <w:sz w:val="20"/>
                <w:szCs w:val="20"/>
              </w:rPr>
            </w:pPr>
            <w:r>
              <w:rPr>
                <w:rFonts w:hint="eastAsia" w:ascii="宋体" w:hAnsi="宋体" w:eastAsia="Times New Roman" w:cs="Times New Roman"/>
                <w:b/>
                <w:spacing w:val="-16"/>
                <w:kern w:val="0"/>
                <w:sz w:val="20"/>
                <w:szCs w:val="20"/>
              </w:rPr>
              <w:t>(</w:t>
            </w:r>
            <w:r>
              <w:rPr>
                <w:rFonts w:hint="eastAsia" w:ascii="宋体" w:hAnsi="宋体" w:eastAsia="Times New Roman" w:cs="Times New Roman"/>
                <w:b/>
                <w:spacing w:val="-14"/>
                <w:kern w:val="0"/>
                <w:sz w:val="20"/>
                <w:szCs w:val="20"/>
              </w:rPr>
              <w:t>元)</w:t>
            </w:r>
          </w:p>
        </w:tc>
        <w:tc>
          <w:tcPr>
            <w:tcW w:w="1725" w:type="dxa"/>
            <w:tcBorders>
              <w:top w:val="single" w:color="000000" w:sz="2" w:space="0"/>
              <w:left w:val="nil"/>
              <w:bottom w:val="single" w:color="000000" w:sz="2" w:space="0"/>
              <w:right w:val="single" w:color="000000" w:sz="2" w:space="0"/>
            </w:tcBorders>
            <w:vAlign w:val="center"/>
          </w:tcPr>
          <w:p>
            <w:pPr>
              <w:jc w:val="center"/>
              <w:rPr>
                <w:rFonts w:ascii="宋体" w:hAnsi="宋体" w:eastAsia="Times New Roman" w:cs="Times New Roman"/>
                <w:b/>
                <w:spacing w:val="-3"/>
                <w:kern w:val="0"/>
                <w:sz w:val="20"/>
                <w:szCs w:val="20"/>
              </w:rPr>
            </w:pPr>
            <w:r>
              <w:rPr>
                <w:rFonts w:hint="eastAsia" w:ascii="宋体" w:hAnsi="宋体" w:eastAsia="Times New Roman" w:cs="Times New Roman"/>
                <w:b/>
                <w:spacing w:val="-1"/>
                <w:kern w:val="0"/>
                <w:sz w:val="20"/>
                <w:szCs w:val="20"/>
              </w:rPr>
              <w:t>总价[</w:t>
            </w:r>
            <w:r>
              <w:rPr>
                <w:rFonts w:hint="eastAsia" w:ascii="宋体" w:hAnsi="宋体" w:eastAsia="宋体" w:cs="Times New Roman"/>
                <w:b/>
                <w:spacing w:val="-1"/>
                <w:kern w:val="0"/>
                <w:sz w:val="20"/>
                <w:szCs w:val="20"/>
                <w:lang w:val="en-US" w:eastAsia="zh-CN"/>
              </w:rPr>
              <w:t>5</w:t>
            </w:r>
            <w:r>
              <w:rPr>
                <w:rFonts w:hint="eastAsia" w:ascii="宋体" w:hAnsi="宋体" w:eastAsia="Times New Roman" w:cs="Times New Roman"/>
                <w:b/>
                <w:kern w:val="0"/>
                <w:sz w:val="20"/>
                <w:szCs w:val="20"/>
              </w:rPr>
              <w:t>×</w:t>
            </w:r>
            <w:r>
              <w:rPr>
                <w:rFonts w:hint="eastAsia" w:ascii="宋体" w:hAnsi="宋体" w:eastAsia="宋体" w:cs="Times New Roman"/>
                <w:b/>
                <w:kern w:val="0"/>
                <w:sz w:val="20"/>
                <w:szCs w:val="20"/>
                <w:lang w:val="en-US" w:eastAsia="zh-CN"/>
              </w:rPr>
              <w:t>7</w:t>
            </w:r>
            <w:r>
              <w:rPr>
                <w:rFonts w:hint="eastAsia" w:ascii="宋体" w:hAnsi="宋体" w:eastAsia="Times New Roman" w:cs="Times New Roman"/>
                <w:b/>
                <w:kern w:val="0"/>
                <w:sz w:val="20"/>
                <w:szCs w:val="20"/>
              </w:rPr>
              <w:t>]</w:t>
            </w:r>
            <w:r>
              <w:rPr>
                <w:rFonts w:hint="eastAsia" w:ascii="宋体" w:hAnsi="宋体" w:eastAsia="Times New Roman" w:cs="Times New Roman"/>
                <w:b/>
                <w:spacing w:val="-3"/>
                <w:kern w:val="0"/>
                <w:sz w:val="20"/>
                <w:szCs w:val="20"/>
              </w:rPr>
              <w:t>（不含税）</w:t>
            </w:r>
          </w:p>
          <w:p>
            <w:pPr>
              <w:jc w:val="center"/>
              <w:rPr>
                <w:rFonts w:ascii="宋体" w:hAnsi="宋体" w:eastAsia="宋体" w:cs="Times New Roman"/>
                <w:b/>
                <w:kern w:val="0"/>
                <w:sz w:val="20"/>
                <w:szCs w:val="20"/>
              </w:rPr>
            </w:pPr>
            <w:r>
              <w:rPr>
                <w:rFonts w:hint="eastAsia" w:ascii="宋体" w:hAnsi="宋体" w:eastAsia="Times New Roman" w:cs="Times New Roman"/>
                <w:b/>
                <w:spacing w:val="27"/>
                <w:kern w:val="0"/>
                <w:sz w:val="20"/>
                <w:szCs w:val="20"/>
              </w:rPr>
              <w:t>(</w:t>
            </w:r>
            <w:r>
              <w:rPr>
                <w:rFonts w:hint="eastAsia" w:ascii="宋体" w:hAnsi="宋体" w:eastAsia="Times New Roman" w:cs="Times New Roman"/>
                <w:b/>
                <w:spacing w:val="26"/>
                <w:kern w:val="0"/>
                <w:sz w:val="20"/>
                <w:szCs w:val="20"/>
              </w:rPr>
              <w:t>元)</w:t>
            </w: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eastAsia="宋体" w:cs="Times New Roman"/>
                <w:b/>
                <w:kern w:val="0"/>
                <w:sz w:val="20"/>
                <w:szCs w:val="20"/>
              </w:rPr>
            </w:pPr>
            <w:r>
              <w:rPr>
                <w:rFonts w:hint="eastAsia" w:ascii="宋体" w:hAnsi="宋体" w:eastAsia="Times New Roman" w:cs="Times New Roman"/>
                <w:b/>
                <w:kern w:val="0"/>
                <w:sz w:val="20"/>
                <w:szCs w:val="20"/>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eastAsia"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1</w:t>
            </w:r>
          </w:p>
        </w:tc>
        <w:tc>
          <w:tcPr>
            <w:tcW w:w="280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示波器及附属设备</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仿宋" w:hAnsi="仿宋" w:eastAsia="仿宋"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jc w:val="left"/>
              <w:rPr>
                <w:rFonts w:ascii="Arial" w:hAnsi="Times New Roman" w:eastAsia="宋体" w:cs="Times New Roman"/>
                <w:kern w:val="0"/>
                <w:sz w:val="20"/>
                <w:szCs w:val="20"/>
              </w:rPr>
            </w:pP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rPr>
              <w:t>1</w:t>
            </w:r>
            <w:r>
              <w:rPr>
                <w:rFonts w:hint="eastAsia" w:ascii="仿宋_GB2312" w:hAnsi="仿宋_GB2312" w:eastAsia="仿宋_GB2312" w:cs="仿宋_GB2312"/>
                <w:color w:val="000000"/>
                <w:szCs w:val="21"/>
                <w:lang w:val="en-US" w:eastAsia="zh-CN"/>
              </w:rPr>
              <w:t>.1</w:t>
            </w:r>
          </w:p>
        </w:tc>
        <w:tc>
          <w:tcPr>
            <w:tcW w:w="280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示波器</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仿宋" w:hAnsi="仿宋" w:eastAsia="仿宋"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jc w:val="left"/>
              <w:rPr>
                <w:rFonts w:ascii="Arial" w:hAnsi="Times New Roman" w:eastAsia="宋体" w:cs="Times New Roman"/>
                <w:kern w:val="0"/>
                <w:sz w:val="20"/>
                <w:szCs w:val="20"/>
              </w:rPr>
            </w:pP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eastAsia"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rPr>
              <w:t>1</w:t>
            </w:r>
            <w:r>
              <w:rPr>
                <w:rFonts w:hint="eastAsia" w:ascii="仿宋_GB2312" w:hAnsi="仿宋_GB2312" w:eastAsia="仿宋_GB2312" w:cs="仿宋_GB2312"/>
                <w:color w:val="000000"/>
                <w:szCs w:val="21"/>
                <w:lang w:val="en-US" w:eastAsia="zh-CN"/>
              </w:rPr>
              <w:t>.</w:t>
            </w:r>
            <w:r>
              <w:rPr>
                <w:rFonts w:hint="eastAsia" w:ascii="仿宋_GB2312" w:hAnsi="仿宋_GB2312" w:eastAsia="仿宋_GB2312" w:cs="仿宋_GB2312"/>
                <w:color w:val="000000"/>
                <w:szCs w:val="21"/>
              </w:rPr>
              <w:t>2</w:t>
            </w:r>
          </w:p>
        </w:tc>
        <w:tc>
          <w:tcPr>
            <w:tcW w:w="280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直流电阻测试仪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2"/>
              </w:rPr>
            </w:pPr>
          </w:p>
        </w:tc>
        <w:tc>
          <w:tcPr>
            <w:tcW w:w="1380" w:type="dxa"/>
            <w:tcBorders>
              <w:top w:val="single" w:color="000000" w:sz="2" w:space="0"/>
              <w:left w:val="single" w:color="000000" w:sz="2" w:space="0"/>
              <w:bottom w:val="single" w:color="000000" w:sz="2" w:space="0"/>
              <w:right w:val="single" w:color="000000" w:sz="4" w:space="0"/>
            </w:tcBorders>
            <w:vAlign w:val="center"/>
          </w:tcPr>
          <w:p>
            <w:pPr>
              <w:jc w:val="left"/>
              <w:rPr>
                <w:rFonts w:ascii="Arial" w:hAnsi="Times New Roman" w:eastAsia="宋体" w:cs="Times New Roman"/>
                <w:kern w:val="0"/>
                <w:sz w:val="20"/>
                <w:szCs w:val="20"/>
              </w:rPr>
            </w:pP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eastAsia"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rPr>
              <w:t>1</w:t>
            </w:r>
            <w:r>
              <w:rPr>
                <w:rFonts w:hint="eastAsia" w:ascii="仿宋_GB2312" w:hAnsi="仿宋_GB2312" w:eastAsia="仿宋_GB2312" w:cs="仿宋_GB2312"/>
                <w:color w:val="000000"/>
                <w:szCs w:val="21"/>
                <w:lang w:val="en-US" w:eastAsia="zh-CN"/>
              </w:rPr>
              <w:t>.</w:t>
            </w:r>
            <w:r>
              <w:rPr>
                <w:rFonts w:hint="eastAsia" w:ascii="仿宋_GB2312" w:hAnsi="仿宋_GB2312" w:eastAsia="仿宋_GB2312" w:cs="仿宋_GB2312"/>
                <w:color w:val="000000"/>
                <w:szCs w:val="21"/>
              </w:rPr>
              <w:t>3</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大功率直流电子负载</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2"/>
              </w:rPr>
            </w:pPr>
          </w:p>
        </w:tc>
        <w:tc>
          <w:tcPr>
            <w:tcW w:w="1380" w:type="dxa"/>
            <w:tcBorders>
              <w:top w:val="single" w:color="000000" w:sz="2" w:space="0"/>
              <w:left w:val="single" w:color="000000" w:sz="2" w:space="0"/>
              <w:bottom w:val="single" w:color="000000" w:sz="2" w:space="0"/>
              <w:right w:val="single" w:color="000000" w:sz="4" w:space="0"/>
            </w:tcBorders>
            <w:vAlign w:val="center"/>
          </w:tcPr>
          <w:p>
            <w:pPr>
              <w:jc w:val="left"/>
              <w:rPr>
                <w:rFonts w:ascii="Arial" w:hAnsi="Times New Roman" w:eastAsia="宋体" w:cs="Times New Roman"/>
                <w:kern w:val="0"/>
                <w:sz w:val="20"/>
                <w:szCs w:val="20"/>
              </w:rPr>
            </w:pP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eastAsia"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rPr>
              <w:t>1</w:t>
            </w:r>
            <w:r>
              <w:rPr>
                <w:rFonts w:hint="eastAsia" w:ascii="仿宋_GB2312" w:hAnsi="仿宋_GB2312" w:eastAsia="仿宋_GB2312" w:cs="仿宋_GB2312"/>
                <w:color w:val="000000"/>
                <w:szCs w:val="21"/>
                <w:lang w:val="en-US" w:eastAsia="zh-CN"/>
              </w:rPr>
              <w:t>.</w:t>
            </w:r>
            <w:r>
              <w:rPr>
                <w:rFonts w:hint="eastAsia" w:ascii="仿宋_GB2312" w:hAnsi="仿宋_GB2312" w:eastAsia="仿宋_GB2312" w:cs="仿宋_GB2312"/>
                <w:color w:val="000000"/>
                <w:szCs w:val="21"/>
              </w:rPr>
              <w:t>4</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直流稳压电源</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汽车万用表及附件</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2.1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汽车万用表</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2.2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直流钳形表</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2.3</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绝缘电阻测量仪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3</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分流器及附属设备</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3.1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分流器</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3.2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逆变器</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4</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气密性检测仪及附属设备</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4.1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气密性检测仪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4.2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手持式照度仪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4.3</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手持式气象仪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5</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智能保险丝测试仪及附属设备</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5.1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智能保险丝测试仪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5.2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直流电源线插头综合测试仪</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lang w:val="en-US" w:eastAsia="zh-CN"/>
              </w:rPr>
              <w:t>6</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一体化蓄电池上云检测设备</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7</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Times New Roman" w:hAnsi="Times New Roman" w:eastAsia="宋体" w:cs="Times New Roman"/>
                <w:color w:val="auto"/>
                <w:kern w:val="2"/>
                <w:sz w:val="24"/>
                <w:szCs w:val="24"/>
                <w:u w:val="single"/>
                <w:lang w:val="en-US" w:eastAsia="zh-CN" w:bidi="ar-SA"/>
              </w:rPr>
              <w:t>拆解设备组套</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rPr>
            </w:pPr>
            <w:r>
              <w:rPr>
                <w:rFonts w:hint="eastAsia" w:ascii="仿宋_GB2312" w:hAnsi="仿宋_GB2312" w:eastAsia="仿宋_GB2312" w:cs="仿宋_GB2312"/>
                <w:color w:val="000000"/>
                <w:szCs w:val="21"/>
                <w:lang w:val="en-US" w:eastAsia="zh-CN"/>
              </w:rPr>
              <w:t>7.1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18V锂电池无刷冲击扳手</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把</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lang w:val="en-US" w:eastAsia="zh-CN"/>
              </w:rPr>
              <w:t>7.2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套筒转接头</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lang w:val="en-US" w:eastAsia="zh-CN"/>
              </w:rPr>
              <w:t>7.3</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中风炮(带管线）</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lang w:val="en-US" w:eastAsia="zh-CN"/>
              </w:rPr>
              <w:t>7.4</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角磨机</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把</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kern w:val="2"/>
                <w:sz w:val="21"/>
                <w:szCs w:val="21"/>
                <w:lang w:val="en-US" w:eastAsia="zh-CN" w:bidi="ar-SA"/>
              </w:rPr>
            </w:pPr>
            <w:r>
              <w:rPr>
                <w:rFonts w:hint="eastAsia" w:ascii="仿宋_GB2312" w:hAnsi="仿宋_GB2312" w:eastAsia="仿宋_GB2312" w:cs="仿宋_GB2312"/>
                <w:color w:val="000000"/>
                <w:szCs w:val="21"/>
                <w:lang w:val="en-US" w:eastAsia="zh-CN"/>
              </w:rPr>
              <w:t>7.5</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装配维修桌</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8</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通用机修工具车组套</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9</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扭力扳手组套</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9.1</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可调扭力扳手200-1000NM</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把</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558" w:type="dxa"/>
            <w:tcBorders>
              <w:top w:val="single" w:color="000000" w:sz="2" w:space="0"/>
              <w:left w:val="single" w:color="000000" w:sz="2" w:space="0"/>
              <w:bottom w:val="single" w:color="000000" w:sz="2" w:space="0"/>
              <w:right w:val="single" w:color="000000" w:sz="2" w:space="0"/>
            </w:tcBorders>
            <w:shd w:val="clear" w:color="auto" w:fill="auto"/>
            <w:vAlign w:val="center"/>
          </w:tcPr>
          <w:p>
            <w:pPr>
              <w:widowControl/>
              <w:jc w:val="center"/>
              <w:textAlignment w:val="center"/>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9.2</w:t>
            </w:r>
          </w:p>
        </w:tc>
        <w:tc>
          <w:tcPr>
            <w:tcW w:w="2801" w:type="dxa"/>
            <w:tcBorders>
              <w:top w:val="single" w:color="000000" w:sz="2" w:space="0"/>
              <w:left w:val="single" w:color="000000" w:sz="2" w:space="0"/>
              <w:bottom w:val="single" w:color="000000" w:sz="2" w:space="0"/>
              <w:right w:val="single" w:color="000000" w:sz="2"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数显扭力扳手(4-20N·m</w:t>
            </w:r>
          </w:p>
        </w:tc>
        <w:tc>
          <w:tcPr>
            <w:tcW w:w="360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65"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把</w:t>
            </w:r>
          </w:p>
        </w:tc>
        <w:tc>
          <w:tcPr>
            <w:tcW w:w="90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4"/>
                <w:szCs w:val="24"/>
              </w:rPr>
            </w:pPr>
          </w:p>
        </w:tc>
        <w:tc>
          <w:tcPr>
            <w:tcW w:w="1380"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ascii="宋体" w:hAnsi="宋体" w:eastAsia="宋体" w:cs="Times New Roman"/>
                <w:sz w:val="24"/>
                <w:szCs w:val="24"/>
              </w:rPr>
            </w:pPr>
          </w:p>
        </w:tc>
        <w:tc>
          <w:tcPr>
            <w:tcW w:w="1725" w:type="dxa"/>
            <w:tcBorders>
              <w:top w:val="single" w:color="000000" w:sz="2" w:space="0"/>
              <w:left w:val="nil"/>
              <w:bottom w:val="single" w:color="000000" w:sz="2" w:space="0"/>
              <w:right w:val="single" w:color="000000" w:sz="2" w:space="0"/>
            </w:tcBorders>
            <w:vAlign w:val="center"/>
          </w:tcPr>
          <w:p>
            <w:pPr>
              <w:widowControl/>
              <w:jc w:val="left"/>
              <w:textAlignment w:val="center"/>
              <w:rPr>
                <w:rFonts w:ascii="宋体" w:hAnsi="宋体" w:eastAsia="宋体" w:cs="Times New Roman"/>
                <w:sz w:val="24"/>
                <w:szCs w:val="24"/>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center"/>
              <w:textAlignment w:val="center"/>
              <w:rPr>
                <w:rFonts w:ascii="宋体" w:hAnsi="宋体" w:eastAsia="宋体" w:cs="Times New Roman"/>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558"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仿宋_GB2312" w:hAnsi="仿宋_GB2312" w:eastAsia="宋体" w:cs="Times New Roman"/>
                <w:color w:val="000000"/>
                <w:kern w:val="0"/>
                <w:szCs w:val="21"/>
              </w:rPr>
            </w:pPr>
            <w:r>
              <w:rPr>
                <w:rFonts w:ascii="仿宋_GB2312" w:hAnsi="仿宋_GB2312" w:eastAsia="Times New Roman" w:cs="Times New Roman"/>
                <w:position w:val="1"/>
                <w:szCs w:val="21"/>
              </w:rPr>
              <w:t>…</w:t>
            </w:r>
          </w:p>
        </w:tc>
        <w:tc>
          <w:tcPr>
            <w:tcW w:w="280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仿宋_GB2312" w:hAnsi="仿宋_GB2312" w:eastAsia="宋体" w:cs="Times New Roman"/>
                <w:color w:val="000000"/>
                <w:kern w:val="0"/>
                <w:szCs w:val="21"/>
              </w:rPr>
            </w:pPr>
            <w:r>
              <w:rPr>
                <w:rFonts w:hint="eastAsia" w:ascii="宋体" w:hAnsi="宋体" w:eastAsia="宋体" w:cs="宋体"/>
                <w:color w:val="FF0000"/>
                <w:szCs w:val="21"/>
              </w:rPr>
              <w:t>以上投标设备不足之处请往下添加序号自行补充</w:t>
            </w:r>
          </w:p>
        </w:tc>
        <w:tc>
          <w:tcPr>
            <w:tcW w:w="360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kern w:val="0"/>
                <w:sz w:val="22"/>
              </w:rPr>
            </w:pPr>
          </w:p>
        </w:tc>
        <w:tc>
          <w:tcPr>
            <w:tcW w:w="765"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sz w:val="24"/>
                <w:szCs w:val="24"/>
              </w:rPr>
            </w:pPr>
          </w:p>
        </w:tc>
        <w:tc>
          <w:tcPr>
            <w:tcW w:w="90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sz w:val="24"/>
                <w:szCs w:val="24"/>
              </w:rPr>
            </w:pPr>
          </w:p>
        </w:tc>
        <w:tc>
          <w:tcPr>
            <w:tcW w:w="11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ascii="宋体" w:hAnsi="宋体" w:eastAsia="宋体" w:cs="Times New Roman"/>
                <w:color w:val="000000"/>
                <w:sz w:val="22"/>
              </w:rPr>
            </w:pPr>
          </w:p>
        </w:tc>
        <w:tc>
          <w:tcPr>
            <w:tcW w:w="1380" w:type="dxa"/>
            <w:tcBorders>
              <w:top w:val="single" w:color="000000" w:sz="2" w:space="0"/>
              <w:left w:val="single" w:color="000000" w:sz="2" w:space="0"/>
              <w:bottom w:val="single" w:color="000000" w:sz="2" w:space="0"/>
              <w:right w:val="single" w:color="000000" w:sz="4" w:space="0"/>
            </w:tcBorders>
            <w:vAlign w:val="center"/>
          </w:tcPr>
          <w:p>
            <w:pPr>
              <w:jc w:val="left"/>
              <w:rPr>
                <w:rFonts w:ascii="Arial" w:hAnsi="Times New Roman" w:eastAsia="宋体" w:cs="Times New Roman"/>
                <w:kern w:val="0"/>
                <w:sz w:val="20"/>
                <w:szCs w:val="20"/>
              </w:rPr>
            </w:pP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9" w:hRule="atLeast"/>
        </w:trPr>
        <w:tc>
          <w:tcPr>
            <w:tcW w:w="558" w:type="dxa"/>
            <w:tcBorders>
              <w:top w:val="single" w:color="000000" w:sz="2" w:space="0"/>
              <w:left w:val="single" w:color="000000" w:sz="2" w:space="0"/>
              <w:bottom w:val="single" w:color="000000" w:sz="2" w:space="0"/>
              <w:right w:val="single" w:color="000000" w:sz="4" w:space="0"/>
            </w:tcBorders>
            <w:vAlign w:val="center"/>
          </w:tcPr>
          <w:p>
            <w:pPr>
              <w:jc w:val="left"/>
              <w:rPr>
                <w:rFonts w:ascii="宋体" w:hAnsi="宋体" w:eastAsia="宋体" w:cs="Times New Roman"/>
                <w:spacing w:val="-6"/>
                <w:kern w:val="0"/>
                <w:sz w:val="20"/>
                <w:szCs w:val="20"/>
              </w:rPr>
            </w:pPr>
          </w:p>
        </w:tc>
        <w:tc>
          <w:tcPr>
            <w:tcW w:w="10560" w:type="dxa"/>
            <w:gridSpan w:val="6"/>
            <w:tcBorders>
              <w:top w:val="single" w:color="000000" w:sz="2" w:space="0"/>
              <w:left w:val="single" w:color="000000" w:sz="2" w:space="0"/>
              <w:bottom w:val="single" w:color="000000" w:sz="2" w:space="0"/>
              <w:right w:val="single" w:color="000000" w:sz="4" w:space="0"/>
            </w:tcBorders>
            <w:vAlign w:val="center"/>
          </w:tcPr>
          <w:p>
            <w:pPr>
              <w:jc w:val="center"/>
              <w:rPr>
                <w:rFonts w:ascii="Arial" w:hAnsi="Times New Roman" w:eastAsia="宋体" w:cs="Times New Roman"/>
                <w:kern w:val="0"/>
                <w:sz w:val="20"/>
                <w:szCs w:val="20"/>
              </w:rPr>
            </w:pPr>
            <w:r>
              <w:rPr>
                <w:rFonts w:hint="eastAsia" w:ascii="宋体" w:hAnsi="宋体" w:eastAsia="Times New Roman" w:cs="Times New Roman"/>
                <w:spacing w:val="-6"/>
                <w:kern w:val="0"/>
                <w:sz w:val="20"/>
                <w:szCs w:val="20"/>
              </w:rPr>
              <w:t>总</w:t>
            </w:r>
            <w:r>
              <w:rPr>
                <w:rFonts w:hint="eastAsia" w:ascii="宋体" w:hAnsi="宋体" w:eastAsia="Times New Roman" w:cs="Times New Roman"/>
                <w:spacing w:val="-4"/>
                <w:kern w:val="0"/>
                <w:sz w:val="20"/>
                <w:szCs w:val="20"/>
              </w:rPr>
              <w:t>价合计列入价格汇总表 9-5</w:t>
            </w:r>
          </w:p>
        </w:tc>
        <w:tc>
          <w:tcPr>
            <w:tcW w:w="1725" w:type="dxa"/>
            <w:tcBorders>
              <w:top w:val="single" w:color="000000" w:sz="2" w:space="0"/>
              <w:left w:val="nil"/>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c>
          <w:tcPr>
            <w:tcW w:w="1154" w:type="dxa"/>
            <w:tcBorders>
              <w:top w:val="single" w:color="000000" w:sz="2" w:space="0"/>
              <w:left w:val="single" w:color="000000" w:sz="2" w:space="0"/>
              <w:bottom w:val="single" w:color="000000" w:sz="2" w:space="0"/>
              <w:right w:val="single" w:color="000000" w:sz="2" w:space="0"/>
            </w:tcBorders>
            <w:vAlign w:val="center"/>
          </w:tcPr>
          <w:p>
            <w:pPr>
              <w:jc w:val="left"/>
              <w:rPr>
                <w:rFonts w:ascii="Arial" w:hAnsi="Times New Roman" w:eastAsia="宋体" w:cs="Times New Roman"/>
                <w:kern w:val="0"/>
                <w:sz w:val="20"/>
                <w:szCs w:val="20"/>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36"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37"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6"/>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8"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8"/>
        <w:tblW w:w="1381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8"/>
        <w:gridCol w:w="1995"/>
        <w:gridCol w:w="2642"/>
        <w:gridCol w:w="839"/>
        <w:gridCol w:w="2236"/>
        <w:gridCol w:w="1496"/>
        <w:gridCol w:w="1858"/>
        <w:gridCol w:w="1118"/>
        <w:gridCol w:w="112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995"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642"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39"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6"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6"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58"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18"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3"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textDirection w:val="tbRlV"/>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199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642"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39"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6"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6"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5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3"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shd w:val="clear" w:color="auto" w:fill="auto"/>
            <w:vAlign w:val="center"/>
          </w:tcPr>
          <w:p>
            <w:pPr>
              <w:jc w:val="center"/>
              <w:rPr>
                <w:rFonts w:asciiTheme="minorHAnsi" w:hAnsiTheme="minorHAnsi" w:eastAsiaTheme="minorEastAsia" w:cstheme="minorBidi"/>
                <w:kern w:val="2"/>
                <w:sz w:val="20"/>
                <w:szCs w:val="20"/>
                <w:lang w:val="en-US" w:eastAsia="zh-CN" w:bidi="ar-SA"/>
              </w:rPr>
            </w:pPr>
            <w:r>
              <w:rPr>
                <w:sz w:val="20"/>
                <w:szCs w:val="20"/>
              </w:rPr>
              <w:t>1</w:t>
            </w:r>
          </w:p>
        </w:tc>
        <w:tc>
          <w:tcPr>
            <w:tcW w:w="1995"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砂轮磨片</w:t>
            </w:r>
          </w:p>
        </w:tc>
        <w:tc>
          <w:tcPr>
            <w:tcW w:w="2642"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锯片厚度</w:t>
            </w:r>
            <w:r>
              <w:rPr>
                <w:rFonts w:hint="eastAsia" w:ascii="宋体" w:hAnsi="宋体" w:cs="宋体"/>
                <w:b w:val="0"/>
                <w:spacing w:val="-1"/>
                <w:kern w:val="2"/>
                <w:sz w:val="21"/>
                <w:szCs w:val="21"/>
                <w:lang w:val="en-US" w:eastAsia="zh-CN" w:bidi="ar-SA"/>
              </w:rPr>
              <w:t>：</w:t>
            </w:r>
            <w:r>
              <w:rPr>
                <w:rFonts w:hint="eastAsia" w:ascii="宋体" w:hAnsi="宋体" w:eastAsia="宋体" w:cs="宋体"/>
                <w:b w:val="0"/>
                <w:spacing w:val="-1"/>
                <w:kern w:val="2"/>
                <w:sz w:val="21"/>
                <w:szCs w:val="21"/>
                <w:lang w:val="en-US" w:eastAsia="zh-CN" w:bidi="ar-SA"/>
              </w:rPr>
              <w:t>6.0mm</w:t>
            </w:r>
            <w:r>
              <w:rPr>
                <w:rFonts w:hint="eastAsia" w:ascii="宋体" w:hAnsi="宋体" w:cs="宋体"/>
                <w:b w:val="0"/>
                <w:spacing w:val="-1"/>
                <w:kern w:val="2"/>
                <w:sz w:val="21"/>
                <w:szCs w:val="21"/>
                <w:lang w:val="en-US" w:eastAsia="zh-CN" w:bidi="ar-SA"/>
              </w:rPr>
              <w:t>；</w:t>
            </w:r>
            <w:r>
              <w:rPr>
                <w:rFonts w:hint="eastAsia" w:ascii="宋体" w:hAnsi="宋体" w:eastAsia="宋体" w:cs="宋体"/>
                <w:b w:val="0"/>
                <w:spacing w:val="-1"/>
                <w:kern w:val="2"/>
                <w:sz w:val="21"/>
                <w:szCs w:val="21"/>
                <w:lang w:val="en-US" w:eastAsia="zh-CN" w:bidi="ar-SA"/>
              </w:rPr>
              <w:t>锯片外径</w:t>
            </w:r>
            <w:r>
              <w:rPr>
                <w:rFonts w:hint="eastAsia" w:ascii="宋体" w:hAnsi="宋体" w:cs="宋体"/>
                <w:b w:val="0"/>
                <w:spacing w:val="-1"/>
                <w:kern w:val="2"/>
                <w:sz w:val="21"/>
                <w:szCs w:val="21"/>
                <w:lang w:val="en-US" w:eastAsia="zh-CN" w:bidi="ar-SA"/>
              </w:rPr>
              <w:t>：</w:t>
            </w:r>
            <w:r>
              <w:rPr>
                <w:rFonts w:hint="eastAsia" w:ascii="宋体" w:hAnsi="宋体" w:eastAsia="宋体" w:cs="宋体"/>
                <w:b w:val="0"/>
                <w:spacing w:val="-1"/>
                <w:kern w:val="2"/>
                <w:sz w:val="21"/>
                <w:szCs w:val="21"/>
                <w:lang w:val="en-US" w:eastAsia="zh-CN" w:bidi="ar-SA"/>
              </w:rPr>
              <w:t>150mm</w:t>
            </w:r>
            <w:r>
              <w:rPr>
                <w:rFonts w:hint="eastAsia" w:ascii="宋体" w:hAnsi="宋体" w:cs="宋体"/>
                <w:b w:val="0"/>
                <w:spacing w:val="-1"/>
                <w:kern w:val="2"/>
                <w:sz w:val="21"/>
                <w:szCs w:val="21"/>
                <w:lang w:val="en-US" w:eastAsia="zh-CN" w:bidi="ar-SA"/>
              </w:rPr>
              <w:t>；</w:t>
            </w:r>
            <w:r>
              <w:rPr>
                <w:rFonts w:hint="eastAsia" w:ascii="宋体" w:hAnsi="宋体" w:eastAsia="宋体" w:cs="宋体"/>
                <w:b w:val="0"/>
                <w:spacing w:val="-1"/>
                <w:kern w:val="2"/>
                <w:sz w:val="21"/>
                <w:szCs w:val="21"/>
                <w:lang w:val="en-US" w:eastAsia="zh-CN" w:bidi="ar-SA"/>
              </w:rPr>
              <w:t>锯片内径</w:t>
            </w:r>
          </w:p>
          <w:p>
            <w:pPr>
              <w:pStyle w:val="115"/>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b w:val="0"/>
                <w:kern w:val="2"/>
                <w:sz w:val="24"/>
                <w:szCs w:val="24"/>
                <w:lang w:val="en-US" w:eastAsia="zh-CN" w:bidi="ar-SA"/>
              </w:rPr>
            </w:pPr>
            <w:r>
              <w:rPr>
                <w:rFonts w:hint="eastAsia" w:ascii="宋体" w:hAnsi="宋体" w:eastAsia="宋体" w:cs="宋体"/>
                <w:b w:val="0"/>
                <w:spacing w:val="-1"/>
                <w:kern w:val="2"/>
                <w:sz w:val="21"/>
                <w:szCs w:val="21"/>
                <w:lang w:val="en-US" w:eastAsia="zh-CN" w:bidi="ar-SA"/>
              </w:rPr>
              <w:t>22.23mm</w:t>
            </w:r>
          </w:p>
        </w:tc>
        <w:tc>
          <w:tcPr>
            <w:tcW w:w="839" w:type="dxa"/>
            <w:shd w:val="clear" w:color="auto" w:fill="auto"/>
            <w:vAlign w:val="center"/>
          </w:tcPr>
          <w:p>
            <w:pPr>
              <w:pStyle w:val="115"/>
              <w:jc w:val="left"/>
              <w:rPr>
                <w:rFonts w:hint="default"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200片</w:t>
            </w:r>
          </w:p>
        </w:tc>
        <w:tc>
          <w:tcPr>
            <w:tcW w:w="2236" w:type="dxa"/>
          </w:tcPr>
          <w:p>
            <w:pPr>
              <w:rPr>
                <w:rFonts w:ascii="Arial"/>
              </w:rPr>
            </w:pPr>
          </w:p>
        </w:tc>
        <w:tc>
          <w:tcPr>
            <w:tcW w:w="1496" w:type="dxa"/>
          </w:tcPr>
          <w:p>
            <w:pPr>
              <w:rPr>
                <w:rFonts w:ascii="Arial"/>
              </w:rPr>
            </w:pPr>
          </w:p>
        </w:tc>
        <w:tc>
          <w:tcPr>
            <w:tcW w:w="1858" w:type="dxa"/>
          </w:tcPr>
          <w:p>
            <w:pPr>
              <w:rPr>
                <w:rFonts w:ascii="Arial"/>
              </w:rPr>
            </w:pPr>
          </w:p>
        </w:tc>
        <w:tc>
          <w:tcPr>
            <w:tcW w:w="1118" w:type="dxa"/>
          </w:tcPr>
          <w:p>
            <w:pPr>
              <w:rPr>
                <w:rFonts w:ascii="Arial"/>
              </w:rPr>
            </w:pPr>
          </w:p>
        </w:tc>
        <w:tc>
          <w:tcPr>
            <w:tcW w:w="1123"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shd w:val="clear" w:color="auto" w:fill="auto"/>
            <w:vAlign w:val="center"/>
          </w:tcPr>
          <w:p>
            <w:pPr>
              <w:jc w:val="center"/>
              <w:rPr>
                <w:rFonts w:asciiTheme="minorHAnsi" w:hAnsiTheme="minorHAnsi" w:eastAsiaTheme="minorEastAsia" w:cstheme="minorBidi"/>
                <w:kern w:val="2"/>
                <w:sz w:val="20"/>
                <w:szCs w:val="20"/>
                <w:lang w:val="en-US" w:eastAsia="zh-CN" w:bidi="ar-SA"/>
              </w:rPr>
            </w:pPr>
            <w:r>
              <w:rPr>
                <w:sz w:val="20"/>
                <w:szCs w:val="20"/>
              </w:rPr>
              <w:t>2</w:t>
            </w:r>
          </w:p>
        </w:tc>
        <w:tc>
          <w:tcPr>
            <w:tcW w:w="1995"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PVC一次性手套</w:t>
            </w:r>
          </w:p>
        </w:tc>
        <w:tc>
          <w:tcPr>
            <w:tcW w:w="2642" w:type="dxa"/>
            <w:shd w:val="clear" w:color="auto" w:fill="auto"/>
            <w:vAlign w:val="center"/>
          </w:tcPr>
          <w:p>
            <w:pPr>
              <w:pStyle w:val="115"/>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b w:val="0"/>
                <w:kern w:val="2"/>
                <w:sz w:val="24"/>
                <w:szCs w:val="24"/>
                <w:lang w:val="en-US" w:eastAsia="zh-CN" w:bidi="ar-SA"/>
              </w:rPr>
            </w:pPr>
          </w:p>
        </w:tc>
        <w:tc>
          <w:tcPr>
            <w:tcW w:w="839" w:type="dxa"/>
            <w:shd w:val="clear" w:color="auto" w:fill="auto"/>
            <w:vAlign w:val="center"/>
          </w:tcPr>
          <w:p>
            <w:pPr>
              <w:pStyle w:val="115"/>
              <w:jc w:val="left"/>
              <w:rPr>
                <w:rFonts w:hint="default"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1000副</w:t>
            </w:r>
          </w:p>
        </w:tc>
        <w:tc>
          <w:tcPr>
            <w:tcW w:w="2236" w:type="dxa"/>
          </w:tcPr>
          <w:p>
            <w:pPr>
              <w:rPr>
                <w:rFonts w:ascii="Arial"/>
              </w:rPr>
            </w:pPr>
          </w:p>
        </w:tc>
        <w:tc>
          <w:tcPr>
            <w:tcW w:w="1496" w:type="dxa"/>
          </w:tcPr>
          <w:p>
            <w:pPr>
              <w:rPr>
                <w:rFonts w:ascii="Arial"/>
              </w:rPr>
            </w:pPr>
          </w:p>
        </w:tc>
        <w:tc>
          <w:tcPr>
            <w:tcW w:w="1858" w:type="dxa"/>
          </w:tcPr>
          <w:p>
            <w:pPr>
              <w:rPr>
                <w:rFonts w:ascii="Arial"/>
              </w:rPr>
            </w:pPr>
          </w:p>
        </w:tc>
        <w:tc>
          <w:tcPr>
            <w:tcW w:w="1118" w:type="dxa"/>
          </w:tcPr>
          <w:p>
            <w:pPr>
              <w:rPr>
                <w:rFonts w:ascii="Arial"/>
              </w:rPr>
            </w:pPr>
          </w:p>
        </w:tc>
        <w:tc>
          <w:tcPr>
            <w:tcW w:w="1123"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shd w:val="clear" w:color="auto" w:fill="auto"/>
            <w:vAlign w:val="center"/>
          </w:tcPr>
          <w:p>
            <w:pPr>
              <w:jc w:val="center"/>
              <w:rPr>
                <w:rFonts w:asciiTheme="minorHAnsi" w:hAnsiTheme="minorHAnsi" w:eastAsiaTheme="minorEastAsia" w:cstheme="minorBidi"/>
                <w:kern w:val="2"/>
                <w:sz w:val="20"/>
                <w:szCs w:val="20"/>
                <w:lang w:val="en-US" w:eastAsia="zh-CN" w:bidi="ar-SA"/>
              </w:rPr>
            </w:pPr>
            <w:r>
              <w:rPr>
                <w:sz w:val="20"/>
                <w:szCs w:val="20"/>
              </w:rPr>
              <w:t>3</w:t>
            </w:r>
          </w:p>
        </w:tc>
        <w:tc>
          <w:tcPr>
            <w:tcW w:w="1995" w:type="dxa"/>
            <w:shd w:val="clear" w:color="auto" w:fill="auto"/>
            <w:vAlign w:val="center"/>
          </w:tcPr>
          <w:p>
            <w:pPr>
              <w:pStyle w:val="115"/>
              <w:jc w:val="left"/>
              <w:rPr>
                <w:rFonts w:hint="default"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 xml:space="preserve">防静电手套 </w:t>
            </w:r>
          </w:p>
        </w:tc>
        <w:tc>
          <w:tcPr>
            <w:tcW w:w="2642" w:type="dxa"/>
            <w:shd w:val="clear" w:color="auto" w:fill="auto"/>
            <w:vAlign w:val="center"/>
          </w:tcPr>
          <w:p>
            <w:pPr>
              <w:jc w:val="center"/>
              <w:rPr>
                <w:rFonts w:asciiTheme="minorHAnsi" w:hAnsiTheme="minorHAnsi" w:eastAsiaTheme="minorEastAsia" w:cstheme="minorBidi"/>
                <w:kern w:val="2"/>
                <w:sz w:val="21"/>
                <w:szCs w:val="22"/>
                <w:lang w:val="en-US" w:eastAsia="zh-CN" w:bidi="ar-SA"/>
              </w:rPr>
            </w:pPr>
          </w:p>
        </w:tc>
        <w:tc>
          <w:tcPr>
            <w:tcW w:w="839"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1000副</w:t>
            </w:r>
          </w:p>
        </w:tc>
        <w:tc>
          <w:tcPr>
            <w:tcW w:w="2236" w:type="dxa"/>
          </w:tcPr>
          <w:p>
            <w:pPr>
              <w:rPr>
                <w:rFonts w:ascii="Arial"/>
              </w:rPr>
            </w:pPr>
          </w:p>
        </w:tc>
        <w:tc>
          <w:tcPr>
            <w:tcW w:w="1496" w:type="dxa"/>
          </w:tcPr>
          <w:p>
            <w:pPr>
              <w:rPr>
                <w:rFonts w:ascii="Arial"/>
              </w:rPr>
            </w:pPr>
          </w:p>
        </w:tc>
        <w:tc>
          <w:tcPr>
            <w:tcW w:w="1858" w:type="dxa"/>
          </w:tcPr>
          <w:p>
            <w:pPr>
              <w:rPr>
                <w:rFonts w:ascii="Arial"/>
              </w:rPr>
            </w:pPr>
          </w:p>
        </w:tc>
        <w:tc>
          <w:tcPr>
            <w:tcW w:w="1118" w:type="dxa"/>
          </w:tcPr>
          <w:p>
            <w:pPr>
              <w:rPr>
                <w:rFonts w:ascii="Arial"/>
              </w:rPr>
            </w:pPr>
          </w:p>
        </w:tc>
        <w:tc>
          <w:tcPr>
            <w:tcW w:w="1123"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shd w:val="clear" w:color="auto" w:fill="auto"/>
            <w:vAlign w:val="center"/>
          </w:tcPr>
          <w:p>
            <w:pPr>
              <w:jc w:val="center"/>
              <w:rPr>
                <w:rFonts w:hint="eastAsia" w:asciiTheme="minorHAnsi" w:hAnsiTheme="minorHAnsi" w:eastAsiaTheme="minorEastAsia" w:cstheme="minorBidi"/>
                <w:kern w:val="2"/>
                <w:sz w:val="20"/>
                <w:szCs w:val="20"/>
                <w:lang w:val="en-US" w:eastAsia="zh-CN" w:bidi="ar-SA"/>
              </w:rPr>
            </w:pPr>
            <w:r>
              <w:rPr>
                <w:rFonts w:hint="eastAsia"/>
                <w:sz w:val="20"/>
                <w:szCs w:val="20"/>
                <w:lang w:val="en-US" w:eastAsia="zh-CN"/>
              </w:rPr>
              <w:t>4</w:t>
            </w:r>
          </w:p>
        </w:tc>
        <w:tc>
          <w:tcPr>
            <w:tcW w:w="1995"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金属磨片</w:t>
            </w:r>
          </w:p>
        </w:tc>
        <w:tc>
          <w:tcPr>
            <w:tcW w:w="2642" w:type="dxa"/>
            <w:shd w:val="clear" w:color="auto" w:fill="auto"/>
            <w:vAlign w:val="center"/>
          </w:tcPr>
          <w:p>
            <w:pPr>
              <w:pStyle w:val="115"/>
              <w:jc w:val="left"/>
              <w:rPr>
                <w:rFonts w:hint="eastAsia"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锯片厚度：3.0mm；锯片外径：150mm；锯片内径</w:t>
            </w:r>
            <w:r>
              <w:rPr>
                <w:rFonts w:hint="eastAsia" w:ascii="宋体" w:hAnsi="宋体" w:cs="宋体"/>
                <w:b w:val="0"/>
                <w:spacing w:val="-1"/>
                <w:kern w:val="2"/>
                <w:sz w:val="21"/>
                <w:szCs w:val="21"/>
                <w:lang w:val="en-US" w:eastAsia="zh-CN" w:bidi="ar-SA"/>
              </w:rPr>
              <w:t>：</w:t>
            </w:r>
            <w:r>
              <w:rPr>
                <w:rFonts w:hint="eastAsia" w:ascii="宋体" w:hAnsi="宋体" w:eastAsia="宋体" w:cs="宋体"/>
                <w:b w:val="0"/>
                <w:spacing w:val="-1"/>
                <w:kern w:val="2"/>
                <w:sz w:val="21"/>
                <w:szCs w:val="21"/>
                <w:lang w:val="en-US" w:eastAsia="zh-CN" w:bidi="ar-SA"/>
              </w:rPr>
              <w:t>22.23mm</w:t>
            </w:r>
            <w:r>
              <w:rPr>
                <w:rFonts w:hint="eastAsia" w:ascii="宋体" w:hAnsi="宋体" w:cs="宋体"/>
                <w:b w:val="0"/>
                <w:spacing w:val="-1"/>
                <w:kern w:val="2"/>
                <w:sz w:val="21"/>
                <w:szCs w:val="21"/>
                <w:lang w:val="en-US" w:eastAsia="zh-CN" w:bidi="ar-SA"/>
              </w:rPr>
              <w:t>。</w:t>
            </w:r>
          </w:p>
        </w:tc>
        <w:tc>
          <w:tcPr>
            <w:tcW w:w="839" w:type="dxa"/>
            <w:shd w:val="clear" w:color="auto" w:fill="auto"/>
            <w:vAlign w:val="center"/>
          </w:tcPr>
          <w:p>
            <w:pPr>
              <w:pStyle w:val="115"/>
              <w:jc w:val="left"/>
              <w:rPr>
                <w:rFonts w:hint="default" w:ascii="宋体" w:hAnsi="宋体" w:eastAsia="宋体" w:cs="宋体"/>
                <w:b w:val="0"/>
                <w:spacing w:val="-1"/>
                <w:kern w:val="2"/>
                <w:sz w:val="21"/>
                <w:szCs w:val="21"/>
                <w:lang w:val="en-US" w:eastAsia="zh-CN" w:bidi="ar-SA"/>
              </w:rPr>
            </w:pPr>
            <w:r>
              <w:rPr>
                <w:rFonts w:hint="eastAsia" w:ascii="宋体" w:hAnsi="宋体" w:eastAsia="宋体" w:cs="宋体"/>
                <w:b w:val="0"/>
                <w:spacing w:val="-1"/>
                <w:kern w:val="2"/>
                <w:sz w:val="21"/>
                <w:szCs w:val="21"/>
                <w:lang w:val="en-US" w:eastAsia="zh-CN" w:bidi="ar-SA"/>
              </w:rPr>
              <w:t>100片</w:t>
            </w:r>
          </w:p>
        </w:tc>
        <w:tc>
          <w:tcPr>
            <w:tcW w:w="2236" w:type="dxa"/>
          </w:tcPr>
          <w:p>
            <w:pPr>
              <w:rPr>
                <w:rFonts w:ascii="Arial"/>
              </w:rPr>
            </w:pPr>
          </w:p>
        </w:tc>
        <w:tc>
          <w:tcPr>
            <w:tcW w:w="1496" w:type="dxa"/>
          </w:tcPr>
          <w:p>
            <w:pPr>
              <w:rPr>
                <w:rFonts w:ascii="Arial"/>
              </w:rPr>
            </w:pPr>
          </w:p>
        </w:tc>
        <w:tc>
          <w:tcPr>
            <w:tcW w:w="1858" w:type="dxa"/>
          </w:tcPr>
          <w:p>
            <w:pPr>
              <w:rPr>
                <w:rFonts w:ascii="Arial"/>
              </w:rPr>
            </w:pPr>
          </w:p>
        </w:tc>
        <w:tc>
          <w:tcPr>
            <w:tcW w:w="1118" w:type="dxa"/>
          </w:tcPr>
          <w:p>
            <w:pPr>
              <w:rPr>
                <w:rFonts w:ascii="Arial"/>
              </w:rPr>
            </w:pPr>
          </w:p>
        </w:tc>
        <w:tc>
          <w:tcPr>
            <w:tcW w:w="1123"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8" w:type="dxa"/>
            <w:shd w:val="clear" w:color="auto" w:fill="auto"/>
            <w:vAlign w:val="center"/>
          </w:tcPr>
          <w:p>
            <w:pPr>
              <w:jc w:val="center"/>
              <w:rPr>
                <w:rFonts w:hint="eastAsia"/>
                <w:sz w:val="20"/>
                <w:szCs w:val="20"/>
              </w:rPr>
            </w:pPr>
          </w:p>
        </w:tc>
        <w:tc>
          <w:tcPr>
            <w:tcW w:w="1995" w:type="dxa"/>
            <w:shd w:val="clear" w:color="auto" w:fill="auto"/>
            <w:vAlign w:val="center"/>
          </w:tcPr>
          <w:p>
            <w:pPr>
              <w:jc w:val="center"/>
              <w:rPr>
                <w:rFonts w:hint="eastAsia"/>
                <w:sz w:val="20"/>
                <w:szCs w:val="20"/>
              </w:rPr>
            </w:pPr>
            <w:r>
              <w:rPr>
                <w:rFonts w:hint="eastAsia" w:ascii="宋体" w:hAnsi="宋体" w:eastAsia="宋体" w:cs="宋体"/>
                <w:color w:val="FF0000"/>
                <w:szCs w:val="21"/>
              </w:rPr>
              <w:t>不足之处请往下添加序号自行补充</w:t>
            </w:r>
          </w:p>
        </w:tc>
        <w:tc>
          <w:tcPr>
            <w:tcW w:w="2642" w:type="dxa"/>
            <w:shd w:val="clear" w:color="auto" w:fill="auto"/>
            <w:vAlign w:val="center"/>
          </w:tcPr>
          <w:p>
            <w:pPr>
              <w:jc w:val="center"/>
              <w:rPr>
                <w:rFonts w:hint="eastAsia"/>
                <w:sz w:val="20"/>
                <w:szCs w:val="20"/>
              </w:rPr>
            </w:pPr>
          </w:p>
        </w:tc>
        <w:tc>
          <w:tcPr>
            <w:tcW w:w="839" w:type="dxa"/>
            <w:shd w:val="clear" w:color="auto" w:fill="auto"/>
            <w:vAlign w:val="center"/>
          </w:tcPr>
          <w:p>
            <w:pPr>
              <w:jc w:val="center"/>
              <w:rPr>
                <w:rFonts w:hint="eastAsia"/>
                <w:sz w:val="20"/>
                <w:szCs w:val="20"/>
              </w:rPr>
            </w:pPr>
          </w:p>
        </w:tc>
        <w:tc>
          <w:tcPr>
            <w:tcW w:w="2236" w:type="dxa"/>
          </w:tcPr>
          <w:p>
            <w:pPr>
              <w:rPr>
                <w:rFonts w:ascii="Arial"/>
              </w:rPr>
            </w:pPr>
          </w:p>
        </w:tc>
        <w:tc>
          <w:tcPr>
            <w:tcW w:w="1496" w:type="dxa"/>
          </w:tcPr>
          <w:p>
            <w:pPr>
              <w:rPr>
                <w:rFonts w:ascii="Arial"/>
              </w:rPr>
            </w:pPr>
          </w:p>
        </w:tc>
        <w:tc>
          <w:tcPr>
            <w:tcW w:w="1858" w:type="dxa"/>
          </w:tcPr>
          <w:p>
            <w:pPr>
              <w:rPr>
                <w:rFonts w:ascii="Arial"/>
              </w:rPr>
            </w:pPr>
          </w:p>
        </w:tc>
        <w:tc>
          <w:tcPr>
            <w:tcW w:w="1118" w:type="dxa"/>
          </w:tcPr>
          <w:p>
            <w:pPr>
              <w:rPr>
                <w:rFonts w:ascii="Arial"/>
              </w:rPr>
            </w:pPr>
          </w:p>
        </w:tc>
        <w:tc>
          <w:tcPr>
            <w:tcW w:w="1123"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716"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099"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9" w:type="default"/>
          <w:pgSz w:w="16841" w:h="11907"/>
          <w:pgMar w:top="400" w:right="1500" w:bottom="1184" w:left="1480" w:header="0" w:footer="1022" w:gutter="0"/>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6"/>
      </w:pPr>
    </w:p>
    <w:p>
      <w:pPr>
        <w:pStyle w:val="16"/>
      </w:pPr>
    </w:p>
    <w:p>
      <w:pPr>
        <w:spacing w:before="140" w:line="220" w:lineRule="auto"/>
        <w:ind w:left="2" w:firstLine="464" w:firstLineChars="200"/>
        <w:rPr>
          <w:rFonts w:ascii="宋体" w:hAnsi="宋体" w:eastAsia="宋体" w:cs="宋体"/>
          <w:spacing w:val="-2"/>
          <w:szCs w:val="21"/>
        </w:rPr>
        <w:sectPr>
          <w:footerReference r:id="rId4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新增旧件分析拆解、检测能力提升项目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新增旧件分析拆解、检测能力提升项目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4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宋体"/>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新增旧件分析拆解、检测能力提升项目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w:t>
      </w:r>
      <w:r>
        <w:rPr>
          <w:rFonts w:hint="eastAsia" w:ascii="宋体" w:hAnsi="宋体" w:eastAsia="宋体" w:cs="Times New Roman"/>
          <w:b/>
          <w:bCs/>
          <w:sz w:val="24"/>
          <w:szCs w:val="20"/>
          <w:lang w:val="en-US" w:eastAsia="zh-CN"/>
        </w:rPr>
        <w:t>动力</w:t>
      </w:r>
      <w:r>
        <w:rPr>
          <w:rFonts w:hint="eastAsia" w:ascii="宋体" w:hAnsi="宋体" w:eastAsia="宋体" w:cs="Times New Roman"/>
          <w:b/>
          <w:bCs/>
          <w:sz w:val="24"/>
          <w:szCs w:val="20"/>
          <w:lang w:eastAsia="zh-CN"/>
        </w:rPr>
        <w:t>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6"/>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eastAsia" w:ascii="宋体" w:hAnsi="宋体" w:eastAsia="宋体" w:cs="宋体"/>
                <w:sz w:val="24"/>
                <w:szCs w:val="24"/>
                <w:highlight w:val="none"/>
                <w:u w:val="single"/>
                <w:lang w:val="en-US" w:eastAsia="zh-CN"/>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新增旧件分析拆解、检测能力提升项目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6"/>
      </w:pPr>
    </w:p>
    <w:p>
      <w:pPr>
        <w:pStyle w:val="16"/>
      </w:pPr>
    </w:p>
    <w:p>
      <w:pPr>
        <w:sectPr>
          <w:headerReference r:id="rId43" w:type="first"/>
          <w:footerReference r:id="rId45" w:type="first"/>
          <w:headerReference r:id="rId42" w:type="default"/>
          <w:footerReference r:id="rId44" w:type="default"/>
          <w:pgSz w:w="11906" w:h="16838"/>
          <w:pgMar w:top="1588" w:right="1418" w:bottom="1134" w:left="1418" w:header="851" w:footer="992" w:gutter="0"/>
          <w:cols w:space="720" w:num="1"/>
          <w:titlePg/>
          <w:docGrid w:type="lines" w:linePitch="312" w:charSpace="0"/>
        </w:sectPr>
      </w:pPr>
    </w:p>
    <w:p>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tbl>
      <w:tblPr>
        <w:tblStyle w:val="35"/>
        <w:tblW w:w="14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1"/>
        <w:gridCol w:w="3438"/>
        <w:gridCol w:w="924"/>
        <w:gridCol w:w="9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0" w:type="auto"/>
            <w:vAlign w:val="center"/>
          </w:tcPr>
          <w:p>
            <w:pPr>
              <w:tabs>
                <w:tab w:val="left" w:pos="13965"/>
              </w:tabs>
              <w:spacing w:line="360" w:lineRule="auto"/>
              <w:ind w:right="-6"/>
              <w:jc w:val="center"/>
              <w:rPr>
                <w:rFonts w:ascii="宋体" w:hAnsi="Times New Roman" w:eastAsia="宋体" w:cs="Times New Roman"/>
                <w:b/>
                <w:sz w:val="18"/>
                <w:szCs w:val="18"/>
              </w:rPr>
            </w:pPr>
            <w:r>
              <w:rPr>
                <w:rFonts w:hint="eastAsia" w:ascii="宋体" w:hAnsi="宋体" w:eastAsia="宋体" w:cs="Times New Roman"/>
                <w:b/>
                <w:sz w:val="18"/>
                <w:szCs w:val="18"/>
              </w:rPr>
              <w:t>序号</w:t>
            </w:r>
          </w:p>
        </w:tc>
        <w:tc>
          <w:tcPr>
            <w:tcW w:w="3438" w:type="dxa"/>
            <w:vAlign w:val="center"/>
          </w:tcPr>
          <w:p>
            <w:pPr>
              <w:tabs>
                <w:tab w:val="left" w:pos="13965"/>
              </w:tabs>
              <w:spacing w:line="360" w:lineRule="auto"/>
              <w:ind w:right="-6"/>
              <w:jc w:val="center"/>
              <w:rPr>
                <w:rFonts w:ascii="宋体" w:hAnsi="Times New Roman" w:eastAsia="宋体" w:cs="Times New Roman"/>
                <w:b/>
                <w:sz w:val="18"/>
                <w:szCs w:val="18"/>
              </w:rPr>
            </w:pPr>
            <w:r>
              <w:rPr>
                <w:rFonts w:hint="eastAsia" w:ascii="宋体" w:hAnsi="宋体" w:eastAsia="宋体" w:cs="Times New Roman"/>
                <w:b/>
                <w:sz w:val="18"/>
                <w:szCs w:val="18"/>
              </w:rPr>
              <w:t>内</w:t>
            </w:r>
            <w:r>
              <w:rPr>
                <w:rFonts w:ascii="宋体" w:hAnsi="宋体" w:eastAsia="宋体" w:cs="Times New Roman"/>
                <w:b/>
                <w:sz w:val="18"/>
                <w:szCs w:val="18"/>
              </w:rPr>
              <w:t xml:space="preserve">   </w:t>
            </w:r>
            <w:r>
              <w:rPr>
                <w:rFonts w:hint="eastAsia" w:ascii="宋体" w:hAnsi="宋体" w:eastAsia="宋体" w:cs="Times New Roman"/>
                <w:b/>
                <w:sz w:val="18"/>
                <w:szCs w:val="18"/>
              </w:rPr>
              <w:t>容</w:t>
            </w:r>
          </w:p>
        </w:tc>
        <w:tc>
          <w:tcPr>
            <w:tcW w:w="924" w:type="dxa"/>
            <w:vAlign w:val="center"/>
          </w:tcPr>
          <w:p>
            <w:pPr>
              <w:tabs>
                <w:tab w:val="left" w:pos="13965"/>
              </w:tabs>
              <w:spacing w:line="360" w:lineRule="auto"/>
              <w:ind w:right="-6"/>
              <w:jc w:val="center"/>
              <w:rPr>
                <w:rFonts w:ascii="宋体" w:hAnsi="Times New Roman" w:eastAsia="宋体" w:cs="Times New Roman"/>
                <w:b/>
                <w:sz w:val="18"/>
                <w:szCs w:val="18"/>
              </w:rPr>
            </w:pPr>
            <w:r>
              <w:rPr>
                <w:rFonts w:hint="eastAsia" w:ascii="宋体" w:hAnsi="宋体" w:eastAsia="宋体" w:cs="Times New Roman"/>
                <w:b/>
                <w:sz w:val="18"/>
                <w:szCs w:val="18"/>
              </w:rPr>
              <w:t>标准分</w:t>
            </w:r>
          </w:p>
        </w:tc>
        <w:tc>
          <w:tcPr>
            <w:tcW w:w="9115" w:type="dxa"/>
            <w:vAlign w:val="center"/>
          </w:tcPr>
          <w:p>
            <w:pPr>
              <w:tabs>
                <w:tab w:val="left" w:pos="13965"/>
              </w:tabs>
              <w:spacing w:line="360" w:lineRule="auto"/>
              <w:ind w:right="-6"/>
              <w:jc w:val="center"/>
              <w:rPr>
                <w:rFonts w:ascii="宋体" w:hAnsi="Times New Roman" w:eastAsia="宋体" w:cs="Times New Roman"/>
                <w:b/>
                <w:sz w:val="18"/>
                <w:szCs w:val="18"/>
              </w:rPr>
            </w:pPr>
            <w:r>
              <w:rPr>
                <w:rFonts w:hint="eastAsia" w:ascii="宋体" w:hAnsi="宋体" w:eastAsia="宋体" w:cs="Times New Roman"/>
                <w:b/>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9" w:hRule="atLeast"/>
          <w:jc w:val="center"/>
        </w:trPr>
        <w:tc>
          <w:tcPr>
            <w:tcW w:w="721" w:type="dxa"/>
            <w:vAlign w:val="center"/>
          </w:tcPr>
          <w:p>
            <w:pPr>
              <w:tabs>
                <w:tab w:val="left" w:pos="13965"/>
              </w:tabs>
              <w:spacing w:line="420" w:lineRule="exact"/>
              <w:jc w:val="center"/>
              <w:rPr>
                <w:rFonts w:hint="eastAsia" w:ascii="宋体" w:hAnsi="宋体" w:eastAsia="宋体" w:cs="Times New Roman"/>
                <w:szCs w:val="21"/>
              </w:rPr>
            </w:pPr>
            <w:r>
              <w:rPr>
                <w:rFonts w:ascii="宋体" w:hAnsi="宋体" w:eastAsia="宋体" w:cs="Times New Roman"/>
                <w:szCs w:val="21"/>
                <w:highlight w:val="none"/>
              </w:rPr>
              <w:t>1</w:t>
            </w:r>
          </w:p>
        </w:tc>
        <w:tc>
          <w:tcPr>
            <w:tcW w:w="3438" w:type="dxa"/>
            <w:vAlign w:val="center"/>
          </w:tcPr>
          <w:p>
            <w:pPr>
              <w:spacing w:line="420" w:lineRule="exact"/>
              <w:rPr>
                <w:rFonts w:ascii="宋体" w:hAnsi="Times New Roman" w:eastAsia="宋体" w:cs="Times New Roman"/>
                <w:szCs w:val="21"/>
              </w:rPr>
            </w:pPr>
            <w:r>
              <w:rPr>
                <w:rFonts w:hint="eastAsia" w:ascii="宋体" w:hAnsi="宋体" w:eastAsia="宋体" w:cs="Times New Roman"/>
                <w:bCs/>
                <w:szCs w:val="21"/>
                <w:highlight w:val="none"/>
              </w:rPr>
              <w:t>设备制造商装备制造能力、生产设备、加工工艺、完善程度</w:t>
            </w:r>
          </w:p>
        </w:tc>
        <w:tc>
          <w:tcPr>
            <w:tcW w:w="924" w:type="dxa"/>
            <w:vAlign w:val="center"/>
          </w:tcPr>
          <w:p>
            <w:pPr>
              <w:tabs>
                <w:tab w:val="left" w:pos="13965"/>
              </w:tabs>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50</w:t>
            </w:r>
          </w:p>
        </w:tc>
        <w:tc>
          <w:tcPr>
            <w:tcW w:w="9115" w:type="dxa"/>
            <w:vAlign w:val="center"/>
          </w:tcPr>
          <w:p>
            <w:pPr>
              <w:spacing w:line="420" w:lineRule="exact"/>
              <w:rPr>
                <w:rFonts w:hint="eastAsia" w:ascii="宋体" w:hAnsi="宋体" w:eastAsia="宋体" w:cs="Times New Roman"/>
                <w:bCs/>
                <w:szCs w:val="21"/>
              </w:rPr>
            </w:pPr>
            <w:r>
              <w:rPr>
                <w:rFonts w:hint="eastAsia" w:ascii="宋体" w:hAnsi="宋体" w:eastAsia="宋体" w:cs="Times New Roman"/>
                <w:bCs/>
                <w:szCs w:val="21"/>
                <w:highlight w:val="none"/>
              </w:rPr>
              <w:t>投标人的装备制造能力、生产设备、加工工艺先进、完善程度，视情况得0-</w:t>
            </w:r>
            <w:r>
              <w:rPr>
                <w:rFonts w:hint="eastAsia" w:ascii="宋体" w:hAnsi="宋体" w:eastAsia="宋体" w:cs="Times New Roman"/>
                <w:bCs/>
                <w:szCs w:val="21"/>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9" w:hRule="atLeast"/>
          <w:jc w:val="center"/>
        </w:trPr>
        <w:tc>
          <w:tcPr>
            <w:tcW w:w="721" w:type="dxa"/>
            <w:vAlign w:val="center"/>
          </w:tcPr>
          <w:p>
            <w:pPr>
              <w:spacing w:line="420" w:lineRule="exact"/>
              <w:jc w:val="center"/>
              <w:rPr>
                <w:rFonts w:hint="eastAsia" w:ascii="宋体" w:hAnsi="宋体" w:eastAsia="宋体" w:cs="Times New Roman"/>
                <w:szCs w:val="21"/>
              </w:rPr>
            </w:pPr>
            <w:r>
              <w:rPr>
                <w:rFonts w:ascii="宋体" w:hAnsi="宋体" w:eastAsia="宋体" w:cs="Times New Roman"/>
                <w:szCs w:val="21"/>
                <w:highlight w:val="none"/>
              </w:rPr>
              <w:t>2</w:t>
            </w:r>
          </w:p>
        </w:tc>
        <w:tc>
          <w:tcPr>
            <w:tcW w:w="3438" w:type="dxa"/>
            <w:vAlign w:val="center"/>
          </w:tcPr>
          <w:p>
            <w:pPr>
              <w:spacing w:line="420" w:lineRule="exact"/>
              <w:rPr>
                <w:rFonts w:ascii="宋体" w:hAnsi="Times New Roman" w:eastAsia="宋体" w:cs="Times New Roman"/>
                <w:bCs/>
                <w:szCs w:val="21"/>
              </w:rPr>
            </w:pPr>
            <w:r>
              <w:rPr>
                <w:rFonts w:hint="eastAsia" w:ascii="宋体" w:hAnsi="Times New Roman" w:eastAsia="宋体" w:cs="Times New Roman"/>
                <w:bCs/>
                <w:szCs w:val="21"/>
                <w:highlight w:val="none"/>
              </w:rPr>
              <w:t>产品方案技术先进、各系统完善、性能可靠，设备主要核心部件，具备自身技术优势</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20</w:t>
            </w:r>
          </w:p>
        </w:tc>
        <w:tc>
          <w:tcPr>
            <w:tcW w:w="9115" w:type="dxa"/>
            <w:vAlign w:val="center"/>
          </w:tcPr>
          <w:p>
            <w:pPr>
              <w:spacing w:line="420" w:lineRule="exact"/>
              <w:rPr>
                <w:rFonts w:hint="eastAsia" w:ascii="宋体" w:hAnsi="宋体" w:eastAsia="宋体" w:cs="Times New Roman"/>
                <w:bCs/>
                <w:szCs w:val="21"/>
              </w:rPr>
            </w:pPr>
            <w:r>
              <w:rPr>
                <w:rFonts w:hint="eastAsia" w:ascii="宋体" w:hAnsi="宋体" w:eastAsia="宋体" w:cs="Times New Roman"/>
                <w:bCs/>
                <w:szCs w:val="21"/>
                <w:highlight w:val="none"/>
              </w:rPr>
              <w:t>产品方案技术先进、各系统完善、性能可靠，设备主要核心部件，具备自身技术优势，节能环保，视情况得0-</w:t>
            </w:r>
            <w:r>
              <w:rPr>
                <w:rFonts w:hint="eastAsia" w:ascii="宋体" w:hAnsi="宋体" w:eastAsia="宋体" w:cs="Times New Roman"/>
                <w:bCs/>
                <w:szCs w:val="21"/>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jc w:val="center"/>
        </w:trPr>
        <w:tc>
          <w:tcPr>
            <w:tcW w:w="721"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rPr>
              <w:t>3</w:t>
            </w:r>
          </w:p>
        </w:tc>
        <w:tc>
          <w:tcPr>
            <w:tcW w:w="3438" w:type="dxa"/>
            <w:vAlign w:val="center"/>
          </w:tcPr>
          <w:p>
            <w:pPr>
              <w:spacing w:line="420" w:lineRule="exact"/>
              <w:rPr>
                <w:rFonts w:ascii="宋体" w:hAnsi="Times New Roman" w:eastAsia="宋体" w:cs="Times New Roman"/>
                <w:bCs/>
                <w:szCs w:val="21"/>
              </w:rPr>
            </w:pPr>
            <w:r>
              <w:rPr>
                <w:rFonts w:hint="eastAsia" w:ascii="宋体" w:hAnsi="宋体" w:eastAsia="宋体" w:cs="Times New Roman"/>
                <w:bCs/>
                <w:szCs w:val="21"/>
                <w:highlight w:val="none"/>
              </w:rPr>
              <w:t>产品维保</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5</w:t>
            </w:r>
          </w:p>
        </w:tc>
        <w:tc>
          <w:tcPr>
            <w:tcW w:w="9115" w:type="dxa"/>
            <w:vAlign w:val="center"/>
          </w:tcPr>
          <w:p>
            <w:pPr>
              <w:spacing w:line="420" w:lineRule="exact"/>
              <w:rPr>
                <w:rFonts w:hint="eastAsia" w:ascii="宋体" w:hAnsi="宋体" w:eastAsia="宋体" w:cs="Times New Roman"/>
                <w:bCs/>
                <w:szCs w:val="21"/>
              </w:rPr>
            </w:pPr>
            <w:r>
              <w:rPr>
                <w:rFonts w:hint="eastAsia" w:ascii="宋体" w:hAnsi="宋体" w:eastAsia="宋体" w:cs="Times New Roman"/>
                <w:bCs/>
                <w:szCs w:val="21"/>
                <w:highlight w:val="none"/>
              </w:rPr>
              <w:t>易于维修、操作方便，产品附件配置齐全，质量可靠，设备在使用期内的维护费用，视情况得0-</w:t>
            </w:r>
            <w:r>
              <w:rPr>
                <w:rFonts w:hint="eastAsia" w:ascii="宋体" w:hAnsi="宋体" w:eastAsia="宋体" w:cs="Times New Roman"/>
                <w:bCs/>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9" w:hRule="atLeast"/>
          <w:jc w:val="center"/>
        </w:trPr>
        <w:tc>
          <w:tcPr>
            <w:tcW w:w="721"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rPr>
              <w:t>4</w:t>
            </w:r>
          </w:p>
        </w:tc>
        <w:tc>
          <w:tcPr>
            <w:tcW w:w="3438" w:type="dxa"/>
            <w:vAlign w:val="center"/>
          </w:tcPr>
          <w:p>
            <w:pPr>
              <w:spacing w:line="420" w:lineRule="exact"/>
              <w:rPr>
                <w:rFonts w:ascii="宋体" w:hAnsi="Times New Roman" w:eastAsia="宋体" w:cs="Times New Roman"/>
                <w:bCs/>
                <w:szCs w:val="21"/>
              </w:rPr>
            </w:pPr>
            <w:r>
              <w:rPr>
                <w:rFonts w:hint="eastAsia" w:ascii="宋体" w:hAnsi="Times New Roman" w:eastAsia="宋体" w:cs="Times New Roman"/>
                <w:bCs/>
                <w:szCs w:val="21"/>
                <w:highlight w:val="none"/>
              </w:rPr>
              <w:t>技术培训方案：对采购方人员的技术培训方案安排科学、合理、可行</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5</w:t>
            </w:r>
          </w:p>
        </w:tc>
        <w:tc>
          <w:tcPr>
            <w:tcW w:w="9115" w:type="dxa"/>
            <w:vAlign w:val="center"/>
          </w:tcPr>
          <w:p>
            <w:pPr>
              <w:spacing w:line="420" w:lineRule="exact"/>
              <w:rPr>
                <w:rFonts w:hint="eastAsia" w:ascii="宋体" w:hAnsi="宋体" w:eastAsia="宋体" w:cs="Times New Roman"/>
                <w:bCs/>
                <w:szCs w:val="21"/>
              </w:rPr>
            </w:pPr>
            <w:r>
              <w:rPr>
                <w:rFonts w:hint="eastAsia" w:ascii="宋体" w:hAnsi="宋体" w:eastAsia="宋体" w:cs="Times New Roman"/>
                <w:bCs/>
                <w:szCs w:val="21"/>
                <w:highlight w:val="none"/>
              </w:rPr>
              <w:t>安装、调试方案合理、完善、切实可行，安全、工期、质量保证措施合理可行能确保安全，视情况得0-</w:t>
            </w:r>
            <w:r>
              <w:rPr>
                <w:rFonts w:hint="eastAsia" w:ascii="宋体" w:hAnsi="宋体" w:eastAsia="宋体" w:cs="Times New Roman"/>
                <w:bCs/>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jc w:val="center"/>
        </w:trPr>
        <w:tc>
          <w:tcPr>
            <w:tcW w:w="721" w:type="dxa"/>
            <w:vAlign w:val="center"/>
          </w:tcPr>
          <w:p>
            <w:pPr>
              <w:spacing w:line="420" w:lineRule="exact"/>
              <w:jc w:val="center"/>
              <w:rPr>
                <w:rFonts w:hint="eastAsia" w:ascii="宋体" w:hAnsi="宋体" w:eastAsia="宋体" w:cs="Times New Roman"/>
                <w:szCs w:val="21"/>
              </w:rPr>
            </w:pPr>
            <w:r>
              <w:rPr>
                <w:rFonts w:ascii="宋体" w:hAnsi="宋体" w:eastAsia="宋体" w:cs="Times New Roman"/>
                <w:szCs w:val="21"/>
                <w:highlight w:val="none"/>
              </w:rPr>
              <w:t>5</w:t>
            </w:r>
          </w:p>
        </w:tc>
        <w:tc>
          <w:tcPr>
            <w:tcW w:w="3438" w:type="dxa"/>
            <w:vAlign w:val="center"/>
          </w:tcPr>
          <w:p>
            <w:pPr>
              <w:spacing w:line="420" w:lineRule="exact"/>
              <w:rPr>
                <w:rFonts w:ascii="宋体" w:hAnsi="Times New Roman" w:eastAsia="宋体" w:cs="Times New Roman"/>
                <w:szCs w:val="21"/>
              </w:rPr>
            </w:pPr>
            <w:r>
              <w:rPr>
                <w:rFonts w:hint="eastAsia" w:ascii="宋体" w:hAnsi="Times New Roman" w:eastAsia="宋体" w:cs="Times New Roman"/>
                <w:szCs w:val="21"/>
                <w:highlight w:val="none"/>
              </w:rPr>
              <w:t>安调水平</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5</w:t>
            </w:r>
          </w:p>
        </w:tc>
        <w:tc>
          <w:tcPr>
            <w:tcW w:w="9115" w:type="dxa"/>
            <w:vAlign w:val="center"/>
          </w:tcPr>
          <w:p>
            <w:pPr>
              <w:spacing w:line="420" w:lineRule="exact"/>
              <w:jc w:val="left"/>
              <w:rPr>
                <w:rFonts w:ascii="宋体" w:hAnsi="Times New Roman" w:eastAsia="宋体" w:cs="Times New Roman"/>
                <w:bCs/>
                <w:szCs w:val="21"/>
              </w:rPr>
            </w:pPr>
            <w:r>
              <w:rPr>
                <w:rFonts w:hint="eastAsia" w:ascii="宋体" w:hAnsi="Times New Roman" w:eastAsia="宋体" w:cs="Times New Roman"/>
                <w:bCs/>
                <w:szCs w:val="21"/>
                <w:highlight w:val="none"/>
              </w:rPr>
              <w:t>安装、调试人员的配备、技术经验、技术水平，视情况得0-</w:t>
            </w:r>
            <w:r>
              <w:rPr>
                <w:rFonts w:hint="eastAsia" w:ascii="宋体" w:hAnsi="Times New Roman" w:eastAsia="宋体" w:cs="Times New Roman"/>
                <w:bCs/>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9" w:hRule="atLeast"/>
          <w:jc w:val="center"/>
        </w:trPr>
        <w:tc>
          <w:tcPr>
            <w:tcW w:w="721"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6</w:t>
            </w:r>
          </w:p>
        </w:tc>
        <w:tc>
          <w:tcPr>
            <w:tcW w:w="3438" w:type="dxa"/>
            <w:vAlign w:val="center"/>
          </w:tcPr>
          <w:p>
            <w:pPr>
              <w:spacing w:line="420" w:lineRule="exact"/>
              <w:rPr>
                <w:rFonts w:ascii="宋体" w:hAnsi="Times New Roman" w:eastAsia="宋体" w:cs="Times New Roman"/>
                <w:szCs w:val="21"/>
              </w:rPr>
            </w:pPr>
            <w:r>
              <w:rPr>
                <w:rFonts w:hint="eastAsia" w:ascii="宋体" w:hAnsi="Times New Roman" w:eastAsia="宋体" w:cs="Times New Roman"/>
                <w:szCs w:val="21"/>
                <w:highlight w:val="none"/>
              </w:rPr>
              <w:t>计划控制</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bCs/>
                <w:szCs w:val="21"/>
                <w:highlight w:val="none"/>
                <w:lang w:val="en-US" w:eastAsia="zh-CN"/>
              </w:rPr>
              <w:t>5</w:t>
            </w:r>
          </w:p>
        </w:tc>
        <w:tc>
          <w:tcPr>
            <w:tcW w:w="9115" w:type="dxa"/>
            <w:vAlign w:val="center"/>
          </w:tcPr>
          <w:p>
            <w:pPr>
              <w:spacing w:line="420" w:lineRule="exact"/>
              <w:rPr>
                <w:rFonts w:ascii="宋体" w:hAnsi="Times New Roman" w:eastAsia="宋体" w:cs="Times New Roman"/>
                <w:bCs/>
                <w:szCs w:val="21"/>
              </w:rPr>
            </w:pPr>
            <w:r>
              <w:rPr>
                <w:rFonts w:hint="eastAsia" w:ascii="宋体" w:hAnsi="Times New Roman" w:eastAsia="宋体" w:cs="Times New Roman"/>
                <w:bCs/>
                <w:szCs w:val="21"/>
                <w:highlight w:val="none"/>
              </w:rPr>
              <w:t>有详细可行的行动计划能保证项目进度，有风险管理。综合评审，自主赋分。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9" w:hRule="atLeast"/>
          <w:jc w:val="center"/>
        </w:trPr>
        <w:tc>
          <w:tcPr>
            <w:tcW w:w="721"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7</w:t>
            </w:r>
          </w:p>
        </w:tc>
        <w:tc>
          <w:tcPr>
            <w:tcW w:w="3438" w:type="dxa"/>
            <w:vAlign w:val="center"/>
          </w:tcPr>
          <w:p>
            <w:pPr>
              <w:spacing w:line="420" w:lineRule="exact"/>
              <w:rPr>
                <w:rFonts w:hint="eastAsia" w:ascii="宋体" w:hAnsi="宋体" w:eastAsia="宋体" w:cs="Times New Roman"/>
                <w:szCs w:val="21"/>
              </w:rPr>
            </w:pPr>
            <w:r>
              <w:rPr>
                <w:rFonts w:hint="eastAsia" w:ascii="宋体" w:hAnsi="宋体" w:eastAsia="宋体" w:cs="Times New Roman"/>
                <w:szCs w:val="21"/>
                <w:highlight w:val="none"/>
              </w:rPr>
              <w:t>质量保证</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5</w:t>
            </w:r>
          </w:p>
        </w:tc>
        <w:tc>
          <w:tcPr>
            <w:tcW w:w="9115" w:type="dxa"/>
            <w:vAlign w:val="center"/>
          </w:tcPr>
          <w:p>
            <w:pPr>
              <w:spacing w:line="420" w:lineRule="exact"/>
              <w:rPr>
                <w:rFonts w:ascii="宋体" w:hAnsi="Times New Roman" w:eastAsia="宋体" w:cs="Times New Roman"/>
                <w:bCs/>
                <w:szCs w:val="21"/>
              </w:rPr>
            </w:pPr>
            <w:r>
              <w:rPr>
                <w:rFonts w:hint="eastAsia" w:ascii="宋体" w:hAnsi="Times New Roman" w:eastAsia="宋体" w:cs="Times New Roman"/>
                <w:bCs/>
                <w:szCs w:val="21"/>
                <w:highlight w:val="none"/>
              </w:rPr>
              <w:t>具有良好的质量管理体系和完备的检测体系，保证设备造质量符合要求（提供相应证明材料）。根据提供的资料综合评审，自主赋分。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1" w:hRule="atLeast"/>
          <w:jc w:val="center"/>
        </w:trPr>
        <w:tc>
          <w:tcPr>
            <w:tcW w:w="721"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lang w:val="en-US" w:eastAsia="zh-CN"/>
              </w:rPr>
              <w:t>8</w:t>
            </w:r>
          </w:p>
        </w:tc>
        <w:tc>
          <w:tcPr>
            <w:tcW w:w="3438" w:type="dxa"/>
            <w:vAlign w:val="center"/>
          </w:tcPr>
          <w:p>
            <w:pPr>
              <w:spacing w:line="420" w:lineRule="exact"/>
              <w:rPr>
                <w:rFonts w:hint="eastAsia" w:ascii="宋体" w:hAnsi="宋体" w:eastAsia="宋体" w:cs="Times New Roman"/>
                <w:szCs w:val="21"/>
              </w:rPr>
            </w:pPr>
            <w:r>
              <w:rPr>
                <w:rFonts w:hint="eastAsia" w:ascii="宋体" w:hAnsi="宋体" w:eastAsia="宋体" w:cs="Times New Roman"/>
                <w:szCs w:val="21"/>
                <w:highlight w:val="none"/>
              </w:rPr>
              <w:t>售后服务</w:t>
            </w:r>
          </w:p>
        </w:tc>
        <w:tc>
          <w:tcPr>
            <w:tcW w:w="924" w:type="dxa"/>
            <w:vAlign w:val="center"/>
          </w:tcPr>
          <w:p>
            <w:pPr>
              <w:spacing w:line="420" w:lineRule="exact"/>
              <w:jc w:val="center"/>
              <w:rPr>
                <w:rFonts w:hint="eastAsia" w:ascii="宋体" w:hAnsi="宋体" w:eastAsia="宋体" w:cs="Times New Roman"/>
                <w:szCs w:val="21"/>
              </w:rPr>
            </w:pPr>
            <w:r>
              <w:rPr>
                <w:rFonts w:hint="eastAsia" w:ascii="宋体" w:hAnsi="宋体" w:eastAsia="宋体" w:cs="Times New Roman"/>
                <w:szCs w:val="21"/>
                <w:highlight w:val="none"/>
              </w:rPr>
              <w:t>5</w:t>
            </w:r>
          </w:p>
        </w:tc>
        <w:tc>
          <w:tcPr>
            <w:tcW w:w="9115" w:type="dxa"/>
            <w:vAlign w:val="center"/>
          </w:tcPr>
          <w:p>
            <w:pPr>
              <w:spacing w:line="420" w:lineRule="exact"/>
              <w:rPr>
                <w:rFonts w:ascii="宋体" w:hAnsi="Times New Roman" w:eastAsia="宋体" w:cs="Times New Roman"/>
                <w:bCs/>
                <w:szCs w:val="21"/>
              </w:rPr>
            </w:pPr>
            <w:r>
              <w:rPr>
                <w:rFonts w:hint="eastAsia" w:ascii="宋体" w:hAnsi="Times New Roman" w:eastAsia="宋体" w:cs="Times New Roman"/>
                <w:bCs/>
                <w:szCs w:val="21"/>
                <w:highlight w:val="none"/>
              </w:rPr>
              <w:t>根据投标文件中提供的质量保证措施、售后服务方案等的响应情况综合评审赋分。</w:t>
            </w:r>
          </w:p>
        </w:tc>
      </w:tr>
    </w:tbl>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评标方法</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a、若</w:t>
      </w:r>
      <w:r>
        <w:rPr>
          <w:rFonts w:hint="eastAsia" w:ascii="宋体" w:hAnsi="宋体" w:eastAsia="宋体" w:cs="宋体"/>
          <w:color w:val="000000"/>
          <w:sz w:val="24"/>
          <w:szCs w:val="24"/>
          <w:lang w:val="en-US" w:eastAsia="zh-CN"/>
        </w:rPr>
        <w:t>技术标评审</w:t>
      </w:r>
      <w:r>
        <w:rPr>
          <w:rFonts w:hint="eastAsia" w:ascii="宋体" w:hAnsi="宋体" w:eastAsia="宋体" w:cs="宋体"/>
          <w:color w:val="000000"/>
          <w:sz w:val="24"/>
          <w:szCs w:val="24"/>
        </w:rPr>
        <w:t>出现总分并列时，比较产品技术与服务承诺部分综合得分，此分项得分高者排序在前；若产品技术与服务承诺综合得分仍相同，则由全体评委成员无记名投票，得票高者排序在前。</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outlineLvl w:val="9"/>
        <w:rPr>
          <w:rFonts w:hint="eastAsia" w:ascii="宋体" w:hAnsi="宋体" w:eastAsia="宋体" w:cs="宋体"/>
          <w:sz w:val="18"/>
          <w:szCs w:val="18"/>
        </w:rPr>
        <w:sectPr>
          <w:pgSz w:w="16838" w:h="11906" w:orient="landscape"/>
          <w:pgMar w:top="1418" w:right="1588" w:bottom="1418" w:left="1134" w:header="851" w:footer="992" w:gutter="0"/>
          <w:cols w:space="720" w:num="1"/>
          <w:titlePg/>
          <w:docGrid w:type="lines" w:linePitch="312" w:charSpace="0"/>
        </w:sectPr>
      </w:pPr>
      <w:r>
        <w:rPr>
          <w:rFonts w:hint="eastAsia" w:ascii="宋体" w:hAnsi="宋体" w:eastAsia="宋体" w:cs="宋体"/>
          <w:b w:val="0"/>
          <w:bCs w:val="0"/>
          <w:color w:val="000000"/>
          <w:sz w:val="24"/>
          <w:szCs w:val="24"/>
        </w:rPr>
        <w:t>c、评标过程中，若出现本办法以外的特殊情况时，将暂停评标，有关情况处理意见待招标工作小组确认后，再行评定</w:t>
      </w:r>
      <w:r>
        <w:rPr>
          <w:rFonts w:hint="eastAsia" w:ascii="宋体" w:hAnsi="宋体" w:cs="宋体"/>
          <w:b w:val="0"/>
          <w:bCs w:val="0"/>
          <w:color w:val="000000"/>
          <w:sz w:val="24"/>
          <w:szCs w:val="24"/>
          <w:lang w:eastAsia="zh-CN"/>
        </w:rPr>
        <w:t>。</w:t>
      </w:r>
    </w:p>
    <w:p>
      <w:pPr>
        <w:pStyle w:val="16"/>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pPr>
        <w:pStyle w:val="16"/>
        <w:rPr>
          <w:rFonts w:hint="eastAsia" w:eastAsia="宋体"/>
          <w:lang w:val="en-US" w:eastAsia="zh-CN"/>
        </w:rPr>
      </w:pP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7"/>
                    <a:stretch>
                      <a:fillRect/>
                    </a:stretch>
                  </pic:blipFill>
                  <pic:spPr>
                    <a:xfrm>
                      <a:off x="0" y="0"/>
                      <a:ext cx="5760085" cy="293337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8"/>
                    <a:stretch>
                      <a:fillRect/>
                    </a:stretch>
                  </pic:blipFill>
                  <pic:spPr>
                    <a:xfrm>
                      <a:off x="0" y="0"/>
                      <a:ext cx="5760085" cy="276670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9"/>
                    <a:stretch>
                      <a:fillRect/>
                    </a:stretch>
                  </pic:blipFill>
                  <pic:spPr>
                    <a:xfrm>
                      <a:off x="0" y="0"/>
                      <a:ext cx="5760085" cy="2870054"/>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0"/>
                    <a:stretch>
                      <a:fillRect/>
                    </a:stretch>
                  </pic:blipFill>
                  <pic:spPr>
                    <a:xfrm>
                      <a:off x="0" y="0"/>
                      <a:ext cx="5760085" cy="2853375"/>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pPr>
        <w:pStyle w:val="16"/>
        <w:rPr>
          <w:rFonts w:hint="default"/>
          <w:lang w:val="en-US" w:eastAsia="zh-CN"/>
        </w:rPr>
      </w:pPr>
    </w:p>
    <w:p>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1"/>
                    <a:stretch>
                      <a:fillRect/>
                    </a:stretch>
                  </pic:blipFill>
                  <pic:spPr>
                    <a:xfrm>
                      <a:off x="0" y="0"/>
                      <a:ext cx="5760085" cy="2810122"/>
                    </a:xfrm>
                    <a:prstGeom prst="rect">
                      <a:avLst/>
                    </a:prstGeom>
                  </pic:spPr>
                </pic:pic>
              </a:graphicData>
            </a:graphic>
          </wp:inline>
        </w:drawing>
      </w:r>
    </w:p>
    <w:p>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2"/>
                    <a:stretch>
                      <a:fillRect/>
                    </a:stretch>
                  </pic:blipFill>
                  <pic:spPr>
                    <a:xfrm>
                      <a:off x="0" y="0"/>
                      <a:ext cx="5760085" cy="2820042"/>
                    </a:xfrm>
                    <a:prstGeom prst="rect">
                      <a:avLst/>
                    </a:prstGeom>
                  </pic:spPr>
                </pic:pic>
              </a:graphicData>
            </a:graphic>
          </wp:inline>
        </w:drawing>
      </w:r>
    </w:p>
    <w:p>
      <w:pPr>
        <w:pStyle w:val="16"/>
      </w:pPr>
    </w:p>
    <w:p>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pPr>
        <w:pStyle w:val="16"/>
        <w:outlineLvl w:val="2"/>
        <w:rPr>
          <w:rFonts w:hint="eastAsia" w:hAnsi="宋体" w:eastAsia="宋体" w:cs="宋体"/>
          <w:b/>
          <w:bCs/>
          <w:color w:val="000000"/>
          <w:sz w:val="24"/>
          <w:szCs w:val="28"/>
          <w:highlight w:val="yellow"/>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“供货类别”填“</w:t>
      </w:r>
      <w:r>
        <w:rPr>
          <w:rFonts w:hint="eastAsia" w:hAnsi="宋体" w:eastAsia="宋体" w:cs="宋体"/>
          <w:b/>
          <w:bCs/>
          <w:color w:val="000000"/>
          <w:sz w:val="24"/>
          <w:szCs w:val="28"/>
          <w:highlight w:val="yellow"/>
          <w:lang w:val="en-US" w:eastAsia="zh-CN"/>
        </w:rPr>
        <w:t>计量检具</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质量部</w:t>
      </w:r>
      <w:r>
        <w:rPr>
          <w:rFonts w:hint="eastAsia" w:hAnsi="宋体" w:eastAsia="宋体" w:cs="宋体"/>
          <w:b/>
          <w:bCs/>
          <w:color w:val="000000"/>
          <w:sz w:val="24"/>
          <w:szCs w:val="28"/>
          <w:highlight w:val="yellow"/>
        </w:rPr>
        <w:t>”。</w:t>
      </w:r>
    </w:p>
    <w:p>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pPr>
        <w:pStyle w:val="16"/>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3"/>
          <w:rFonts w:hint="eastAsia" w:ascii="宋体" w:hAnsi="宋体" w:eastAsia="宋体" w:cs="宋体"/>
          <w:sz w:val="24"/>
          <w:szCs w:val="24"/>
        </w:rPr>
        <w:fldChar w:fldCharType="begin"/>
      </w:r>
      <w:r>
        <w:rPr>
          <w:rStyle w:val="43"/>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3"/>
          <w:rFonts w:hint="eastAsia" w:ascii="宋体" w:hAnsi="宋体" w:eastAsia="宋体" w:cs="宋体"/>
          <w:sz w:val="24"/>
          <w:szCs w:val="24"/>
        </w:rPr>
        <w:fldChar w:fldCharType="separate"/>
      </w:r>
      <w:r>
        <w:rPr>
          <w:rStyle w:val="43"/>
          <w:rFonts w:hint="eastAsia" w:ascii="宋体" w:hAnsi="宋体" w:eastAsia="宋体" w:cs="宋体"/>
          <w:sz w:val="24"/>
          <w:szCs w:val="24"/>
        </w:rPr>
        <w:t>http</w:t>
      </w:r>
      <w:r>
        <w:rPr>
          <w:rStyle w:val="43"/>
          <w:rFonts w:hint="eastAsia" w:ascii="宋体" w:hAnsi="宋体" w:eastAsia="宋体" w:cs="宋体"/>
          <w:sz w:val="24"/>
          <w:szCs w:val="24"/>
          <w:lang w:val="en-US" w:eastAsia="zh-CN"/>
        </w:rPr>
        <w:t>s</w:t>
      </w:r>
      <w:r>
        <w:rPr>
          <w:rStyle w:val="43"/>
          <w:rFonts w:hint="eastAsia" w:ascii="宋体" w:hAnsi="宋体" w:eastAsia="宋体" w:cs="宋体"/>
          <w:sz w:val="24"/>
          <w:szCs w:val="24"/>
        </w:rPr>
        <w:t>://ecaitong.sinotruk.com:8012/</w:t>
      </w:r>
      <w:r>
        <w:rPr>
          <w:rStyle w:val="43"/>
          <w:rFonts w:hint="eastAsia" w:ascii="宋体" w:hAnsi="宋体" w:eastAsia="宋体" w:cs="宋体"/>
          <w:sz w:val="24"/>
          <w:szCs w:val="24"/>
        </w:rPr>
        <w:fldChar w:fldCharType="end"/>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3"/>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4"/>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6"/>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5"/>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6"/>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7"/>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8"/>
                    <a:stretch>
                      <a:fillRect/>
                    </a:stretch>
                  </pic:blipFill>
                  <pic:spPr>
                    <a:xfrm>
                      <a:off x="0" y="0"/>
                      <a:ext cx="5760085" cy="1956600"/>
                    </a:xfrm>
                    <a:prstGeom prst="rect">
                      <a:avLst/>
                    </a:prstGeom>
                  </pic:spPr>
                </pic:pic>
              </a:graphicData>
            </a:graphic>
          </wp:inline>
        </w:drawing>
      </w:r>
    </w:p>
    <w:p>
      <w:pPr>
        <w:pStyle w:val="16"/>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15108E7-E077-42EF-B559-55AE70EA5FEF}"/>
  </w:font>
  <w:font w:name="黑体">
    <w:panose1 w:val="02010609060101010101"/>
    <w:charset w:val="86"/>
    <w:family w:val="auto"/>
    <w:pitch w:val="default"/>
    <w:sig w:usb0="800002BF" w:usb1="38CF7CFA" w:usb2="00000016" w:usb3="00000000" w:csb0="00040001" w:csb1="00000000"/>
    <w:embedRegular r:id="rId2" w:fontKey="{2AE4A3B2-8771-4BB5-89F5-14AA3C2215B9}"/>
  </w:font>
  <w:font w:name="Courier New">
    <w:panose1 w:val="02070309020205020404"/>
    <w:charset w:val="01"/>
    <w:family w:val="modern"/>
    <w:pitch w:val="default"/>
    <w:sig w:usb0="E0002EFF" w:usb1="C0007843" w:usb2="00000009" w:usb3="00000000" w:csb0="400001FF" w:csb1="FFFF0000"/>
    <w:embedRegular r:id="rId3" w:fontKey="{CDD1E168-EF23-4935-B551-70CE669B46AC}"/>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8718CC23-1F9E-432C-B14E-72800951E3DC}"/>
  </w:font>
  <w:font w:name="等线">
    <w:panose1 w:val="02010600030101010101"/>
    <w:charset w:val="86"/>
    <w:family w:val="auto"/>
    <w:pitch w:val="default"/>
    <w:sig w:usb0="A00002BF" w:usb1="38CF7CFA" w:usb2="00000016" w:usb3="00000000" w:csb0="0004000F" w:csb1="00000000"/>
    <w:embedRegular r:id="rId5" w:fontKey="{1D5EB308-F3EC-4837-9B78-81DC5CBE48EA}"/>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embedRegular r:id="rId6" w:fontKey="{6F2E6C25-A028-4884-9B3C-496F23F86D92}"/>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embedRegular r:id="rId7" w:fontKey="{E4004366-E807-48DF-B1E5-3F448F473661}"/>
  </w:font>
  <w:font w:name="华文仿宋">
    <w:panose1 w:val="02010600040101010101"/>
    <w:charset w:val="86"/>
    <w:family w:val="auto"/>
    <w:pitch w:val="default"/>
    <w:sig w:usb0="00000287" w:usb1="080F0000" w:usb2="00000000" w:usb3="00000000" w:csb0="0004009F" w:csb1="DFD70000"/>
    <w:embedRegular r:id="rId8" w:fontKey="{18767FB7-C667-4144-80A4-E21330BEF32D}"/>
  </w:font>
  <w:font w:name="方正小标宋简体">
    <w:panose1 w:val="02000000000000000000"/>
    <w:charset w:val="86"/>
    <w:family w:val="script"/>
    <w:pitch w:val="default"/>
    <w:sig w:usb0="A00002BF" w:usb1="184F6CFA" w:usb2="00000012" w:usb3="00000000" w:csb0="00040001" w:csb1="00000000"/>
    <w:embedRegular r:id="rId9" w:fontKey="{6A097E75-5BBA-4502-89CD-EBDD18002C99}"/>
  </w:font>
  <w:font w:name="楷体">
    <w:panose1 w:val="02010609060101010101"/>
    <w:charset w:val="86"/>
    <w:family w:val="auto"/>
    <w:pitch w:val="default"/>
    <w:sig w:usb0="800002BF" w:usb1="38CF7CFA" w:usb2="00000016" w:usb3="00000000" w:csb0="00040001" w:csb1="00000000"/>
    <w:embedRegular r:id="rId10" w:fontKey="{255BFD5F-3BEB-4929-82C0-CE8C1B7D6AA0}"/>
  </w:font>
  <w:font w:name="Wingdings 2">
    <w:panose1 w:val="05020102010507070707"/>
    <w:charset w:val="02"/>
    <w:family w:val="roman"/>
    <w:pitch w:val="default"/>
    <w:sig w:usb0="00000000" w:usb1="00000000" w:usb2="00000000" w:usb3="00000000" w:csb0="80000000" w:csb1="00000000"/>
    <w:embedRegular r:id="rId11" w:fontKey="{94906CA0-C134-4BF5-800E-CF8D7EB0EAA5}"/>
  </w:font>
  <w:font w:name="仿宋">
    <w:panose1 w:val="02010609060101010101"/>
    <w:charset w:val="86"/>
    <w:family w:val="auto"/>
    <w:pitch w:val="default"/>
    <w:sig w:usb0="800002BF" w:usb1="38CF7CFA" w:usb2="00000016" w:usb3="00000000" w:csb0="00040001" w:csb1="00000000"/>
    <w:embedRegular r:id="rId12" w:fontKey="{A9AF3E84-F2C7-4CF6-8AEF-0186CFD32378}"/>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lear" w:pos="4153"/>
      </w:tabs>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p>
  <w:p>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32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p>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7DE7897"/>
    <w:multiLevelType w:val="singleLevel"/>
    <w:tmpl w:val="77DE7897"/>
    <w:lvl w:ilvl="0" w:tentative="0">
      <w:start w:val="1"/>
      <w:numFmt w:val="decimal"/>
      <w:lvlText w:val="%1."/>
      <w:lvlJc w:val="left"/>
      <w:pPr>
        <w:tabs>
          <w:tab w:val="left" w:pos="312"/>
        </w:tabs>
      </w:p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8"/>
  </w:num>
  <w:num w:numId="3">
    <w:abstractNumId w:val="0"/>
  </w:num>
  <w:num w:numId="4">
    <w:abstractNumId w:val="9"/>
  </w:num>
  <w:num w:numId="5">
    <w:abstractNumId w:val="4"/>
  </w:num>
  <w:num w:numId="6">
    <w:abstractNumId w:val="2"/>
  </w:num>
  <w:num w:numId="7">
    <w:abstractNumId w:val="6"/>
  </w:num>
  <w:num w:numId="8">
    <w:abstractNumId w:val="1"/>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I3YjMwYmI3YmZjNDcyNjdjNDIzMTg3Mjk3MmM5MGYifQ=="/>
    <w:docVar w:name="KSO_WPS_MARK_KEY" w:val="288773bf-0df4-413a-9f38-c1906dd68f40"/>
  </w:docVars>
  <w:rsids>
    <w:rsidRoot w:val="0056018A"/>
    <w:rsid w:val="000139F5"/>
    <w:rsid w:val="00022B06"/>
    <w:rsid w:val="00036836"/>
    <w:rsid w:val="00044EF2"/>
    <w:rsid w:val="0005777A"/>
    <w:rsid w:val="00065382"/>
    <w:rsid w:val="00080223"/>
    <w:rsid w:val="000A5309"/>
    <w:rsid w:val="000D6A51"/>
    <w:rsid w:val="000E3EA5"/>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EE6D96"/>
    <w:rsid w:val="00F71720"/>
    <w:rsid w:val="00F9257D"/>
    <w:rsid w:val="00FA062A"/>
    <w:rsid w:val="00FE040F"/>
    <w:rsid w:val="00FE42B3"/>
    <w:rsid w:val="01081B3E"/>
    <w:rsid w:val="014832F2"/>
    <w:rsid w:val="014D51C1"/>
    <w:rsid w:val="01576403"/>
    <w:rsid w:val="016C71F3"/>
    <w:rsid w:val="01714809"/>
    <w:rsid w:val="01BB2C67"/>
    <w:rsid w:val="01C52478"/>
    <w:rsid w:val="022F2C26"/>
    <w:rsid w:val="02567262"/>
    <w:rsid w:val="027408EE"/>
    <w:rsid w:val="02963F39"/>
    <w:rsid w:val="02A05EB7"/>
    <w:rsid w:val="02B037A6"/>
    <w:rsid w:val="02B3095A"/>
    <w:rsid w:val="02BA7274"/>
    <w:rsid w:val="02F676C8"/>
    <w:rsid w:val="030D2310"/>
    <w:rsid w:val="03251978"/>
    <w:rsid w:val="0325718A"/>
    <w:rsid w:val="032A08BF"/>
    <w:rsid w:val="03D567D9"/>
    <w:rsid w:val="041078B8"/>
    <w:rsid w:val="042921B6"/>
    <w:rsid w:val="043B72BB"/>
    <w:rsid w:val="04461EC1"/>
    <w:rsid w:val="04504B3F"/>
    <w:rsid w:val="04831DF5"/>
    <w:rsid w:val="04A3012C"/>
    <w:rsid w:val="04AD02B8"/>
    <w:rsid w:val="04DE51C8"/>
    <w:rsid w:val="04DF17D4"/>
    <w:rsid w:val="05000C0B"/>
    <w:rsid w:val="05174255"/>
    <w:rsid w:val="05412745"/>
    <w:rsid w:val="05491761"/>
    <w:rsid w:val="05515CC6"/>
    <w:rsid w:val="055D755A"/>
    <w:rsid w:val="058761A0"/>
    <w:rsid w:val="05A351AD"/>
    <w:rsid w:val="05F9748A"/>
    <w:rsid w:val="06266F78"/>
    <w:rsid w:val="063E7B7A"/>
    <w:rsid w:val="06582413"/>
    <w:rsid w:val="067E33B8"/>
    <w:rsid w:val="06E82FCB"/>
    <w:rsid w:val="06F34B95"/>
    <w:rsid w:val="072858CC"/>
    <w:rsid w:val="07571DAC"/>
    <w:rsid w:val="07645CFB"/>
    <w:rsid w:val="07FC1127"/>
    <w:rsid w:val="08485B98"/>
    <w:rsid w:val="08493425"/>
    <w:rsid w:val="0886328A"/>
    <w:rsid w:val="088A5513"/>
    <w:rsid w:val="08DD171B"/>
    <w:rsid w:val="08DD2784"/>
    <w:rsid w:val="08E64121"/>
    <w:rsid w:val="08EE34FB"/>
    <w:rsid w:val="091D420B"/>
    <w:rsid w:val="093D4FB7"/>
    <w:rsid w:val="093E2A38"/>
    <w:rsid w:val="09414AC1"/>
    <w:rsid w:val="0942017F"/>
    <w:rsid w:val="09480908"/>
    <w:rsid w:val="096473F5"/>
    <w:rsid w:val="096F3207"/>
    <w:rsid w:val="09BA1FBB"/>
    <w:rsid w:val="09CA2C4D"/>
    <w:rsid w:val="09CB139F"/>
    <w:rsid w:val="09D71932"/>
    <w:rsid w:val="09DD1183"/>
    <w:rsid w:val="0A0106F5"/>
    <w:rsid w:val="0A112AB7"/>
    <w:rsid w:val="0A447D68"/>
    <w:rsid w:val="0A4E5482"/>
    <w:rsid w:val="0AAA504A"/>
    <w:rsid w:val="0AC402B6"/>
    <w:rsid w:val="0AD71BC7"/>
    <w:rsid w:val="0ADB5CDD"/>
    <w:rsid w:val="0AF420EB"/>
    <w:rsid w:val="0AFB4013"/>
    <w:rsid w:val="0B2B2BF5"/>
    <w:rsid w:val="0B2F3908"/>
    <w:rsid w:val="0B3F6206"/>
    <w:rsid w:val="0B6F5A8A"/>
    <w:rsid w:val="0B7E67EB"/>
    <w:rsid w:val="0B8C5B00"/>
    <w:rsid w:val="0BE12DB6"/>
    <w:rsid w:val="0BE72997"/>
    <w:rsid w:val="0BFC6504"/>
    <w:rsid w:val="0C345AD1"/>
    <w:rsid w:val="0C5114BF"/>
    <w:rsid w:val="0C552FCB"/>
    <w:rsid w:val="0C605BA6"/>
    <w:rsid w:val="0C626CE4"/>
    <w:rsid w:val="0CC2416B"/>
    <w:rsid w:val="0D08498F"/>
    <w:rsid w:val="0D0C2B7B"/>
    <w:rsid w:val="0D9308F8"/>
    <w:rsid w:val="0DE76C3D"/>
    <w:rsid w:val="0E1A1D85"/>
    <w:rsid w:val="0E3C75E8"/>
    <w:rsid w:val="0E6B26B6"/>
    <w:rsid w:val="0E750568"/>
    <w:rsid w:val="0E8819A2"/>
    <w:rsid w:val="0E9C3C97"/>
    <w:rsid w:val="0EA55D13"/>
    <w:rsid w:val="0EBA2435"/>
    <w:rsid w:val="0F0F31C4"/>
    <w:rsid w:val="0F2D7A80"/>
    <w:rsid w:val="0F346E76"/>
    <w:rsid w:val="0F4277E5"/>
    <w:rsid w:val="0F5F09C4"/>
    <w:rsid w:val="0FA75561"/>
    <w:rsid w:val="0FB83603"/>
    <w:rsid w:val="0FBE4261"/>
    <w:rsid w:val="0FCA77F1"/>
    <w:rsid w:val="0FCD5DCC"/>
    <w:rsid w:val="10043197"/>
    <w:rsid w:val="101A497B"/>
    <w:rsid w:val="10270545"/>
    <w:rsid w:val="103409DF"/>
    <w:rsid w:val="10426AFF"/>
    <w:rsid w:val="10492BB2"/>
    <w:rsid w:val="108A1D4B"/>
    <w:rsid w:val="10A10111"/>
    <w:rsid w:val="10BE093E"/>
    <w:rsid w:val="10C72515"/>
    <w:rsid w:val="10E16942"/>
    <w:rsid w:val="10E20BD8"/>
    <w:rsid w:val="10EB7251"/>
    <w:rsid w:val="110F618C"/>
    <w:rsid w:val="111B0FE9"/>
    <w:rsid w:val="112273AB"/>
    <w:rsid w:val="112C77F4"/>
    <w:rsid w:val="114755AB"/>
    <w:rsid w:val="115F67A8"/>
    <w:rsid w:val="118328C8"/>
    <w:rsid w:val="119A7465"/>
    <w:rsid w:val="119B76A5"/>
    <w:rsid w:val="11AE1BB4"/>
    <w:rsid w:val="11C07DA5"/>
    <w:rsid w:val="11C2491E"/>
    <w:rsid w:val="11F36B75"/>
    <w:rsid w:val="123B45F5"/>
    <w:rsid w:val="12491386"/>
    <w:rsid w:val="12807FED"/>
    <w:rsid w:val="12DE232A"/>
    <w:rsid w:val="12E60579"/>
    <w:rsid w:val="12EB0F02"/>
    <w:rsid w:val="13057392"/>
    <w:rsid w:val="13695B36"/>
    <w:rsid w:val="1372609F"/>
    <w:rsid w:val="1382549E"/>
    <w:rsid w:val="138A301D"/>
    <w:rsid w:val="13CD6F8A"/>
    <w:rsid w:val="13D73572"/>
    <w:rsid w:val="13E250F3"/>
    <w:rsid w:val="141476FE"/>
    <w:rsid w:val="141D0842"/>
    <w:rsid w:val="1449272D"/>
    <w:rsid w:val="14504752"/>
    <w:rsid w:val="145A6A37"/>
    <w:rsid w:val="1467440F"/>
    <w:rsid w:val="146B2014"/>
    <w:rsid w:val="147F6DAD"/>
    <w:rsid w:val="14846AB8"/>
    <w:rsid w:val="14E05B4D"/>
    <w:rsid w:val="14E9191B"/>
    <w:rsid w:val="14FA1F7A"/>
    <w:rsid w:val="15400323"/>
    <w:rsid w:val="15433A9B"/>
    <w:rsid w:val="15545B0C"/>
    <w:rsid w:val="159233F2"/>
    <w:rsid w:val="15BB45B7"/>
    <w:rsid w:val="15D346A7"/>
    <w:rsid w:val="15D93B67"/>
    <w:rsid w:val="15E9057E"/>
    <w:rsid w:val="15FC2F04"/>
    <w:rsid w:val="16181FAC"/>
    <w:rsid w:val="16450C97"/>
    <w:rsid w:val="164E7892"/>
    <w:rsid w:val="16666C4E"/>
    <w:rsid w:val="168756A0"/>
    <w:rsid w:val="16F94849"/>
    <w:rsid w:val="17045E51"/>
    <w:rsid w:val="172011D4"/>
    <w:rsid w:val="17252C3B"/>
    <w:rsid w:val="173F0A2E"/>
    <w:rsid w:val="17770BC2"/>
    <w:rsid w:val="177A3491"/>
    <w:rsid w:val="17860E2F"/>
    <w:rsid w:val="17A119AA"/>
    <w:rsid w:val="17E85AC5"/>
    <w:rsid w:val="18083B45"/>
    <w:rsid w:val="18104A8B"/>
    <w:rsid w:val="182E403B"/>
    <w:rsid w:val="18426B32"/>
    <w:rsid w:val="18586F2B"/>
    <w:rsid w:val="18784278"/>
    <w:rsid w:val="188E5849"/>
    <w:rsid w:val="19566FD7"/>
    <w:rsid w:val="198527A8"/>
    <w:rsid w:val="19A766B9"/>
    <w:rsid w:val="19B06735"/>
    <w:rsid w:val="19CE14DB"/>
    <w:rsid w:val="19CE76BA"/>
    <w:rsid w:val="19F26070"/>
    <w:rsid w:val="19F97C8B"/>
    <w:rsid w:val="1A1523CE"/>
    <w:rsid w:val="1A1F1582"/>
    <w:rsid w:val="1A864A2A"/>
    <w:rsid w:val="1AA730BD"/>
    <w:rsid w:val="1B333D5D"/>
    <w:rsid w:val="1B400146"/>
    <w:rsid w:val="1B587618"/>
    <w:rsid w:val="1B5F19C7"/>
    <w:rsid w:val="1B84164C"/>
    <w:rsid w:val="1C1C709B"/>
    <w:rsid w:val="1C4A05F8"/>
    <w:rsid w:val="1C4F6795"/>
    <w:rsid w:val="1C635F1B"/>
    <w:rsid w:val="1C687BA8"/>
    <w:rsid w:val="1C7723C1"/>
    <w:rsid w:val="1C9F6814"/>
    <w:rsid w:val="1CA7399C"/>
    <w:rsid w:val="1D5C514E"/>
    <w:rsid w:val="1D865D14"/>
    <w:rsid w:val="1D8705EC"/>
    <w:rsid w:val="1DBE0159"/>
    <w:rsid w:val="1DE71C83"/>
    <w:rsid w:val="1DEC0E7D"/>
    <w:rsid w:val="1E344794"/>
    <w:rsid w:val="1E40742E"/>
    <w:rsid w:val="1E43150B"/>
    <w:rsid w:val="1E544E3F"/>
    <w:rsid w:val="1EA93E80"/>
    <w:rsid w:val="1EC16A83"/>
    <w:rsid w:val="1ED33FB6"/>
    <w:rsid w:val="1EDC0931"/>
    <w:rsid w:val="1EE011E0"/>
    <w:rsid w:val="1EE81332"/>
    <w:rsid w:val="1F136351"/>
    <w:rsid w:val="1F32415A"/>
    <w:rsid w:val="1F4160D7"/>
    <w:rsid w:val="1F542F9A"/>
    <w:rsid w:val="1F6D241E"/>
    <w:rsid w:val="1F702632"/>
    <w:rsid w:val="1F7E2174"/>
    <w:rsid w:val="20107567"/>
    <w:rsid w:val="20313E48"/>
    <w:rsid w:val="204E750E"/>
    <w:rsid w:val="206945CB"/>
    <w:rsid w:val="208244E5"/>
    <w:rsid w:val="20AB56C6"/>
    <w:rsid w:val="20E21F80"/>
    <w:rsid w:val="21237947"/>
    <w:rsid w:val="21353FAA"/>
    <w:rsid w:val="21547789"/>
    <w:rsid w:val="216B2BCB"/>
    <w:rsid w:val="216F2E69"/>
    <w:rsid w:val="21760275"/>
    <w:rsid w:val="2176507C"/>
    <w:rsid w:val="21AC4ECC"/>
    <w:rsid w:val="21AD074F"/>
    <w:rsid w:val="21BE35AF"/>
    <w:rsid w:val="21C11174"/>
    <w:rsid w:val="21F94FCB"/>
    <w:rsid w:val="22010E3A"/>
    <w:rsid w:val="22244B28"/>
    <w:rsid w:val="222C6A9F"/>
    <w:rsid w:val="22467FD4"/>
    <w:rsid w:val="224C3750"/>
    <w:rsid w:val="22667643"/>
    <w:rsid w:val="22735CCF"/>
    <w:rsid w:val="228935B5"/>
    <w:rsid w:val="229451FD"/>
    <w:rsid w:val="22A12DB6"/>
    <w:rsid w:val="22B01277"/>
    <w:rsid w:val="2309269C"/>
    <w:rsid w:val="23332FC8"/>
    <w:rsid w:val="235F4683"/>
    <w:rsid w:val="236356D1"/>
    <w:rsid w:val="23672FA4"/>
    <w:rsid w:val="23A45F21"/>
    <w:rsid w:val="23A91C83"/>
    <w:rsid w:val="23C962E8"/>
    <w:rsid w:val="243F7403"/>
    <w:rsid w:val="247E4FED"/>
    <w:rsid w:val="24AD78E0"/>
    <w:rsid w:val="24B30BE8"/>
    <w:rsid w:val="24BC5AD3"/>
    <w:rsid w:val="24DB07AE"/>
    <w:rsid w:val="24E10292"/>
    <w:rsid w:val="24E34060"/>
    <w:rsid w:val="253A0491"/>
    <w:rsid w:val="254E0478"/>
    <w:rsid w:val="259322B4"/>
    <w:rsid w:val="25AF6361"/>
    <w:rsid w:val="25C50504"/>
    <w:rsid w:val="25C64874"/>
    <w:rsid w:val="25E036B2"/>
    <w:rsid w:val="25E75BA2"/>
    <w:rsid w:val="25E9082A"/>
    <w:rsid w:val="25F018F1"/>
    <w:rsid w:val="25F42473"/>
    <w:rsid w:val="260A0FF9"/>
    <w:rsid w:val="2621171B"/>
    <w:rsid w:val="26436BD4"/>
    <w:rsid w:val="265C2AE3"/>
    <w:rsid w:val="269C17B8"/>
    <w:rsid w:val="26AF2D79"/>
    <w:rsid w:val="26B34B91"/>
    <w:rsid w:val="26ED706D"/>
    <w:rsid w:val="26F853FE"/>
    <w:rsid w:val="26F92E80"/>
    <w:rsid w:val="26FC00A2"/>
    <w:rsid w:val="270D66E8"/>
    <w:rsid w:val="27514612"/>
    <w:rsid w:val="278B0DAB"/>
    <w:rsid w:val="278D3850"/>
    <w:rsid w:val="279C6B0E"/>
    <w:rsid w:val="27A64735"/>
    <w:rsid w:val="27CC4DF2"/>
    <w:rsid w:val="27FC39A7"/>
    <w:rsid w:val="280D64D7"/>
    <w:rsid w:val="281864F2"/>
    <w:rsid w:val="28341582"/>
    <w:rsid w:val="283D5C30"/>
    <w:rsid w:val="28445F24"/>
    <w:rsid w:val="28634650"/>
    <w:rsid w:val="286903EF"/>
    <w:rsid w:val="28700AC7"/>
    <w:rsid w:val="287F5DD3"/>
    <w:rsid w:val="288047CB"/>
    <w:rsid w:val="289E62FA"/>
    <w:rsid w:val="28DB3015"/>
    <w:rsid w:val="28FD6E90"/>
    <w:rsid w:val="291E2CA6"/>
    <w:rsid w:val="29331862"/>
    <w:rsid w:val="29606AF1"/>
    <w:rsid w:val="29751E88"/>
    <w:rsid w:val="299741EC"/>
    <w:rsid w:val="299E147F"/>
    <w:rsid w:val="29C32A87"/>
    <w:rsid w:val="29CF26DC"/>
    <w:rsid w:val="29FB0EEE"/>
    <w:rsid w:val="2A1C5DA0"/>
    <w:rsid w:val="2A200D39"/>
    <w:rsid w:val="2A507EFF"/>
    <w:rsid w:val="2A5F2FA3"/>
    <w:rsid w:val="2AAB37D0"/>
    <w:rsid w:val="2ADC05A4"/>
    <w:rsid w:val="2AEF2177"/>
    <w:rsid w:val="2B0B6B2D"/>
    <w:rsid w:val="2B46348F"/>
    <w:rsid w:val="2B5E3CCB"/>
    <w:rsid w:val="2B6F0D7F"/>
    <w:rsid w:val="2B8716BD"/>
    <w:rsid w:val="2B8B76FF"/>
    <w:rsid w:val="2BA07020"/>
    <w:rsid w:val="2BB97F4A"/>
    <w:rsid w:val="2BD5034F"/>
    <w:rsid w:val="2BD654CB"/>
    <w:rsid w:val="2BF77A2F"/>
    <w:rsid w:val="2C370819"/>
    <w:rsid w:val="2C373B79"/>
    <w:rsid w:val="2C493B09"/>
    <w:rsid w:val="2C5F3D9D"/>
    <w:rsid w:val="2C61165D"/>
    <w:rsid w:val="2C6156D9"/>
    <w:rsid w:val="2C88731E"/>
    <w:rsid w:val="2CF33A75"/>
    <w:rsid w:val="2CF85053"/>
    <w:rsid w:val="2D002B75"/>
    <w:rsid w:val="2D025012"/>
    <w:rsid w:val="2D2B45A9"/>
    <w:rsid w:val="2D4178F0"/>
    <w:rsid w:val="2DAE631A"/>
    <w:rsid w:val="2DD877E0"/>
    <w:rsid w:val="2DE03689"/>
    <w:rsid w:val="2DE616C9"/>
    <w:rsid w:val="2DFC2451"/>
    <w:rsid w:val="2E3422F8"/>
    <w:rsid w:val="2E6E566D"/>
    <w:rsid w:val="2E7F188E"/>
    <w:rsid w:val="2EBC0905"/>
    <w:rsid w:val="2EC73739"/>
    <w:rsid w:val="2EFB1B0E"/>
    <w:rsid w:val="2F5C684F"/>
    <w:rsid w:val="2F63756E"/>
    <w:rsid w:val="2F7B102E"/>
    <w:rsid w:val="2F933A9E"/>
    <w:rsid w:val="2FA45F37"/>
    <w:rsid w:val="2FAE20C9"/>
    <w:rsid w:val="2FBF7DE5"/>
    <w:rsid w:val="2FEA73B1"/>
    <w:rsid w:val="3032101E"/>
    <w:rsid w:val="306927FC"/>
    <w:rsid w:val="307776D1"/>
    <w:rsid w:val="307B2717"/>
    <w:rsid w:val="30862574"/>
    <w:rsid w:val="30B631E1"/>
    <w:rsid w:val="30C05531"/>
    <w:rsid w:val="30E57BC8"/>
    <w:rsid w:val="311933AA"/>
    <w:rsid w:val="31414A5E"/>
    <w:rsid w:val="315B788A"/>
    <w:rsid w:val="315E658D"/>
    <w:rsid w:val="3168109A"/>
    <w:rsid w:val="317D15BB"/>
    <w:rsid w:val="31B00187"/>
    <w:rsid w:val="31C94308"/>
    <w:rsid w:val="31D07E6C"/>
    <w:rsid w:val="323F65DA"/>
    <w:rsid w:val="32412074"/>
    <w:rsid w:val="32DE0199"/>
    <w:rsid w:val="333C2963"/>
    <w:rsid w:val="335B2774"/>
    <w:rsid w:val="338B331E"/>
    <w:rsid w:val="33A20D45"/>
    <w:rsid w:val="33A4642E"/>
    <w:rsid w:val="33D1020F"/>
    <w:rsid w:val="33D4039C"/>
    <w:rsid w:val="33D47E05"/>
    <w:rsid w:val="33EC194A"/>
    <w:rsid w:val="3413677D"/>
    <w:rsid w:val="342B544B"/>
    <w:rsid w:val="343E7CCC"/>
    <w:rsid w:val="345E036E"/>
    <w:rsid w:val="34C47852"/>
    <w:rsid w:val="34DE1E4F"/>
    <w:rsid w:val="34F07DB1"/>
    <w:rsid w:val="35216C38"/>
    <w:rsid w:val="35486AF7"/>
    <w:rsid w:val="359009FB"/>
    <w:rsid w:val="35D354B8"/>
    <w:rsid w:val="35D4025C"/>
    <w:rsid w:val="35DC572E"/>
    <w:rsid w:val="36063A32"/>
    <w:rsid w:val="362666BC"/>
    <w:rsid w:val="3628478F"/>
    <w:rsid w:val="36394F6A"/>
    <w:rsid w:val="36445A95"/>
    <w:rsid w:val="368A6B11"/>
    <w:rsid w:val="36A238B1"/>
    <w:rsid w:val="36B53E7C"/>
    <w:rsid w:val="37085B1F"/>
    <w:rsid w:val="37103EE5"/>
    <w:rsid w:val="372E04CB"/>
    <w:rsid w:val="37317C9C"/>
    <w:rsid w:val="37893954"/>
    <w:rsid w:val="38131C89"/>
    <w:rsid w:val="38A43C55"/>
    <w:rsid w:val="38E070F2"/>
    <w:rsid w:val="390D33AB"/>
    <w:rsid w:val="391E6D06"/>
    <w:rsid w:val="3984503C"/>
    <w:rsid w:val="39CE2F60"/>
    <w:rsid w:val="39DC5BB6"/>
    <w:rsid w:val="39F1031B"/>
    <w:rsid w:val="3A074847"/>
    <w:rsid w:val="3A3C6CE4"/>
    <w:rsid w:val="3A830B2E"/>
    <w:rsid w:val="3AA90FE6"/>
    <w:rsid w:val="3AA9318F"/>
    <w:rsid w:val="3AB62DA0"/>
    <w:rsid w:val="3AD04447"/>
    <w:rsid w:val="3AEA41B5"/>
    <w:rsid w:val="3B414BC4"/>
    <w:rsid w:val="3B683BAC"/>
    <w:rsid w:val="3B69577B"/>
    <w:rsid w:val="3B702D85"/>
    <w:rsid w:val="3B7905A1"/>
    <w:rsid w:val="3B7D3FD5"/>
    <w:rsid w:val="3B823DDF"/>
    <w:rsid w:val="3BD827B4"/>
    <w:rsid w:val="3C237ED3"/>
    <w:rsid w:val="3C317D4F"/>
    <w:rsid w:val="3C4542ED"/>
    <w:rsid w:val="3C4D2D59"/>
    <w:rsid w:val="3CAA596A"/>
    <w:rsid w:val="3CAF1D22"/>
    <w:rsid w:val="3CB1587B"/>
    <w:rsid w:val="3CB735F2"/>
    <w:rsid w:val="3CD218F9"/>
    <w:rsid w:val="3CFC4E99"/>
    <w:rsid w:val="3D186684"/>
    <w:rsid w:val="3D363C36"/>
    <w:rsid w:val="3D496B61"/>
    <w:rsid w:val="3D68584E"/>
    <w:rsid w:val="3D8B2178"/>
    <w:rsid w:val="3DB34909"/>
    <w:rsid w:val="3DCA67EC"/>
    <w:rsid w:val="3DD115F5"/>
    <w:rsid w:val="3DE23DBE"/>
    <w:rsid w:val="3DE435F0"/>
    <w:rsid w:val="3DE5122C"/>
    <w:rsid w:val="3DF37E53"/>
    <w:rsid w:val="3E1768EB"/>
    <w:rsid w:val="3E212A7E"/>
    <w:rsid w:val="3E47743A"/>
    <w:rsid w:val="3EB70D31"/>
    <w:rsid w:val="3ED26DE9"/>
    <w:rsid w:val="3EED17D0"/>
    <w:rsid w:val="3F052CF0"/>
    <w:rsid w:val="3F0C0304"/>
    <w:rsid w:val="3F2A7DE0"/>
    <w:rsid w:val="3F774839"/>
    <w:rsid w:val="3FEC147E"/>
    <w:rsid w:val="400D1324"/>
    <w:rsid w:val="40111F29"/>
    <w:rsid w:val="401A01BA"/>
    <w:rsid w:val="40376375"/>
    <w:rsid w:val="407D0E43"/>
    <w:rsid w:val="409061F3"/>
    <w:rsid w:val="40980F08"/>
    <w:rsid w:val="40C83C56"/>
    <w:rsid w:val="40D23C76"/>
    <w:rsid w:val="40E340D5"/>
    <w:rsid w:val="40F3251B"/>
    <w:rsid w:val="412732B7"/>
    <w:rsid w:val="4127791F"/>
    <w:rsid w:val="41281794"/>
    <w:rsid w:val="413C1FDF"/>
    <w:rsid w:val="41806A69"/>
    <w:rsid w:val="418307E9"/>
    <w:rsid w:val="41980AAB"/>
    <w:rsid w:val="41A40141"/>
    <w:rsid w:val="41B0259C"/>
    <w:rsid w:val="41BC6F1C"/>
    <w:rsid w:val="41CE6B33"/>
    <w:rsid w:val="41EF2363"/>
    <w:rsid w:val="41F77860"/>
    <w:rsid w:val="424A4B98"/>
    <w:rsid w:val="424F27D8"/>
    <w:rsid w:val="42581D3A"/>
    <w:rsid w:val="429C4E56"/>
    <w:rsid w:val="42AC3A79"/>
    <w:rsid w:val="42E42CCB"/>
    <w:rsid w:val="42ED2EA4"/>
    <w:rsid w:val="42F37A63"/>
    <w:rsid w:val="42F6649D"/>
    <w:rsid w:val="42FE0080"/>
    <w:rsid w:val="43315D2E"/>
    <w:rsid w:val="43670C99"/>
    <w:rsid w:val="43824A1C"/>
    <w:rsid w:val="43BA782C"/>
    <w:rsid w:val="43D110E1"/>
    <w:rsid w:val="43E048FB"/>
    <w:rsid w:val="43E873C9"/>
    <w:rsid w:val="43EF4482"/>
    <w:rsid w:val="448B5C69"/>
    <w:rsid w:val="44905B1F"/>
    <w:rsid w:val="44A3327A"/>
    <w:rsid w:val="44C81F67"/>
    <w:rsid w:val="44EC107E"/>
    <w:rsid w:val="45316885"/>
    <w:rsid w:val="45890057"/>
    <w:rsid w:val="459B1F40"/>
    <w:rsid w:val="45A95EE9"/>
    <w:rsid w:val="45EA5542"/>
    <w:rsid w:val="45FB0F21"/>
    <w:rsid w:val="46130905"/>
    <w:rsid w:val="46167166"/>
    <w:rsid w:val="4636719A"/>
    <w:rsid w:val="463A65C6"/>
    <w:rsid w:val="464858DB"/>
    <w:rsid w:val="4650656B"/>
    <w:rsid w:val="46685E10"/>
    <w:rsid w:val="46D73EC6"/>
    <w:rsid w:val="47200EE3"/>
    <w:rsid w:val="47435AC2"/>
    <w:rsid w:val="47544B78"/>
    <w:rsid w:val="47587AF7"/>
    <w:rsid w:val="47745A86"/>
    <w:rsid w:val="47C9778B"/>
    <w:rsid w:val="47CB5A57"/>
    <w:rsid w:val="47E239AC"/>
    <w:rsid w:val="47E36768"/>
    <w:rsid w:val="47F33399"/>
    <w:rsid w:val="480C42C3"/>
    <w:rsid w:val="480F4B73"/>
    <w:rsid w:val="4816227E"/>
    <w:rsid w:val="48276F9D"/>
    <w:rsid w:val="4862144E"/>
    <w:rsid w:val="487974BD"/>
    <w:rsid w:val="489E3831"/>
    <w:rsid w:val="48B9571B"/>
    <w:rsid w:val="48CB0E7D"/>
    <w:rsid w:val="48DB38E3"/>
    <w:rsid w:val="49001B5E"/>
    <w:rsid w:val="4904108C"/>
    <w:rsid w:val="491033DE"/>
    <w:rsid w:val="493443AD"/>
    <w:rsid w:val="49376DB0"/>
    <w:rsid w:val="493D4634"/>
    <w:rsid w:val="49551CDB"/>
    <w:rsid w:val="49605AEE"/>
    <w:rsid w:val="497E3057"/>
    <w:rsid w:val="49804BB7"/>
    <w:rsid w:val="49826DCB"/>
    <w:rsid w:val="499013E7"/>
    <w:rsid w:val="49C8088A"/>
    <w:rsid w:val="49F031DE"/>
    <w:rsid w:val="49F772E6"/>
    <w:rsid w:val="4A0F6D68"/>
    <w:rsid w:val="4A111CB3"/>
    <w:rsid w:val="4A301C93"/>
    <w:rsid w:val="4A3302AB"/>
    <w:rsid w:val="4A4C47F2"/>
    <w:rsid w:val="4A572A17"/>
    <w:rsid w:val="4A6F2535"/>
    <w:rsid w:val="4A7224B3"/>
    <w:rsid w:val="4A7706DB"/>
    <w:rsid w:val="4A901A63"/>
    <w:rsid w:val="4A9C5875"/>
    <w:rsid w:val="4AC85D49"/>
    <w:rsid w:val="4ACD18C8"/>
    <w:rsid w:val="4AE308A9"/>
    <w:rsid w:val="4B0E4F45"/>
    <w:rsid w:val="4B260F2D"/>
    <w:rsid w:val="4B5005B9"/>
    <w:rsid w:val="4B9A1456"/>
    <w:rsid w:val="4BA32C82"/>
    <w:rsid w:val="4BDB6202"/>
    <w:rsid w:val="4BE70627"/>
    <w:rsid w:val="4C0A5AE1"/>
    <w:rsid w:val="4C130AB8"/>
    <w:rsid w:val="4C5A284D"/>
    <w:rsid w:val="4C5C0673"/>
    <w:rsid w:val="4C8B531F"/>
    <w:rsid w:val="4CB96B43"/>
    <w:rsid w:val="4CC61682"/>
    <w:rsid w:val="4CC75FCC"/>
    <w:rsid w:val="4CC87A5E"/>
    <w:rsid w:val="4CC93E90"/>
    <w:rsid w:val="4CD63947"/>
    <w:rsid w:val="4CDB28FE"/>
    <w:rsid w:val="4CFC49F4"/>
    <w:rsid w:val="4D0314E7"/>
    <w:rsid w:val="4D073D73"/>
    <w:rsid w:val="4D1E27BA"/>
    <w:rsid w:val="4D23574A"/>
    <w:rsid w:val="4D4C4DB0"/>
    <w:rsid w:val="4D7322D5"/>
    <w:rsid w:val="4DD7034C"/>
    <w:rsid w:val="4DE312CB"/>
    <w:rsid w:val="4DF5318E"/>
    <w:rsid w:val="4E0D199A"/>
    <w:rsid w:val="4E0E0BAE"/>
    <w:rsid w:val="4E1F4862"/>
    <w:rsid w:val="4E2E4393"/>
    <w:rsid w:val="4E4478F5"/>
    <w:rsid w:val="4E535EF2"/>
    <w:rsid w:val="4F08773C"/>
    <w:rsid w:val="4F1F277C"/>
    <w:rsid w:val="4F31409F"/>
    <w:rsid w:val="4F391107"/>
    <w:rsid w:val="4F5E670E"/>
    <w:rsid w:val="4F846A83"/>
    <w:rsid w:val="50070E2C"/>
    <w:rsid w:val="50093D5E"/>
    <w:rsid w:val="501112F3"/>
    <w:rsid w:val="504B57F2"/>
    <w:rsid w:val="50514152"/>
    <w:rsid w:val="50850D04"/>
    <w:rsid w:val="50C5433A"/>
    <w:rsid w:val="50C62BC7"/>
    <w:rsid w:val="50C879B4"/>
    <w:rsid w:val="50D40EA8"/>
    <w:rsid w:val="50F72A66"/>
    <w:rsid w:val="5123368C"/>
    <w:rsid w:val="51291C37"/>
    <w:rsid w:val="512E61CA"/>
    <w:rsid w:val="5130747C"/>
    <w:rsid w:val="513B6B2B"/>
    <w:rsid w:val="515C765A"/>
    <w:rsid w:val="51905BB3"/>
    <w:rsid w:val="51922560"/>
    <w:rsid w:val="51946FCB"/>
    <w:rsid w:val="51BD71A2"/>
    <w:rsid w:val="51DD796B"/>
    <w:rsid w:val="51DF373B"/>
    <w:rsid w:val="51F7744F"/>
    <w:rsid w:val="52A511EA"/>
    <w:rsid w:val="52EF4CB5"/>
    <w:rsid w:val="52F959F0"/>
    <w:rsid w:val="5302488E"/>
    <w:rsid w:val="530323B4"/>
    <w:rsid w:val="53136173"/>
    <w:rsid w:val="53253ACD"/>
    <w:rsid w:val="534B12B7"/>
    <w:rsid w:val="539A4AC7"/>
    <w:rsid w:val="53F86552"/>
    <w:rsid w:val="542631B6"/>
    <w:rsid w:val="542B7CA6"/>
    <w:rsid w:val="5447483C"/>
    <w:rsid w:val="544D14DF"/>
    <w:rsid w:val="54694B6B"/>
    <w:rsid w:val="547748A2"/>
    <w:rsid w:val="54942CAE"/>
    <w:rsid w:val="5499280E"/>
    <w:rsid w:val="54A61722"/>
    <w:rsid w:val="54B31FAF"/>
    <w:rsid w:val="54DC2048"/>
    <w:rsid w:val="550C502E"/>
    <w:rsid w:val="55224E1C"/>
    <w:rsid w:val="55326D63"/>
    <w:rsid w:val="555D1A10"/>
    <w:rsid w:val="55963292"/>
    <w:rsid w:val="55B72CB0"/>
    <w:rsid w:val="55C300FC"/>
    <w:rsid w:val="55E8347F"/>
    <w:rsid w:val="55E90F00"/>
    <w:rsid w:val="56073F6A"/>
    <w:rsid w:val="56811936"/>
    <w:rsid w:val="56AC4A78"/>
    <w:rsid w:val="56B55151"/>
    <w:rsid w:val="56D007FF"/>
    <w:rsid w:val="56DB16B9"/>
    <w:rsid w:val="57276389"/>
    <w:rsid w:val="57435CBA"/>
    <w:rsid w:val="577A3463"/>
    <w:rsid w:val="57977EA7"/>
    <w:rsid w:val="57B35F6D"/>
    <w:rsid w:val="57BE1D80"/>
    <w:rsid w:val="57CF6D09"/>
    <w:rsid w:val="57F967AD"/>
    <w:rsid w:val="58052975"/>
    <w:rsid w:val="581D7A74"/>
    <w:rsid w:val="582B0078"/>
    <w:rsid w:val="584D1A65"/>
    <w:rsid w:val="584F5C44"/>
    <w:rsid w:val="58584F50"/>
    <w:rsid w:val="58A96885"/>
    <w:rsid w:val="58B8581B"/>
    <w:rsid w:val="58E525CA"/>
    <w:rsid w:val="58EE7372"/>
    <w:rsid w:val="58FD7D40"/>
    <w:rsid w:val="59017396"/>
    <w:rsid w:val="592B5B5A"/>
    <w:rsid w:val="593829B8"/>
    <w:rsid w:val="593D045A"/>
    <w:rsid w:val="5960739E"/>
    <w:rsid w:val="59896D0A"/>
    <w:rsid w:val="599226DC"/>
    <w:rsid w:val="59975605"/>
    <w:rsid w:val="599D6D92"/>
    <w:rsid w:val="59B72684"/>
    <w:rsid w:val="59BA4144"/>
    <w:rsid w:val="59C06FDA"/>
    <w:rsid w:val="59F861A7"/>
    <w:rsid w:val="5A8E00F1"/>
    <w:rsid w:val="5A9579AE"/>
    <w:rsid w:val="5AB521E6"/>
    <w:rsid w:val="5AC468CD"/>
    <w:rsid w:val="5AC558FB"/>
    <w:rsid w:val="5B342B9A"/>
    <w:rsid w:val="5B5953B0"/>
    <w:rsid w:val="5B630802"/>
    <w:rsid w:val="5B6E60D7"/>
    <w:rsid w:val="5B746998"/>
    <w:rsid w:val="5B807F68"/>
    <w:rsid w:val="5BA72CE5"/>
    <w:rsid w:val="5BA95A60"/>
    <w:rsid w:val="5BE61256"/>
    <w:rsid w:val="5C034D53"/>
    <w:rsid w:val="5C0A43A9"/>
    <w:rsid w:val="5C41066B"/>
    <w:rsid w:val="5C620B9F"/>
    <w:rsid w:val="5C79798F"/>
    <w:rsid w:val="5C7F2AAC"/>
    <w:rsid w:val="5D0E2082"/>
    <w:rsid w:val="5D161948"/>
    <w:rsid w:val="5D41354B"/>
    <w:rsid w:val="5D722852"/>
    <w:rsid w:val="5E1D6F56"/>
    <w:rsid w:val="5E52187F"/>
    <w:rsid w:val="5E6A13CD"/>
    <w:rsid w:val="5E705D15"/>
    <w:rsid w:val="5E93326C"/>
    <w:rsid w:val="5E9F1A7A"/>
    <w:rsid w:val="5EAB5261"/>
    <w:rsid w:val="5EAF3818"/>
    <w:rsid w:val="5EE62ABD"/>
    <w:rsid w:val="5EF62F7D"/>
    <w:rsid w:val="5EFB4BA4"/>
    <w:rsid w:val="5EFD23AE"/>
    <w:rsid w:val="5F025452"/>
    <w:rsid w:val="5F204545"/>
    <w:rsid w:val="5F5F46B5"/>
    <w:rsid w:val="5FB25360"/>
    <w:rsid w:val="5FBA3CC0"/>
    <w:rsid w:val="5FD90D61"/>
    <w:rsid w:val="5FF11F12"/>
    <w:rsid w:val="60177697"/>
    <w:rsid w:val="602329DB"/>
    <w:rsid w:val="607777D6"/>
    <w:rsid w:val="60B34B89"/>
    <w:rsid w:val="60BC76A1"/>
    <w:rsid w:val="610B7637"/>
    <w:rsid w:val="612279BA"/>
    <w:rsid w:val="614D1FB2"/>
    <w:rsid w:val="615F5624"/>
    <w:rsid w:val="61D215CF"/>
    <w:rsid w:val="62042FA0"/>
    <w:rsid w:val="62414951"/>
    <w:rsid w:val="625901AB"/>
    <w:rsid w:val="625C563D"/>
    <w:rsid w:val="626A1704"/>
    <w:rsid w:val="627921C2"/>
    <w:rsid w:val="62B362C8"/>
    <w:rsid w:val="62C1330E"/>
    <w:rsid w:val="62DD39C2"/>
    <w:rsid w:val="62EB67A0"/>
    <w:rsid w:val="62EC0759"/>
    <w:rsid w:val="62F200E4"/>
    <w:rsid w:val="63084806"/>
    <w:rsid w:val="6342085E"/>
    <w:rsid w:val="636F415C"/>
    <w:rsid w:val="63C329BB"/>
    <w:rsid w:val="63E85179"/>
    <w:rsid w:val="645A0930"/>
    <w:rsid w:val="64917820"/>
    <w:rsid w:val="64AA1CC5"/>
    <w:rsid w:val="64E9279D"/>
    <w:rsid w:val="64EB5CA0"/>
    <w:rsid w:val="6528341F"/>
    <w:rsid w:val="6544632F"/>
    <w:rsid w:val="656B2909"/>
    <w:rsid w:val="6598607C"/>
    <w:rsid w:val="659A2704"/>
    <w:rsid w:val="65A3045D"/>
    <w:rsid w:val="65B178B1"/>
    <w:rsid w:val="65BA4B55"/>
    <w:rsid w:val="65D5369F"/>
    <w:rsid w:val="65D97752"/>
    <w:rsid w:val="65E25E59"/>
    <w:rsid w:val="66174109"/>
    <w:rsid w:val="6617798C"/>
    <w:rsid w:val="66307F76"/>
    <w:rsid w:val="66580EAF"/>
    <w:rsid w:val="66694D0D"/>
    <w:rsid w:val="667B4472"/>
    <w:rsid w:val="66F041A8"/>
    <w:rsid w:val="6721178A"/>
    <w:rsid w:val="6739399A"/>
    <w:rsid w:val="673F39DE"/>
    <w:rsid w:val="674C5D22"/>
    <w:rsid w:val="67663AF8"/>
    <w:rsid w:val="677243C5"/>
    <w:rsid w:val="67762CFD"/>
    <w:rsid w:val="67762DCB"/>
    <w:rsid w:val="677A678D"/>
    <w:rsid w:val="678C2D71"/>
    <w:rsid w:val="67A17493"/>
    <w:rsid w:val="67A43BFC"/>
    <w:rsid w:val="67D30B32"/>
    <w:rsid w:val="67D356E3"/>
    <w:rsid w:val="68011379"/>
    <w:rsid w:val="68252C37"/>
    <w:rsid w:val="6836320A"/>
    <w:rsid w:val="6855023B"/>
    <w:rsid w:val="68673E5E"/>
    <w:rsid w:val="68803F1E"/>
    <w:rsid w:val="68817BAC"/>
    <w:rsid w:val="689A5E59"/>
    <w:rsid w:val="68A94E70"/>
    <w:rsid w:val="68AB31C8"/>
    <w:rsid w:val="68D321ED"/>
    <w:rsid w:val="68EB61B0"/>
    <w:rsid w:val="68EE72DF"/>
    <w:rsid w:val="68FE51D1"/>
    <w:rsid w:val="690B4C92"/>
    <w:rsid w:val="69485FEA"/>
    <w:rsid w:val="69677DC0"/>
    <w:rsid w:val="69937EC7"/>
    <w:rsid w:val="699A504F"/>
    <w:rsid w:val="69D64558"/>
    <w:rsid w:val="6A042548"/>
    <w:rsid w:val="6A0F720C"/>
    <w:rsid w:val="6A146F17"/>
    <w:rsid w:val="6A244C92"/>
    <w:rsid w:val="6A45664A"/>
    <w:rsid w:val="6A471EFD"/>
    <w:rsid w:val="6AB57116"/>
    <w:rsid w:val="6AFA3FE8"/>
    <w:rsid w:val="6B17424A"/>
    <w:rsid w:val="6B2218FA"/>
    <w:rsid w:val="6B5A722E"/>
    <w:rsid w:val="6B686C59"/>
    <w:rsid w:val="6B691672"/>
    <w:rsid w:val="6B8C3281"/>
    <w:rsid w:val="6BCA2D65"/>
    <w:rsid w:val="6BE05D30"/>
    <w:rsid w:val="6BE97F42"/>
    <w:rsid w:val="6BEB29A1"/>
    <w:rsid w:val="6BEE7B6F"/>
    <w:rsid w:val="6C5660C1"/>
    <w:rsid w:val="6C5E6A51"/>
    <w:rsid w:val="6C6513C3"/>
    <w:rsid w:val="6C744268"/>
    <w:rsid w:val="6C913746"/>
    <w:rsid w:val="6C9D0B3F"/>
    <w:rsid w:val="6CD62D03"/>
    <w:rsid w:val="6CD97FB6"/>
    <w:rsid w:val="6D0B1173"/>
    <w:rsid w:val="6D0E5050"/>
    <w:rsid w:val="6D4B22B8"/>
    <w:rsid w:val="6D930013"/>
    <w:rsid w:val="6DA51372"/>
    <w:rsid w:val="6DB53B8B"/>
    <w:rsid w:val="6DBA5A94"/>
    <w:rsid w:val="6E1A1656"/>
    <w:rsid w:val="6E231DD6"/>
    <w:rsid w:val="6E4279D9"/>
    <w:rsid w:val="6E5A5288"/>
    <w:rsid w:val="6EBA7973"/>
    <w:rsid w:val="6EE013EE"/>
    <w:rsid w:val="6EE079F1"/>
    <w:rsid w:val="6EE42C42"/>
    <w:rsid w:val="6F143527"/>
    <w:rsid w:val="6F7F7CB0"/>
    <w:rsid w:val="6FE0165C"/>
    <w:rsid w:val="6FE10C44"/>
    <w:rsid w:val="70222744"/>
    <w:rsid w:val="70545BA6"/>
    <w:rsid w:val="70616C6C"/>
    <w:rsid w:val="706D25DF"/>
    <w:rsid w:val="706D2B21"/>
    <w:rsid w:val="707B1384"/>
    <w:rsid w:val="707F70C6"/>
    <w:rsid w:val="70857A34"/>
    <w:rsid w:val="70985D3C"/>
    <w:rsid w:val="70C52655"/>
    <w:rsid w:val="70FD625F"/>
    <w:rsid w:val="71047C73"/>
    <w:rsid w:val="7109004F"/>
    <w:rsid w:val="71103167"/>
    <w:rsid w:val="71197447"/>
    <w:rsid w:val="71211E57"/>
    <w:rsid w:val="712E56F7"/>
    <w:rsid w:val="713954C7"/>
    <w:rsid w:val="71691ABB"/>
    <w:rsid w:val="718D0958"/>
    <w:rsid w:val="71AE1AEA"/>
    <w:rsid w:val="71CF3B6C"/>
    <w:rsid w:val="71E6046B"/>
    <w:rsid w:val="71F80F33"/>
    <w:rsid w:val="722922C6"/>
    <w:rsid w:val="72367C59"/>
    <w:rsid w:val="723C5278"/>
    <w:rsid w:val="723F4D5F"/>
    <w:rsid w:val="72532C9F"/>
    <w:rsid w:val="72606A84"/>
    <w:rsid w:val="727176A7"/>
    <w:rsid w:val="72CB03A1"/>
    <w:rsid w:val="73047240"/>
    <w:rsid w:val="730F5864"/>
    <w:rsid w:val="732D4B5D"/>
    <w:rsid w:val="73393C88"/>
    <w:rsid w:val="733F2EED"/>
    <w:rsid w:val="7362513F"/>
    <w:rsid w:val="736612A1"/>
    <w:rsid w:val="73771D49"/>
    <w:rsid w:val="73846894"/>
    <w:rsid w:val="738B299C"/>
    <w:rsid w:val="73A1354E"/>
    <w:rsid w:val="73CB7009"/>
    <w:rsid w:val="73EF6BAF"/>
    <w:rsid w:val="73F12089"/>
    <w:rsid w:val="73FE05FF"/>
    <w:rsid w:val="73FE4ED9"/>
    <w:rsid w:val="743D3AC4"/>
    <w:rsid w:val="747D20BB"/>
    <w:rsid w:val="74A11E7D"/>
    <w:rsid w:val="74AE727B"/>
    <w:rsid w:val="74EC1DD5"/>
    <w:rsid w:val="75590B0A"/>
    <w:rsid w:val="758075D4"/>
    <w:rsid w:val="7582279F"/>
    <w:rsid w:val="75843EB5"/>
    <w:rsid w:val="759A22AD"/>
    <w:rsid w:val="75BB71AF"/>
    <w:rsid w:val="75F01962"/>
    <w:rsid w:val="760E19DF"/>
    <w:rsid w:val="762A586E"/>
    <w:rsid w:val="764E52E0"/>
    <w:rsid w:val="76557F3E"/>
    <w:rsid w:val="76676A53"/>
    <w:rsid w:val="76A3294D"/>
    <w:rsid w:val="76A41635"/>
    <w:rsid w:val="76B620A1"/>
    <w:rsid w:val="76D0016F"/>
    <w:rsid w:val="76E51777"/>
    <w:rsid w:val="76F20814"/>
    <w:rsid w:val="77050D7C"/>
    <w:rsid w:val="771D661A"/>
    <w:rsid w:val="77462524"/>
    <w:rsid w:val="77854826"/>
    <w:rsid w:val="779A6594"/>
    <w:rsid w:val="77A21064"/>
    <w:rsid w:val="77E34EB2"/>
    <w:rsid w:val="77F35CA4"/>
    <w:rsid w:val="781564B8"/>
    <w:rsid w:val="78224ACF"/>
    <w:rsid w:val="783751ED"/>
    <w:rsid w:val="78C7099A"/>
    <w:rsid w:val="78CD6DCC"/>
    <w:rsid w:val="78D07CAF"/>
    <w:rsid w:val="78DE12D7"/>
    <w:rsid w:val="79055F9C"/>
    <w:rsid w:val="79202AC9"/>
    <w:rsid w:val="79210683"/>
    <w:rsid w:val="79535D1B"/>
    <w:rsid w:val="796A5940"/>
    <w:rsid w:val="79936B04"/>
    <w:rsid w:val="799C3465"/>
    <w:rsid w:val="79B14EC4"/>
    <w:rsid w:val="7A2A6B4A"/>
    <w:rsid w:val="7A2D151F"/>
    <w:rsid w:val="7A3C3A9A"/>
    <w:rsid w:val="7A681070"/>
    <w:rsid w:val="7A860C7C"/>
    <w:rsid w:val="7A951BAA"/>
    <w:rsid w:val="7AB879FE"/>
    <w:rsid w:val="7AC21415"/>
    <w:rsid w:val="7B1B7885"/>
    <w:rsid w:val="7B272C86"/>
    <w:rsid w:val="7B3264DD"/>
    <w:rsid w:val="7B4D1359"/>
    <w:rsid w:val="7B664481"/>
    <w:rsid w:val="7B81188A"/>
    <w:rsid w:val="7B9E2902"/>
    <w:rsid w:val="7BC854E2"/>
    <w:rsid w:val="7BC938EC"/>
    <w:rsid w:val="7BE53EA4"/>
    <w:rsid w:val="7C0562EC"/>
    <w:rsid w:val="7C067A45"/>
    <w:rsid w:val="7C0B2A10"/>
    <w:rsid w:val="7C27683F"/>
    <w:rsid w:val="7CAE2219"/>
    <w:rsid w:val="7CB14B4D"/>
    <w:rsid w:val="7CB83088"/>
    <w:rsid w:val="7CF26969"/>
    <w:rsid w:val="7D0E2B49"/>
    <w:rsid w:val="7D25523C"/>
    <w:rsid w:val="7D2953E6"/>
    <w:rsid w:val="7D7A3EEC"/>
    <w:rsid w:val="7DAA6C39"/>
    <w:rsid w:val="7DB23041"/>
    <w:rsid w:val="7DD86484"/>
    <w:rsid w:val="7E163D6A"/>
    <w:rsid w:val="7E2120FB"/>
    <w:rsid w:val="7E412630"/>
    <w:rsid w:val="7E5F7809"/>
    <w:rsid w:val="7E870BA6"/>
    <w:rsid w:val="7EC06781"/>
    <w:rsid w:val="7ED56C53"/>
    <w:rsid w:val="7EEA1BAF"/>
    <w:rsid w:val="7F20421C"/>
    <w:rsid w:val="7F5460D4"/>
    <w:rsid w:val="7F552892"/>
    <w:rsid w:val="7F8F5B55"/>
    <w:rsid w:val="7FE916E7"/>
    <w:rsid w:val="7FFB064F"/>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6"/>
    <w:qFormat/>
    <w:uiPriority w:val="9"/>
    <w:pPr>
      <w:keepNext/>
      <w:keepLines/>
      <w:jc w:val="center"/>
      <w:outlineLvl w:val="0"/>
    </w:pPr>
    <w:rPr>
      <w:b/>
      <w:bCs/>
      <w:kern w:val="44"/>
      <w:sz w:val="36"/>
      <w:szCs w:val="44"/>
    </w:rPr>
  </w:style>
  <w:style w:type="paragraph" w:styleId="3">
    <w:name w:val="heading 2"/>
    <w:basedOn w:val="1"/>
    <w:next w:val="1"/>
    <w:link w:val="47"/>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caption"/>
    <w:basedOn w:val="1"/>
    <w:next w:val="1"/>
    <w:qFormat/>
    <w:uiPriority w:val="35"/>
    <w:pPr>
      <w:spacing w:before="152" w:after="160"/>
    </w:pPr>
    <w:rPr>
      <w:rFonts w:ascii="Arial" w:hAnsi="Arial" w:eastAsia="黑体" w:cs="Arial"/>
      <w:sz w:val="20"/>
      <w:szCs w:val="20"/>
    </w:rPr>
  </w:style>
  <w:style w:type="paragraph" w:styleId="8">
    <w:name w:val="Document Map"/>
    <w:basedOn w:val="1"/>
    <w:link w:val="69"/>
    <w:qFormat/>
    <w:uiPriority w:val="0"/>
    <w:pPr>
      <w:shd w:val="clear" w:color="auto" w:fill="000080"/>
    </w:pPr>
    <w:rPr>
      <w:sz w:val="24"/>
    </w:rPr>
  </w:style>
  <w:style w:type="paragraph" w:styleId="9">
    <w:name w:val="toa heading"/>
    <w:basedOn w:val="1"/>
    <w:next w:val="1"/>
    <w:qFormat/>
    <w:uiPriority w:val="99"/>
    <w:pPr>
      <w:spacing w:before="120"/>
    </w:pPr>
    <w:rPr>
      <w:rFonts w:ascii="Arial" w:hAnsi="Arial" w:eastAsia="宋体" w:cs="Arial"/>
      <w:sz w:val="24"/>
      <w:szCs w:val="24"/>
    </w:rPr>
  </w:style>
  <w:style w:type="paragraph" w:styleId="10">
    <w:name w:val="annotation text"/>
    <w:basedOn w:val="1"/>
    <w:link w:val="60"/>
    <w:qFormat/>
    <w:uiPriority w:val="0"/>
    <w:pPr>
      <w:jc w:val="left"/>
    </w:pPr>
  </w:style>
  <w:style w:type="paragraph" w:styleId="11">
    <w:name w:val="Body Text"/>
    <w:basedOn w:val="1"/>
    <w:next w:val="12"/>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2">
    <w:name w:val="Body Text Indent"/>
    <w:basedOn w:val="1"/>
    <w:link w:val="78"/>
    <w:qFormat/>
    <w:uiPriority w:val="99"/>
    <w:pPr>
      <w:spacing w:after="120"/>
      <w:ind w:left="420" w:leftChars="200"/>
    </w:pPr>
    <w:rPr>
      <w:rFonts w:ascii="Calibri" w:hAnsi="Calibri" w:eastAsia="宋体" w:cs="Times New Roman"/>
      <w:szCs w:val="20"/>
    </w:r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1"/>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2"/>
    <w:qFormat/>
    <w:uiPriority w:val="0"/>
    <w:pPr>
      <w:ind w:left="100" w:leftChars="2500"/>
    </w:pPr>
    <w:rPr>
      <w:sz w:val="24"/>
    </w:rPr>
  </w:style>
  <w:style w:type="paragraph" w:styleId="19">
    <w:name w:val="Body Text Indent 2"/>
    <w:basedOn w:val="1"/>
    <w:link w:val="50"/>
    <w:qFormat/>
    <w:uiPriority w:val="0"/>
    <w:pPr>
      <w:spacing w:after="120" w:line="480" w:lineRule="auto"/>
      <w:ind w:left="420" w:leftChars="200"/>
    </w:pPr>
  </w:style>
  <w:style w:type="paragraph" w:styleId="20">
    <w:name w:val="Balloon Text"/>
    <w:basedOn w:val="1"/>
    <w:link w:val="66"/>
    <w:qFormat/>
    <w:uiPriority w:val="0"/>
    <w:rPr>
      <w:sz w:val="18"/>
    </w:rPr>
  </w:style>
  <w:style w:type="paragraph" w:styleId="21">
    <w:name w:val="footer"/>
    <w:basedOn w:val="1"/>
    <w:next w:val="1"/>
    <w:link w:val="72"/>
    <w:qFormat/>
    <w:uiPriority w:val="99"/>
    <w:pPr>
      <w:tabs>
        <w:tab w:val="center" w:pos="4153"/>
        <w:tab w:val="right" w:pos="8306"/>
      </w:tabs>
      <w:snapToGrid w:val="0"/>
      <w:jc w:val="left"/>
    </w:pPr>
    <w:rPr>
      <w:sz w:val="18"/>
    </w:rPr>
  </w:style>
  <w:style w:type="paragraph" w:styleId="22">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2"/>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0"/>
    <w:next w:val="10"/>
    <w:link w:val="51"/>
    <w:qFormat/>
    <w:uiPriority w:val="0"/>
    <w:rPr>
      <w:b/>
    </w:rPr>
  </w:style>
  <w:style w:type="paragraph" w:styleId="34">
    <w:name w:val="Body Text First Indent 2"/>
    <w:basedOn w:val="12"/>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paragraph" w:customStyle="1" w:styleId="45">
    <w:name w:val="Fließtext"/>
    <w:basedOn w:val="1"/>
    <w:qFormat/>
    <w:uiPriority w:val="99"/>
    <w:pPr>
      <w:widowControl/>
      <w:ind w:left="1134"/>
      <w:jc w:val="left"/>
    </w:pPr>
    <w:rPr>
      <w:rFonts w:ascii="Arial" w:hAnsi="Arial"/>
      <w:kern w:val="0"/>
      <w:szCs w:val="20"/>
      <w:lang w:val="de-DE" w:eastAsia="de-DE"/>
    </w:rPr>
  </w:style>
  <w:style w:type="character" w:customStyle="1" w:styleId="46">
    <w:name w:val="标题 1 字符"/>
    <w:basedOn w:val="37"/>
    <w:link w:val="2"/>
    <w:qFormat/>
    <w:uiPriority w:val="9"/>
    <w:rPr>
      <w:rFonts w:ascii="Calibri" w:hAnsi="Calibri" w:eastAsia="宋体" w:cs="Times New Roman"/>
      <w:b/>
      <w:bCs/>
      <w:kern w:val="44"/>
      <w:sz w:val="36"/>
      <w:szCs w:val="44"/>
    </w:rPr>
  </w:style>
  <w:style w:type="character" w:customStyle="1" w:styleId="47">
    <w:name w:val="标题 2 字符"/>
    <w:basedOn w:val="37"/>
    <w:link w:val="3"/>
    <w:qFormat/>
    <w:uiPriority w:val="9"/>
    <w:rPr>
      <w:rFonts w:ascii="Arial" w:hAnsi="Arial" w:eastAsia="宋体" w:cs="Times New Roman"/>
      <w:b/>
      <w:bCs/>
      <w:sz w:val="24"/>
      <w:szCs w:val="32"/>
    </w:rPr>
  </w:style>
  <w:style w:type="character" w:customStyle="1" w:styleId="48">
    <w:name w:val="标题 3 字符"/>
    <w:basedOn w:val="37"/>
    <w:link w:val="4"/>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19"/>
    <w:qFormat/>
    <w:locked/>
    <w:uiPriority w:val="0"/>
  </w:style>
  <w:style w:type="character" w:customStyle="1" w:styleId="51">
    <w:name w:val="批注主题 字符"/>
    <w:link w:val="33"/>
    <w:qFormat/>
    <w:locked/>
    <w:uiPriority w:val="0"/>
    <w:rPr>
      <w:b/>
    </w:rPr>
  </w:style>
  <w:style w:type="character" w:customStyle="1" w:styleId="52">
    <w:name w:val="正文文本缩进 3 字符"/>
    <w:link w:val="27"/>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7"/>
    <w:qFormat/>
    <w:uiPriority w:val="0"/>
    <w:rPr>
      <w:rFonts w:cs="Times New Roman"/>
    </w:rPr>
  </w:style>
  <w:style w:type="character" w:customStyle="1" w:styleId="58">
    <w:name w:val="页眉 字符"/>
    <w:link w:val="22"/>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0"/>
    <w:qFormat/>
    <w:locked/>
    <w:uiPriority w:val="0"/>
  </w:style>
  <w:style w:type="character" w:customStyle="1" w:styleId="61">
    <w:name w:val="标题 字符"/>
    <w:link w:val="32"/>
    <w:qFormat/>
    <w:locked/>
    <w:uiPriority w:val="0"/>
    <w:rPr>
      <w:rFonts w:ascii="Arial" w:hAnsi="Arial"/>
      <w:b/>
      <w:sz w:val="32"/>
    </w:rPr>
  </w:style>
  <w:style w:type="character" w:customStyle="1" w:styleId="62">
    <w:name w:val="日期 字符"/>
    <w:link w:val="18"/>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0"/>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8"/>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6"/>
    <w:qFormat/>
    <w:locked/>
    <w:uiPriority w:val="0"/>
    <w:rPr>
      <w:rFonts w:ascii="宋体" w:hAnsi="Courier New"/>
    </w:rPr>
  </w:style>
  <w:style w:type="character" w:customStyle="1" w:styleId="72">
    <w:name w:val="页脚 字符"/>
    <w:link w:val="21"/>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7"/>
    <w:semiHidden/>
    <w:qFormat/>
    <w:uiPriority w:val="99"/>
  </w:style>
  <w:style w:type="character" w:customStyle="1" w:styleId="77">
    <w:name w:val="批注文字 字符11"/>
    <w:basedOn w:val="37"/>
    <w:qFormat/>
    <w:uiPriority w:val="0"/>
    <w:rPr>
      <w:rFonts w:cs="Times New Roman"/>
      <w:kern w:val="2"/>
      <w:sz w:val="21"/>
    </w:rPr>
  </w:style>
  <w:style w:type="character" w:customStyle="1" w:styleId="78">
    <w:name w:val="正文文本缩进 字符"/>
    <w:basedOn w:val="37"/>
    <w:link w:val="12"/>
    <w:qFormat/>
    <w:uiPriority w:val="99"/>
    <w:rPr>
      <w:rFonts w:ascii="Calibri" w:hAnsi="Calibri" w:eastAsia="宋体" w:cs="Times New Roman"/>
      <w:szCs w:val="20"/>
    </w:rPr>
  </w:style>
  <w:style w:type="character" w:customStyle="1" w:styleId="79">
    <w:name w:val="文档结构图 字符1"/>
    <w:basedOn w:val="37"/>
    <w:semiHidden/>
    <w:qFormat/>
    <w:uiPriority w:val="99"/>
    <w:rPr>
      <w:rFonts w:ascii="Microsoft YaHei UI" w:eastAsia="Microsoft YaHei UI"/>
      <w:sz w:val="18"/>
      <w:szCs w:val="18"/>
    </w:rPr>
  </w:style>
  <w:style w:type="character" w:customStyle="1" w:styleId="80">
    <w:name w:val="文档结构图 字符11"/>
    <w:basedOn w:val="37"/>
    <w:semiHidden/>
    <w:qFormat/>
    <w:uiPriority w:val="99"/>
    <w:rPr>
      <w:rFonts w:ascii="Microsoft YaHei UI" w:eastAsia="Microsoft YaHei UI" w:cs="Times New Roman"/>
      <w:kern w:val="2"/>
      <w:sz w:val="18"/>
      <w:szCs w:val="18"/>
    </w:rPr>
  </w:style>
  <w:style w:type="character" w:customStyle="1" w:styleId="81">
    <w:name w:val="正文文本 字符"/>
    <w:basedOn w:val="37"/>
    <w:link w:val="11"/>
    <w:qFormat/>
    <w:uiPriority w:val="99"/>
    <w:rPr>
      <w:rFonts w:ascii="Calibri" w:hAnsi="Calibri" w:eastAsia="新宋体" w:cs="Times New Roman"/>
      <w:szCs w:val="21"/>
    </w:rPr>
  </w:style>
  <w:style w:type="character" w:customStyle="1" w:styleId="82">
    <w:name w:val="纯文本 字符1"/>
    <w:basedOn w:val="37"/>
    <w:semiHidden/>
    <w:qFormat/>
    <w:uiPriority w:val="99"/>
    <w:rPr>
      <w:rFonts w:hAnsi="Courier New" w:cs="Courier New" w:asciiTheme="minorEastAsia"/>
    </w:rPr>
  </w:style>
  <w:style w:type="character" w:customStyle="1" w:styleId="83">
    <w:name w:val="纯文本 字符11"/>
    <w:basedOn w:val="37"/>
    <w:qFormat/>
    <w:uiPriority w:val="0"/>
    <w:rPr>
      <w:rFonts w:hAnsi="Courier New" w:cs="Courier New" w:asciiTheme="minorEastAsia" w:eastAsiaTheme="minorEastAsia"/>
      <w:kern w:val="2"/>
      <w:sz w:val="21"/>
    </w:rPr>
  </w:style>
  <w:style w:type="character" w:customStyle="1" w:styleId="84">
    <w:name w:val="页眉 字符1"/>
    <w:basedOn w:val="37"/>
    <w:semiHidden/>
    <w:qFormat/>
    <w:uiPriority w:val="99"/>
    <w:rPr>
      <w:sz w:val="18"/>
      <w:szCs w:val="18"/>
    </w:rPr>
  </w:style>
  <w:style w:type="character" w:customStyle="1" w:styleId="85">
    <w:name w:val="页眉 字符11"/>
    <w:basedOn w:val="37"/>
    <w:semiHidden/>
    <w:qFormat/>
    <w:uiPriority w:val="99"/>
    <w:rPr>
      <w:rFonts w:cs="Times New Roman"/>
      <w:kern w:val="2"/>
      <w:sz w:val="18"/>
      <w:szCs w:val="18"/>
    </w:rPr>
  </w:style>
  <w:style w:type="character" w:customStyle="1" w:styleId="86">
    <w:name w:val="批注框文本 字符1"/>
    <w:basedOn w:val="37"/>
    <w:semiHidden/>
    <w:qFormat/>
    <w:uiPriority w:val="99"/>
    <w:rPr>
      <w:sz w:val="18"/>
      <w:szCs w:val="18"/>
    </w:rPr>
  </w:style>
  <w:style w:type="character" w:customStyle="1" w:styleId="87">
    <w:name w:val="批注框文本 字符11"/>
    <w:basedOn w:val="37"/>
    <w:semiHidden/>
    <w:qFormat/>
    <w:uiPriority w:val="99"/>
    <w:rPr>
      <w:rFonts w:cs="Times New Roman"/>
      <w:kern w:val="2"/>
      <w:sz w:val="18"/>
      <w:szCs w:val="18"/>
    </w:rPr>
  </w:style>
  <w:style w:type="character" w:customStyle="1" w:styleId="88">
    <w:name w:val="日期 字符1"/>
    <w:basedOn w:val="37"/>
    <w:semiHidden/>
    <w:qFormat/>
    <w:uiPriority w:val="99"/>
  </w:style>
  <w:style w:type="character" w:customStyle="1" w:styleId="89">
    <w:name w:val="日期 字符11"/>
    <w:basedOn w:val="37"/>
    <w:semiHidden/>
    <w:qFormat/>
    <w:uiPriority w:val="99"/>
    <w:rPr>
      <w:rFonts w:cs="Times New Roman"/>
      <w:kern w:val="2"/>
      <w:sz w:val="21"/>
    </w:rPr>
  </w:style>
  <w:style w:type="character" w:customStyle="1" w:styleId="90">
    <w:name w:val="页脚 字符1"/>
    <w:basedOn w:val="37"/>
    <w:semiHidden/>
    <w:qFormat/>
    <w:uiPriority w:val="99"/>
    <w:rPr>
      <w:sz w:val="18"/>
      <w:szCs w:val="18"/>
    </w:rPr>
  </w:style>
  <w:style w:type="character" w:customStyle="1" w:styleId="91">
    <w:name w:val="页脚 字符11"/>
    <w:basedOn w:val="37"/>
    <w:semiHidden/>
    <w:qFormat/>
    <w:uiPriority w:val="99"/>
    <w:rPr>
      <w:rFonts w:cs="Times New Roman"/>
      <w:kern w:val="2"/>
      <w:sz w:val="18"/>
      <w:szCs w:val="18"/>
    </w:rPr>
  </w:style>
  <w:style w:type="character" w:customStyle="1" w:styleId="92">
    <w:name w:val="正文文本缩进 2 字符1"/>
    <w:basedOn w:val="37"/>
    <w:semiHidden/>
    <w:qFormat/>
    <w:uiPriority w:val="99"/>
  </w:style>
  <w:style w:type="character" w:customStyle="1" w:styleId="93">
    <w:name w:val="正文文本缩进 2 字符11"/>
    <w:basedOn w:val="37"/>
    <w:semiHidden/>
    <w:qFormat/>
    <w:uiPriority w:val="99"/>
    <w:rPr>
      <w:rFonts w:cs="Times New Roman"/>
      <w:kern w:val="2"/>
      <w:sz w:val="21"/>
    </w:rPr>
  </w:style>
  <w:style w:type="character" w:customStyle="1" w:styleId="94">
    <w:name w:val="正文文本缩进 3 字符1"/>
    <w:basedOn w:val="37"/>
    <w:semiHidden/>
    <w:qFormat/>
    <w:uiPriority w:val="99"/>
    <w:rPr>
      <w:sz w:val="16"/>
      <w:szCs w:val="16"/>
    </w:rPr>
  </w:style>
  <w:style w:type="character" w:customStyle="1" w:styleId="95">
    <w:name w:val="正文文本缩进 3 字符11"/>
    <w:basedOn w:val="37"/>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7"/>
    <w:qFormat/>
    <w:uiPriority w:val="10"/>
    <w:rPr>
      <w:rFonts w:asciiTheme="majorHAnsi" w:hAnsiTheme="majorHAnsi" w:eastAsiaTheme="majorEastAsia" w:cstheme="majorBidi"/>
      <w:b/>
      <w:bCs/>
      <w:sz w:val="32"/>
      <w:szCs w:val="32"/>
    </w:rPr>
  </w:style>
  <w:style w:type="character" w:customStyle="1" w:styleId="99">
    <w:name w:val="标题 字符11"/>
    <w:basedOn w:val="37"/>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6"/>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3"/>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4"/>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2"/>
    <w:qFormat/>
    <w:uiPriority w:val="0"/>
    <w:pPr>
      <w:spacing w:before="0" w:after="0" w:line="240" w:lineRule="auto"/>
      <w:jc w:val="center"/>
    </w:pPr>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paragraph" w:customStyle="1" w:styleId="133">
    <w:name w:val="CM22"/>
    <w:basedOn w:val="74"/>
    <w:next w:val="74"/>
    <w:qFormat/>
    <w:uiPriority w:val="0"/>
    <w:pPr>
      <w:spacing w:after="125"/>
    </w:pPr>
    <w:rPr>
      <w:rFonts w:cs="Times New Roman"/>
      <w:color w:val="auto"/>
    </w:rPr>
  </w:style>
  <w:style w:type="paragraph" w:customStyle="1" w:styleId="134">
    <w:name w:val="List Paragraph1"/>
    <w:basedOn w:val="1"/>
    <w:qFormat/>
    <w:uiPriority w:val="0"/>
    <w:pPr>
      <w:ind w:firstLine="420" w:firstLineChars="200"/>
    </w:pPr>
    <w:rPr>
      <w:rFonts w:ascii="Calibri" w:hAnsi="Calibri"/>
      <w:szCs w:val="22"/>
    </w:rPr>
  </w:style>
  <w:style w:type="paragraph" w:customStyle="1" w:styleId="135">
    <w:name w:val="首行缩进"/>
    <w:basedOn w:val="1"/>
    <w:qFormat/>
    <w:uiPriority w:val="0"/>
    <w:pPr>
      <w:spacing w:line="360" w:lineRule="auto"/>
      <w:ind w:firstLine="480" w:firstLineChars="200"/>
    </w:pPr>
    <w:rPr>
      <w:rFonts w:ascii="宋体" w:hAnsi="宋体" w:eastAsia="仿宋_GB2312" w:cs="宋体"/>
      <w:sz w:val="24"/>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1" Type="http://schemas.openxmlformats.org/officeDocument/2006/relationships/fontTable" Target="fontTable.xml"/><Relationship Id="rId60" Type="http://schemas.openxmlformats.org/officeDocument/2006/relationships/numbering" Target="numbering.xml"/><Relationship Id="rId6" Type="http://schemas.openxmlformats.org/officeDocument/2006/relationships/footer" Target="footer2.xml"/><Relationship Id="rId59" Type="http://schemas.openxmlformats.org/officeDocument/2006/relationships/customXml" Target="../customXml/item1.xml"/><Relationship Id="rId58" Type="http://schemas.openxmlformats.org/officeDocument/2006/relationships/image" Target="media/image12.png"/><Relationship Id="rId57" Type="http://schemas.openxmlformats.org/officeDocument/2006/relationships/image" Target="media/image11.png"/><Relationship Id="rId56" Type="http://schemas.openxmlformats.org/officeDocument/2006/relationships/image" Target="media/image10.png"/><Relationship Id="rId55" Type="http://schemas.openxmlformats.org/officeDocument/2006/relationships/image" Target="media/image9.png"/><Relationship Id="rId54" Type="http://schemas.openxmlformats.org/officeDocument/2006/relationships/image" Target="media/image8.png"/><Relationship Id="rId53" Type="http://schemas.openxmlformats.org/officeDocument/2006/relationships/image" Target="media/image7.png"/><Relationship Id="rId52" Type="http://schemas.openxmlformats.org/officeDocument/2006/relationships/image" Target="media/image6.png"/><Relationship Id="rId51" Type="http://schemas.openxmlformats.org/officeDocument/2006/relationships/image" Target="media/image5.png"/><Relationship Id="rId50" Type="http://schemas.openxmlformats.org/officeDocument/2006/relationships/image" Target="media/image4.png"/><Relationship Id="rId5" Type="http://schemas.openxmlformats.org/officeDocument/2006/relationships/footer" Target="footer1.xml"/><Relationship Id="rId49" Type="http://schemas.openxmlformats.org/officeDocument/2006/relationships/image" Target="media/image3.png"/><Relationship Id="rId48" Type="http://schemas.openxmlformats.org/officeDocument/2006/relationships/image" Target="media/image2.png"/><Relationship Id="rId47" Type="http://schemas.openxmlformats.org/officeDocument/2006/relationships/image" Target="media/image1.png"/><Relationship Id="rId46" Type="http://schemas.openxmlformats.org/officeDocument/2006/relationships/theme" Target="theme/theme1.xml"/><Relationship Id="rId45" Type="http://schemas.openxmlformats.org/officeDocument/2006/relationships/footer" Target="footer33.xml"/><Relationship Id="rId44" Type="http://schemas.openxmlformats.org/officeDocument/2006/relationships/footer" Target="footer32.xml"/><Relationship Id="rId43" Type="http://schemas.openxmlformats.org/officeDocument/2006/relationships/header" Target="header10.xml"/><Relationship Id="rId42" Type="http://schemas.openxmlformats.org/officeDocument/2006/relationships/header" Target="header9.xml"/><Relationship Id="rId41" Type="http://schemas.openxmlformats.org/officeDocument/2006/relationships/footer" Target="footer31.xml"/><Relationship Id="rId40" Type="http://schemas.openxmlformats.org/officeDocument/2006/relationships/footer" Target="footer30.xml"/><Relationship Id="rId4" Type="http://schemas.openxmlformats.org/officeDocument/2006/relationships/header" Target="header2.xml"/><Relationship Id="rId39" Type="http://schemas.openxmlformats.org/officeDocument/2006/relationships/footer" Target="footer29.xml"/><Relationship Id="rId38" Type="http://schemas.openxmlformats.org/officeDocument/2006/relationships/footer" Target="footer28.xml"/><Relationship Id="rId37" Type="http://schemas.openxmlformats.org/officeDocument/2006/relationships/footer" Target="footer27.xml"/><Relationship Id="rId36" Type="http://schemas.openxmlformats.org/officeDocument/2006/relationships/footer" Target="footer26.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footer" Target="footer23.xml"/><Relationship Id="rId32" Type="http://schemas.openxmlformats.org/officeDocument/2006/relationships/footer" Target="footer22.xml"/><Relationship Id="rId31" Type="http://schemas.openxmlformats.org/officeDocument/2006/relationships/footer" Target="footer21.xml"/><Relationship Id="rId30" Type="http://schemas.openxmlformats.org/officeDocument/2006/relationships/footer" Target="footer20.xml"/><Relationship Id="rId3" Type="http://schemas.openxmlformats.org/officeDocument/2006/relationships/header" Target="header1.xml"/><Relationship Id="rId29" Type="http://schemas.openxmlformats.org/officeDocument/2006/relationships/footer" Target="footer19.xml"/><Relationship Id="rId28" Type="http://schemas.openxmlformats.org/officeDocument/2006/relationships/footer" Target="footer18.xml"/><Relationship Id="rId27" Type="http://schemas.openxmlformats.org/officeDocument/2006/relationships/footer" Target="footer17.xml"/><Relationship Id="rId26" Type="http://schemas.openxmlformats.org/officeDocument/2006/relationships/footer" Target="footer16.xml"/><Relationship Id="rId25" Type="http://schemas.openxmlformats.org/officeDocument/2006/relationships/footer" Target="footer15.xml"/><Relationship Id="rId24" Type="http://schemas.openxmlformats.org/officeDocument/2006/relationships/header" Target="header8.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header" Target="header7.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80</Pages>
  <Words>9021</Words>
  <Characters>9495</Characters>
  <Lines>305</Lines>
  <Paragraphs>86</Paragraphs>
  <TotalTime>8</TotalTime>
  <ScaleCrop>false</ScaleCrop>
  <LinksUpToDate>false</LinksUpToDate>
  <CharactersWithSpaces>9564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赵力</cp:lastModifiedBy>
  <cp:lastPrinted>2022-07-01T11:19:00Z</cp:lastPrinted>
  <dcterms:modified xsi:type="dcterms:W3CDTF">2025-12-17T01:59:16Z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B754417D0AEA4118BB8AF92BB80681A0_13</vt:lpwstr>
  </property>
  <property fmtid="{D5CDD505-2E9C-101B-9397-08002B2CF9AE}" pid="4" name="KSOTemplateDocerSaveRecord">
    <vt:lpwstr>eyJoZGlkIjoiMWVmMTQ5OTkxYTY3MTdjMTE2MGJhYTFkOTM3OTE2MDgiLCJ1c2VySWQiOiIxMjY4MDQ5MjIzIn0=</vt:lpwstr>
  </property>
</Properties>
</file>