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新增纯水机项目</w:t>
      </w: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hint="eastAsia"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新增纯水机项目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编号：FSCZB2025120123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新增纯水机项目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赵力</w:t>
            </w:r>
          </w:p>
          <w:p>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17860606595</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邮箱：zhaoli@sinotruk.com</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联系人：王昱晨</w:t>
            </w:r>
          </w:p>
          <w:p>
            <w:pPr>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电话：13396490216</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：wangyuchen@sinotruk.com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auto"/>
                <w:sz w:val="24"/>
                <w:szCs w:val="24"/>
                <w:highlight w:val="none"/>
                <w:lang w:val="en-US" w:eastAsia="zh-CN"/>
              </w:rPr>
              <w:t>5.2</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22</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22</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本次招标不需要提交纸质版文件，应标、投标均在中国重汽e采通平台应标投标。</w:t>
            </w:r>
            <w:r>
              <w:rPr>
                <w:rFonts w:hint="eastAsia" w:eastAsia="宋体" w:cs="宋体"/>
                <w:b/>
                <w:bCs w:val="0"/>
                <w:color w:val="auto"/>
                <w:sz w:val="24"/>
                <w:szCs w:val="24"/>
                <w:highlight w:val="yellow"/>
                <w:lang w:val="en-US" w:eastAsia="zh-CN"/>
              </w:rPr>
              <w:t>操作方式参考附件15、16</w:t>
            </w:r>
            <w:bookmarkStart w:id="126" w:name="_GoBack"/>
            <w:bookmarkEnd w:id="126"/>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27</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w:t>
            </w:r>
            <w:r>
              <w:rPr>
                <w:rFonts w:hint="eastAsia" w:eastAsia="宋体" w:cs="Times New Roman"/>
                <w:sz w:val="24"/>
                <w:szCs w:val="28"/>
                <w:highlight w:val="red"/>
              </w:rPr>
              <w:t>公司名称+项目名称+投标保证金</w:t>
            </w:r>
            <w:r>
              <w:rPr>
                <w:rFonts w:hint="eastAsia" w:eastAsia="宋体" w:cs="Times New Roman"/>
                <w:sz w:val="24"/>
                <w:szCs w:val="28"/>
                <w:highlight w:val="red"/>
                <w:lang w:eastAsia="zh-CN"/>
              </w:rPr>
              <w:t>。（</w:t>
            </w:r>
            <w:r>
              <w:rPr>
                <w:rFonts w:hint="eastAsia" w:eastAsia="宋体" w:cs="Times New Roman"/>
                <w:sz w:val="24"/>
                <w:szCs w:val="28"/>
                <w:highlight w:val="red"/>
                <w:lang w:val="en-US" w:eastAsia="zh-CN"/>
              </w:rPr>
              <w:t>严格按照此格式备注</w:t>
            </w:r>
            <w:r>
              <w:rPr>
                <w:rFonts w:hint="eastAsia" w:eastAsia="宋体" w:cs="Times New Roman"/>
                <w:sz w:val="24"/>
                <w:szCs w:val="28"/>
                <w:highlight w:val="red"/>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27</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ascii="宋体" w:hAnsi="宋体" w:eastAsia="宋体" w:cs="宋体"/>
                <w:sz w:val="24"/>
                <w:szCs w:val="24"/>
                <w:highlight w:val="yellow"/>
              </w:rPr>
              <w:t>暂定，以实际通知为准</w:t>
            </w:r>
            <w:r>
              <w:rPr>
                <w:rFonts w:hint="eastAsia" w:ascii="宋体" w:hAnsi="宋体" w:eastAsia="宋体" w:cs="宋体"/>
                <w:kern w:val="0"/>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180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5653"/>
      <w:bookmarkStart w:id="8" w:name="_Toc33266914"/>
      <w:bookmarkStart w:id="9" w:name="_Toc33265752"/>
      <w:bookmarkStart w:id="10" w:name="_Toc33266627"/>
      <w:bookmarkStart w:id="11" w:name="_Toc33266950"/>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628"/>
      <w:bookmarkStart w:id="15" w:name="_Toc33266915"/>
      <w:bookmarkStart w:id="16" w:name="_Toc33267002"/>
      <w:bookmarkStart w:id="17" w:name="_Toc33265654"/>
      <w:bookmarkStart w:id="18" w:name="_Toc395116634"/>
      <w:bookmarkStart w:id="19" w:name="_Toc33266951"/>
      <w:bookmarkStart w:id="20" w:name="_Toc33265753"/>
      <w:bookmarkStart w:id="21"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9"/>
      <w:bookmarkStart w:id="25" w:name="OLE_LINK25"/>
      <w:bookmarkStart w:id="26" w:name="OLE_LINK26"/>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6"/>
      </w:pPr>
    </w:p>
    <w:p>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w:t>
      </w:r>
      <w:r>
        <w:rPr>
          <w:rFonts w:hint="eastAsia" w:ascii="Calibri" w:hAnsi="宋体" w:eastAsia="宋体" w:cs="Times New Roman"/>
          <w:b/>
          <w:bCs/>
          <w:spacing w:val="-8"/>
          <w:sz w:val="48"/>
          <w:szCs w:val="44"/>
          <w:lang w:val="en-US" w:eastAsia="zh-CN"/>
        </w:rPr>
        <w:t>纯水机</w:t>
      </w:r>
      <w:r>
        <w:rPr>
          <w:rFonts w:hint="eastAsia" w:ascii="Calibri" w:hAnsi="宋体" w:eastAsia="宋体" w:cs="Times New Roman"/>
          <w:b/>
          <w:bCs/>
          <w:spacing w:val="-8"/>
          <w:sz w:val="48"/>
          <w:szCs w:val="44"/>
          <w:lang w:eastAsia="zh-CN"/>
        </w:rPr>
        <w:t>项目</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pPr>
        <w:pStyle w:val="16"/>
        <w:rPr>
          <w:b/>
          <w:bCs/>
        </w:rPr>
      </w:pPr>
    </w:p>
    <w:p>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招标人：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pPr>
        <w:pStyle w:val="11"/>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2"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pPr>
        <w:spacing w:line="360" w:lineRule="auto"/>
        <w:outlineLvl w:val="3"/>
        <w:rPr>
          <w:rFonts w:hint="default" w:ascii="Times New Roman" w:hAnsi="Times New Roman" w:eastAsia="宋体" w:cs="Times New Roman"/>
          <w:color w:val="auto"/>
          <w:sz w:val="24"/>
          <w:szCs w:val="24"/>
          <w:u w:val="single"/>
          <w:shd w:val="pct10" w:color="auto" w:fill="FFFFFF"/>
          <w:lang w:val="en-US"/>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新增纯水机项目</w:t>
      </w:r>
    </w:p>
    <w:p>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 xml:space="preserve">2.环境温度：(20 ± </w:t>
      </w:r>
      <w:r>
        <w:rPr>
          <w:rFonts w:hint="eastAsia" w:ascii="Times New Roman" w:hAnsi="Times New Roman" w:eastAsia="宋体" w:cs="Times New Roman"/>
          <w:bCs/>
          <w:color w:val="auto"/>
          <w:sz w:val="24"/>
          <w:szCs w:val="24"/>
          <w:lang w:val="en-US" w:eastAsia="zh-CN"/>
        </w:rPr>
        <w:t>5</w:t>
      </w:r>
      <w:r>
        <w:rPr>
          <w:rFonts w:hint="eastAsia" w:ascii="Times New Roman" w:hAnsi="Times New Roman" w:eastAsia="宋体" w:cs="Times New Roman"/>
          <w:bCs/>
          <w:color w:val="auto"/>
          <w:sz w:val="24"/>
          <w:szCs w:val="24"/>
        </w:rPr>
        <w:t>)°C</w:t>
      </w:r>
    </w:p>
    <w:p>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电力：电压：100 - 240 V AC（-6%，+10%）</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频率：50 或 60 Hz (±1%)</w:t>
      </w:r>
    </w:p>
    <w:p>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纯水机</w:t>
      </w:r>
      <w:r>
        <w:rPr>
          <w:rFonts w:hint="eastAsia" w:ascii="Times New Roman" w:hAnsi="Times New Roman" w:eastAsia="宋体" w:cs="Times New Roman"/>
          <w:color w:val="auto"/>
          <w:sz w:val="24"/>
          <w:szCs w:val="24"/>
        </w:rPr>
        <w:t>（详见下表）</w:t>
      </w:r>
    </w:p>
    <w:p>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1台（套）</w:t>
      </w:r>
      <w:r>
        <w:rPr>
          <w:rFonts w:hint="eastAsia" w:ascii="Times New Roman" w:hAnsi="Times New Roman" w:eastAsia="宋体" w:cs="Times New Roman"/>
          <w:color w:val="auto"/>
          <w:sz w:val="24"/>
          <w:szCs w:val="24"/>
        </w:rPr>
        <w:t>（详见下表）</w:t>
      </w:r>
    </w:p>
    <w:p>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纯水机</w:t>
            </w:r>
          </w:p>
        </w:tc>
        <w:tc>
          <w:tcPr>
            <w:tcW w:w="2559"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pPr>
        <w:spacing w:line="360" w:lineRule="auto"/>
        <w:rPr>
          <w:rFonts w:hint="eastAsia" w:ascii="Times New Roman" w:hAnsi="Times New Roman" w:eastAsia="宋体" w:cs="Times New Roman"/>
          <w:bCs/>
          <w:color w:val="auto"/>
          <w:sz w:val="24"/>
          <w:szCs w:val="24"/>
        </w:rPr>
      </w:pP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pPr>
        <w:widowControl/>
        <w:jc w:val="left"/>
        <w:rPr>
          <w:rFonts w:ascii="Times New Roman" w:hAnsi="Times New Roman" w:cs="Times New Roman"/>
          <w:color w:val="auto"/>
        </w:rPr>
      </w:pPr>
      <w:r>
        <w:rPr>
          <w:rFonts w:ascii="Times New Roman" w:hAnsi="Times New Roman" w:cs="Times New Roman"/>
          <w:color w:val="auto"/>
        </w:rPr>
        <w:br w:type="page"/>
      </w:r>
    </w:p>
    <w:p>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6.投标人应保证所供货物的完整性和成套性，能保证货物的正常运行、使用。</w:t>
      </w:r>
    </w:p>
    <w:p>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.程序图纸要求</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.3 HMI 界面等需要密码保护的程序，供方必须提供所有级别的用户名、密码。</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.5 供方需在终验收前提供最新的设备程序源码和电气图纸，图纸要求为可编辑原格式（EPLAN、CAD 格式）且与实际接线一致。</w:t>
      </w:r>
    </w:p>
    <w:p>
      <w:pPr>
        <w:pStyle w:val="4"/>
        <w:ind w:firstLine="42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三、技术要求</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1.设备用途：该纯水机为全自动供给1台</w:t>
      </w:r>
      <w:r>
        <w:rPr>
          <w:rFonts w:hint="eastAsia" w:hAnsi="宋体" w:eastAsia="宋体" w:cs="Times New Roman"/>
          <w:color w:val="auto"/>
          <w:sz w:val="24"/>
          <w:szCs w:val="24"/>
          <w:highlight w:val="none"/>
          <w:lang w:val="en-US" w:eastAsia="zh-CN"/>
        </w:rPr>
        <w:t xml:space="preserve">Q-Lab </w:t>
      </w:r>
      <w:r>
        <w:rPr>
          <w:rFonts w:hint="eastAsia" w:ascii="宋体" w:hAnsi="宋体" w:eastAsia="宋体" w:cs="Times New Roman"/>
          <w:color w:val="auto"/>
          <w:sz w:val="24"/>
          <w:szCs w:val="24"/>
          <w:highlight w:val="none"/>
          <w:lang w:val="en-US" w:eastAsia="zh-CN"/>
        </w:rPr>
        <w:t>Q-Sun xe-3系列氙灯试验箱所需超纯水。</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2.进水水源为自来水，可满足水压0.15-0.4Mpa。</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3.产水量25℃时不低于</w:t>
      </w:r>
      <w:r>
        <w:rPr>
          <w:rFonts w:hint="eastAsia" w:hAnsi="宋体" w:eastAsia="宋体" w:cs="Times New Roman"/>
          <w:color w:val="auto"/>
          <w:sz w:val="24"/>
          <w:szCs w:val="24"/>
          <w:highlight w:val="none"/>
          <w:lang w:val="en-US" w:eastAsia="zh-CN"/>
        </w:rPr>
        <w:t>15</w:t>
      </w:r>
      <w:r>
        <w:rPr>
          <w:rFonts w:hint="eastAsia" w:ascii="宋体" w:hAnsi="宋体" w:eastAsia="宋体" w:cs="Times New Roman"/>
          <w:color w:val="auto"/>
          <w:sz w:val="24"/>
          <w:szCs w:val="24"/>
          <w:highlight w:val="none"/>
          <w:lang w:val="en-US" w:eastAsia="zh-CN"/>
        </w:rPr>
        <w:t>L/h，</w:t>
      </w:r>
      <w:r>
        <w:rPr>
          <w:rFonts w:hint="eastAsia" w:hAnsi="宋体" w:eastAsia="宋体" w:cs="Times New Roman"/>
          <w:color w:val="auto"/>
          <w:sz w:val="24"/>
          <w:szCs w:val="24"/>
          <w:highlight w:val="none"/>
          <w:lang w:val="en-US" w:eastAsia="zh-CN"/>
        </w:rPr>
        <w:t>产水回收率不低于65%</w:t>
      </w:r>
      <w:r>
        <w:rPr>
          <w:rFonts w:hint="eastAsia" w:ascii="宋体" w:hAnsi="宋体" w:eastAsia="宋体" w:cs="Times New Roman"/>
          <w:color w:val="auto"/>
          <w:sz w:val="24"/>
          <w:szCs w:val="24"/>
          <w:highlight w:val="none"/>
          <w:lang w:val="en-US" w:eastAsia="zh-CN"/>
        </w:rPr>
        <w:t>。</w:t>
      </w:r>
    </w:p>
    <w:p>
      <w:pPr>
        <w:pStyle w:val="16"/>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4.纯水水质应满足日晒老化ASTM G155，ISO4892.2, ASTM D4459,GB/T 16422.2等用水标准，同时符合GB/T6682 Ⅰ级超纯水标准，电阻率≥1</w:t>
      </w:r>
      <w:r>
        <w:rPr>
          <w:rFonts w:hint="eastAsia"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val="en-US" w:eastAsia="zh-CN"/>
        </w:rPr>
        <w:t>MΩ.cm，硅含量</w:t>
      </w:r>
      <w:r>
        <w:rPr>
          <w:rFonts w:hint="eastAsia"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 xml:space="preserve"> 0.01</w:t>
      </w:r>
      <w:r>
        <w:rPr>
          <w:rFonts w:hint="eastAsia" w:hAnsi="宋体" w:eastAsia="宋体" w:cs="Times New Roman"/>
          <w:color w:val="auto"/>
          <w:sz w:val="24"/>
          <w:szCs w:val="24"/>
          <w:highlight w:val="none"/>
          <w:lang w:val="en-US" w:eastAsia="zh-CN"/>
        </w:rPr>
        <w:t>mg/L</w:t>
      </w:r>
      <w:r>
        <w:rPr>
          <w:rFonts w:hint="eastAsia" w:ascii="宋体" w:hAnsi="宋体" w:eastAsia="宋体" w:cs="Times New Roman"/>
          <w:color w:val="auto"/>
          <w:sz w:val="24"/>
          <w:szCs w:val="24"/>
          <w:highlight w:val="none"/>
          <w:lang w:val="en-US" w:eastAsia="zh-CN"/>
        </w:rPr>
        <w:t>，吸光度（254nm,1cm光程）</w:t>
      </w:r>
      <w:r>
        <w:rPr>
          <w:rFonts w:hint="eastAsia"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0.001</w:t>
      </w:r>
      <w:r>
        <w:rPr>
          <w:rFonts w:hint="eastAsia" w:hAnsi="宋体" w:eastAsia="宋体" w:cs="Times New Roman"/>
          <w:color w:val="auto"/>
          <w:sz w:val="24"/>
          <w:szCs w:val="24"/>
          <w:highlight w:val="none"/>
          <w:lang w:val="en-US" w:eastAsia="zh-CN"/>
        </w:rPr>
        <w:t>，PH值6-8</w:t>
      </w:r>
      <w:r>
        <w:rPr>
          <w:rFonts w:hint="eastAsia" w:ascii="宋体" w:hAnsi="宋体" w:eastAsia="宋体" w:cs="Times New Roman"/>
          <w:color w:val="auto"/>
          <w:sz w:val="24"/>
          <w:szCs w:val="24"/>
          <w:highlight w:val="none"/>
          <w:lang w:val="en-US" w:eastAsia="zh-CN"/>
        </w:rPr>
        <w:t>。</w:t>
      </w:r>
    </w:p>
    <w:p>
      <w:pPr>
        <w:pStyle w:val="16"/>
        <w:spacing w:line="360" w:lineRule="auto"/>
        <w:rPr>
          <w:rFonts w:hint="default"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5.输送压力应匹配Q-Sun xe-3系列氙灯试验箱</w:t>
      </w:r>
      <w:r>
        <w:rPr>
          <w:rFonts w:hint="eastAsia" w:hAnsi="宋体" w:eastAsia="宋体" w:cs="Times New Roman"/>
          <w:color w:val="auto"/>
          <w:sz w:val="24"/>
          <w:szCs w:val="24"/>
          <w:highlight w:val="none"/>
          <w:lang w:val="en-US" w:eastAsia="zh-CN"/>
        </w:rPr>
        <w:t>（额定压力要求207-620kPa），保证水压稳定性。</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6.输送流量应满足匹配1台Q-Sun xe-3系列氙灯试验箱</w:t>
      </w:r>
      <w:r>
        <w:rPr>
          <w:rFonts w:hint="eastAsia" w:hAnsi="宋体" w:eastAsia="宋体" w:cs="Times New Roman"/>
          <w:color w:val="auto"/>
          <w:sz w:val="24"/>
          <w:szCs w:val="24"/>
          <w:highlight w:val="none"/>
          <w:lang w:val="en-US" w:eastAsia="zh-CN"/>
        </w:rPr>
        <w:t>（额定流量要求1.4L/min），</w:t>
      </w:r>
      <w:r>
        <w:rPr>
          <w:rFonts w:hint="eastAsia" w:ascii="宋体" w:hAnsi="宋体" w:eastAsia="宋体" w:cs="Times New Roman"/>
          <w:color w:val="auto"/>
          <w:sz w:val="24"/>
          <w:szCs w:val="24"/>
          <w:highlight w:val="none"/>
          <w:lang w:val="en-US" w:eastAsia="zh-CN"/>
        </w:rPr>
        <w:t>可持续供水并自动随喷淋加湿不同调整流量，可满足设备模拟户外湿度的影响及仿真雨水的效果。</w:t>
      </w:r>
    </w:p>
    <w:p>
      <w:pPr>
        <w:pStyle w:val="16"/>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hAnsi="宋体" w:eastAsia="宋体" w:cs="Times New Roman"/>
          <w:color w:val="auto"/>
          <w:sz w:val="24"/>
          <w:szCs w:val="24"/>
          <w:highlight w:val="none"/>
          <w:lang w:val="en-US" w:eastAsia="zh-CN"/>
        </w:rPr>
        <w:t>7.储水箱</w:t>
      </w:r>
      <w:r>
        <w:rPr>
          <w:rFonts w:hint="eastAsia" w:ascii="宋体" w:hAnsi="宋体" w:eastAsia="宋体" w:cs="Times New Roman"/>
          <w:color w:val="auto"/>
          <w:sz w:val="24"/>
          <w:szCs w:val="24"/>
          <w:highlight w:val="none"/>
          <w:lang w:val="en-US" w:eastAsia="zh-CN"/>
        </w:rPr>
        <w:t>容量≥</w:t>
      </w:r>
      <w:r>
        <w:rPr>
          <w:rFonts w:hint="eastAsia"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lang w:val="en-US" w:eastAsia="zh-CN"/>
        </w:rPr>
        <w:t>0L，</w:t>
      </w:r>
      <w:r>
        <w:rPr>
          <w:rFonts w:hint="eastAsia" w:hAnsi="宋体" w:eastAsia="宋体" w:cs="Times New Roman"/>
          <w:color w:val="auto"/>
          <w:sz w:val="24"/>
          <w:szCs w:val="24"/>
          <w:highlight w:val="none"/>
          <w:lang w:val="en-US" w:eastAsia="zh-CN"/>
        </w:rPr>
        <w:t>配备</w:t>
      </w:r>
      <w:r>
        <w:rPr>
          <w:rFonts w:hint="eastAsia" w:ascii="宋体" w:hAnsi="宋体" w:eastAsia="宋体" w:cs="Times New Roman"/>
          <w:color w:val="auto"/>
          <w:sz w:val="24"/>
          <w:szCs w:val="24"/>
          <w:highlight w:val="none"/>
          <w:lang w:val="en-US" w:eastAsia="zh-CN"/>
        </w:rPr>
        <w:t>输送增压功能，输送压力可</w:t>
      </w:r>
      <w:r>
        <w:rPr>
          <w:rFonts w:hint="eastAsia" w:hAnsi="宋体" w:eastAsia="宋体" w:cs="Times New Roman"/>
          <w:color w:val="auto"/>
          <w:sz w:val="24"/>
          <w:szCs w:val="24"/>
          <w:highlight w:val="none"/>
          <w:lang w:val="en-US" w:eastAsia="zh-CN"/>
        </w:rPr>
        <w:t>显示，</w:t>
      </w:r>
      <w:r>
        <w:rPr>
          <w:rFonts w:hint="eastAsia" w:ascii="宋体" w:hAnsi="宋体" w:eastAsia="宋体" w:cs="Times New Roman"/>
          <w:color w:val="auto"/>
          <w:sz w:val="24"/>
          <w:szCs w:val="24"/>
          <w:highlight w:val="none"/>
          <w:lang w:val="en-US" w:eastAsia="zh-CN"/>
        </w:rPr>
        <w:t>低溶出、无死角设计，避免水质二次污染</w:t>
      </w:r>
      <w:r>
        <w:rPr>
          <w:rFonts w:hint="eastAsia" w:hAnsi="宋体" w:eastAsia="宋体" w:cs="Times New Roman"/>
          <w:color w:val="auto"/>
          <w:sz w:val="24"/>
          <w:szCs w:val="24"/>
          <w:highlight w:val="none"/>
          <w:lang w:val="en-US" w:eastAsia="zh-CN"/>
        </w:rPr>
        <w:t>。</w:t>
      </w:r>
    </w:p>
    <w:p>
      <w:pPr>
        <w:pStyle w:val="16"/>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lang w:val="en-US" w:eastAsia="zh-CN"/>
        </w:rPr>
        <w:t>双级反渗透工艺</w:t>
      </w:r>
      <w:r>
        <w:rPr>
          <w:rFonts w:hint="eastAsia" w:hAnsi="宋体" w:eastAsia="宋体" w:cs="Times New Roman"/>
          <w:color w:val="auto"/>
          <w:sz w:val="24"/>
          <w:szCs w:val="24"/>
          <w:highlight w:val="none"/>
          <w:lang w:val="en-US" w:eastAsia="zh-CN"/>
        </w:rPr>
        <w:t>，RO反渗透膜采用美国陶氏、日本东丽或同等国际知名品牌，保证纯水水质稳定。</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lang w:val="en-US" w:eastAsia="zh-CN"/>
        </w:rPr>
        <w:t>.设备可使用微电脑进行智能控制，可自动造水、输送，冲洗，自由数字设定调节输送压力。</w:t>
      </w:r>
    </w:p>
    <w:p>
      <w:pPr>
        <w:pStyle w:val="16"/>
        <w:spacing w:line="360" w:lineRule="auto"/>
        <w:rPr>
          <w:rFonts w:hint="eastAsia" w:ascii="宋体" w:hAnsi="宋体" w:eastAsia="宋体" w:cs="Times New Roman"/>
          <w:color w:val="auto"/>
          <w:sz w:val="21"/>
          <w:szCs w:val="21"/>
          <w:highlight w:val="none"/>
          <w:lang w:val="en-US" w:eastAsia="zh-CN"/>
        </w:rPr>
      </w:pPr>
      <w:r>
        <w:rPr>
          <w:rFonts w:hint="eastAsia"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val="en-US" w:eastAsia="zh-CN"/>
        </w:rPr>
        <w:t>.采用高精数字传感器，全自动远程高频次高精度自动响应Q-Sun xe-3系列氙灯试验箱的用水指令。</w:t>
      </w:r>
    </w:p>
    <w:p>
      <w:pPr>
        <w:pStyle w:val="16"/>
        <w:spacing w:line="360" w:lineRule="auto"/>
        <w:rPr>
          <w:rFonts w:hint="eastAsia" w:ascii="宋体" w:hAnsi="宋体" w:eastAsia="宋体" w:cs="Times New Roman"/>
          <w:color w:val="auto"/>
          <w:sz w:val="24"/>
          <w:szCs w:val="24"/>
          <w:highlight w:val="none"/>
          <w:lang w:val="en-US" w:eastAsia="zh-CN"/>
        </w:rPr>
      </w:pPr>
      <w:r>
        <w:rPr>
          <w:rFonts w:hint="eastAsia"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4"/>
          <w:szCs w:val="24"/>
          <w:highlight w:val="none"/>
          <w:lang w:val="en-US" w:eastAsia="zh-CN"/>
        </w:rPr>
        <w:t>设备应具备停电自恢复功能，停电来电后可与Q-Sun xe-3系列氙灯试验箱同步自动恢复启动。</w:t>
      </w:r>
    </w:p>
    <w:p>
      <w:pPr>
        <w:pStyle w:val="16"/>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12.设备应具备在线监测功能，</w:t>
      </w:r>
      <w:r>
        <w:rPr>
          <w:rFonts w:ascii="宋体" w:hAnsi="宋体" w:eastAsia="宋体" w:cs="宋体"/>
          <w:sz w:val="24"/>
          <w:szCs w:val="24"/>
        </w:rPr>
        <w:t>纯水电导率、超纯水电阻率</w:t>
      </w:r>
      <w:r>
        <w:rPr>
          <w:rFonts w:hint="eastAsia" w:hAnsi="宋体" w:eastAsia="宋体" w:cs="宋体"/>
          <w:sz w:val="24"/>
          <w:szCs w:val="24"/>
          <w:lang w:val="en-US" w:eastAsia="zh-CN"/>
        </w:rPr>
        <w:t>、</w:t>
      </w:r>
      <w:r>
        <w:rPr>
          <w:rFonts w:ascii="宋体" w:hAnsi="宋体" w:eastAsia="宋体" w:cs="宋体"/>
          <w:sz w:val="24"/>
          <w:szCs w:val="24"/>
        </w:rPr>
        <w:t>输压均可在线数字显示</w:t>
      </w:r>
      <w:r>
        <w:rPr>
          <w:rFonts w:hint="eastAsia" w:ascii="宋体" w:hAnsi="宋体" w:eastAsia="宋体" w:cs="Times New Roman"/>
          <w:color w:val="auto"/>
          <w:sz w:val="24"/>
          <w:szCs w:val="24"/>
          <w:highlight w:val="none"/>
          <w:lang w:val="en-US" w:eastAsia="zh-CN"/>
        </w:rPr>
        <w:t>。</w:t>
      </w:r>
      <w:r>
        <w:rPr>
          <w:rFonts w:hint="eastAsia" w:hAnsi="宋体" w:eastAsia="宋体" w:cs="Times New Roman"/>
          <w:color w:val="auto"/>
          <w:sz w:val="24"/>
          <w:szCs w:val="24"/>
          <w:highlight w:val="none"/>
          <w:lang w:val="en-US" w:eastAsia="zh-CN"/>
        </w:rPr>
        <w:t>并附带一台</w:t>
      </w:r>
      <w:r>
        <w:rPr>
          <w:rFonts w:hint="eastAsia" w:eastAsia="宋体" w:cs="Times New Roman"/>
          <w:color w:val="auto"/>
          <w:sz w:val="24"/>
          <w:szCs w:val="24"/>
          <w:highlight w:val="none"/>
          <w:lang w:val="en-US" w:eastAsia="zh-CN"/>
        </w:rPr>
        <w:t>电导率检测仪，可检测纯水电导率，精度0.01μS/cm。</w:t>
      </w:r>
    </w:p>
    <w:p>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13.设备能效</w:t>
      </w:r>
    </w:p>
    <w:p>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13.1</w:t>
      </w:r>
      <w:r>
        <w:rPr>
          <w:rFonts w:hint="default" w:ascii="宋体" w:hAnsi="宋体" w:eastAsia="宋体" w:cs="Times New Roman"/>
          <w:color w:val="auto"/>
          <w:sz w:val="24"/>
          <w:szCs w:val="24"/>
          <w:highlight w:val="none"/>
          <w:lang w:val="en-US" w:eastAsia="zh-CN"/>
        </w:rPr>
        <w:t>优先采购节能产品和环境标志产品。可参照节能机电设备（产品）推荐目录（工信部）、“能效之星”产品目录（工信部）。</w:t>
      </w:r>
    </w:p>
    <w:p>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13.2</w:t>
      </w:r>
      <w:r>
        <w:rPr>
          <w:rFonts w:hint="default" w:ascii="宋体" w:hAnsi="宋体" w:eastAsia="宋体" w:cs="Times New Roman"/>
          <w:color w:val="auto"/>
          <w:sz w:val="24"/>
          <w:szCs w:val="24"/>
          <w:highlight w:val="none"/>
          <w:lang w:val="en-US" w:eastAsia="zh-CN"/>
        </w:rPr>
        <w:t>电机等部件的能效等级不低于国家现行标准二级能效且需提供能效标识。进口产品的能效不应低于原产国现行能效标准二级能效。如：对应欧洲标准电动机的能效等级不低于IE3。</w:t>
      </w:r>
    </w:p>
    <w:p>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13.3</w:t>
      </w:r>
      <w:r>
        <w:rPr>
          <w:rFonts w:hint="default" w:ascii="宋体" w:hAnsi="宋体" w:eastAsia="宋体" w:cs="Times New Roman"/>
          <w:color w:val="auto"/>
          <w:sz w:val="24"/>
          <w:szCs w:val="24"/>
          <w:highlight w:val="none"/>
          <w:lang w:val="en-US" w:eastAsia="zh-CN"/>
        </w:rPr>
        <w:t>不应采购列入国家高耗能落后机电设备（产品）淘汰目录的产品（工信部）</w:t>
      </w:r>
      <w:r>
        <w:rPr>
          <w:rFonts w:hint="eastAsia" w:ascii="宋体" w:hAnsi="宋体" w:eastAsia="宋体" w:cs="Times New Roman"/>
          <w:color w:val="auto"/>
          <w:sz w:val="24"/>
          <w:szCs w:val="24"/>
          <w:highlight w:val="none"/>
          <w:lang w:val="en-US" w:eastAsia="zh-CN"/>
        </w:rPr>
        <w:t>。</w:t>
      </w:r>
    </w:p>
    <w:p>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sz w:val="24"/>
          <w:szCs w:val="24"/>
        </w:rPr>
        <w:t>安全及安全</w:t>
      </w:r>
      <w:r>
        <w:rPr>
          <w:rFonts w:ascii="宋体" w:hAnsi="宋体" w:eastAsia="宋体" w:cs="宋体"/>
          <w:sz w:val="24"/>
          <w:szCs w:val="24"/>
        </w:rPr>
        <w:t>装置</w:t>
      </w:r>
      <w:r>
        <w:rPr>
          <w:rFonts w:hint="eastAsia" w:ascii="宋体" w:hAnsi="宋体" w:eastAsia="宋体" w:cs="宋体"/>
          <w:sz w:val="24"/>
          <w:szCs w:val="24"/>
          <w:lang w:eastAsia="zh-CN"/>
        </w:rPr>
        <w:t>：</w:t>
      </w:r>
      <w:r>
        <w:rPr>
          <w:rFonts w:ascii="宋体" w:hAnsi="宋体" w:eastAsia="宋体" w:cs="宋体"/>
          <w:sz w:val="24"/>
          <w:szCs w:val="24"/>
        </w:rPr>
        <w:t>设备设施的设计、安装应符合</w:t>
      </w:r>
      <w:r>
        <w:rPr>
          <w:rFonts w:hint="default" w:ascii="宋体" w:hAnsi="宋体" w:eastAsia="宋体" w:cs="Times New Roman"/>
          <w:color w:val="auto"/>
          <w:sz w:val="24"/>
          <w:szCs w:val="24"/>
          <w:highlight w:val="none"/>
          <w:lang w:val="en-US" w:eastAsia="zh-CN"/>
        </w:rPr>
        <w:t>《大中型企业安全生产标准化管理体系要求》（GB/T 33000-2025）</w:t>
      </w:r>
      <w:r>
        <w:rPr>
          <w:rFonts w:ascii="宋体" w:hAnsi="宋体" w:eastAsia="宋体" w:cs="宋体"/>
          <w:sz w:val="24"/>
          <w:szCs w:val="24"/>
        </w:rPr>
        <w:t>的要求；具有断电保护、报警功能等安全措施，具备低压、停水、停电、过载等自动保护功能</w:t>
      </w:r>
      <w:r>
        <w:rPr>
          <w:rFonts w:hint="eastAsia" w:ascii="宋体" w:hAnsi="宋体" w:eastAsia="宋体" w:cs="宋体"/>
          <w:sz w:val="24"/>
          <w:szCs w:val="24"/>
          <w:lang w:eastAsia="zh-CN"/>
        </w:rPr>
        <w:t>，</w:t>
      </w:r>
      <w:r>
        <w:rPr>
          <w:rFonts w:ascii="宋体" w:hAnsi="宋体" w:eastAsia="宋体" w:cs="宋体"/>
          <w:sz w:val="24"/>
          <w:szCs w:val="24"/>
        </w:rPr>
        <w:t>具备防漏水检测</w:t>
      </w:r>
      <w:r>
        <w:rPr>
          <w:rFonts w:hint="eastAsia" w:ascii="宋体" w:hAnsi="宋体" w:eastAsia="宋体" w:cs="宋体"/>
          <w:sz w:val="24"/>
          <w:szCs w:val="24"/>
          <w:lang w:eastAsia="zh-CN"/>
        </w:rPr>
        <w:t>、</w:t>
      </w:r>
      <w:r>
        <w:rPr>
          <w:rFonts w:ascii="宋体" w:hAnsi="宋体" w:eastAsia="宋体" w:cs="宋体"/>
          <w:sz w:val="24"/>
          <w:szCs w:val="24"/>
        </w:rPr>
        <w:t>紧急情况下断水断电功能。</w:t>
      </w:r>
    </w:p>
    <w:p>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5245"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1984"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76" w:type="dxa"/>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w:t>
            </w:r>
          </w:p>
        </w:tc>
        <w:tc>
          <w:tcPr>
            <w:tcW w:w="5245" w:type="dxa"/>
            <w:shd w:val="clear" w:color="auto" w:fill="auto"/>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非金属材料曝晒用氙弧灯设备的操作标准实施规程</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ASTM G155</w:t>
            </w:r>
          </w:p>
        </w:tc>
        <w:tc>
          <w:tcPr>
            <w:tcW w:w="1098" w:type="dxa"/>
            <w:vAlign w:val="center"/>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2</w:t>
            </w:r>
          </w:p>
        </w:tc>
        <w:tc>
          <w:tcPr>
            <w:tcW w:w="5245" w:type="dxa"/>
            <w:shd w:val="clear" w:color="auto" w:fill="auto"/>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塑料 实验室光源暴露试验方法 第2部分：氙弧灯</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ISO 4892.2</w:t>
            </w:r>
          </w:p>
        </w:tc>
        <w:tc>
          <w:tcPr>
            <w:tcW w:w="1098" w:type="dxa"/>
            <w:vAlign w:val="center"/>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0" w:type="auto"/>
            <w:shd w:val="clear" w:color="auto" w:fill="auto"/>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室内用塑料的氙弧灯暴露保准实施规程</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ASTM D4459</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0" w:type="auto"/>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塑料 实验室光源暴露试验方法 第2部分：氙弧灯</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GB/T 16422.2</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5</w:t>
            </w:r>
          </w:p>
        </w:tc>
        <w:tc>
          <w:tcPr>
            <w:tcW w:w="0" w:type="auto"/>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分析实验室用水规格和试验方法</w:t>
            </w:r>
          </w:p>
        </w:tc>
        <w:tc>
          <w:tcPr>
            <w:tcW w:w="1984"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GB/T 6682</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auto"/>
            <w:vAlign w:val="center"/>
          </w:tcPr>
          <w:p>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15</w:t>
            </w:r>
          </w:p>
        </w:tc>
        <w:tc>
          <w:tcPr>
            <w:tcW w:w="0" w:type="auto"/>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设备设施颜色标识</w:t>
            </w:r>
          </w:p>
        </w:tc>
        <w:tc>
          <w:tcPr>
            <w:tcW w:w="1984" w:type="dxa"/>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Q/ZZ 30070-2020</w:t>
            </w:r>
          </w:p>
        </w:tc>
        <w:tc>
          <w:tcPr>
            <w:tcW w:w="1098" w:type="dxa"/>
          </w:tcPr>
          <w:p>
            <w:pPr>
              <w:spacing w:line="360" w:lineRule="auto"/>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0" w:type="auto"/>
            <w:shd w:val="clear" w:color="auto" w:fill="auto"/>
            <w:vAlign w:val="center"/>
          </w:tcPr>
          <w:p>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16</w:t>
            </w:r>
          </w:p>
        </w:tc>
        <w:tc>
          <w:tcPr>
            <w:tcW w:w="0" w:type="auto"/>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大中型企业安全生产标准化管理体系要求</w:t>
            </w:r>
          </w:p>
        </w:tc>
        <w:tc>
          <w:tcPr>
            <w:tcW w:w="0" w:type="auto"/>
            <w:shd w:val="clear" w:color="auto" w:fill="auto"/>
            <w:vAlign w:val="center"/>
          </w:tcPr>
          <w:p>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GB/T 33000-2025</w:t>
            </w:r>
          </w:p>
        </w:tc>
        <w:tc>
          <w:tcPr>
            <w:tcW w:w="0" w:type="auto"/>
          </w:tcPr>
          <w:p>
            <w:pPr>
              <w:spacing w:line="360" w:lineRule="auto"/>
              <w:jc w:val="center"/>
              <w:rPr>
                <w:rFonts w:ascii="Times New Roman" w:hAnsi="Times New Roman" w:eastAsia="宋体" w:cs="Times New Roman"/>
                <w:bCs/>
                <w:color w:val="auto"/>
                <w:szCs w:val="21"/>
              </w:rPr>
            </w:pPr>
          </w:p>
        </w:tc>
      </w:tr>
    </w:tbl>
    <w:p>
      <w:pPr>
        <w:rPr>
          <w:rFonts w:ascii="Times New Roman" w:hAnsi="Times New Roman" w:eastAsia="宋体" w:cs="Times New Roman"/>
          <w:color w:val="auto"/>
          <w:szCs w:val="20"/>
        </w:rPr>
        <w:sectPr>
          <w:footerReference r:id="rId14" w:type="default"/>
          <w:pgSz w:w="11906" w:h="16838"/>
          <w:pgMar w:top="1474" w:right="1418" w:bottom="1134" w:left="1418" w:header="851" w:footer="992" w:gutter="0"/>
          <w:cols w:space="425" w:num="1"/>
          <w:docGrid w:type="lines" w:linePitch="312" w:charSpace="0"/>
        </w:sectPr>
      </w:pPr>
    </w:p>
    <w:p>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pPr>
        <w:rPr>
          <w:rFonts w:ascii="Times New Roman" w:hAnsi="Times New Roman" w:cs="Times New Roman"/>
          <w:color w:val="auto"/>
        </w:rPr>
      </w:pPr>
    </w:p>
    <w:p>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p>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536"/>
        <w:gridCol w:w="479"/>
        <w:gridCol w:w="479"/>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0" w:type="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1</w:t>
            </w:r>
          </w:p>
        </w:tc>
        <w:tc>
          <w:tcPr>
            <w:tcW w:w="453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纯水机</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0" w:type="auto"/>
            <w:shd w:val="clear" w:color="auto" w:fill="auto"/>
            <w:vAlign w:val="center"/>
          </w:tcPr>
          <w:p>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CNAS、CAL、CMA（国际或国家）计量认证资质的市级以上国家法定计量检定机构出具的校准</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检定证书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45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储水箱</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0" w:type="auto"/>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0" w:type="auto"/>
            <w:shd w:val="clear" w:color="auto" w:fill="auto"/>
            <w:vAlign w:val="center"/>
          </w:tcPr>
          <w:p>
            <w:pPr>
              <w:jc w:val="center"/>
              <w:textAlignment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4536"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便携式电导率检测仪</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0" w:type="auto"/>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0" w:type="auto"/>
            <w:shd w:val="clear" w:color="auto" w:fill="auto"/>
            <w:vAlign w:val="center"/>
          </w:tcPr>
          <w:p>
            <w:pPr>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CNAS、CAL、CMA（国际或国家）计量认证资质的市级以上国家法定计量检定机构出具的校准</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检定证书</w:t>
            </w:r>
          </w:p>
        </w:tc>
      </w:tr>
    </w:tbl>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1.备品备件、易损件和专用耗材是招标人为保证货物质保期之后正常运行</w:t>
      </w:r>
      <w:r>
        <w:rPr>
          <w:rFonts w:hint="eastAsia" w:ascii="Times New Roman" w:hAnsi="Times New Roman" w:eastAsia="宋体" w:cs="Times New Roman"/>
          <w:color w:val="auto"/>
          <w:sz w:val="24"/>
          <w:szCs w:val="24"/>
          <w:lang w:val="en-US" w:eastAsia="zh-CN"/>
        </w:rPr>
        <w:t>两</w:t>
      </w:r>
      <w:r>
        <w:rPr>
          <w:rFonts w:hint="eastAsia" w:ascii="Times New Roman" w:hAnsi="Times New Roman" w:eastAsia="宋体" w:cs="Times New Roman"/>
          <w:color w:val="auto"/>
          <w:sz w:val="24"/>
          <w:szCs w:val="24"/>
        </w:rPr>
        <w:t>年所自备自用的备品备件、易损件和专用耗材。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w:t>
      </w:r>
      <w:r>
        <w:rPr>
          <w:rFonts w:hint="eastAsia" w:ascii="Times New Roman" w:hAnsi="Times New Roman" w:eastAsia="宋体" w:cs="Times New Roman"/>
          <w:bCs/>
          <w:color w:val="auto"/>
          <w:sz w:val="24"/>
          <w:szCs w:val="24"/>
          <w:u w:val="single"/>
          <w:shd w:val="pct10" w:color="auto" w:fill="FFFFFF"/>
          <w:lang w:val="en-US" w:eastAsia="zh-CN"/>
        </w:rPr>
        <w:t>15</w:t>
      </w:r>
      <w:r>
        <w:rPr>
          <w:rFonts w:hint="eastAsia" w:ascii="Times New Roman" w:hAnsi="Times New Roman" w:eastAsia="宋体" w:cs="Times New Roman"/>
          <w:bCs/>
          <w:color w:val="auto"/>
          <w:sz w:val="24"/>
          <w:szCs w:val="24"/>
          <w:u w:val="single"/>
          <w:shd w:val="pct10" w:color="auto" w:fill="FFFFFF"/>
        </w:rPr>
        <w:t xml:space="preserve">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hint="eastAsia" w:ascii="Times New Roman" w:hAnsi="Times New Roman" w:eastAsia="宋体" w:cs="Times New Roman"/>
          <w:color w:val="auto"/>
          <w:sz w:val="24"/>
          <w:szCs w:val="24"/>
          <w:u w:val="single"/>
          <w:lang w:val="en-US" w:eastAsia="zh-CN"/>
        </w:rPr>
        <w:t>30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lang w:val="en-US" w:eastAsia="zh-CN"/>
        </w:rPr>
        <w:t>10</w:t>
      </w:r>
      <w:r>
        <w:rPr>
          <w:rFonts w:hint="eastAsia" w:ascii="Times New Roman" w:hAnsi="Times New Roman" w:eastAsia="宋体" w:cs="Times New Roman"/>
          <w:color w:val="auto"/>
          <w:sz w:val="24"/>
          <w:szCs w:val="24"/>
        </w:rPr>
        <w:t>个日历日之内安装调试完毕。</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lang w:val="en-US" w:eastAsia="zh-CN"/>
        </w:rPr>
        <w:t>60</w:t>
      </w:r>
      <w:r>
        <w:rPr>
          <w:rFonts w:hint="eastAsia" w:ascii="Times New Roman" w:hAnsi="Times New Roman" w:eastAsia="宋体" w:cs="Times New Roman"/>
          <w:color w:val="auto"/>
          <w:sz w:val="24"/>
          <w:szCs w:val="24"/>
        </w:rPr>
        <w:t>个日历日之内完成终验收。</w:t>
      </w:r>
    </w:p>
    <w:p>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3" w:name="_Toc169605884"/>
      <w:r>
        <w:rPr>
          <w:rFonts w:hint="eastAsia" w:ascii="Times New Roman" w:hAnsi="Times New Roman" w:eastAsia="宋体" w:cs="Times New Roman"/>
          <w:b/>
          <w:bCs/>
          <w:color w:val="auto"/>
          <w:kern w:val="44"/>
          <w:sz w:val="24"/>
          <w:szCs w:val="24"/>
        </w:rPr>
        <w:t>第四章  质保期及售后服务</w:t>
      </w:r>
      <w:bookmarkEnd w:id="33"/>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pPr>
        <w:keepNext/>
        <w:keepLines/>
        <w:spacing w:line="360" w:lineRule="auto"/>
        <w:jc w:val="center"/>
        <w:outlineLvl w:val="1"/>
        <w:rPr>
          <w:rFonts w:ascii="Times New Roman" w:hAnsi="Times New Roman" w:eastAsia="宋体" w:cs="Times New Roman"/>
          <w:b/>
          <w:bCs/>
          <w:color w:val="auto"/>
          <w:kern w:val="44"/>
          <w:sz w:val="24"/>
          <w:szCs w:val="24"/>
        </w:rPr>
      </w:pPr>
      <w:bookmarkStart w:id="34" w:name="_Toc465187646"/>
      <w:r>
        <w:rPr>
          <w:rFonts w:hint="eastAsia" w:ascii="Times New Roman" w:hAnsi="Times New Roman" w:eastAsia="宋体" w:cs="Times New Roman"/>
          <w:b/>
          <w:bCs/>
          <w:color w:val="auto"/>
          <w:kern w:val="44"/>
          <w:sz w:val="24"/>
          <w:szCs w:val="24"/>
        </w:rPr>
        <w:t>第五章  预验收和终验收</w:t>
      </w:r>
      <w:bookmarkEnd w:id="34"/>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pPr>
        <w:pStyle w:val="16"/>
        <w:spacing w:line="360" w:lineRule="auto"/>
        <w:rPr>
          <w:rFonts w:ascii="Times New Roman" w:hAnsi="Times New Roman" w:eastAsia="宋体" w:cs="Times New Roman"/>
          <w:color w:val="auto"/>
          <w:sz w:val="24"/>
          <w:szCs w:val="24"/>
        </w:rPr>
      </w:pPr>
    </w:p>
    <w:p>
      <w:pPr>
        <w:pStyle w:val="131"/>
        <w:spacing w:line="360" w:lineRule="auto"/>
        <w:outlineLvl w:val="1"/>
        <w:rPr>
          <w:rFonts w:ascii="Times New Roman" w:hAnsi="Times New Roman" w:eastAsia="宋体" w:cs="Times New Roman"/>
          <w:b/>
          <w:bCs w:val="0"/>
          <w:iCs/>
          <w:color w:val="auto"/>
          <w:sz w:val="24"/>
        </w:rPr>
      </w:pPr>
      <w:bookmarkStart w:id="35" w:name="_Toc30824"/>
      <w:bookmarkStart w:id="36" w:name="_Toc465187647"/>
      <w:bookmarkStart w:id="37" w:name="_Toc131008493"/>
      <w:r>
        <w:rPr>
          <w:rFonts w:hint="eastAsia" w:ascii="Times New Roman" w:hAnsi="Times New Roman" w:eastAsia="宋体" w:cs="Times New Roman"/>
          <w:b/>
          <w:bCs w:val="0"/>
          <w:iCs/>
          <w:color w:val="auto"/>
          <w:sz w:val="24"/>
        </w:rPr>
        <w:t>第六章  投标技术文件一般要求</w:t>
      </w:r>
      <w:bookmarkEnd w:id="35"/>
      <w:bookmarkEnd w:id="36"/>
      <w:bookmarkEnd w:id="37"/>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705" w:type="dxa"/>
          </w:tcPr>
          <w:p>
            <w:pPr>
              <w:adjustRightInd w:val="0"/>
              <w:snapToGrid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粗滤滤芯</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default" w:ascii="Times New Roman" w:hAnsi="Times New Roman" w:eastAsia="宋体" w:cs="Times New Roman"/>
                <w:color w:val="auto"/>
                <w:lang w:val="en-US" w:eastAsia="zh-CN"/>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705" w:type="dxa"/>
          </w:tcPr>
          <w:p>
            <w:pPr>
              <w:adjustRightInd w:val="0"/>
              <w:snapToGrid w:val="0"/>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精滤滤芯</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705" w:type="dxa"/>
          </w:tcPr>
          <w:p>
            <w:pPr>
              <w:adjustRightInd w:val="0"/>
              <w:snapToGrid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反渗透膜</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705" w:type="dxa"/>
          </w:tcPr>
          <w:p>
            <w:pPr>
              <w:adjustRightInd w:val="0"/>
              <w:snapToGrid w:val="0"/>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超纯柱</w:t>
            </w: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Times New Roman" w:hAnsi="Times New Roman" w:eastAsia="宋体" w:cs="Times New Roman"/>
                <w:color w:val="auto"/>
              </w:rPr>
            </w:pPr>
          </w:p>
        </w:tc>
        <w:tc>
          <w:tcPr>
            <w:tcW w:w="1705" w:type="dxa"/>
          </w:tcPr>
          <w:p>
            <w:pPr>
              <w:adjustRightInd w:val="0"/>
              <w:snapToGrid w:val="0"/>
              <w:spacing w:line="360" w:lineRule="exact"/>
              <w:rPr>
                <w:rFonts w:hint="eastAsia" w:ascii="Times New Roman" w:hAnsi="Times New Roman" w:eastAsia="宋体" w:cs="Times New Roman"/>
                <w:color w:val="auto"/>
              </w:rPr>
            </w:pP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hint="eastAsia" w:ascii="Times New Roman" w:hAnsi="Times New Roman" w:eastAsia="宋体" w:cs="Times New Roman"/>
                <w:color w:val="auto"/>
              </w:rPr>
            </w:pPr>
          </w:p>
        </w:tc>
        <w:tc>
          <w:tcPr>
            <w:tcW w:w="1705" w:type="dxa"/>
          </w:tcPr>
          <w:p>
            <w:pPr>
              <w:adjustRightInd w:val="0"/>
              <w:snapToGrid w:val="0"/>
              <w:spacing w:line="360" w:lineRule="exact"/>
              <w:rPr>
                <w:rFonts w:hint="eastAsia" w:ascii="Times New Roman" w:hAnsi="Times New Roman" w:eastAsia="宋体" w:cs="Times New Roman"/>
                <w:color w:val="auto"/>
              </w:rPr>
            </w:pPr>
          </w:p>
        </w:tc>
        <w:tc>
          <w:tcPr>
            <w:tcW w:w="1010" w:type="dxa"/>
          </w:tcPr>
          <w:p>
            <w:pPr>
              <w:adjustRightInd w:val="0"/>
              <w:snapToGrid w:val="0"/>
              <w:spacing w:line="360" w:lineRule="exact"/>
              <w:rPr>
                <w:rFonts w:hint="eastAsia" w:ascii="Times New Roman" w:hAnsi="Times New Roman" w:eastAsia="宋体" w:cs="Times New Roman"/>
                <w:color w:val="auto"/>
              </w:rPr>
            </w:pPr>
          </w:p>
        </w:tc>
        <w:tc>
          <w:tcPr>
            <w:tcW w:w="1558"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793" w:type="dxa"/>
          </w:tcPr>
          <w:p>
            <w:pPr>
              <w:adjustRightInd w:val="0"/>
              <w:snapToGrid w:val="0"/>
              <w:spacing w:line="360" w:lineRule="exact"/>
              <w:jc w:val="center"/>
              <w:rPr>
                <w:rFonts w:hint="eastAsia" w:ascii="Times New Roman" w:hAnsi="Times New Roman" w:eastAsia="宋体" w:cs="Times New Roman"/>
                <w:color w:val="auto"/>
              </w:rPr>
            </w:pPr>
          </w:p>
        </w:tc>
        <w:tc>
          <w:tcPr>
            <w:tcW w:w="2461" w:type="dxa"/>
          </w:tcPr>
          <w:p>
            <w:pPr>
              <w:adjustRightInd w:val="0"/>
              <w:snapToGrid w:val="0"/>
              <w:spacing w:line="360" w:lineRule="exact"/>
              <w:rPr>
                <w:rFonts w:hint="eastAsia" w:ascii="Times New Roman" w:hAnsi="Times New Roman" w:eastAsia="宋体" w:cs="Times New Roman"/>
                <w:color w:val="auto"/>
              </w:rPr>
            </w:pPr>
          </w:p>
        </w:tc>
      </w:tr>
    </w:tbl>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8" w:name="_Toc465187648"/>
    </w:p>
    <w:p>
      <w:pPr>
        <w:pStyle w:val="131"/>
        <w:spacing w:line="360" w:lineRule="auto"/>
        <w:outlineLvl w:val="1"/>
        <w:rPr>
          <w:rFonts w:ascii="Times New Roman" w:hAnsi="Times New Roman" w:eastAsia="宋体" w:cs="Times New Roman"/>
          <w:b/>
          <w:bCs w:val="0"/>
          <w:iCs/>
          <w:color w:val="auto"/>
          <w:sz w:val="24"/>
        </w:rPr>
      </w:pPr>
      <w:bookmarkStart w:id="39" w:name="_Toc131008494"/>
      <w:bookmarkStart w:id="40" w:name="_Toc19570"/>
      <w:r>
        <w:rPr>
          <w:rFonts w:hint="eastAsia" w:ascii="Times New Roman" w:hAnsi="Times New Roman" w:eastAsia="宋体" w:cs="Times New Roman"/>
          <w:b/>
          <w:bCs w:val="0"/>
          <w:iCs/>
          <w:color w:val="auto"/>
          <w:sz w:val="24"/>
        </w:rPr>
        <w:t>第七章  其它要求及说明</w:t>
      </w:r>
      <w:bookmarkEnd w:id="38"/>
      <w:bookmarkEnd w:id="39"/>
      <w:bookmarkEnd w:id="40"/>
    </w:p>
    <w:p>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1"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1930"/>
      <w:bookmarkStart w:id="43" w:name="_Toc17619"/>
      <w:bookmarkStart w:id="44" w:name="_Toc11823"/>
      <w:bookmarkStart w:id="45" w:name="_Toc16330018"/>
      <w:r>
        <w:rPr>
          <w:rFonts w:hint="eastAsia" w:ascii="黑体" w:hAnsi="黑体" w:eastAsia="黑体" w:cstheme="minorEastAsia"/>
          <w:b w:val="0"/>
          <w:sz w:val="28"/>
          <w:szCs w:val="28"/>
        </w:rPr>
        <w:t>1 合同设备</w:t>
      </w:r>
      <w:bookmarkEnd w:id="42"/>
      <w:bookmarkEnd w:id="43"/>
      <w:bookmarkEnd w:id="44"/>
      <w:bookmarkEnd w:id="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6" w:name="_Toc32510"/>
      <w:bookmarkStart w:id="47" w:name="_Toc29026"/>
      <w:bookmarkStart w:id="48"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6330019"/>
      <w:r>
        <w:rPr>
          <w:rFonts w:hint="eastAsia" w:ascii="黑体" w:hAnsi="黑体" w:eastAsia="黑体" w:cstheme="minorEastAsia"/>
          <w:b w:val="0"/>
          <w:sz w:val="28"/>
          <w:szCs w:val="28"/>
        </w:rPr>
        <w:t>2 包装</w:t>
      </w:r>
      <w:bookmarkEnd w:id="46"/>
      <w:bookmarkEnd w:id="47"/>
      <w:bookmarkEnd w:id="48"/>
      <w:bookmarkEnd w:id="4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2833"/>
      <w:bookmarkStart w:id="51" w:name="_Toc16330020"/>
      <w:bookmarkStart w:id="52" w:name="_Toc27453"/>
      <w:bookmarkStart w:id="53" w:name="_Toc27144"/>
      <w:r>
        <w:rPr>
          <w:rFonts w:hint="eastAsia" w:ascii="黑体" w:hAnsi="黑体" w:eastAsia="黑体" w:cstheme="minorEastAsia"/>
          <w:b w:val="0"/>
          <w:sz w:val="28"/>
          <w:szCs w:val="28"/>
        </w:rPr>
        <w:t>3 运输标记</w:t>
      </w:r>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4" w:name="_Toc7431"/>
      <w:bookmarkStart w:id="55" w:name="_Toc16330021"/>
      <w:bookmarkStart w:id="56" w:name="_Toc10630"/>
      <w:bookmarkStart w:id="57" w:name="_Toc16133"/>
      <w:r>
        <w:rPr>
          <w:rFonts w:hint="eastAsia" w:ascii="黑体" w:hAnsi="黑体" w:eastAsia="黑体" w:cstheme="minorEastAsia"/>
          <w:b w:val="0"/>
          <w:sz w:val="28"/>
          <w:szCs w:val="28"/>
        </w:rPr>
        <w:t>4 检验</w:t>
      </w:r>
      <w:bookmarkEnd w:id="54"/>
      <w:bookmarkEnd w:id="55"/>
      <w:bookmarkEnd w:id="56"/>
      <w:bookmarkEnd w:id="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8" w:name="_Toc19850"/>
      <w:bookmarkStart w:id="59" w:name="_Toc11217"/>
      <w:bookmarkStart w:id="60" w:name="_Toc24467"/>
      <w:bookmarkStart w:id="61" w:name="_Toc16330022"/>
      <w:r>
        <w:rPr>
          <w:rFonts w:hint="eastAsia" w:ascii="黑体" w:hAnsi="黑体" w:eastAsia="黑体" w:cstheme="minorEastAsia"/>
          <w:b w:val="0"/>
          <w:sz w:val="28"/>
          <w:szCs w:val="28"/>
        </w:rPr>
        <w:t>5 权利担保</w:t>
      </w:r>
      <w:bookmarkEnd w:id="58"/>
      <w:bookmarkEnd w:id="59"/>
      <w:bookmarkEnd w:id="60"/>
      <w:bookmarkEnd w:id="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2" w:name="_Toc14809"/>
      <w:bookmarkStart w:id="63" w:name="_Toc27500"/>
      <w:bookmarkStart w:id="64" w:name="_Toc11759"/>
      <w:bookmarkStart w:id="65" w:name="_Toc16330023"/>
      <w:r>
        <w:rPr>
          <w:rFonts w:hint="eastAsia" w:ascii="黑体" w:hAnsi="黑体" w:eastAsia="黑体" w:cstheme="minorEastAsia"/>
          <w:b w:val="0"/>
          <w:sz w:val="28"/>
          <w:szCs w:val="28"/>
        </w:rPr>
        <w:t>6 交货</w:t>
      </w:r>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6" w:name="_Toc25510"/>
      <w:bookmarkStart w:id="67" w:name="_Toc2984"/>
      <w:bookmarkStart w:id="68" w:name="_Toc16330024"/>
      <w:bookmarkStart w:id="69" w:name="_Toc8024"/>
      <w:r>
        <w:rPr>
          <w:rFonts w:hint="eastAsia" w:ascii="黑体" w:hAnsi="黑体" w:eastAsia="黑体" w:cstheme="minorEastAsia"/>
          <w:b w:val="0"/>
          <w:sz w:val="28"/>
          <w:szCs w:val="28"/>
        </w:rPr>
        <w:t>7 安装、调试</w:t>
      </w:r>
      <w:bookmarkEnd w:id="66"/>
      <w:bookmarkEnd w:id="67"/>
      <w:bookmarkEnd w:id="68"/>
      <w:bookmarkEnd w:id="69"/>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0" w:name="_Toc6350"/>
      <w:bookmarkStart w:id="71" w:name="_Toc14260"/>
      <w:bookmarkStart w:id="72" w:name="_Toc16330025"/>
      <w:bookmarkStart w:id="73" w:name="_Toc14098"/>
      <w:r>
        <w:rPr>
          <w:rFonts w:hint="eastAsia" w:ascii="黑体" w:hAnsi="黑体" w:eastAsia="黑体" w:cstheme="minorEastAsia"/>
          <w:b w:val="0"/>
          <w:sz w:val="28"/>
          <w:szCs w:val="28"/>
        </w:rPr>
        <w:t>8 价款与支付</w:t>
      </w:r>
      <w:bookmarkEnd w:id="70"/>
      <w:bookmarkEnd w:id="71"/>
      <w:bookmarkEnd w:id="72"/>
      <w:bookmarkEnd w:id="7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4" w:name="_Toc14531628"/>
      <w:bookmarkStart w:id="75"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4"/>
      <w:bookmarkEnd w:id="75"/>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6" w:name="_Toc25708"/>
      <w:bookmarkStart w:id="77" w:name="_Toc24085"/>
      <w:bookmarkStart w:id="78" w:name="_Toc6726"/>
      <w:bookmarkStart w:id="79" w:name="_Toc16330026"/>
      <w:r>
        <w:rPr>
          <w:rFonts w:hint="eastAsia" w:ascii="黑体" w:hAnsi="黑体" w:eastAsia="黑体" w:cstheme="minorEastAsia"/>
          <w:b w:val="0"/>
          <w:sz w:val="28"/>
          <w:szCs w:val="28"/>
        </w:rPr>
        <w:t>9 质量保证及售后服务</w:t>
      </w:r>
      <w:bookmarkEnd w:id="76"/>
      <w:bookmarkEnd w:id="77"/>
      <w:bookmarkEnd w:id="78"/>
      <w:bookmarkEnd w:id="7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0" w:name="_Toc12927"/>
      <w:bookmarkStart w:id="81" w:name="_Toc15570"/>
      <w:bookmarkStart w:id="82" w:name="_Toc16330027"/>
      <w:bookmarkStart w:id="83" w:name="_Toc10359"/>
      <w:r>
        <w:rPr>
          <w:rFonts w:hint="eastAsia" w:ascii="黑体" w:hAnsi="黑体" w:eastAsia="黑体" w:cstheme="minorEastAsia"/>
          <w:b w:val="0"/>
          <w:sz w:val="28"/>
          <w:szCs w:val="28"/>
        </w:rPr>
        <w:t>10法定责任</w:t>
      </w:r>
      <w:bookmarkEnd w:id="80"/>
      <w:bookmarkEnd w:id="81"/>
      <w:bookmarkEnd w:id="82"/>
      <w:bookmarkEnd w:id="8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4" w:name="_Toc30381"/>
      <w:bookmarkStart w:id="85" w:name="_Toc27314"/>
      <w:bookmarkStart w:id="86" w:name="_Toc9708"/>
      <w:bookmarkStart w:id="87" w:name="_Toc16330028"/>
      <w:r>
        <w:rPr>
          <w:rFonts w:hint="eastAsia" w:ascii="黑体" w:hAnsi="黑体" w:eastAsia="黑体" w:cstheme="minorEastAsia"/>
          <w:b w:val="0"/>
          <w:sz w:val="28"/>
          <w:szCs w:val="28"/>
        </w:rPr>
        <w:t>11 违约责任</w:t>
      </w:r>
      <w:bookmarkEnd w:id="84"/>
      <w:bookmarkEnd w:id="85"/>
      <w:bookmarkEnd w:id="86"/>
      <w:bookmarkEnd w:id="8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8" w:name="_Toc1827"/>
      <w:bookmarkStart w:id="89" w:name="_Toc9172"/>
      <w:bookmarkStart w:id="90" w:name="_Toc16330029"/>
      <w:bookmarkStart w:id="91" w:name="_Toc31554"/>
      <w:r>
        <w:rPr>
          <w:rFonts w:hint="eastAsia" w:ascii="黑体" w:hAnsi="黑体" w:eastAsia="黑体" w:cstheme="minorEastAsia"/>
          <w:b w:val="0"/>
          <w:sz w:val="28"/>
          <w:szCs w:val="28"/>
        </w:rPr>
        <w:t>12 合同的终止与解除</w:t>
      </w:r>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2" w:name="_Toc16330030"/>
      <w:bookmarkStart w:id="93" w:name="_Toc8620"/>
      <w:bookmarkStart w:id="94" w:name="_Toc13671"/>
      <w:bookmarkStart w:id="95" w:name="_Toc31945"/>
      <w:r>
        <w:rPr>
          <w:rFonts w:hint="eastAsia" w:ascii="黑体" w:hAnsi="黑体" w:eastAsia="黑体" w:cstheme="minorEastAsia"/>
          <w:b w:val="0"/>
          <w:sz w:val="28"/>
          <w:szCs w:val="28"/>
        </w:rPr>
        <w:t>13 不可抗力</w:t>
      </w:r>
      <w:bookmarkEnd w:id="92"/>
      <w:bookmarkEnd w:id="93"/>
      <w:bookmarkEnd w:id="94"/>
      <w:bookmarkEnd w:id="9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6" w:name="_Toc637"/>
      <w:bookmarkStart w:id="97" w:name="_Toc31243"/>
      <w:bookmarkStart w:id="98" w:name="_Toc16330031"/>
      <w:bookmarkStart w:id="99" w:name="_Toc30389"/>
      <w:r>
        <w:rPr>
          <w:rFonts w:hint="eastAsia" w:ascii="黑体" w:hAnsi="黑体" w:eastAsia="黑体" w:cstheme="minorEastAsia"/>
          <w:b w:val="0"/>
          <w:sz w:val="28"/>
          <w:szCs w:val="28"/>
        </w:rPr>
        <w:t>14 通讯</w:t>
      </w:r>
      <w:bookmarkEnd w:id="96"/>
      <w:bookmarkEnd w:id="97"/>
      <w:bookmarkEnd w:id="98"/>
      <w:bookmarkEnd w:id="9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bookmarkStart w:id="100" w:name="_Toc9915"/>
      <w:bookmarkStart w:id="101" w:name="_Toc12984"/>
      <w:bookmarkStart w:id="102" w:name="_Toc11290"/>
      <w:bookmarkStart w:id="103" w:name="_Toc16330032"/>
      <w:r>
        <w:rPr>
          <w:rFonts w:hint="eastAsia" w:ascii="黑体" w:hAnsi="黑体" w:eastAsia="黑体" w:cstheme="minorEastAsia"/>
          <w:b w:val="0"/>
          <w:sz w:val="28"/>
          <w:szCs w:val="28"/>
        </w:rPr>
        <w:t>15 适用法律及争议解决</w:t>
      </w:r>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4" w:name="_Toc23906"/>
      <w:bookmarkStart w:id="105" w:name="_Toc18207"/>
      <w:bookmarkStart w:id="106" w:name="_Toc23765"/>
      <w:bookmarkStart w:id="107" w:name="_Toc16330033"/>
      <w:r>
        <w:rPr>
          <w:rFonts w:hint="eastAsia" w:ascii="黑体" w:hAnsi="黑体" w:eastAsia="黑体" w:cstheme="minorEastAsia"/>
          <w:b w:val="0"/>
          <w:sz w:val="28"/>
          <w:szCs w:val="28"/>
        </w:rPr>
        <w:t>16 附件</w:t>
      </w:r>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8" w:name="_Toc17656"/>
      <w:bookmarkStart w:id="109" w:name="_Toc31331"/>
      <w:bookmarkStart w:id="110" w:name="_Toc27202"/>
      <w:bookmarkStart w:id="111" w:name="_Toc16330034"/>
      <w:r>
        <w:rPr>
          <w:rFonts w:hint="eastAsia" w:ascii="黑体" w:hAnsi="黑体" w:eastAsia="黑体" w:cstheme="minorEastAsia"/>
          <w:b w:val="0"/>
          <w:sz w:val="28"/>
          <w:szCs w:val="28"/>
        </w:rPr>
        <w:t>17 其他规定</w:t>
      </w:r>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2" w:name="_Toc17952"/>
      <w:bookmarkStart w:id="113" w:name="_Toc29136"/>
      <w:bookmarkStart w:id="114" w:name="_Toc19077"/>
      <w:bookmarkStart w:id="115"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16" w:name="_Toc3778"/>
      <w:bookmarkStart w:id="117" w:name="_Toc25120"/>
      <w:bookmarkStart w:id="118" w:name="_Toc5379"/>
      <w:bookmarkStart w:id="119" w:name="_Toc16330037"/>
      <w:bookmarkStart w:id="120" w:name="_Toc24623"/>
      <w:r>
        <w:rPr>
          <w:rFonts w:hint="eastAsia" w:asciiTheme="minorEastAsia" w:hAnsiTheme="minorEastAsia" w:eastAsiaTheme="minorEastAsia" w:cstheme="minorEastAsia"/>
          <w:sz w:val="20"/>
          <w:szCs w:val="20"/>
        </w:rPr>
        <w:br w:type="page"/>
      </w:r>
    </w:p>
    <w:p>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6"/>
      <w:bookmarkEnd w:id="117"/>
      <w:bookmarkEnd w:id="118"/>
      <w:bookmarkEnd w:id="119"/>
      <w:bookmarkEnd w:id="120"/>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1" w:name="_Toc14341849"/>
    </w:p>
    <w:p>
      <w:pPr>
        <w:ind w:right="480"/>
        <w:jc w:val="center"/>
        <w:rPr>
          <w:sz w:val="24"/>
          <w:szCs w:val="24"/>
        </w:rPr>
      </w:pPr>
      <w:r>
        <w:rPr>
          <w:rFonts w:hint="eastAsia" w:ascii="楷体_GB2312" w:hAnsi="宋体" w:eastAsia="楷体_GB2312"/>
          <w:sz w:val="24"/>
        </w:rPr>
        <w:t xml:space="preserve">                                    </w:t>
      </w:r>
    </w:p>
    <w:bookmarkEnd w:id="121"/>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1"/>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1"/>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1"/>
        <w:ind w:left="0" w:firstLine="0"/>
        <w:rPr>
          <w:rFonts w:ascii="楷体" w:hAnsi="楷体" w:eastAsia="楷体" w:cs="楷体"/>
          <w:b/>
          <w:sz w:val="24"/>
          <w:szCs w:val="28"/>
        </w:rPr>
      </w:pPr>
    </w:p>
    <w:p>
      <w:pPr>
        <w:pStyle w:val="11"/>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1"/>
        <w:ind w:left="0" w:firstLine="0"/>
        <w:rPr>
          <w:rFonts w:ascii="楷体" w:hAnsi="楷体" w:eastAsia="楷体" w:cs="楷体"/>
          <w:b/>
          <w:sz w:val="24"/>
          <w:szCs w:val="28"/>
        </w:rPr>
      </w:pPr>
    </w:p>
    <w:p>
      <w:pPr>
        <w:pStyle w:val="11"/>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1"/>
    </w:p>
    <w:p>
      <w:pPr>
        <w:keepNext/>
        <w:keepLines/>
        <w:outlineLvl w:val="9"/>
        <w:rPr>
          <w:rFonts w:hint="eastAsia" w:ascii="Times New Roman" w:hAnsi="Times New Roman" w:eastAsia="宋体" w:cs="Times New Roman"/>
          <w:b/>
          <w:bCs/>
          <w:color w:val="000000"/>
          <w:sz w:val="24"/>
          <w:szCs w:val="24"/>
        </w:rPr>
      </w:pPr>
    </w:p>
    <w:p>
      <w:pPr>
        <w:pStyle w:val="16"/>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2" w:name="_Toc639004"/>
      <w:bookmarkStart w:id="123" w:name="_Toc25811"/>
      <w:bookmarkStart w:id="124" w:name="_Toc353881012"/>
      <w:bookmarkStart w:id="12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2"/>
      <w:bookmarkEnd w:id="123"/>
      <w:bookmarkEnd w:id="124"/>
      <w:bookmarkEnd w:id="12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新增旧件分析拆解、检测能力提升项目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pPr>
    </w:p>
    <w:p>
      <w:pPr>
        <w:pStyle w:val="45"/>
        <w:rPr>
          <w:rFonts w:ascii="宋体" w:hAnsi="Calibri" w:eastAsia="宋体" w:cs="宋体"/>
          <w:b/>
          <w:bCs/>
          <w:color w:val="000000"/>
          <w:sz w:val="28"/>
          <w:szCs w:val="20"/>
        </w:rPr>
      </w:pPr>
    </w:p>
    <w:p>
      <w:pPr>
        <w:pStyle w:val="45"/>
        <w:rPr>
          <w:rFonts w:ascii="宋体" w:hAnsi="Calibri" w:eastAsia="宋体" w:cs="宋体"/>
          <w:b/>
          <w:bCs/>
          <w:color w:val="000000"/>
          <w:sz w:val="28"/>
          <w:szCs w:val="20"/>
        </w:r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003"/>
        <w:gridCol w:w="2599"/>
        <w:gridCol w:w="1026"/>
        <w:gridCol w:w="679"/>
        <w:gridCol w:w="1430"/>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567" w:type="dxa"/>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03"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9"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79" w:type="dxa"/>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3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vAlign w:val="center"/>
          </w:tcPr>
          <w:p>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2003" w:type="dxa"/>
            <w:vAlign w:val="center"/>
          </w:tcPr>
          <w:p>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259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7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0"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3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rPr>
            </w:pPr>
          </w:p>
        </w:tc>
        <w:tc>
          <w:tcPr>
            <w:tcW w:w="83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67" w:type="dxa"/>
            <w:vAlign w:val="center"/>
          </w:tcPr>
          <w:p>
            <w:pPr>
              <w:adjustRightInd w:val="0"/>
              <w:snapToGrid w:val="0"/>
              <w:spacing w:before="0" w:line="240" w:lineRule="auto"/>
              <w:ind w:left="0"/>
              <w:jc w:val="center"/>
              <w:rPr>
                <w:rFonts w:ascii="宋体" w:hAnsi="宋体" w:eastAsia="宋体" w:cs="宋体"/>
                <w:szCs w:val="21"/>
              </w:rPr>
            </w:pPr>
          </w:p>
        </w:tc>
        <w:tc>
          <w:tcPr>
            <w:tcW w:w="2003" w:type="dxa"/>
          </w:tcPr>
          <w:p>
            <w:pPr>
              <w:rPr>
                <w:rFonts w:ascii="Arial"/>
              </w:rPr>
            </w:pPr>
            <w:r>
              <w:rPr>
                <w:rFonts w:hint="eastAsia" w:ascii="宋体" w:hAnsi="宋体" w:eastAsia="宋体" w:cstheme="minorBidi"/>
                <w:color w:val="FF0000"/>
                <w:sz w:val="18"/>
                <w:szCs w:val="18"/>
              </w:rPr>
              <w:t>以上投标设备不足之处请往下添加序号自行补充</w:t>
            </w:r>
          </w:p>
        </w:tc>
        <w:tc>
          <w:tcPr>
            <w:tcW w:w="2599" w:type="dxa"/>
          </w:tcPr>
          <w:p>
            <w:pPr>
              <w:rPr>
                <w:rFonts w:ascii="Arial"/>
              </w:rPr>
            </w:pPr>
          </w:p>
        </w:tc>
        <w:tc>
          <w:tcPr>
            <w:tcW w:w="1026" w:type="dxa"/>
          </w:tcPr>
          <w:p>
            <w:pPr>
              <w:rPr>
                <w:rFonts w:ascii="Arial"/>
              </w:rPr>
            </w:pPr>
          </w:p>
        </w:tc>
        <w:tc>
          <w:tcPr>
            <w:tcW w:w="679" w:type="dxa"/>
          </w:tcPr>
          <w:p>
            <w:pPr>
              <w:rPr>
                <w:rFonts w:ascii="Arial"/>
              </w:rPr>
            </w:pPr>
          </w:p>
        </w:tc>
        <w:tc>
          <w:tcPr>
            <w:tcW w:w="1430" w:type="dxa"/>
            <w:tcBorders>
              <w:left w:val="single" w:color="000000" w:sz="4" w:space="0"/>
            </w:tcBorders>
          </w:tcPr>
          <w:p>
            <w:pPr>
              <w:rPr>
                <w:rFonts w:ascii="Arial"/>
              </w:rPr>
            </w:pPr>
          </w:p>
        </w:tc>
        <w:tc>
          <w:tcPr>
            <w:tcW w:w="832"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新增旧件分析拆解、检测能力提升项目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角磨机</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6"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7"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w:t>
            </w:r>
          </w:p>
        </w:tc>
        <w:tc>
          <w:tcPr>
            <w:tcW w:w="2642"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6.0mm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锯片外径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150mm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锯片内径</w:t>
            </w:r>
          </w:p>
          <w:p>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val="0"/>
                <w:spacing w:val="-1"/>
                <w:kern w:val="2"/>
                <w:sz w:val="21"/>
                <w:szCs w:val="21"/>
                <w:lang w:val="en-US" w:eastAsia="zh-CN" w:bidi="ar-SA"/>
              </w:rPr>
              <w:t>22.23mm</w:t>
            </w: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hint="eastAsia" w:asciiTheme="minorHAnsi" w:hAnsiTheme="minorHAnsi" w:eastAsiaTheme="minorEastAsia" w:cstheme="minorBidi"/>
                <w:kern w:val="2"/>
                <w:sz w:val="20"/>
                <w:szCs w:val="20"/>
                <w:lang w:val="en-US" w:eastAsia="zh-CN" w:bidi="ar-SA"/>
              </w:rPr>
            </w:pPr>
            <w:r>
              <w:rPr>
                <w:rFonts w:hint="eastAsia"/>
                <w:sz w:val="20"/>
                <w:szCs w:val="20"/>
                <w:lang w:val="en-US" w:eastAsia="zh-CN"/>
              </w:rPr>
              <w:t>4</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金属磨片</w:t>
            </w:r>
          </w:p>
        </w:tc>
        <w:tc>
          <w:tcPr>
            <w:tcW w:w="2642"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锯片厚度：3.0mm；锯片外径：150mm；锯片内径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22.23mm</w:t>
            </w:r>
            <w:r>
              <w:rPr>
                <w:rFonts w:hint="eastAsia" w:ascii="宋体" w:hAnsi="宋体" w:cs="宋体"/>
                <w:b w:val="0"/>
                <w:spacing w:val="-1"/>
                <w:kern w:val="2"/>
                <w:sz w:val="21"/>
                <w:szCs w:val="21"/>
                <w:lang w:val="en-US" w:eastAsia="zh-CN" w:bidi="ar-SA"/>
              </w:rPr>
              <w:t>。</w:t>
            </w: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100片</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hint="eastAsia"/>
                <w:sz w:val="20"/>
                <w:szCs w:val="20"/>
              </w:rPr>
            </w:pPr>
          </w:p>
        </w:tc>
        <w:tc>
          <w:tcPr>
            <w:tcW w:w="1995" w:type="dxa"/>
            <w:shd w:val="clear" w:color="auto" w:fill="auto"/>
            <w:vAlign w:val="center"/>
          </w:tcPr>
          <w:p>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pPr>
              <w:jc w:val="center"/>
              <w:rPr>
                <w:rFonts w:hint="eastAsia"/>
                <w:sz w:val="20"/>
                <w:szCs w:val="20"/>
              </w:rPr>
            </w:pPr>
          </w:p>
        </w:tc>
        <w:tc>
          <w:tcPr>
            <w:tcW w:w="839" w:type="dxa"/>
            <w:shd w:val="clear" w:color="auto" w:fill="auto"/>
            <w:vAlign w:val="center"/>
          </w:tcPr>
          <w:p>
            <w:pPr>
              <w:jc w:val="center"/>
              <w:rPr>
                <w:rFonts w:hint="eastAsia"/>
                <w:sz w:val="20"/>
                <w:szCs w:val="20"/>
              </w:rPr>
            </w:pP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新增旧件分析拆解、检测能力提升项目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pStyle w:val="16"/>
      </w:pPr>
    </w:p>
    <w:p>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6"/>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6"/>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6"/>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5108E7-E077-42EF-B559-55AE70EA5FEF}"/>
  </w:font>
  <w:font w:name="黑体">
    <w:panose1 w:val="02010609060101010101"/>
    <w:charset w:val="86"/>
    <w:family w:val="auto"/>
    <w:pitch w:val="default"/>
    <w:sig w:usb0="800002BF" w:usb1="38CF7CFA" w:usb2="00000016" w:usb3="00000000" w:csb0="00040001" w:csb1="00000000"/>
    <w:embedRegular r:id="rId2" w:fontKey="{2AE4A3B2-8771-4BB5-89F5-14AA3C2215B9}"/>
  </w:font>
  <w:font w:name="Courier New">
    <w:panose1 w:val="02070309020205020404"/>
    <w:charset w:val="01"/>
    <w:family w:val="modern"/>
    <w:pitch w:val="default"/>
    <w:sig w:usb0="E0002EFF" w:usb1="C0007843" w:usb2="00000009" w:usb3="00000000" w:csb0="400001FF" w:csb1="FFFF0000"/>
    <w:embedRegular r:id="rId3" w:fontKey="{CDD1E168-EF23-4935-B551-70CE669B46A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718CC23-1F9E-432C-B14E-72800951E3DC}"/>
  </w:font>
  <w:font w:name="等线">
    <w:panose1 w:val="02010600030101010101"/>
    <w:charset w:val="86"/>
    <w:family w:val="auto"/>
    <w:pitch w:val="default"/>
    <w:sig w:usb0="A00002BF" w:usb1="38CF7CFA" w:usb2="00000016" w:usb3="00000000" w:csb0="0004000F" w:csb1="00000000"/>
    <w:embedRegular r:id="rId5" w:fontKey="{1D5EB308-F3EC-4837-9B78-81DC5CBE48EA}"/>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6F2E6C25-A028-4884-9B3C-496F23F86D92}"/>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E4004366-E807-48DF-B1E5-3F448F473661}"/>
  </w:font>
  <w:font w:name="华文仿宋">
    <w:panose1 w:val="02010600040101010101"/>
    <w:charset w:val="86"/>
    <w:family w:val="auto"/>
    <w:pitch w:val="default"/>
    <w:sig w:usb0="00000287" w:usb1="080F0000" w:usb2="00000000" w:usb3="00000000" w:csb0="0004009F" w:csb1="DFD70000"/>
    <w:embedRegular r:id="rId8" w:fontKey="{18767FB7-C667-4144-80A4-E21330BEF32D}"/>
  </w:font>
  <w:font w:name="方正小标宋简体">
    <w:panose1 w:val="02000000000000000000"/>
    <w:charset w:val="86"/>
    <w:family w:val="script"/>
    <w:pitch w:val="default"/>
    <w:sig w:usb0="A00002BF" w:usb1="184F6CFA" w:usb2="00000012" w:usb3="00000000" w:csb0="00040001" w:csb1="00000000"/>
    <w:embedRegular r:id="rId9" w:fontKey="{6A097E75-5BBA-4502-89CD-EBDD18002C99}"/>
  </w:font>
  <w:font w:name="楷体">
    <w:panose1 w:val="02010609060101010101"/>
    <w:charset w:val="86"/>
    <w:family w:val="auto"/>
    <w:pitch w:val="default"/>
    <w:sig w:usb0="800002BF" w:usb1="38CF7CFA" w:usb2="00000016" w:usb3="00000000" w:csb0="00040001" w:csb1="00000000"/>
    <w:embedRegular r:id="rId10" w:fontKey="{255BFD5F-3BEB-4929-82C0-CE8C1B7D6AA0}"/>
  </w:font>
  <w:font w:name="Wingdings 2">
    <w:panose1 w:val="05020102010507070707"/>
    <w:charset w:val="02"/>
    <w:family w:val="roman"/>
    <w:pitch w:val="default"/>
    <w:sig w:usb0="00000000" w:usb1="00000000" w:usb2="00000000" w:usb3="00000000" w:csb0="80000000" w:csb1="00000000"/>
    <w:embedRegular r:id="rId11" w:fontKey="{94906CA0-C134-4BF5-800E-CF8D7EB0EAA5}"/>
  </w:font>
  <w:font w:name="仿宋">
    <w:panose1 w:val="02010609060101010101"/>
    <w:charset w:val="86"/>
    <w:family w:val="auto"/>
    <w:pitch w:val="default"/>
    <w:sig w:usb0="800002BF" w:usb1="38CF7CFA" w:usb2="00000016" w:usb3="00000000" w:csb0="00040001" w:csb1="00000000"/>
    <w:embedRegular r:id="rId12" w:fontKey="{A9AF3E84-F2C7-4CF6-8AEF-0186CFD3237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YjMwYmI3YmZjNDcyNjdjNDIzMTg3Mjk3MmM5MG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6C71F3"/>
    <w:rsid w:val="01714809"/>
    <w:rsid w:val="01BB2C67"/>
    <w:rsid w:val="01C52478"/>
    <w:rsid w:val="022F2C26"/>
    <w:rsid w:val="02567262"/>
    <w:rsid w:val="027408EE"/>
    <w:rsid w:val="02963F39"/>
    <w:rsid w:val="02A05EB7"/>
    <w:rsid w:val="02B037A6"/>
    <w:rsid w:val="02B3095A"/>
    <w:rsid w:val="02BA7274"/>
    <w:rsid w:val="02F676C8"/>
    <w:rsid w:val="030D2310"/>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85B98"/>
    <w:rsid w:val="08493425"/>
    <w:rsid w:val="0886328A"/>
    <w:rsid w:val="088A5513"/>
    <w:rsid w:val="08DD171B"/>
    <w:rsid w:val="08DD2784"/>
    <w:rsid w:val="08E64121"/>
    <w:rsid w:val="08EE34FB"/>
    <w:rsid w:val="091D420B"/>
    <w:rsid w:val="093D4FB7"/>
    <w:rsid w:val="093E2A38"/>
    <w:rsid w:val="09414AC1"/>
    <w:rsid w:val="0942017F"/>
    <w:rsid w:val="09480908"/>
    <w:rsid w:val="096473F5"/>
    <w:rsid w:val="096F3207"/>
    <w:rsid w:val="09BA1FBB"/>
    <w:rsid w:val="09CA2C4D"/>
    <w:rsid w:val="09CB139F"/>
    <w:rsid w:val="09D71932"/>
    <w:rsid w:val="09DD1183"/>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CC2416B"/>
    <w:rsid w:val="0D08498F"/>
    <w:rsid w:val="0D0C2B7B"/>
    <w:rsid w:val="0D9308F8"/>
    <w:rsid w:val="0DE76C3D"/>
    <w:rsid w:val="0E1A1D85"/>
    <w:rsid w:val="0E3C75E8"/>
    <w:rsid w:val="0E6B26B6"/>
    <w:rsid w:val="0E750568"/>
    <w:rsid w:val="0E8819A2"/>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807FED"/>
    <w:rsid w:val="12DE232A"/>
    <w:rsid w:val="12E60579"/>
    <w:rsid w:val="12EB0F02"/>
    <w:rsid w:val="13057392"/>
    <w:rsid w:val="13695B36"/>
    <w:rsid w:val="1372609F"/>
    <w:rsid w:val="1382549E"/>
    <w:rsid w:val="138A301D"/>
    <w:rsid w:val="13CD6F8A"/>
    <w:rsid w:val="13D73572"/>
    <w:rsid w:val="13E250F3"/>
    <w:rsid w:val="141476FE"/>
    <w:rsid w:val="141D0842"/>
    <w:rsid w:val="1449272D"/>
    <w:rsid w:val="14504752"/>
    <w:rsid w:val="145A6A37"/>
    <w:rsid w:val="1467440F"/>
    <w:rsid w:val="146B2014"/>
    <w:rsid w:val="147F6DAD"/>
    <w:rsid w:val="14846AB8"/>
    <w:rsid w:val="14E05B4D"/>
    <w:rsid w:val="14E9191B"/>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083B45"/>
    <w:rsid w:val="18104A8B"/>
    <w:rsid w:val="182E403B"/>
    <w:rsid w:val="18426B32"/>
    <w:rsid w:val="18586F2B"/>
    <w:rsid w:val="18784278"/>
    <w:rsid w:val="188E5849"/>
    <w:rsid w:val="19566FD7"/>
    <w:rsid w:val="198527A8"/>
    <w:rsid w:val="19A766B9"/>
    <w:rsid w:val="19B06735"/>
    <w:rsid w:val="19CE14DB"/>
    <w:rsid w:val="19CE76BA"/>
    <w:rsid w:val="19F26070"/>
    <w:rsid w:val="19F97C8B"/>
    <w:rsid w:val="1A1523CE"/>
    <w:rsid w:val="1A1F1582"/>
    <w:rsid w:val="1A864A2A"/>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71C83"/>
    <w:rsid w:val="1DEC0E7D"/>
    <w:rsid w:val="1E344794"/>
    <w:rsid w:val="1E40742E"/>
    <w:rsid w:val="1E43150B"/>
    <w:rsid w:val="1E544E3F"/>
    <w:rsid w:val="1EA93E80"/>
    <w:rsid w:val="1EC16A83"/>
    <w:rsid w:val="1ED33FB6"/>
    <w:rsid w:val="1EDC0931"/>
    <w:rsid w:val="1EE011E0"/>
    <w:rsid w:val="1EE81332"/>
    <w:rsid w:val="1F136351"/>
    <w:rsid w:val="1F32415A"/>
    <w:rsid w:val="1F4160D7"/>
    <w:rsid w:val="1F542F9A"/>
    <w:rsid w:val="1F6D241E"/>
    <w:rsid w:val="1F702632"/>
    <w:rsid w:val="1F7E2174"/>
    <w:rsid w:val="20107567"/>
    <w:rsid w:val="20313E48"/>
    <w:rsid w:val="204E750E"/>
    <w:rsid w:val="206945CB"/>
    <w:rsid w:val="208244E5"/>
    <w:rsid w:val="20AB56C6"/>
    <w:rsid w:val="20E21F80"/>
    <w:rsid w:val="21237947"/>
    <w:rsid w:val="21353FAA"/>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735CCF"/>
    <w:rsid w:val="228935B5"/>
    <w:rsid w:val="229451FD"/>
    <w:rsid w:val="22A12DB6"/>
    <w:rsid w:val="22B01277"/>
    <w:rsid w:val="2309269C"/>
    <w:rsid w:val="23332FC8"/>
    <w:rsid w:val="235F4683"/>
    <w:rsid w:val="236356D1"/>
    <w:rsid w:val="23672FA4"/>
    <w:rsid w:val="23A45F21"/>
    <w:rsid w:val="23A91C83"/>
    <w:rsid w:val="23C962E8"/>
    <w:rsid w:val="243F7403"/>
    <w:rsid w:val="247E4FED"/>
    <w:rsid w:val="24AD78E0"/>
    <w:rsid w:val="24B30BE8"/>
    <w:rsid w:val="24BC5AD3"/>
    <w:rsid w:val="24DB07AE"/>
    <w:rsid w:val="24E10292"/>
    <w:rsid w:val="24E34060"/>
    <w:rsid w:val="253A0491"/>
    <w:rsid w:val="254E0478"/>
    <w:rsid w:val="259322B4"/>
    <w:rsid w:val="25AF6361"/>
    <w:rsid w:val="25C50504"/>
    <w:rsid w:val="25C64874"/>
    <w:rsid w:val="25E036B2"/>
    <w:rsid w:val="25E75BA2"/>
    <w:rsid w:val="25E9082A"/>
    <w:rsid w:val="25F018F1"/>
    <w:rsid w:val="25F42473"/>
    <w:rsid w:val="260A0FF9"/>
    <w:rsid w:val="2621171B"/>
    <w:rsid w:val="26436BD4"/>
    <w:rsid w:val="265C2AE3"/>
    <w:rsid w:val="269C17B8"/>
    <w:rsid w:val="26AF2D79"/>
    <w:rsid w:val="26B34B91"/>
    <w:rsid w:val="26ED706D"/>
    <w:rsid w:val="26F853FE"/>
    <w:rsid w:val="26F92E80"/>
    <w:rsid w:val="26FC00A2"/>
    <w:rsid w:val="270D66E8"/>
    <w:rsid w:val="27514612"/>
    <w:rsid w:val="278B0DAB"/>
    <w:rsid w:val="278D3850"/>
    <w:rsid w:val="279C6B0E"/>
    <w:rsid w:val="27A64735"/>
    <w:rsid w:val="27CC4DF2"/>
    <w:rsid w:val="27FC39A7"/>
    <w:rsid w:val="280D64D7"/>
    <w:rsid w:val="281864F2"/>
    <w:rsid w:val="28341582"/>
    <w:rsid w:val="283D5C30"/>
    <w:rsid w:val="28445F24"/>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493B09"/>
    <w:rsid w:val="2C5F3D9D"/>
    <w:rsid w:val="2C61165D"/>
    <w:rsid w:val="2C6156D9"/>
    <w:rsid w:val="2C88731E"/>
    <w:rsid w:val="2CF33A75"/>
    <w:rsid w:val="2CF85053"/>
    <w:rsid w:val="2D002B75"/>
    <w:rsid w:val="2D025012"/>
    <w:rsid w:val="2D2B45A9"/>
    <w:rsid w:val="2D4178F0"/>
    <w:rsid w:val="2DAE631A"/>
    <w:rsid w:val="2DD877E0"/>
    <w:rsid w:val="2DE03689"/>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2FEA73B1"/>
    <w:rsid w:val="3032101E"/>
    <w:rsid w:val="306927FC"/>
    <w:rsid w:val="307776D1"/>
    <w:rsid w:val="307B2717"/>
    <w:rsid w:val="30862574"/>
    <w:rsid w:val="30B631E1"/>
    <w:rsid w:val="30C05531"/>
    <w:rsid w:val="30E57BC8"/>
    <w:rsid w:val="311933AA"/>
    <w:rsid w:val="31414A5E"/>
    <w:rsid w:val="315B788A"/>
    <w:rsid w:val="315E658D"/>
    <w:rsid w:val="3168109A"/>
    <w:rsid w:val="317D15BB"/>
    <w:rsid w:val="31B00187"/>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3E7CCC"/>
    <w:rsid w:val="345E036E"/>
    <w:rsid w:val="34C47852"/>
    <w:rsid w:val="34DE1E4F"/>
    <w:rsid w:val="34F07DB1"/>
    <w:rsid w:val="35216C38"/>
    <w:rsid w:val="35486AF7"/>
    <w:rsid w:val="359009FB"/>
    <w:rsid w:val="35D354B8"/>
    <w:rsid w:val="35D4025C"/>
    <w:rsid w:val="35DC572E"/>
    <w:rsid w:val="36063A32"/>
    <w:rsid w:val="362666BC"/>
    <w:rsid w:val="3628478F"/>
    <w:rsid w:val="36394F6A"/>
    <w:rsid w:val="36445A95"/>
    <w:rsid w:val="368A6B11"/>
    <w:rsid w:val="36A238B1"/>
    <w:rsid w:val="36B53E7C"/>
    <w:rsid w:val="37085B1F"/>
    <w:rsid w:val="37103EE5"/>
    <w:rsid w:val="372E04CB"/>
    <w:rsid w:val="37317C9C"/>
    <w:rsid w:val="37893954"/>
    <w:rsid w:val="38131C89"/>
    <w:rsid w:val="38A43C55"/>
    <w:rsid w:val="38E070F2"/>
    <w:rsid w:val="390D33AB"/>
    <w:rsid w:val="391E6D06"/>
    <w:rsid w:val="3984503C"/>
    <w:rsid w:val="39CE2F60"/>
    <w:rsid w:val="39DC5BB6"/>
    <w:rsid w:val="39F1031B"/>
    <w:rsid w:val="3A074847"/>
    <w:rsid w:val="3A3C6CE4"/>
    <w:rsid w:val="3A830B2E"/>
    <w:rsid w:val="3AA90FE6"/>
    <w:rsid w:val="3AA9318F"/>
    <w:rsid w:val="3AB62DA0"/>
    <w:rsid w:val="3AD04447"/>
    <w:rsid w:val="3AEA41B5"/>
    <w:rsid w:val="3B414BC4"/>
    <w:rsid w:val="3B683BAC"/>
    <w:rsid w:val="3B69577B"/>
    <w:rsid w:val="3B702D85"/>
    <w:rsid w:val="3B7905A1"/>
    <w:rsid w:val="3B7D3FD5"/>
    <w:rsid w:val="3B823DDF"/>
    <w:rsid w:val="3BD827B4"/>
    <w:rsid w:val="3C237ED3"/>
    <w:rsid w:val="3C317D4F"/>
    <w:rsid w:val="3C4542ED"/>
    <w:rsid w:val="3C4D2D59"/>
    <w:rsid w:val="3CAA596A"/>
    <w:rsid w:val="3CAF1D22"/>
    <w:rsid w:val="3CB1587B"/>
    <w:rsid w:val="3CB735F2"/>
    <w:rsid w:val="3CD218F9"/>
    <w:rsid w:val="3CFC4E99"/>
    <w:rsid w:val="3D186684"/>
    <w:rsid w:val="3D363C36"/>
    <w:rsid w:val="3D496B61"/>
    <w:rsid w:val="3D68584E"/>
    <w:rsid w:val="3D8B2178"/>
    <w:rsid w:val="3DB34909"/>
    <w:rsid w:val="3DCA67EC"/>
    <w:rsid w:val="3DD115F5"/>
    <w:rsid w:val="3DE23DBE"/>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061F3"/>
    <w:rsid w:val="40980F08"/>
    <w:rsid w:val="40C83C56"/>
    <w:rsid w:val="40D23C76"/>
    <w:rsid w:val="40E340D5"/>
    <w:rsid w:val="40F3251B"/>
    <w:rsid w:val="412732B7"/>
    <w:rsid w:val="4127791F"/>
    <w:rsid w:val="41281794"/>
    <w:rsid w:val="413C1FDF"/>
    <w:rsid w:val="41806A69"/>
    <w:rsid w:val="418307E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4EC107E"/>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E36768"/>
    <w:rsid w:val="47F33399"/>
    <w:rsid w:val="480C42C3"/>
    <w:rsid w:val="480F4B73"/>
    <w:rsid w:val="4816227E"/>
    <w:rsid w:val="48276F9D"/>
    <w:rsid w:val="4862144E"/>
    <w:rsid w:val="487974BD"/>
    <w:rsid w:val="489E3831"/>
    <w:rsid w:val="48B9571B"/>
    <w:rsid w:val="48CB0E7D"/>
    <w:rsid w:val="48DB38E3"/>
    <w:rsid w:val="49001B5E"/>
    <w:rsid w:val="4904108C"/>
    <w:rsid w:val="491033DE"/>
    <w:rsid w:val="493443AD"/>
    <w:rsid w:val="49376DB0"/>
    <w:rsid w:val="493D4634"/>
    <w:rsid w:val="49551CDB"/>
    <w:rsid w:val="49605AEE"/>
    <w:rsid w:val="497E3057"/>
    <w:rsid w:val="49804BB7"/>
    <w:rsid w:val="49826DCB"/>
    <w:rsid w:val="499013E7"/>
    <w:rsid w:val="49C8088A"/>
    <w:rsid w:val="49F031DE"/>
    <w:rsid w:val="49F772E6"/>
    <w:rsid w:val="4A0F6D68"/>
    <w:rsid w:val="4A111CB3"/>
    <w:rsid w:val="4A301C93"/>
    <w:rsid w:val="4A3302AB"/>
    <w:rsid w:val="4A4C47F2"/>
    <w:rsid w:val="4A572A17"/>
    <w:rsid w:val="4A6F2535"/>
    <w:rsid w:val="4A7224B3"/>
    <w:rsid w:val="4A7706DB"/>
    <w:rsid w:val="4A901A63"/>
    <w:rsid w:val="4A9C5875"/>
    <w:rsid w:val="4AC85D49"/>
    <w:rsid w:val="4ACD18C8"/>
    <w:rsid w:val="4AE308A9"/>
    <w:rsid w:val="4B0E4F45"/>
    <w:rsid w:val="4B260F2D"/>
    <w:rsid w:val="4B5005B9"/>
    <w:rsid w:val="4B9A1456"/>
    <w:rsid w:val="4BA32C82"/>
    <w:rsid w:val="4BDB6202"/>
    <w:rsid w:val="4BE70627"/>
    <w:rsid w:val="4C0A5AE1"/>
    <w:rsid w:val="4C130AB8"/>
    <w:rsid w:val="4C5A284D"/>
    <w:rsid w:val="4C5C0673"/>
    <w:rsid w:val="4C8B531F"/>
    <w:rsid w:val="4CB96B43"/>
    <w:rsid w:val="4CC61682"/>
    <w:rsid w:val="4CC75FCC"/>
    <w:rsid w:val="4CC87A5E"/>
    <w:rsid w:val="4CC93E90"/>
    <w:rsid w:val="4CD63947"/>
    <w:rsid w:val="4CDB28FE"/>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1F277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3B6B2B"/>
    <w:rsid w:val="515C765A"/>
    <w:rsid w:val="51905BB3"/>
    <w:rsid w:val="51922560"/>
    <w:rsid w:val="51946FCB"/>
    <w:rsid w:val="51BD71A2"/>
    <w:rsid w:val="51DD796B"/>
    <w:rsid w:val="51DF373B"/>
    <w:rsid w:val="51F7744F"/>
    <w:rsid w:val="52A511EA"/>
    <w:rsid w:val="52EF4CB5"/>
    <w:rsid w:val="52F959F0"/>
    <w:rsid w:val="5302488E"/>
    <w:rsid w:val="530323B4"/>
    <w:rsid w:val="53136173"/>
    <w:rsid w:val="53253ACD"/>
    <w:rsid w:val="534B12B7"/>
    <w:rsid w:val="539A4AC7"/>
    <w:rsid w:val="53F86552"/>
    <w:rsid w:val="542631B6"/>
    <w:rsid w:val="542B7CA6"/>
    <w:rsid w:val="5447483C"/>
    <w:rsid w:val="544D14DF"/>
    <w:rsid w:val="54694B6B"/>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811936"/>
    <w:rsid w:val="56AC4A78"/>
    <w:rsid w:val="56B55151"/>
    <w:rsid w:val="56D007FF"/>
    <w:rsid w:val="56DB16B9"/>
    <w:rsid w:val="57276389"/>
    <w:rsid w:val="57435CBA"/>
    <w:rsid w:val="577A3463"/>
    <w:rsid w:val="57977EA7"/>
    <w:rsid w:val="57B35F6D"/>
    <w:rsid w:val="57BE1D80"/>
    <w:rsid w:val="57CF6D09"/>
    <w:rsid w:val="57F967AD"/>
    <w:rsid w:val="58052975"/>
    <w:rsid w:val="581D7A74"/>
    <w:rsid w:val="582B0078"/>
    <w:rsid w:val="584D1A65"/>
    <w:rsid w:val="584F5C44"/>
    <w:rsid w:val="58584F50"/>
    <w:rsid w:val="58A96885"/>
    <w:rsid w:val="58B8581B"/>
    <w:rsid w:val="58E525CA"/>
    <w:rsid w:val="58EE7372"/>
    <w:rsid w:val="58FD7D40"/>
    <w:rsid w:val="59017396"/>
    <w:rsid w:val="592B5B5A"/>
    <w:rsid w:val="593829B8"/>
    <w:rsid w:val="593D045A"/>
    <w:rsid w:val="5960739E"/>
    <w:rsid w:val="59896D0A"/>
    <w:rsid w:val="599226DC"/>
    <w:rsid w:val="59975605"/>
    <w:rsid w:val="599D6D92"/>
    <w:rsid w:val="59B72684"/>
    <w:rsid w:val="59BA4144"/>
    <w:rsid w:val="59C06FDA"/>
    <w:rsid w:val="59F861A7"/>
    <w:rsid w:val="5A8E00F1"/>
    <w:rsid w:val="5A9579AE"/>
    <w:rsid w:val="5AB521E6"/>
    <w:rsid w:val="5AC468CD"/>
    <w:rsid w:val="5AC558FB"/>
    <w:rsid w:val="5B342B9A"/>
    <w:rsid w:val="5B5953B0"/>
    <w:rsid w:val="5B630802"/>
    <w:rsid w:val="5B6E60D7"/>
    <w:rsid w:val="5B746998"/>
    <w:rsid w:val="5B807F68"/>
    <w:rsid w:val="5BA72CE5"/>
    <w:rsid w:val="5BA95A60"/>
    <w:rsid w:val="5BE61256"/>
    <w:rsid w:val="5C034D53"/>
    <w:rsid w:val="5C0A43A9"/>
    <w:rsid w:val="5C41066B"/>
    <w:rsid w:val="5C620B9F"/>
    <w:rsid w:val="5C79798F"/>
    <w:rsid w:val="5C7F2AAC"/>
    <w:rsid w:val="5D0E2082"/>
    <w:rsid w:val="5D161948"/>
    <w:rsid w:val="5D41354B"/>
    <w:rsid w:val="5D722852"/>
    <w:rsid w:val="5E1D6F56"/>
    <w:rsid w:val="5E52187F"/>
    <w:rsid w:val="5E6A13CD"/>
    <w:rsid w:val="5E705D15"/>
    <w:rsid w:val="5E93326C"/>
    <w:rsid w:val="5E9F1A7A"/>
    <w:rsid w:val="5EAB5261"/>
    <w:rsid w:val="5EAF3818"/>
    <w:rsid w:val="5EE62ABD"/>
    <w:rsid w:val="5EF62F7D"/>
    <w:rsid w:val="5EFB4BA4"/>
    <w:rsid w:val="5EFD23AE"/>
    <w:rsid w:val="5F025452"/>
    <w:rsid w:val="5F204545"/>
    <w:rsid w:val="5F5F46B5"/>
    <w:rsid w:val="5FB25360"/>
    <w:rsid w:val="5FBA3CC0"/>
    <w:rsid w:val="5FD90D61"/>
    <w:rsid w:val="5FF11F12"/>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BA4B55"/>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A43BFC"/>
    <w:rsid w:val="67D30B32"/>
    <w:rsid w:val="67D356E3"/>
    <w:rsid w:val="68011379"/>
    <w:rsid w:val="68252C37"/>
    <w:rsid w:val="6836320A"/>
    <w:rsid w:val="6855023B"/>
    <w:rsid w:val="68673E5E"/>
    <w:rsid w:val="68803F1E"/>
    <w:rsid w:val="68817BAC"/>
    <w:rsid w:val="689A5E59"/>
    <w:rsid w:val="68A94E70"/>
    <w:rsid w:val="68AB31C8"/>
    <w:rsid w:val="68D321ED"/>
    <w:rsid w:val="68EB61B0"/>
    <w:rsid w:val="68EE72DF"/>
    <w:rsid w:val="68FE51D1"/>
    <w:rsid w:val="690B4C92"/>
    <w:rsid w:val="69485FEA"/>
    <w:rsid w:val="69677DC0"/>
    <w:rsid w:val="69937EC7"/>
    <w:rsid w:val="699A504F"/>
    <w:rsid w:val="69D64558"/>
    <w:rsid w:val="6A042548"/>
    <w:rsid w:val="6A0F720C"/>
    <w:rsid w:val="6A146F17"/>
    <w:rsid w:val="6A244C92"/>
    <w:rsid w:val="6A45664A"/>
    <w:rsid w:val="6A471EFD"/>
    <w:rsid w:val="6AB57116"/>
    <w:rsid w:val="6AFA3FE8"/>
    <w:rsid w:val="6B17424A"/>
    <w:rsid w:val="6B2218FA"/>
    <w:rsid w:val="6B5A722E"/>
    <w:rsid w:val="6B686C59"/>
    <w:rsid w:val="6B691672"/>
    <w:rsid w:val="6B8C3281"/>
    <w:rsid w:val="6BCA2D65"/>
    <w:rsid w:val="6BE05D30"/>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4279D9"/>
    <w:rsid w:val="6E5A5288"/>
    <w:rsid w:val="6EBA7973"/>
    <w:rsid w:val="6EE013EE"/>
    <w:rsid w:val="6EE079F1"/>
    <w:rsid w:val="6EE42C42"/>
    <w:rsid w:val="6F143527"/>
    <w:rsid w:val="6F7F7CB0"/>
    <w:rsid w:val="6FE0165C"/>
    <w:rsid w:val="6FE10C44"/>
    <w:rsid w:val="70222744"/>
    <w:rsid w:val="70545BA6"/>
    <w:rsid w:val="70616C6C"/>
    <w:rsid w:val="706D25DF"/>
    <w:rsid w:val="706D2B21"/>
    <w:rsid w:val="707B1384"/>
    <w:rsid w:val="707F70C6"/>
    <w:rsid w:val="70857A34"/>
    <w:rsid w:val="70985D3C"/>
    <w:rsid w:val="70C52655"/>
    <w:rsid w:val="70FD625F"/>
    <w:rsid w:val="71047C73"/>
    <w:rsid w:val="7109004F"/>
    <w:rsid w:val="71103167"/>
    <w:rsid w:val="71197447"/>
    <w:rsid w:val="71211E57"/>
    <w:rsid w:val="712E56F7"/>
    <w:rsid w:val="713954C7"/>
    <w:rsid w:val="71691ABB"/>
    <w:rsid w:val="718D0958"/>
    <w:rsid w:val="71AE1AEA"/>
    <w:rsid w:val="71CF3B6C"/>
    <w:rsid w:val="71E6046B"/>
    <w:rsid w:val="71F80F33"/>
    <w:rsid w:val="722922C6"/>
    <w:rsid w:val="72367C59"/>
    <w:rsid w:val="723C5278"/>
    <w:rsid w:val="723F4D5F"/>
    <w:rsid w:val="72532C9F"/>
    <w:rsid w:val="72606A84"/>
    <w:rsid w:val="727176A7"/>
    <w:rsid w:val="72CB03A1"/>
    <w:rsid w:val="73047240"/>
    <w:rsid w:val="730F5864"/>
    <w:rsid w:val="732D4B5D"/>
    <w:rsid w:val="73393C88"/>
    <w:rsid w:val="733F2EED"/>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9A22AD"/>
    <w:rsid w:val="75BB71AF"/>
    <w:rsid w:val="75F01962"/>
    <w:rsid w:val="760E19DF"/>
    <w:rsid w:val="762A586E"/>
    <w:rsid w:val="764E52E0"/>
    <w:rsid w:val="76557F3E"/>
    <w:rsid w:val="76676A53"/>
    <w:rsid w:val="76A3294D"/>
    <w:rsid w:val="76A41635"/>
    <w:rsid w:val="76B620A1"/>
    <w:rsid w:val="76D0016F"/>
    <w:rsid w:val="76E51777"/>
    <w:rsid w:val="76F20814"/>
    <w:rsid w:val="77050D7C"/>
    <w:rsid w:val="771D661A"/>
    <w:rsid w:val="77462524"/>
    <w:rsid w:val="77854826"/>
    <w:rsid w:val="779A6594"/>
    <w:rsid w:val="77A21064"/>
    <w:rsid w:val="77E34EB2"/>
    <w:rsid w:val="77F35CA4"/>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2D151F"/>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B83088"/>
    <w:rsid w:val="7CF26969"/>
    <w:rsid w:val="7D0E2B4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next w:val="12"/>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next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9021</Words>
  <Characters>9495</Characters>
  <Lines>305</Lines>
  <Paragraphs>86</Paragraphs>
  <TotalTime>8</TotalTime>
  <ScaleCrop>false</ScaleCrop>
  <LinksUpToDate>false</LinksUpToDate>
  <CharactersWithSpaces>9564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赵力</cp:lastModifiedBy>
  <cp:lastPrinted>2022-07-01T11:19:00Z</cp:lastPrinted>
  <dcterms:modified xsi:type="dcterms:W3CDTF">2025-12-17T01:59:16Z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B754417D0AEA4118BB8AF92BB80681A0_13</vt:lpwstr>
  </property>
  <property fmtid="{D5CDD505-2E9C-101B-9397-08002B2CF9AE}" pid="4" name="KSOTemplateDocerSaveRecord">
    <vt:lpwstr>eyJoZGlkIjoiMWVmMTQ5OTkxYTY3MTdjMTE2MGJhYTFkOTM3OTE2MDgiLCJ1c2VySWQiOiIxMjY4MDQ5MjIzIn0=</vt:lpwstr>
  </property>
</Properties>
</file>