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7"/>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lang w:eastAsia="zh-CN"/>
        </w:rPr>
        <w:t>汽车研究总院多通道便携式数据采集系统采购项目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u w:val="single"/>
          <w:lang w:eastAsia="zh-CN"/>
        </w:rPr>
        <w:t>FSCZB2025120418</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人：中国重汽集团济南动力有限公司</w:t>
      </w:r>
    </w:p>
    <w:p>
      <w:pPr>
        <w:jc w:val="center"/>
        <w:rPr>
          <w:rFonts w:ascii="宋体" w:hAnsi="宋体"/>
          <w:sz w:val="28"/>
          <w:szCs w:val="28"/>
        </w:rPr>
      </w:pPr>
    </w:p>
    <w:p>
      <w:pPr>
        <w:spacing w:line="480" w:lineRule="auto"/>
        <w:jc w:val="center"/>
        <w:rPr>
          <w:rFonts w:ascii="宋体" w:hAnsi="宋体"/>
          <w:b/>
          <w:bCs/>
          <w:sz w:val="48"/>
          <w:szCs w:val="48"/>
        </w:rPr>
      </w:pPr>
      <w:r>
        <w:rPr>
          <w:rFonts w:hint="eastAsia" w:ascii="宋体" w:hAnsi="宋体"/>
          <w:sz w:val="28"/>
          <w:szCs w:val="28"/>
          <w:u w:val="single"/>
        </w:rPr>
        <w:t>2025年1</w:t>
      </w:r>
      <w:r>
        <w:rPr>
          <w:rFonts w:ascii="宋体" w:hAnsi="宋体"/>
          <w:sz w:val="28"/>
          <w:szCs w:val="28"/>
          <w:u w:val="single"/>
        </w:rPr>
        <w:t>2</w:t>
      </w:r>
      <w:r>
        <w:rPr>
          <w:rFonts w:hint="eastAsia" w:ascii="宋体" w:hAnsi="宋体"/>
          <w:sz w:val="28"/>
          <w:szCs w:val="28"/>
          <w:u w:val="single"/>
        </w:rPr>
        <w:t>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pPr>
            <w:pStyle w:val="81"/>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8"/>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0"/>
            </w:rPr>
            <w:t>第一部分  投标人须知</w:t>
          </w:r>
          <w:r>
            <w:tab/>
          </w:r>
          <w:r>
            <w:fldChar w:fldCharType="begin"/>
          </w:r>
          <w:r>
            <w:instrText xml:space="preserve"> PAGEREF _Toc216428601 \h </w:instrText>
          </w:r>
          <w:r>
            <w:fldChar w:fldCharType="separate"/>
          </w:r>
          <w:r>
            <w:t>2</w:t>
          </w:r>
          <w:r>
            <w:fldChar w:fldCharType="end"/>
          </w:r>
          <w:r>
            <w:fldChar w:fldCharType="end"/>
          </w:r>
        </w:p>
        <w:p>
          <w:pPr>
            <w:pStyle w:val="28"/>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0"/>
            </w:rPr>
            <w:t>第二部分　技术标书</w:t>
          </w:r>
          <w:r>
            <w:tab/>
          </w:r>
          <w:r>
            <w:fldChar w:fldCharType="begin"/>
          </w:r>
          <w:r>
            <w:instrText xml:space="preserve"> PAGEREF _Toc216428602 \h </w:instrText>
          </w:r>
          <w:r>
            <w:fldChar w:fldCharType="separate"/>
          </w:r>
          <w:r>
            <w:t>11</w:t>
          </w:r>
          <w:r>
            <w:fldChar w:fldCharType="end"/>
          </w:r>
          <w:r>
            <w:fldChar w:fldCharType="end"/>
          </w:r>
        </w:p>
        <w:p>
          <w:pPr>
            <w:pStyle w:val="28"/>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0"/>
            </w:rPr>
            <w:t>第三部分 合同主要条款</w:t>
          </w:r>
          <w:r>
            <w:tab/>
          </w:r>
          <w:r>
            <w:fldChar w:fldCharType="begin"/>
          </w:r>
          <w:r>
            <w:instrText xml:space="preserve"> PAGEREF _Toc216428603 \h </w:instrText>
          </w:r>
          <w:r>
            <w:fldChar w:fldCharType="separate"/>
          </w:r>
          <w:r>
            <w:t>36</w:t>
          </w:r>
          <w:r>
            <w:fldChar w:fldCharType="end"/>
          </w:r>
          <w:r>
            <w:fldChar w:fldCharType="end"/>
          </w:r>
        </w:p>
        <w:p>
          <w:pPr>
            <w:pStyle w:val="28"/>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0"/>
            </w:rPr>
            <w:t>第四部分　投标文件附件</w:t>
          </w:r>
          <w:r>
            <w:tab/>
          </w:r>
          <w:r>
            <w:fldChar w:fldCharType="begin"/>
          </w:r>
          <w:r>
            <w:instrText xml:space="preserve"> PAGEREF _Toc216428604 \h </w:instrText>
          </w:r>
          <w:r>
            <w:fldChar w:fldCharType="separate"/>
          </w:r>
          <w:r>
            <w:t>37</w:t>
          </w:r>
          <w:r>
            <w:fldChar w:fldCharType="end"/>
          </w:r>
          <w:r>
            <w:fldChar w:fldCharType="end"/>
          </w:r>
        </w:p>
        <w:p>
          <w:pPr>
            <w:pStyle w:val="28"/>
          </w:pPr>
          <w:r>
            <w:rPr>
              <w:rFonts w:hint="eastAsia" w:ascii="Calibri" w:hAnsi="Calibri"/>
              <w:bCs/>
              <w:kern w:val="44"/>
              <w:szCs w:val="44"/>
            </w:rPr>
            <w:fldChar w:fldCharType="end"/>
          </w:r>
        </w:p>
      </w:sdtContent>
    </w:sdt>
    <w:p>
      <w:pPr>
        <w:pStyle w:val="21"/>
        <w:tabs>
          <w:tab w:val="left" w:pos="2940"/>
        </w:tabs>
        <w:spacing w:line="360" w:lineRule="auto"/>
      </w:pPr>
      <w:r>
        <w:tab/>
      </w:r>
    </w:p>
    <w:p>
      <w:pPr>
        <w:pStyle w:val="21"/>
        <w:spacing w:line="360" w:lineRule="auto"/>
        <w:jc w:val="center"/>
      </w:pPr>
    </w:p>
    <w:p>
      <w:pPr>
        <w:pStyle w:val="21"/>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84"/>
      </w:pPr>
      <w:bookmarkStart w:id="0" w:name="_Toc216428601"/>
      <w:bookmarkStart w:id="1" w:name="_Toc47976595"/>
      <w:bookmarkStart w:id="55" w:name="_GoBack"/>
      <w:bookmarkEnd w:id="55"/>
      <w:r>
        <w:rPr>
          <w:rFonts w:hint="eastAsia"/>
        </w:rPr>
        <w:t>第一部分  投标人须知</w:t>
      </w:r>
      <w:bookmarkEnd w:id="0"/>
      <w:bookmarkEnd w:id="1"/>
    </w:p>
    <w:p>
      <w:pPr>
        <w:pStyle w:val="85"/>
        <w:spacing w:before="312" w:beforeLines="100" w:after="156" w:afterLines="50" w:line="480" w:lineRule="exact"/>
        <w:ind w:left="0" w:firstLine="0"/>
      </w:pPr>
      <w:bookmarkStart w:id="2" w:name="_Toc47976596"/>
      <w:r>
        <w:rPr>
          <w:rFonts w:hint="eastAsia"/>
        </w:rPr>
        <w:t>项目介绍</w:t>
      </w:r>
      <w:bookmarkEnd w:id="2"/>
    </w:p>
    <w:p>
      <w:pPr>
        <w:pStyle w:val="89"/>
        <w:numPr>
          <w:ilvl w:val="0"/>
          <w:numId w:val="12"/>
        </w:numPr>
        <w:spacing w:line="440" w:lineRule="exact"/>
      </w:pPr>
      <w:r>
        <w:rPr>
          <w:rFonts w:hint="eastAsia"/>
        </w:rPr>
        <w:t>项目名称：</w:t>
      </w:r>
      <w:r>
        <w:rPr>
          <w:rFonts w:hint="eastAsia"/>
          <w:lang w:eastAsia="zh-CN"/>
        </w:rPr>
        <w:t>汽车研究总院多通道便携式数据采集系统采购项目</w:t>
      </w:r>
    </w:p>
    <w:p>
      <w:pPr>
        <w:pStyle w:val="89"/>
        <w:numPr>
          <w:ilvl w:val="0"/>
          <w:numId w:val="12"/>
        </w:numPr>
        <w:spacing w:line="440" w:lineRule="exact"/>
      </w:pPr>
      <w:r>
        <w:rPr>
          <w:rFonts w:hint="eastAsia"/>
        </w:rPr>
        <w:t>项目编号：</w:t>
      </w:r>
      <w:r>
        <w:rPr>
          <w:rFonts w:hint="eastAsia"/>
          <w:lang w:eastAsia="zh-CN"/>
        </w:rPr>
        <w:t>FSCZB2025120418</w:t>
      </w:r>
    </w:p>
    <w:p>
      <w:pPr>
        <w:pStyle w:val="89"/>
        <w:numPr>
          <w:ilvl w:val="0"/>
          <w:numId w:val="12"/>
        </w:numPr>
        <w:spacing w:line="440" w:lineRule="exact"/>
      </w:pPr>
      <w:r>
        <w:rPr>
          <w:rFonts w:hint="eastAsia"/>
        </w:rPr>
        <w:t>招标形式：</w:t>
      </w:r>
      <w:bookmarkStart w:id="3" w:name="_Toc47112482"/>
      <w:r>
        <w:rPr>
          <w:rFonts w:hint="eastAsia"/>
        </w:rPr>
        <w:t>公开招标</w:t>
      </w:r>
    </w:p>
    <w:p>
      <w:pPr>
        <w:pStyle w:val="89"/>
        <w:numPr>
          <w:ilvl w:val="0"/>
          <w:numId w:val="12"/>
        </w:numPr>
        <w:spacing w:line="440" w:lineRule="exact"/>
      </w:pPr>
      <w:r>
        <w:rPr>
          <w:rFonts w:hint="eastAsia"/>
        </w:rPr>
        <w:t>项目概况：采购一套多通道便携式数据采集系统。</w:t>
      </w:r>
    </w:p>
    <w:p>
      <w:pPr>
        <w:pStyle w:val="89"/>
        <w:numPr>
          <w:ilvl w:val="0"/>
          <w:numId w:val="12"/>
        </w:numPr>
        <w:spacing w:line="440" w:lineRule="exact"/>
      </w:pPr>
      <w:r>
        <w:rPr>
          <w:rFonts w:hint="eastAsia"/>
        </w:rPr>
        <w:t>招标内容具体要求详见《技术标书》。</w:t>
      </w:r>
    </w:p>
    <w:p>
      <w:pPr>
        <w:pStyle w:val="89"/>
        <w:numPr>
          <w:ilvl w:val="0"/>
          <w:numId w:val="12"/>
        </w:numPr>
        <w:spacing w:line="440" w:lineRule="exact"/>
      </w:pPr>
      <w:r>
        <w:rPr>
          <w:rFonts w:hint="eastAsia"/>
        </w:rPr>
        <w:t>报价：</w:t>
      </w:r>
    </w:p>
    <w:p>
      <w:pPr>
        <w:pStyle w:val="89"/>
        <w:numPr>
          <w:ilvl w:val="1"/>
          <w:numId w:val="13"/>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pPr>
        <w:pStyle w:val="89"/>
        <w:numPr>
          <w:ilvl w:val="1"/>
          <w:numId w:val="13"/>
        </w:numPr>
        <w:spacing w:line="440" w:lineRule="exact"/>
        <w:ind w:left="0" w:firstLine="420" w:firstLineChars="200"/>
      </w:pPr>
      <w:r>
        <w:rPr>
          <w:rFonts w:hint="eastAsia" w:hAnsi="宋体" w:cs="宋体"/>
          <w:color w:val="0F1115"/>
          <w:szCs w:val="21"/>
          <w:shd w:val="clear" w:color="auto" w:fill="FFFFFF"/>
        </w:rPr>
        <w:t>投标限价为人民币48.59万元 （含税），超过投标限价无法投标。</w:t>
      </w:r>
    </w:p>
    <w:p>
      <w:pPr>
        <w:pStyle w:val="89"/>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pPr>
        <w:pStyle w:val="89"/>
        <w:numPr>
          <w:ilvl w:val="0"/>
          <w:numId w:val="12"/>
        </w:numPr>
        <w:spacing w:line="440" w:lineRule="exact"/>
      </w:pPr>
      <w:r>
        <w:t>资金来源：企业自筹，已落实。</w:t>
      </w:r>
    </w:p>
    <w:p>
      <w:pPr>
        <w:pStyle w:val="89"/>
        <w:numPr>
          <w:ilvl w:val="0"/>
          <w:numId w:val="12"/>
        </w:numPr>
        <w:spacing w:line="440" w:lineRule="exact"/>
      </w:pPr>
      <w:r>
        <w:rPr>
          <w:rFonts w:hint="eastAsia"/>
        </w:rPr>
        <w:t>招标人信息：</w:t>
      </w:r>
    </w:p>
    <w:p>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pPr>
        <w:spacing w:line="440" w:lineRule="exact"/>
        <w:ind w:firstLine="420" w:firstLineChars="200"/>
        <w:rPr>
          <w:rFonts w:ascii="宋体" w:hAnsi="Courier New"/>
        </w:rPr>
      </w:pPr>
      <w:r>
        <w:rPr>
          <w:rFonts w:hint="eastAsia" w:ascii="宋体" w:hAnsi="Courier New"/>
        </w:rPr>
        <w:t xml:space="preserve">招标人地址：济南市高新区华奥路777号 </w:t>
      </w:r>
    </w:p>
    <w:p>
      <w:pPr>
        <w:spacing w:line="400" w:lineRule="exact"/>
        <w:ind w:firstLine="420" w:firstLineChars="200"/>
        <w:rPr>
          <w:rFonts w:ascii="宋体" w:hAnsi="Courier New"/>
          <w:b w:val="0"/>
          <w:bCs w:val="0"/>
        </w:rPr>
      </w:pPr>
      <w:r>
        <w:rPr>
          <w:rFonts w:hint="eastAsia" w:ascii="宋体" w:hAnsi="Courier New"/>
          <w:b w:val="0"/>
          <w:bCs w:val="0"/>
        </w:rPr>
        <w:t>商务联系人：宁蕾</w:t>
      </w:r>
    </w:p>
    <w:p>
      <w:pPr>
        <w:spacing w:line="400" w:lineRule="exact"/>
        <w:ind w:firstLine="420" w:firstLineChars="200"/>
        <w:rPr>
          <w:rFonts w:ascii="宋体" w:hAnsi="Courier New"/>
          <w:b w:val="0"/>
          <w:bCs w:val="0"/>
        </w:rPr>
      </w:pPr>
      <w:r>
        <w:rPr>
          <w:rFonts w:hint="eastAsia" w:ascii="宋体" w:hAnsi="Courier New"/>
          <w:b w:val="0"/>
          <w:bCs w:val="0"/>
        </w:rPr>
        <w:t>电话：</w:t>
      </w:r>
      <w:r>
        <w:rPr>
          <w:rFonts w:ascii="宋体" w:hAnsi="Courier New"/>
          <w:b w:val="0"/>
          <w:bCs w:val="0"/>
        </w:rPr>
        <w:t>13954152042</w:t>
      </w:r>
    </w:p>
    <w:p>
      <w:pPr>
        <w:spacing w:line="400" w:lineRule="exact"/>
        <w:ind w:firstLine="420" w:firstLineChars="200"/>
        <w:rPr>
          <w:rFonts w:ascii="宋体" w:hAnsi="Courier New"/>
          <w:b w:val="0"/>
          <w:bCs w:val="0"/>
        </w:rPr>
      </w:pPr>
      <w:r>
        <w:rPr>
          <w:rFonts w:hint="eastAsia" w:ascii="宋体" w:hAnsi="Courier New"/>
          <w:b w:val="0"/>
          <w:bCs w:val="0"/>
        </w:rPr>
        <w:t>邮箱：</w:t>
      </w:r>
      <w:r>
        <w:rPr>
          <w:b w:val="0"/>
          <w:bCs w:val="0"/>
        </w:rPr>
        <w:fldChar w:fldCharType="begin"/>
      </w:r>
      <w:r>
        <w:rPr>
          <w:b w:val="0"/>
          <w:bCs w:val="0"/>
        </w:rPr>
        <w:instrText xml:space="preserve"> HYPERLINK "mailto:ninglei@sinotruk.com" </w:instrText>
      </w:r>
      <w:r>
        <w:rPr>
          <w:b w:val="0"/>
          <w:bCs w:val="0"/>
        </w:rPr>
        <w:fldChar w:fldCharType="separate"/>
      </w:r>
      <w:r>
        <w:rPr>
          <w:rStyle w:val="50"/>
          <w:rFonts w:ascii="宋体" w:hAnsi="Courier New"/>
          <w:b w:val="0"/>
          <w:bCs w:val="0"/>
        </w:rPr>
        <w:t>ninglei</w:t>
      </w:r>
      <w:r>
        <w:rPr>
          <w:rStyle w:val="50"/>
          <w:rFonts w:hint="eastAsia" w:ascii="宋体" w:hAnsi="Courier New"/>
          <w:b w:val="0"/>
          <w:bCs w:val="0"/>
        </w:rPr>
        <w:t>@sinotruk.com</w:t>
      </w:r>
      <w:r>
        <w:rPr>
          <w:rStyle w:val="50"/>
          <w:rFonts w:hint="eastAsia" w:ascii="宋体" w:hAnsi="Courier New"/>
          <w:b w:val="0"/>
          <w:bCs w:val="0"/>
        </w:rPr>
        <w:fldChar w:fldCharType="end"/>
      </w:r>
    </w:p>
    <w:bookmarkEnd w:id="3"/>
    <w:p>
      <w:pPr>
        <w:spacing w:line="400" w:lineRule="exact"/>
        <w:ind w:firstLine="420" w:firstLineChars="200"/>
        <w:rPr>
          <w:rFonts w:hint="eastAsia" w:ascii="宋体" w:hAnsi="Courier New"/>
          <w:b w:val="0"/>
          <w:bCs w:val="0"/>
        </w:rPr>
      </w:pPr>
      <w:bookmarkStart w:id="4" w:name="_Toc47976598"/>
      <w:r>
        <w:rPr>
          <w:rFonts w:hint="eastAsia" w:ascii="宋体" w:hAnsi="Courier New"/>
          <w:b w:val="0"/>
          <w:bCs w:val="0"/>
        </w:rPr>
        <w:t>技术联系人：宗国熙</w:t>
      </w:r>
    </w:p>
    <w:p>
      <w:pPr>
        <w:spacing w:line="400" w:lineRule="exact"/>
        <w:ind w:firstLine="420" w:firstLineChars="200"/>
        <w:rPr>
          <w:rFonts w:hint="eastAsia" w:ascii="宋体" w:hAnsi="Courier New"/>
        </w:rPr>
      </w:pPr>
      <w:r>
        <w:rPr>
          <w:rFonts w:hint="eastAsia" w:ascii="宋体" w:hAnsi="Courier New"/>
        </w:rPr>
        <w:t>电话：18668121626</w:t>
      </w:r>
    </w:p>
    <w:p>
      <w:pPr>
        <w:spacing w:line="400" w:lineRule="exact"/>
        <w:ind w:firstLine="420" w:firstLineChars="200"/>
        <w:rPr>
          <w:rFonts w:hint="eastAsia" w:ascii="宋体" w:hAnsi="Courier New"/>
        </w:rPr>
      </w:pPr>
      <w:r>
        <w:rPr>
          <w:rFonts w:hint="eastAsia" w:ascii="宋体" w:hAnsi="Courier New"/>
        </w:rPr>
        <w:t>邮箱：zongguoxi@sinotruk.com</w:t>
      </w:r>
    </w:p>
    <w:p>
      <w:pPr>
        <w:pStyle w:val="85"/>
        <w:spacing w:before="312" w:beforeLines="100" w:after="156" w:afterLines="50" w:line="480" w:lineRule="exact"/>
        <w:ind w:left="0" w:firstLine="0"/>
      </w:pPr>
      <w:r>
        <w:rPr>
          <w:rFonts w:hint="eastAsia"/>
        </w:rPr>
        <w:t>合格的投标人</w:t>
      </w:r>
      <w:bookmarkEnd w:id="4"/>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pPr>
        <w:pStyle w:val="89"/>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不允许代理商投标；</w:t>
      </w:r>
    </w:p>
    <w:p>
      <w:pPr>
        <w:pStyle w:val="89"/>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pPr>
        <w:pStyle w:val="85"/>
        <w:spacing w:before="312" w:beforeLines="100" w:after="156" w:afterLines="50" w:line="480" w:lineRule="exact"/>
        <w:ind w:left="0" w:firstLine="0"/>
      </w:pPr>
      <w:r>
        <w:rPr>
          <w:rFonts w:hint="eastAsia"/>
        </w:rPr>
        <w:t>招标文件的领取、答疑、应标及投标报名</w:t>
      </w:r>
    </w:p>
    <w:p>
      <w:pPr>
        <w:pStyle w:val="89"/>
        <w:numPr>
          <w:ilvl w:val="0"/>
          <w:numId w:val="14"/>
        </w:numPr>
        <w:spacing w:line="440" w:lineRule="exact"/>
        <w:jc w:val="both"/>
        <w:outlineLvl w:val="2"/>
      </w:pPr>
      <w:r>
        <w:rPr>
          <w:rFonts w:hint="eastAsia"/>
        </w:rPr>
        <w:t>发标时间：</w:t>
      </w:r>
      <w:r>
        <w:rPr>
          <w:rFonts w:hint="eastAsia"/>
          <w:u w:val="single"/>
        </w:rPr>
        <w:t>2025年1</w:t>
      </w:r>
      <w:r>
        <w:rPr>
          <w:u w:val="single"/>
        </w:rPr>
        <w:t>2</w:t>
      </w:r>
      <w:r>
        <w:rPr>
          <w:rFonts w:hint="eastAsia"/>
          <w:u w:val="single"/>
        </w:rPr>
        <w:t>月</w:t>
      </w:r>
      <w:r>
        <w:rPr>
          <w:rFonts w:hint="eastAsia"/>
          <w:u w:val="single"/>
          <w:lang w:val="en-US" w:eastAsia="zh-CN"/>
        </w:rPr>
        <w:t>31</w:t>
      </w:r>
      <w:r>
        <w:rPr>
          <w:rFonts w:hint="eastAsia"/>
          <w:u w:val="single"/>
        </w:rPr>
        <w:t>日；</w:t>
      </w:r>
    </w:p>
    <w:p>
      <w:pPr>
        <w:pStyle w:val="89"/>
        <w:numPr>
          <w:ilvl w:val="0"/>
          <w:numId w:val="14"/>
        </w:numPr>
        <w:spacing w:line="440" w:lineRule="exact"/>
        <w:jc w:val="both"/>
        <w:outlineLvl w:val="2"/>
      </w:pPr>
      <w:r>
        <w:rPr>
          <w:rFonts w:hint="eastAsia"/>
        </w:rPr>
        <w:t>投标报名</w:t>
      </w:r>
    </w:p>
    <w:p>
      <w:pPr>
        <w:pStyle w:val="89"/>
        <w:numPr>
          <w:ilvl w:val="1"/>
          <w:numId w:val="14"/>
        </w:numPr>
        <w:spacing w:line="440" w:lineRule="exact"/>
        <w:jc w:val="both"/>
      </w:pPr>
      <w:r>
        <w:rPr>
          <w:rFonts w:hint="eastAsia"/>
        </w:rPr>
        <w:t>应标截止时间：</w:t>
      </w:r>
      <w:r>
        <w:rPr>
          <w:rFonts w:hint="eastAsia" w:cs="宋体"/>
          <w:u w:val="single"/>
        </w:rPr>
        <w:t>2025年</w:t>
      </w:r>
      <w:r>
        <w:rPr>
          <w:rFonts w:hint="eastAsia" w:cs="宋体"/>
          <w:u w:val="single"/>
          <w:lang w:val="en-US" w:eastAsia="zh-CN"/>
        </w:rPr>
        <w:t>1</w:t>
      </w:r>
      <w:r>
        <w:rPr>
          <w:rFonts w:hint="eastAsia" w:cs="宋体"/>
          <w:u w:val="single"/>
        </w:rPr>
        <w:t>月</w:t>
      </w:r>
      <w:r>
        <w:rPr>
          <w:rFonts w:cs="宋体"/>
          <w:u w:val="single"/>
        </w:rPr>
        <w:t>8</w:t>
      </w:r>
      <w:r>
        <w:rPr>
          <w:rFonts w:hint="eastAsia" w:cs="宋体"/>
          <w:u w:val="single"/>
        </w:rPr>
        <w:t>日17</w:t>
      </w:r>
      <w:r>
        <w:rPr>
          <w:rFonts w:hint="eastAsia"/>
          <w:u w:val="single"/>
        </w:rPr>
        <w:t>:00:00</w:t>
      </w:r>
      <w:r>
        <w:rPr>
          <w:u w:val="single"/>
        </w:rPr>
        <w:t>（北京时间）</w:t>
      </w:r>
      <w:r>
        <w:rPr>
          <w:rFonts w:hint="eastAsia"/>
          <w:u w:val="single"/>
        </w:rPr>
        <w:t>；</w:t>
      </w:r>
    </w:p>
    <w:p>
      <w:pPr>
        <w:pStyle w:val="89"/>
        <w:numPr>
          <w:ilvl w:val="1"/>
          <w:numId w:val="14"/>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pPr>
        <w:pStyle w:val="89"/>
        <w:spacing w:before="78" w:beforeLines="25" w:line="440" w:lineRule="exact"/>
        <w:ind w:left="420" w:leftChars="200" w:firstLine="420" w:firstLineChars="200"/>
        <w:jc w:val="both"/>
      </w:pPr>
      <w:r>
        <w:rPr>
          <w:rFonts w:hint="eastAsia" w:cs="宋体"/>
          <w:szCs w:val="21"/>
        </w:rPr>
        <w:t>①系统注册与信息维护</w:t>
      </w:r>
    </w:p>
    <w:p>
      <w:pPr>
        <w:pStyle w:val="89"/>
        <w:numPr>
          <w:ilvl w:val="0"/>
          <w:numId w:val="15"/>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pPr>
        <w:pStyle w:val="89"/>
        <w:numPr>
          <w:ilvl w:val="0"/>
          <w:numId w:val="15"/>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2022-2024年度财务数据</w:t>
      </w:r>
      <w:r>
        <w:rPr>
          <w:rFonts w:hint="eastAsia"/>
        </w:rPr>
        <w:t>。</w:t>
      </w:r>
      <w:r>
        <w:t>如尚未填写或信息不全，请参照《SRM非生产供应商注册手册》（附件</w:t>
      </w:r>
      <w:r>
        <w:rPr>
          <w:rFonts w:hint="eastAsia"/>
        </w:rPr>
        <w:t>9</w:t>
      </w:r>
      <w:r>
        <w:t>）及时进行补充与更新，确保信息真实、完整。</w:t>
      </w:r>
    </w:p>
    <w:p>
      <w:pPr>
        <w:pStyle w:val="89"/>
        <w:spacing w:before="78" w:beforeLines="25" w:line="440" w:lineRule="exact"/>
        <w:ind w:left="420" w:leftChars="200" w:firstLine="420" w:firstLineChars="200"/>
        <w:jc w:val="both"/>
      </w:pPr>
      <w:r>
        <w:rPr>
          <w:rFonts w:hint="eastAsia"/>
        </w:rPr>
        <w:t>②应标流程</w:t>
      </w:r>
    </w:p>
    <w:p>
      <w:pPr>
        <w:pStyle w:val="89"/>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pPr>
        <w:pStyle w:val="89"/>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pPr>
        <w:pStyle w:val="89"/>
        <w:spacing w:before="156"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pPr>
        <w:pStyle w:val="89"/>
        <w:numPr>
          <w:ilvl w:val="1"/>
          <w:numId w:val="14"/>
        </w:numPr>
        <w:spacing w:line="440" w:lineRule="exact"/>
        <w:jc w:val="both"/>
        <w:rPr>
          <w:rFonts w:cs="宋体"/>
        </w:rPr>
      </w:pPr>
      <w:r>
        <w:rPr>
          <w:rFonts w:hint="eastAsia"/>
        </w:rPr>
        <w:t>应标文件的编制</w:t>
      </w:r>
    </w:p>
    <w:p>
      <w:pPr>
        <w:pStyle w:val="89"/>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pPr>
        <w:pStyle w:val="89"/>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pPr>
        <w:pStyle w:val="89"/>
        <w:spacing w:line="440" w:lineRule="exact"/>
        <w:ind w:left="1050" w:leftChars="300" w:hanging="420" w:hangingChars="200"/>
        <w:jc w:val="both"/>
      </w:pPr>
      <w:r>
        <w:rPr>
          <w:rFonts w:hint="eastAsia"/>
        </w:rPr>
        <w:t>② 企业简介；</w:t>
      </w:r>
    </w:p>
    <w:p>
      <w:pPr>
        <w:pStyle w:val="89"/>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pPr>
        <w:pStyle w:val="89"/>
        <w:numPr>
          <w:ilvl w:val="0"/>
          <w:numId w:val="14"/>
        </w:numPr>
        <w:spacing w:line="440" w:lineRule="exact"/>
        <w:jc w:val="both"/>
        <w:outlineLvl w:val="2"/>
      </w:pPr>
      <w:r>
        <w:rPr>
          <w:rFonts w:hint="eastAsia"/>
        </w:rPr>
        <w:t>招标文件获取</w:t>
      </w:r>
    </w:p>
    <w:p>
      <w:pPr>
        <w:pStyle w:val="89"/>
        <w:numPr>
          <w:ilvl w:val="1"/>
          <w:numId w:val="16"/>
        </w:numPr>
        <w:spacing w:line="440" w:lineRule="exact"/>
      </w:pPr>
      <w:r>
        <w:rPr>
          <w:rFonts w:hint="eastAsia"/>
        </w:rPr>
        <w:t>获取时间：报名成功后；</w:t>
      </w:r>
    </w:p>
    <w:p>
      <w:pPr>
        <w:pStyle w:val="89"/>
        <w:numPr>
          <w:ilvl w:val="1"/>
          <w:numId w:val="16"/>
        </w:numPr>
        <w:spacing w:line="440" w:lineRule="exact"/>
      </w:pPr>
      <w:r>
        <w:rPr>
          <w:rFonts w:hint="eastAsia" w:cs="宋体"/>
          <w:szCs w:val="21"/>
        </w:rPr>
        <w:t>获取方式：</w:t>
      </w:r>
      <w:r>
        <w:rPr>
          <w:rFonts w:hint="eastAsia"/>
        </w:rPr>
        <w:t>报名成功后，可登录“中国重汽e采通”平台，在“供应商投标”模块下载招标文件。</w:t>
      </w:r>
    </w:p>
    <w:p>
      <w:pPr>
        <w:pStyle w:val="89"/>
        <w:numPr>
          <w:ilvl w:val="0"/>
          <w:numId w:val="14"/>
        </w:numPr>
        <w:spacing w:line="440" w:lineRule="exact"/>
        <w:jc w:val="both"/>
        <w:outlineLvl w:val="2"/>
      </w:pPr>
      <w:r>
        <w:rPr>
          <w:rFonts w:hint="eastAsia"/>
        </w:rPr>
        <w:t>疑问提交</w:t>
      </w:r>
    </w:p>
    <w:p>
      <w:pPr>
        <w:pStyle w:val="89"/>
        <w:numPr>
          <w:ilvl w:val="1"/>
          <w:numId w:val="17"/>
        </w:numPr>
        <w:spacing w:line="440" w:lineRule="exact"/>
      </w:pPr>
      <w:r>
        <w:rPr>
          <w:rFonts w:hint="eastAsia"/>
        </w:rPr>
        <w:t>提交截止时间：</w:t>
      </w:r>
      <w:r>
        <w:rPr>
          <w:rFonts w:hint="eastAsia"/>
          <w:u w:val="single"/>
        </w:rPr>
        <w:t>2025年1月</w:t>
      </w:r>
      <w:r>
        <w:rPr>
          <w:rFonts w:hint="eastAsia"/>
          <w:u w:val="single"/>
          <w:lang w:val="en-US" w:eastAsia="zh-CN"/>
        </w:rPr>
        <w:t>1</w:t>
      </w:r>
      <w:r>
        <w:rPr>
          <w:rFonts w:hint="eastAsia"/>
          <w:u w:val="single"/>
        </w:rPr>
        <w:t>0日</w:t>
      </w:r>
      <w:r>
        <w:rPr>
          <w:u w:val="single"/>
        </w:rPr>
        <w:t>1</w:t>
      </w:r>
      <w:r>
        <w:rPr>
          <w:rFonts w:hint="eastAsia"/>
          <w:u w:val="single"/>
          <w:lang w:val="en-US" w:eastAsia="zh-CN"/>
        </w:rPr>
        <w:t>7</w:t>
      </w:r>
      <w:r>
        <w:rPr>
          <w:u w:val="single"/>
        </w:rPr>
        <w:t>:00</w:t>
      </w:r>
      <w:r>
        <w:rPr>
          <w:rFonts w:hint="eastAsia"/>
          <w:u w:val="single"/>
        </w:rPr>
        <w:t>:00</w:t>
      </w:r>
      <w:r>
        <w:rPr>
          <w:u w:val="single"/>
        </w:rPr>
        <w:t>（北京时间）</w:t>
      </w:r>
      <w:r>
        <w:rPr>
          <w:rFonts w:hint="eastAsia"/>
          <w:u w:val="single"/>
        </w:rPr>
        <w:t>；</w:t>
      </w:r>
    </w:p>
    <w:p>
      <w:pPr>
        <w:pStyle w:val="89"/>
        <w:numPr>
          <w:ilvl w:val="1"/>
          <w:numId w:val="17"/>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89"/>
        <w:numPr>
          <w:ilvl w:val="0"/>
          <w:numId w:val="14"/>
        </w:numPr>
        <w:spacing w:line="440" w:lineRule="exact"/>
        <w:jc w:val="both"/>
        <w:outlineLvl w:val="2"/>
      </w:pPr>
      <w:r>
        <w:rPr>
          <w:rFonts w:hint="eastAsia"/>
        </w:rPr>
        <w:t>答疑、澄清和修改文件的获取</w:t>
      </w:r>
    </w:p>
    <w:p>
      <w:pPr>
        <w:pStyle w:val="89"/>
        <w:numPr>
          <w:ilvl w:val="1"/>
          <w:numId w:val="18"/>
        </w:numPr>
        <w:spacing w:line="440" w:lineRule="exact"/>
      </w:pPr>
      <w:r>
        <w:rPr>
          <w:rFonts w:hint="eastAsia"/>
        </w:rPr>
        <w:t>获取时间：</w:t>
      </w:r>
      <w:r>
        <w:rPr>
          <w:rFonts w:hint="eastAsia"/>
          <w:u w:val="single"/>
        </w:rPr>
        <w:t>2025年1月</w:t>
      </w:r>
      <w:r>
        <w:rPr>
          <w:rFonts w:hint="eastAsia"/>
          <w:u w:val="single"/>
          <w:lang w:val="en-US" w:eastAsia="zh-CN"/>
        </w:rPr>
        <w:t>10</w:t>
      </w:r>
      <w:r>
        <w:rPr>
          <w:rFonts w:hint="eastAsia"/>
          <w:u w:val="single"/>
        </w:rPr>
        <w:t>日</w:t>
      </w:r>
      <w:r>
        <w:rPr>
          <w:u w:val="single"/>
        </w:rPr>
        <w:t>17:00</w:t>
      </w:r>
      <w:r>
        <w:rPr>
          <w:rFonts w:hint="eastAsia"/>
          <w:u w:val="single"/>
        </w:rPr>
        <w:t>前；</w:t>
      </w:r>
    </w:p>
    <w:p>
      <w:pPr>
        <w:pStyle w:val="89"/>
        <w:numPr>
          <w:ilvl w:val="1"/>
          <w:numId w:val="18"/>
        </w:numPr>
        <w:spacing w:line="440" w:lineRule="exact"/>
      </w:pPr>
      <w:r>
        <w:rPr>
          <w:rFonts w:hint="eastAsia"/>
        </w:rPr>
        <w:t>获取方式：招标人将以电子邮件的方式将招标文件的答疑澄清文件发送至答疑文件提交时登记的电子邮箱。</w:t>
      </w:r>
    </w:p>
    <w:p>
      <w:pPr>
        <w:pStyle w:val="85"/>
        <w:spacing w:before="312" w:beforeLines="100" w:after="156" w:afterLines="50" w:line="480" w:lineRule="exact"/>
        <w:ind w:left="0" w:firstLine="0"/>
        <w:rPr>
          <w:rFonts w:ascii="宋体" w:eastAsia="宋体"/>
        </w:rPr>
      </w:pPr>
      <w:r>
        <w:rPr>
          <w:rFonts w:hint="eastAsia"/>
        </w:rPr>
        <w:t>投标文件编制</w:t>
      </w:r>
    </w:p>
    <w:p>
      <w:pPr>
        <w:pStyle w:val="85"/>
        <w:numPr>
          <w:ilvl w:val="0"/>
          <w:numId w:val="19"/>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pPr>
        <w:pStyle w:val="89"/>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pPr>
        <w:pStyle w:val="89"/>
        <w:numPr>
          <w:ilvl w:val="1"/>
          <w:numId w:val="20"/>
        </w:numPr>
        <w:spacing w:before="78" w:beforeLines="25" w:line="440" w:lineRule="exact"/>
        <w:outlineLvl w:val="3"/>
        <w:rPr>
          <w:rFonts w:ascii="Times New Roman" w:hAnsi="Times New Roman"/>
        </w:rPr>
      </w:pPr>
      <w:r>
        <w:rPr>
          <w:rFonts w:hint="eastAsia" w:ascii="黑体" w:hAnsi="黑体" w:eastAsia="黑体" w:cs="黑体"/>
          <w:bCs/>
          <w:szCs w:val="21"/>
        </w:rPr>
        <w:t xml:space="preserve">资质文件 </w:t>
      </w:r>
    </w:p>
    <w:p>
      <w:pPr>
        <w:pStyle w:val="89"/>
        <w:numPr>
          <w:ilvl w:val="2"/>
          <w:numId w:val="20"/>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pPr>
        <w:pStyle w:val="89"/>
        <w:numPr>
          <w:ilvl w:val="2"/>
          <w:numId w:val="20"/>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pPr>
        <w:pStyle w:val="89"/>
        <w:numPr>
          <w:ilvl w:val="2"/>
          <w:numId w:val="20"/>
        </w:numPr>
        <w:spacing w:line="440" w:lineRule="exact"/>
        <w:ind w:firstLine="420" w:firstLineChars="20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pPr>
        <w:pStyle w:val="89"/>
        <w:numPr>
          <w:ilvl w:val="2"/>
          <w:numId w:val="20"/>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pPr>
        <w:pStyle w:val="89"/>
        <w:numPr>
          <w:ilvl w:val="2"/>
          <w:numId w:val="20"/>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pPr>
        <w:pStyle w:val="89"/>
        <w:numPr>
          <w:ilvl w:val="2"/>
          <w:numId w:val="20"/>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pPr>
        <w:pStyle w:val="89"/>
        <w:numPr>
          <w:ilvl w:val="2"/>
          <w:numId w:val="20"/>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pPr>
        <w:pStyle w:val="89"/>
        <w:numPr>
          <w:ilvl w:val="2"/>
          <w:numId w:val="20"/>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pPr>
        <w:pStyle w:val="89"/>
        <w:numPr>
          <w:ilvl w:val="2"/>
          <w:numId w:val="20"/>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pPr>
        <w:pStyle w:val="89"/>
        <w:numPr>
          <w:ilvl w:val="2"/>
          <w:numId w:val="20"/>
        </w:numPr>
        <w:spacing w:line="440" w:lineRule="exact"/>
        <w:ind w:firstLine="420" w:firstLineChars="200"/>
        <w:rPr>
          <w:rFonts w:ascii="Times New Roman" w:hAnsi="Times New Roman"/>
        </w:rPr>
      </w:pPr>
      <w:r>
        <w:rPr>
          <w:rFonts w:ascii="Times New Roman" w:hAnsi="Times New Roman"/>
        </w:rPr>
        <w:t>2022年1月1日至今，企业近三年同类项目业绩证明，须提供用户清单、采购合同复印件</w:t>
      </w:r>
      <w:r>
        <w:rPr>
          <w:rFonts w:hint="eastAsia"/>
        </w:rPr>
        <w:t>；</w:t>
      </w:r>
    </w:p>
    <w:p>
      <w:pPr>
        <w:pStyle w:val="89"/>
        <w:numPr>
          <w:ilvl w:val="2"/>
          <w:numId w:val="20"/>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pPr>
        <w:pStyle w:val="89"/>
        <w:numPr>
          <w:ilvl w:val="2"/>
          <w:numId w:val="20"/>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pPr>
        <w:pStyle w:val="89"/>
        <w:numPr>
          <w:ilvl w:val="0"/>
          <w:numId w:val="21"/>
        </w:numPr>
        <w:spacing w:line="440" w:lineRule="exact"/>
        <w:ind w:left="0" w:firstLine="422" w:firstLineChars="200"/>
        <w:rPr>
          <w:b/>
          <w:bCs/>
        </w:rPr>
      </w:pPr>
      <w:r>
        <w:rPr>
          <w:rFonts w:hint="eastAsia"/>
          <w:b/>
          <w:bCs/>
        </w:rPr>
        <w:t>对于投标人资质审核不通过的，招标人有权拒绝其投标。</w:t>
      </w:r>
    </w:p>
    <w:p>
      <w:pPr>
        <w:pStyle w:val="89"/>
        <w:numPr>
          <w:ilvl w:val="1"/>
          <w:numId w:val="20"/>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pPr>
        <w:pStyle w:val="89"/>
        <w:numPr>
          <w:ilvl w:val="2"/>
          <w:numId w:val="20"/>
        </w:numPr>
        <w:spacing w:line="440" w:lineRule="exact"/>
        <w:rPr>
          <w:highlight w:val="none"/>
        </w:rPr>
      </w:pPr>
      <w:r>
        <w:rPr>
          <w:rFonts w:hint="eastAsia"/>
          <w:highlight w:val="none"/>
        </w:rPr>
        <w:t>技术规格偏离表（附件</w:t>
      </w:r>
      <w:r>
        <w:rPr>
          <w:highlight w:val="none"/>
        </w:rPr>
        <w:t>4</w:t>
      </w:r>
      <w:r>
        <w:rPr>
          <w:rFonts w:hint="eastAsia"/>
          <w:highlight w:val="none"/>
        </w:rPr>
        <w:t>），必须先进行两列要求一一对照，不允许直接写无偏离；</w:t>
      </w:r>
    </w:p>
    <w:p>
      <w:pPr>
        <w:pStyle w:val="89"/>
        <w:numPr>
          <w:ilvl w:val="2"/>
          <w:numId w:val="20"/>
        </w:numPr>
        <w:spacing w:line="440" w:lineRule="exact"/>
        <w:rPr>
          <w:highlight w:val="none"/>
        </w:rPr>
      </w:pPr>
      <w:r>
        <w:rPr>
          <w:rFonts w:hint="eastAsia"/>
          <w:highlight w:val="none"/>
        </w:rPr>
        <w:t>近三年同类项目业绩一览表（附件</w:t>
      </w:r>
      <w:r>
        <w:rPr>
          <w:highlight w:val="none"/>
        </w:rPr>
        <w:t>3</w:t>
      </w:r>
      <w:r>
        <w:rPr>
          <w:rFonts w:hint="eastAsia"/>
          <w:highlight w:val="none"/>
        </w:rPr>
        <w:t>）及有效合同复印件，若未提供相应业绩证明，根据技术标评分规则，将影响现场评标专家组对投标单位业绩判定打分；</w:t>
      </w:r>
    </w:p>
    <w:p>
      <w:pPr>
        <w:pStyle w:val="89"/>
        <w:numPr>
          <w:ilvl w:val="2"/>
          <w:numId w:val="20"/>
        </w:numPr>
        <w:spacing w:line="440" w:lineRule="exact"/>
        <w:rPr>
          <w:highlight w:val="none"/>
        </w:rPr>
      </w:pPr>
      <w:r>
        <w:rPr>
          <w:rFonts w:hint="eastAsia"/>
          <w:highlight w:val="none"/>
        </w:rPr>
        <w:t>供货期及保证措施；</w:t>
      </w:r>
    </w:p>
    <w:p>
      <w:pPr>
        <w:pStyle w:val="89"/>
        <w:numPr>
          <w:ilvl w:val="2"/>
          <w:numId w:val="20"/>
        </w:numPr>
        <w:spacing w:line="440" w:lineRule="exact"/>
        <w:rPr>
          <w:highlight w:val="none"/>
        </w:rPr>
      </w:pPr>
      <w:r>
        <w:rPr>
          <w:rFonts w:hint="eastAsia"/>
          <w:highlight w:val="none"/>
        </w:rPr>
        <w:t>产品的技术服务和售后服务内容及措施；</w:t>
      </w:r>
    </w:p>
    <w:p>
      <w:pPr>
        <w:pStyle w:val="89"/>
        <w:numPr>
          <w:ilvl w:val="2"/>
          <w:numId w:val="20"/>
        </w:numPr>
        <w:spacing w:line="440" w:lineRule="exact"/>
        <w:rPr>
          <w:highlight w:val="none"/>
        </w:rPr>
      </w:pPr>
      <w:r>
        <w:rPr>
          <w:rFonts w:hint="eastAsia"/>
          <w:highlight w:val="none"/>
        </w:rPr>
        <w:t>交货进度及计划；</w:t>
      </w:r>
    </w:p>
    <w:p>
      <w:pPr>
        <w:pStyle w:val="89"/>
        <w:numPr>
          <w:ilvl w:val="2"/>
          <w:numId w:val="20"/>
        </w:numPr>
        <w:spacing w:line="440" w:lineRule="exact"/>
        <w:rPr>
          <w:highlight w:val="none"/>
        </w:rPr>
      </w:pPr>
      <w:r>
        <w:rPr>
          <w:rFonts w:hint="eastAsia"/>
          <w:highlight w:val="none"/>
        </w:rPr>
        <w:t>投标产品技术支持材料；</w:t>
      </w:r>
    </w:p>
    <w:p>
      <w:pPr>
        <w:pStyle w:val="89"/>
        <w:numPr>
          <w:ilvl w:val="2"/>
          <w:numId w:val="20"/>
        </w:numPr>
        <w:spacing w:line="440" w:lineRule="exact"/>
        <w:rPr>
          <w:highlight w:val="none"/>
        </w:rPr>
      </w:pPr>
      <w:r>
        <w:rPr>
          <w:rFonts w:hint="eastAsia"/>
          <w:highlight w:val="none"/>
        </w:rPr>
        <w:t>设备质量承诺函（附件</w:t>
      </w:r>
      <w:r>
        <w:rPr>
          <w:highlight w:val="none"/>
        </w:rPr>
        <w:t>5</w:t>
      </w:r>
      <w:r>
        <w:rPr>
          <w:rFonts w:hint="eastAsia"/>
          <w:highlight w:val="none"/>
        </w:rPr>
        <w:t>）；</w:t>
      </w:r>
    </w:p>
    <w:p>
      <w:pPr>
        <w:pStyle w:val="89"/>
        <w:numPr>
          <w:ilvl w:val="2"/>
          <w:numId w:val="20"/>
        </w:numPr>
        <w:spacing w:line="440" w:lineRule="exact"/>
        <w:rPr>
          <w:highlight w:val="none"/>
        </w:rPr>
      </w:pPr>
      <w:r>
        <w:rPr>
          <w:rFonts w:hint="eastAsia"/>
          <w:highlight w:val="none"/>
        </w:rPr>
        <w:t>投标人需提交的其它资料。</w:t>
      </w:r>
    </w:p>
    <w:p>
      <w:pPr>
        <w:pStyle w:val="89"/>
        <w:numPr>
          <w:ilvl w:val="1"/>
          <w:numId w:val="20"/>
        </w:numPr>
        <w:spacing w:before="78"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商务标</w:t>
      </w:r>
    </w:p>
    <w:p>
      <w:pPr>
        <w:pStyle w:val="89"/>
        <w:numPr>
          <w:ilvl w:val="2"/>
          <w:numId w:val="20"/>
        </w:numPr>
        <w:spacing w:line="440" w:lineRule="exact"/>
        <w:rPr>
          <w:highlight w:val="none"/>
        </w:rPr>
      </w:pPr>
      <w:r>
        <w:rPr>
          <w:rFonts w:hint="eastAsia"/>
          <w:highlight w:val="none"/>
        </w:rPr>
        <w:t>开标一览表（附件</w:t>
      </w:r>
      <w:r>
        <w:rPr>
          <w:highlight w:val="none"/>
        </w:rPr>
        <w:t>6</w:t>
      </w:r>
      <w:r>
        <w:rPr>
          <w:rFonts w:hint="eastAsia"/>
          <w:highlight w:val="none"/>
        </w:rPr>
        <w:t>）；</w:t>
      </w:r>
    </w:p>
    <w:p>
      <w:pPr>
        <w:pStyle w:val="89"/>
        <w:numPr>
          <w:ilvl w:val="2"/>
          <w:numId w:val="20"/>
        </w:numPr>
        <w:spacing w:line="440" w:lineRule="exact"/>
        <w:rPr>
          <w:highlight w:val="none"/>
        </w:rPr>
      </w:pPr>
      <w:r>
        <w:rPr>
          <w:rFonts w:hint="eastAsia"/>
          <w:highlight w:val="none"/>
        </w:rPr>
        <w:t>商务条款偏离表（附件7）</w:t>
      </w:r>
    </w:p>
    <w:p>
      <w:pPr>
        <w:pStyle w:val="89"/>
        <w:numPr>
          <w:ilvl w:val="2"/>
          <w:numId w:val="20"/>
        </w:numPr>
        <w:spacing w:line="440" w:lineRule="exact"/>
      </w:pPr>
      <w:r>
        <w:rPr>
          <w:rFonts w:hint="eastAsia"/>
        </w:rPr>
        <w:t>分项报价表（附件8）；</w:t>
      </w:r>
    </w:p>
    <w:p>
      <w:pPr>
        <w:pStyle w:val="89"/>
        <w:numPr>
          <w:ilvl w:val="0"/>
          <w:numId w:val="21"/>
        </w:numPr>
        <w:spacing w:line="440" w:lineRule="exact"/>
        <w:ind w:left="0" w:firstLine="0"/>
      </w:pPr>
      <w:r>
        <w:rPr>
          <w:rFonts w:hint="eastAsia"/>
        </w:rPr>
        <w:t>商务报价注意内容：最高投标限价（招标控制价）：人民币</w:t>
      </w:r>
      <w:r>
        <w:rPr>
          <w:rFonts w:hint="eastAsia" w:hAnsi="宋体" w:cs="宋体"/>
          <w:color w:val="0F1115"/>
          <w:szCs w:val="21"/>
          <w:shd w:val="clear" w:color="auto" w:fill="FFFFFF"/>
        </w:rPr>
        <w:t>48.59</w:t>
      </w:r>
      <w:r>
        <w:rPr>
          <w:rFonts w:hint="eastAsia"/>
        </w:rPr>
        <w:t>万元（含税），超过投标限价无法投标。</w:t>
      </w:r>
    </w:p>
    <w:p>
      <w:pPr>
        <w:pStyle w:val="85"/>
        <w:numPr>
          <w:ilvl w:val="0"/>
          <w:numId w:val="19"/>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pPr>
        <w:pStyle w:val="89"/>
        <w:numPr>
          <w:ilvl w:val="1"/>
          <w:numId w:val="19"/>
        </w:numPr>
        <w:spacing w:line="440" w:lineRule="exact"/>
        <w:outlineLvl w:val="3"/>
        <w:rPr>
          <w:rFonts w:ascii="Times New Roman" w:hAnsi="Times New Roman"/>
        </w:rPr>
      </w:pPr>
      <w:r>
        <w:rPr>
          <w:rFonts w:hint="eastAsia" w:ascii="Times New Roman" w:hAnsi="Times New Roman"/>
        </w:rPr>
        <w:t>投标方式</w:t>
      </w:r>
    </w:p>
    <w:p>
      <w:pPr>
        <w:pStyle w:val="89"/>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pPr>
        <w:pStyle w:val="89"/>
        <w:numPr>
          <w:ilvl w:val="1"/>
          <w:numId w:val="19"/>
        </w:numPr>
        <w:spacing w:before="78" w:beforeLines="25" w:line="440" w:lineRule="exact"/>
        <w:outlineLvl w:val="3"/>
      </w:pPr>
      <w:r>
        <w:rPr>
          <w:rFonts w:hint="eastAsia"/>
        </w:rPr>
        <w:t>投标文件递交截止时间：</w:t>
      </w:r>
      <w:r>
        <w:rPr>
          <w:rFonts w:hint="eastAsia"/>
          <w:u w:val="single"/>
        </w:rPr>
        <w:t>202</w:t>
      </w:r>
      <w:r>
        <w:rPr>
          <w:rFonts w:hint="eastAsia"/>
          <w:u w:val="single"/>
          <w:lang w:val="en-US" w:eastAsia="zh-CN"/>
        </w:rPr>
        <w:t>6</w:t>
      </w:r>
      <w:r>
        <w:rPr>
          <w:rFonts w:hint="eastAsia"/>
          <w:u w:val="single"/>
        </w:rPr>
        <w:t>年1月</w:t>
      </w:r>
      <w:r>
        <w:rPr>
          <w:rFonts w:hint="eastAsia"/>
          <w:u w:val="single"/>
          <w:lang w:val="en-US" w:eastAsia="zh-CN"/>
        </w:rPr>
        <w:t>14</w:t>
      </w:r>
      <w:r>
        <w:rPr>
          <w:rFonts w:hint="eastAsia"/>
          <w:u w:val="single"/>
        </w:rPr>
        <w:t>日</w:t>
      </w:r>
      <w:r>
        <w:rPr>
          <w:u w:val="single"/>
        </w:rPr>
        <w:t>17</w:t>
      </w:r>
      <w:r>
        <w:rPr>
          <w:rFonts w:hint="eastAsia"/>
          <w:u w:val="single"/>
        </w:rPr>
        <w:t>:00:00</w:t>
      </w:r>
      <w:r>
        <w:rPr>
          <w:u w:val="single"/>
        </w:rPr>
        <w:t>（北京时间）</w:t>
      </w:r>
    </w:p>
    <w:p>
      <w:pPr>
        <w:pStyle w:val="85"/>
        <w:spacing w:before="312" w:beforeLines="100" w:after="156" w:afterLines="50" w:line="480" w:lineRule="exact"/>
        <w:ind w:left="0" w:firstLine="0"/>
      </w:pPr>
      <w:bookmarkStart w:id="5" w:name="_Toc47976601"/>
      <w:r>
        <w:rPr>
          <w:rFonts w:hint="eastAsia"/>
        </w:rPr>
        <w:t>投标保证金收取、缴纳有效期及罚没</w:t>
      </w:r>
    </w:p>
    <w:p>
      <w:pPr>
        <w:pStyle w:val="85"/>
        <w:numPr>
          <w:ilvl w:val="0"/>
          <w:numId w:val="22"/>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pPr>
        <w:pStyle w:val="89"/>
        <w:numPr>
          <w:ilvl w:val="1"/>
          <w:numId w:val="23"/>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pPr>
        <w:pStyle w:val="89"/>
        <w:numPr>
          <w:ilvl w:val="0"/>
          <w:numId w:val="24"/>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pPr>
        <w:pStyle w:val="89"/>
        <w:numPr>
          <w:ilvl w:val="0"/>
          <w:numId w:val="24"/>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pPr>
        <w:pStyle w:val="89"/>
        <w:numPr>
          <w:ilvl w:val="1"/>
          <w:numId w:val="23"/>
        </w:numPr>
        <w:spacing w:line="440" w:lineRule="exact"/>
        <w:outlineLvl w:val="3"/>
      </w:pPr>
      <w:r>
        <w:rPr>
          <w:rFonts w:hint="eastAsia"/>
        </w:rPr>
        <w:t>投标保证金的金额：人民币</w:t>
      </w:r>
      <w:r>
        <w:t>5</w:t>
      </w:r>
      <w:r>
        <w:rPr>
          <w:rFonts w:hint="eastAsia"/>
        </w:rPr>
        <w:t>000元</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宋体" w:hAnsi="宋体" w:cs="宋体"/>
          <w:szCs w:val="21"/>
        </w:rPr>
        <w:t xml:space="preserve">376010100101373547 </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宋体" w:hAnsi="宋体" w:cs="宋体"/>
          <w:szCs w:val="21"/>
        </w:rPr>
        <w:t>309451013018</w:t>
      </w:r>
    </w:p>
    <w:p>
      <w:pPr>
        <w:pStyle w:val="89"/>
        <w:numPr>
          <w:ilvl w:val="0"/>
          <w:numId w:val="24"/>
        </w:numPr>
        <w:spacing w:line="440" w:lineRule="exact"/>
        <w:ind w:firstLine="420" w:firstLineChars="200"/>
        <w:rPr>
          <w:rFonts w:hAnsi="宋体" w:cs="宋体"/>
          <w:szCs w:val="21"/>
        </w:rPr>
      </w:pPr>
      <w:r>
        <w:rPr>
          <w:rFonts w:hint="eastAsia" w:hAnsi="宋体" w:cs="宋体"/>
          <w:szCs w:val="21"/>
        </w:rPr>
        <w:t>转账附言：公司名称+项目名称+投标保证金。</w:t>
      </w:r>
    </w:p>
    <w:p>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交纳保证金之后请发送报名邮件至邮箱：n</w:t>
      </w:r>
      <w:r>
        <w:rPr>
          <w:rFonts w:ascii="宋体" w:hAnsi="宋体" w:cs="宋体"/>
          <w:szCs w:val="21"/>
        </w:rPr>
        <w:t>inglei@sinotruk.com</w:t>
      </w:r>
      <w:r>
        <w:rPr>
          <w:rFonts w:hint="eastAsia" w:ascii="宋体" w:hAnsi="宋体" w:cs="宋体"/>
          <w:szCs w:val="21"/>
        </w:rPr>
        <w:t>。</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pPr>
        <w:pStyle w:val="89"/>
        <w:numPr>
          <w:ilvl w:val="1"/>
          <w:numId w:val="23"/>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时间：202</w:t>
      </w:r>
      <w:r>
        <w:rPr>
          <w:rFonts w:hint="eastAsia" w:hAnsi="宋体" w:cs="宋体"/>
          <w:szCs w:val="21"/>
          <w:lang w:val="en-US" w:eastAsia="zh-CN"/>
        </w:rPr>
        <w:t>6</w:t>
      </w:r>
      <w:r>
        <w:rPr>
          <w:rFonts w:hint="eastAsia" w:hAnsi="宋体" w:cs="宋体"/>
          <w:szCs w:val="21"/>
        </w:rPr>
        <w:t>年1月</w:t>
      </w:r>
      <w:r>
        <w:rPr>
          <w:rFonts w:hAnsi="宋体" w:cs="宋体"/>
          <w:szCs w:val="21"/>
        </w:rPr>
        <w:t>8</w:t>
      </w:r>
      <w:r>
        <w:rPr>
          <w:rFonts w:hint="eastAsia" w:hAnsi="宋体" w:cs="宋体"/>
          <w:szCs w:val="21"/>
        </w:rPr>
        <w:t>日</w:t>
      </w:r>
      <w:r>
        <w:rPr>
          <w:rFonts w:hAnsi="宋体" w:cs="宋体"/>
          <w:szCs w:val="21"/>
        </w:rPr>
        <w:t>17</w:t>
      </w:r>
      <w:r>
        <w:rPr>
          <w:rFonts w:hint="eastAsia"/>
        </w:rPr>
        <w:t>:00:00</w:t>
      </w:r>
      <w:r>
        <w:t>（北京时间）</w:t>
      </w:r>
    </w:p>
    <w:p>
      <w:pPr>
        <w:pStyle w:val="85"/>
        <w:numPr>
          <w:ilvl w:val="0"/>
          <w:numId w:val="22"/>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pPr>
        <w:pStyle w:val="85"/>
        <w:numPr>
          <w:ilvl w:val="0"/>
          <w:numId w:val="22"/>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pPr>
        <w:pStyle w:val="89"/>
        <w:numPr>
          <w:ilvl w:val="1"/>
          <w:numId w:val="22"/>
        </w:numPr>
        <w:spacing w:line="440" w:lineRule="exact"/>
      </w:pPr>
      <w:r>
        <w:rPr>
          <w:rFonts w:hint="eastAsia" w:hAnsi="宋体" w:cs="宋体"/>
          <w:szCs w:val="21"/>
        </w:rPr>
        <w:t>供</w:t>
      </w:r>
      <w:r>
        <w:rPr>
          <w:rFonts w:hint="eastAsia"/>
        </w:rPr>
        <w:t>应商在提交响应文件截止时间后撤回响应文件的；</w:t>
      </w:r>
    </w:p>
    <w:p>
      <w:pPr>
        <w:pStyle w:val="89"/>
        <w:numPr>
          <w:ilvl w:val="1"/>
          <w:numId w:val="22"/>
        </w:numPr>
        <w:spacing w:line="440" w:lineRule="exact"/>
      </w:pPr>
      <w:r>
        <w:rPr>
          <w:rFonts w:hint="eastAsia"/>
        </w:rPr>
        <w:t>供应商在响应文件中提供虚假材料的；</w:t>
      </w:r>
    </w:p>
    <w:p>
      <w:pPr>
        <w:pStyle w:val="89"/>
        <w:numPr>
          <w:ilvl w:val="1"/>
          <w:numId w:val="22"/>
        </w:numPr>
        <w:spacing w:line="440" w:lineRule="exact"/>
      </w:pPr>
      <w:r>
        <w:rPr>
          <w:rFonts w:hint="eastAsia"/>
        </w:rPr>
        <w:t>除因不可抗力或谈判文件、询价通知书认可的情形以外，成交供应商不与采购人签订合同的；</w:t>
      </w:r>
    </w:p>
    <w:p>
      <w:pPr>
        <w:pStyle w:val="89"/>
        <w:numPr>
          <w:ilvl w:val="1"/>
          <w:numId w:val="22"/>
        </w:numPr>
        <w:spacing w:line="440" w:lineRule="exact"/>
      </w:pPr>
      <w:r>
        <w:rPr>
          <w:rFonts w:hint="eastAsia"/>
        </w:rPr>
        <w:t>供应商与采购人、其他供应商或者采购代理机构恶意串通、围标、陪标的；</w:t>
      </w:r>
    </w:p>
    <w:p>
      <w:pPr>
        <w:pStyle w:val="89"/>
        <w:numPr>
          <w:ilvl w:val="1"/>
          <w:numId w:val="22"/>
        </w:numPr>
        <w:spacing w:line="440" w:lineRule="exact"/>
      </w:pPr>
      <w:r>
        <w:rPr>
          <w:rFonts w:hint="eastAsia"/>
        </w:rPr>
        <w:t>供应商有违约违规行为或被投诉、举报的，在调查处理期间，保证金暂不退还，待调查处理结束后按有关规定处理。</w:t>
      </w:r>
    </w:p>
    <w:p>
      <w:pPr>
        <w:pStyle w:val="89"/>
        <w:numPr>
          <w:ilvl w:val="1"/>
          <w:numId w:val="22"/>
        </w:numPr>
        <w:spacing w:line="440" w:lineRule="exact"/>
      </w:pPr>
      <w:r>
        <w:rPr>
          <w:rFonts w:hint="eastAsia"/>
        </w:rPr>
        <w:t>截至开标前3天，投标人无正当理由、未以书面形式向招标人递交说明而在投标截止日不来投标的。</w:t>
      </w:r>
    </w:p>
    <w:p>
      <w:pPr>
        <w:pStyle w:val="89"/>
        <w:numPr>
          <w:ilvl w:val="1"/>
          <w:numId w:val="22"/>
        </w:numPr>
        <w:spacing w:line="440" w:lineRule="exact"/>
      </w:pPr>
      <w:r>
        <w:rPr>
          <w:rFonts w:hint="eastAsia"/>
        </w:rPr>
        <w:t>自中标通知书发出之日起30日内，中标人无正当理由投标人无正当签订合同的；</w:t>
      </w:r>
    </w:p>
    <w:p>
      <w:pPr>
        <w:pStyle w:val="89"/>
        <w:numPr>
          <w:ilvl w:val="1"/>
          <w:numId w:val="22"/>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pPr>
        <w:pStyle w:val="85"/>
        <w:spacing w:before="312" w:beforeLines="100" w:after="156" w:afterLines="50" w:line="480" w:lineRule="exact"/>
        <w:ind w:left="0" w:firstLine="0"/>
      </w:pPr>
      <w:r>
        <w:rPr>
          <w:rFonts w:hint="eastAsia"/>
        </w:rPr>
        <w:t>开评标</w:t>
      </w:r>
    </w:p>
    <w:p>
      <w:pPr>
        <w:pStyle w:val="85"/>
        <w:numPr>
          <w:ilvl w:val="0"/>
          <w:numId w:val="25"/>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pPr>
        <w:pStyle w:val="89"/>
        <w:numPr>
          <w:ilvl w:val="1"/>
          <w:numId w:val="26"/>
        </w:numPr>
        <w:spacing w:line="440" w:lineRule="exact"/>
        <w:rPr>
          <w:rFonts w:hAnsi="宋体" w:cs="宋体"/>
          <w:szCs w:val="21"/>
        </w:rPr>
      </w:pPr>
      <w:r>
        <w:rPr>
          <w:rFonts w:hint="eastAsia" w:hAnsi="宋体" w:cs="宋体"/>
          <w:szCs w:val="21"/>
        </w:rPr>
        <w:t>开标时间：202</w:t>
      </w:r>
      <w:r>
        <w:rPr>
          <w:rFonts w:hint="eastAsia" w:hAnsi="宋体" w:cs="宋体"/>
          <w:szCs w:val="21"/>
          <w:lang w:val="en-US" w:eastAsia="zh-CN"/>
        </w:rPr>
        <w:t>6</w:t>
      </w:r>
      <w:r>
        <w:rPr>
          <w:rFonts w:hint="eastAsia" w:hAnsi="宋体" w:cs="宋体"/>
          <w:szCs w:val="21"/>
        </w:rPr>
        <w:t>年1月</w:t>
      </w:r>
      <w:r>
        <w:rPr>
          <w:rFonts w:hint="eastAsia" w:hAnsi="宋体" w:cs="宋体"/>
          <w:szCs w:val="21"/>
          <w:lang w:val="en-US" w:eastAsia="zh-CN"/>
        </w:rPr>
        <w:t>15</w:t>
      </w:r>
      <w:r>
        <w:rPr>
          <w:rFonts w:hint="eastAsia" w:hAnsi="宋体" w:cs="宋体"/>
          <w:szCs w:val="21"/>
        </w:rPr>
        <w:t>日</w:t>
      </w:r>
      <w:r>
        <w:rPr>
          <w:rFonts w:hAnsi="宋体" w:cs="宋体"/>
          <w:szCs w:val="21"/>
        </w:rPr>
        <w:t>9:00:00（北京时间）</w:t>
      </w:r>
      <w:r>
        <w:rPr>
          <w:rFonts w:hint="eastAsia" w:hAnsi="宋体" w:cs="宋体"/>
          <w:szCs w:val="21"/>
        </w:rPr>
        <w:t>，</w:t>
      </w:r>
      <w:r>
        <w:rPr>
          <w:rFonts w:hAnsi="宋体" w:cs="宋体"/>
          <w:szCs w:val="21"/>
        </w:rPr>
        <w:t>若有变动另行通知。</w:t>
      </w:r>
    </w:p>
    <w:p>
      <w:pPr>
        <w:pStyle w:val="89"/>
        <w:numPr>
          <w:ilvl w:val="1"/>
          <w:numId w:val="26"/>
        </w:numPr>
        <w:spacing w:line="440" w:lineRule="exact"/>
        <w:rPr>
          <w:rFonts w:hAnsi="宋体" w:cs="宋体"/>
          <w:szCs w:val="21"/>
        </w:rPr>
      </w:pPr>
      <w:r>
        <w:rPr>
          <w:rFonts w:hint="eastAsia" w:hAnsi="宋体" w:cs="宋体"/>
          <w:szCs w:val="21"/>
        </w:rPr>
        <w:t>开标地点：</w:t>
      </w:r>
      <w:r>
        <w:rPr>
          <w:rFonts w:hint="eastAsia"/>
        </w:rPr>
        <w:t>济南市高新区华奥路777号</w:t>
      </w:r>
      <w:r>
        <w:rPr>
          <w:rFonts w:hint="eastAsia" w:hAnsi="宋体" w:cs="宋体"/>
          <w:szCs w:val="21"/>
        </w:rPr>
        <w:t xml:space="preserve"> </w:t>
      </w:r>
    </w:p>
    <w:p>
      <w:pPr>
        <w:pStyle w:val="89"/>
        <w:numPr>
          <w:ilvl w:val="1"/>
          <w:numId w:val="26"/>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pPr>
        <w:pStyle w:val="85"/>
        <w:numPr>
          <w:ilvl w:val="0"/>
          <w:numId w:val="25"/>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pPr>
        <w:spacing w:line="440" w:lineRule="exact"/>
        <w:rPr>
          <w:rFonts w:ascii="宋体" w:hAnsi="宋体" w:cs="宋体"/>
          <w:bCs/>
          <w:color w:val="000000"/>
          <w:szCs w:val="21"/>
        </w:rPr>
      </w:pPr>
      <w:r>
        <w:rPr>
          <w:rFonts w:hAnsi="黑体" w:cs="黑体"/>
          <w:szCs w:val="21"/>
        </w:rPr>
        <w:t>2.</w:t>
      </w:r>
      <w:r>
        <w:rPr>
          <w:rFonts w:hint="eastAsia" w:hAnsi="黑体" w:cs="黑体"/>
          <w:szCs w:val="21"/>
        </w:rPr>
        <w:t>1.</w:t>
      </w:r>
      <w:r>
        <w:rPr>
          <w:rFonts w:hint="eastAsia" w:ascii="宋体" w:hAnsi="宋体" w:cs="宋体"/>
          <w:bCs/>
          <w:color w:val="000000"/>
          <w:szCs w:val="21"/>
        </w:rPr>
        <w:t>评标方法</w:t>
      </w:r>
    </w:p>
    <w:p>
      <w:pPr>
        <w:pStyle w:val="89"/>
        <w:spacing w:line="440" w:lineRule="exact"/>
        <w:ind w:firstLine="420" w:firstLineChars="200"/>
        <w:rPr>
          <w:rFonts w:hint="eastAsia"/>
        </w:rPr>
      </w:pPr>
      <w:r>
        <w:rPr>
          <w:rFonts w:hint="eastAsia"/>
        </w:rPr>
        <w:t>本次招标采用合理最低价评标法。对未中标方不做任何解释。</w:t>
      </w:r>
    </w:p>
    <w:p>
      <w:pPr>
        <w:pStyle w:val="89"/>
        <w:spacing w:line="440" w:lineRule="exact"/>
        <w:ind w:firstLine="420" w:firstLineChars="200"/>
        <w:rPr>
          <w:rFonts w:hint="eastAsia"/>
        </w:rPr>
      </w:pPr>
      <w:r>
        <w:rPr>
          <w:rFonts w:hint="eastAsia"/>
        </w:rPr>
        <w:t>评标流程：</w:t>
      </w:r>
    </w:p>
    <w:p>
      <w:pPr>
        <w:pStyle w:val="89"/>
        <w:spacing w:line="440" w:lineRule="exact"/>
        <w:ind w:firstLine="420" w:firstLineChars="200"/>
        <w:rPr>
          <w:rFonts w:hint="eastAsia"/>
        </w:rPr>
      </w:pPr>
      <w:r>
        <w:rPr>
          <w:rFonts w:hint="eastAsia"/>
        </w:rPr>
        <w:t>投标文件包含《投标文件（资质标）》、《投标文件（商务标）》（开标一览表），共计两个文件。</w:t>
      </w:r>
    </w:p>
    <w:p>
      <w:pPr>
        <w:pStyle w:val="89"/>
        <w:spacing w:line="440" w:lineRule="exact"/>
        <w:ind w:firstLine="420" w:firstLineChars="200"/>
        <w:rPr>
          <w:rFonts w:hint="eastAsia"/>
        </w:rPr>
      </w:pPr>
      <w:r>
        <w:rPr>
          <w:rFonts w:hint="eastAsia"/>
        </w:rPr>
        <w:t>应标资格审查：在“中国重汽e采通”应标报名时，按照第三部分投标文件组成资格证明文件中的1.1-1.12准备资料，上传完毕后，等待审核；</w:t>
      </w:r>
    </w:p>
    <w:p>
      <w:pPr>
        <w:pStyle w:val="89"/>
        <w:spacing w:line="440" w:lineRule="exact"/>
        <w:ind w:firstLine="420" w:firstLineChars="200"/>
        <w:rPr>
          <w:rFonts w:hint="eastAsia"/>
        </w:rPr>
      </w:pPr>
      <w:r>
        <w:rPr>
          <w:rFonts w:hint="eastAsia"/>
        </w:rPr>
        <w:t>通过应标资格审查的单位进入投标环节，按照“SRM系统供应商用户手册（附件16）”，在重汽e采通平台投递电子标书（包含资质标、商务标），没有通过应标资质审查的单位不能进入投标环节；</w:t>
      </w:r>
    </w:p>
    <w:p>
      <w:pPr>
        <w:pStyle w:val="89"/>
        <w:spacing w:line="440" w:lineRule="exact"/>
        <w:ind w:firstLine="420" w:firstLineChars="200"/>
        <w:rPr>
          <w:rFonts w:hint="eastAsia"/>
        </w:rPr>
      </w:pPr>
      <w:r>
        <w:rPr>
          <w:rFonts w:hint="eastAsia"/>
        </w:rPr>
        <w:t>资质标评审：资质标审核通过的单位，进入商务标评审；</w:t>
      </w:r>
    </w:p>
    <w:p>
      <w:pPr>
        <w:pStyle w:val="89"/>
        <w:spacing w:line="440" w:lineRule="exact"/>
        <w:ind w:firstLine="420" w:firstLineChars="200"/>
        <w:rPr>
          <w:rFonts w:hint="eastAsia"/>
        </w:rPr>
      </w:pPr>
      <w:r>
        <w:rPr>
          <w:rFonts w:hint="eastAsia"/>
        </w:rPr>
        <w:t>商务标评审：公开唱标→商务条款相应确认→价格澄清→商务标评审；评审期间产生的商务价格澄清均由投标人在重汽e采通平台内限时完成提交；</w:t>
      </w:r>
    </w:p>
    <w:p>
      <w:pPr>
        <w:pStyle w:val="89"/>
        <w:spacing w:line="440" w:lineRule="exact"/>
        <w:ind w:firstLine="420" w:firstLineChars="200"/>
        <w:rPr>
          <w:rFonts w:hint="eastAsia"/>
        </w:rPr>
      </w:pPr>
      <w:r>
        <w:rPr>
          <w:rFonts w:hint="eastAsia"/>
        </w:rPr>
        <w:t xml:space="preserve">注意：投标人均需自带笔记本电脑在重汽e采通平台自主进行投标和提交澄清函；投标和提交澄清函均有时间限制，超时未提交的按无效处理。  </w:t>
      </w:r>
    </w:p>
    <w:p>
      <w:pPr>
        <w:pStyle w:val="89"/>
        <w:spacing w:line="440" w:lineRule="exact"/>
        <w:ind w:firstLine="420" w:firstLineChars="200"/>
        <w:rPr>
          <w:rFonts w:hint="eastAsia"/>
        </w:rPr>
      </w:pPr>
      <w:r>
        <w:rPr>
          <w:rFonts w:hint="eastAsia"/>
        </w:rPr>
        <w:t>中标人确定：原则上合理最低价中标。</w:t>
      </w:r>
    </w:p>
    <w:p>
      <w:pPr>
        <w:pStyle w:val="89"/>
        <w:spacing w:line="440" w:lineRule="exact"/>
        <w:ind w:firstLine="420" w:firstLineChars="200"/>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pPr>
        <w:pStyle w:val="85"/>
        <w:spacing w:before="312" w:beforeLines="100" w:after="156" w:afterLines="50" w:line="480" w:lineRule="exact"/>
        <w:ind w:left="0" w:firstLine="0"/>
      </w:pPr>
      <w:r>
        <w:rPr>
          <w:rFonts w:hint="eastAsia"/>
        </w:rPr>
        <w:t>废标及终止招标</w:t>
      </w:r>
    </w:p>
    <w:p>
      <w:pPr>
        <w:pStyle w:val="85"/>
        <w:numPr>
          <w:ilvl w:val="0"/>
          <w:numId w:val="27"/>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89"/>
        <w:numPr>
          <w:ilvl w:val="1"/>
          <w:numId w:val="28"/>
        </w:numPr>
        <w:spacing w:line="440" w:lineRule="exact"/>
      </w:pPr>
      <w:r>
        <w:rPr>
          <w:rFonts w:hint="eastAsia"/>
        </w:rPr>
        <w:t>投标人提供的有关资格、资质证明文件不合格、不真实或提供虚假投标材料；</w:t>
      </w:r>
    </w:p>
    <w:p>
      <w:pPr>
        <w:pStyle w:val="89"/>
        <w:numPr>
          <w:ilvl w:val="1"/>
          <w:numId w:val="28"/>
        </w:numPr>
        <w:spacing w:line="440" w:lineRule="exact"/>
      </w:pPr>
      <w:r>
        <w:rPr>
          <w:rFonts w:hint="eastAsia"/>
        </w:rPr>
        <w:t>投标人在报价有效期内撤回投标；</w:t>
      </w:r>
    </w:p>
    <w:p>
      <w:pPr>
        <w:pStyle w:val="89"/>
        <w:numPr>
          <w:ilvl w:val="1"/>
          <w:numId w:val="28"/>
        </w:numPr>
        <w:spacing w:line="440" w:lineRule="exact"/>
      </w:pPr>
      <w:r>
        <w:rPr>
          <w:rFonts w:hint="eastAsia"/>
        </w:rPr>
        <w:t>在整个评标过程中，投标人有企图影响评标结果公正性的任何活动；</w:t>
      </w:r>
    </w:p>
    <w:p>
      <w:pPr>
        <w:pStyle w:val="89"/>
        <w:numPr>
          <w:ilvl w:val="1"/>
          <w:numId w:val="28"/>
        </w:numPr>
        <w:spacing w:line="440" w:lineRule="exact"/>
      </w:pPr>
      <w:r>
        <w:rPr>
          <w:rFonts w:hint="eastAsia"/>
        </w:rPr>
        <w:t>投标人以任何方式诋毁其他投标人；</w:t>
      </w:r>
    </w:p>
    <w:p>
      <w:pPr>
        <w:pStyle w:val="89"/>
        <w:numPr>
          <w:ilvl w:val="1"/>
          <w:numId w:val="28"/>
        </w:numPr>
        <w:spacing w:line="440" w:lineRule="exact"/>
      </w:pPr>
      <w:r>
        <w:rPr>
          <w:rFonts w:hint="eastAsia"/>
        </w:rPr>
        <w:t>投标人串通投标；</w:t>
      </w:r>
    </w:p>
    <w:p>
      <w:pPr>
        <w:pStyle w:val="89"/>
        <w:numPr>
          <w:ilvl w:val="1"/>
          <w:numId w:val="28"/>
        </w:numPr>
        <w:spacing w:line="440" w:lineRule="exact"/>
      </w:pPr>
      <w:r>
        <w:rPr>
          <w:rFonts w:hint="eastAsia"/>
        </w:rPr>
        <w:t>投标人被举报、检举，并经招标人查实无误的；</w:t>
      </w:r>
    </w:p>
    <w:p>
      <w:pPr>
        <w:pStyle w:val="89"/>
        <w:numPr>
          <w:ilvl w:val="1"/>
          <w:numId w:val="28"/>
        </w:numPr>
        <w:spacing w:line="440" w:lineRule="exact"/>
      </w:pPr>
      <w:r>
        <w:rPr>
          <w:rFonts w:hint="eastAsia"/>
        </w:rPr>
        <w:t>以他人名义投标或者以其他方式弄虚作假，骗取中标的；</w:t>
      </w:r>
    </w:p>
    <w:p>
      <w:pPr>
        <w:pStyle w:val="89"/>
        <w:numPr>
          <w:ilvl w:val="1"/>
          <w:numId w:val="28"/>
        </w:numPr>
        <w:spacing w:line="440" w:lineRule="exact"/>
      </w:pPr>
      <w:r>
        <w:rPr>
          <w:rFonts w:hint="eastAsia"/>
        </w:rPr>
        <w:t>投标人负责人为同一人或者存在控股、管理关系的不同单位；</w:t>
      </w:r>
    </w:p>
    <w:p>
      <w:pPr>
        <w:pStyle w:val="89"/>
        <w:numPr>
          <w:ilvl w:val="1"/>
          <w:numId w:val="28"/>
        </w:numPr>
        <w:spacing w:line="440" w:lineRule="exact"/>
      </w:pPr>
      <w:r>
        <w:rPr>
          <w:rFonts w:hint="eastAsia"/>
        </w:rPr>
        <w:t>有效投标不足三家；</w:t>
      </w:r>
    </w:p>
    <w:p>
      <w:pPr>
        <w:pStyle w:val="89"/>
        <w:numPr>
          <w:ilvl w:val="1"/>
          <w:numId w:val="28"/>
        </w:numPr>
        <w:spacing w:line="440" w:lineRule="exact"/>
      </w:pPr>
      <w:r>
        <w:rPr>
          <w:rFonts w:hint="eastAsia"/>
        </w:rPr>
        <w:t>不同投标人的投标文件异常一致或者投标报价呈规律性差异的；</w:t>
      </w:r>
    </w:p>
    <w:p>
      <w:pPr>
        <w:pStyle w:val="89"/>
        <w:numPr>
          <w:ilvl w:val="1"/>
          <w:numId w:val="28"/>
        </w:numPr>
        <w:spacing w:line="440" w:lineRule="exact"/>
      </w:pPr>
      <w:r>
        <w:rPr>
          <w:rFonts w:hint="eastAsia"/>
        </w:rPr>
        <w:t>投标人报价均超过最高限价的；</w:t>
      </w:r>
    </w:p>
    <w:p>
      <w:pPr>
        <w:pStyle w:val="89"/>
        <w:numPr>
          <w:ilvl w:val="1"/>
          <w:numId w:val="28"/>
        </w:numPr>
        <w:spacing w:line="440" w:lineRule="exact"/>
      </w:pPr>
      <w:r>
        <w:rPr>
          <w:rFonts w:hint="eastAsia"/>
        </w:rPr>
        <w:t>未按要求填报商务报价资料，对招标开展造成较大影响；</w:t>
      </w:r>
    </w:p>
    <w:p>
      <w:pPr>
        <w:pStyle w:val="89"/>
        <w:numPr>
          <w:ilvl w:val="1"/>
          <w:numId w:val="28"/>
        </w:numPr>
        <w:spacing w:line="440" w:lineRule="exact"/>
      </w:pPr>
      <w:r>
        <w:rPr>
          <w:rFonts w:hint="eastAsia"/>
        </w:rPr>
        <w:t>未按照招标人规定的时间内在中国重汽e采通完成投标的；</w:t>
      </w:r>
    </w:p>
    <w:p>
      <w:pPr>
        <w:pStyle w:val="89"/>
        <w:numPr>
          <w:ilvl w:val="1"/>
          <w:numId w:val="28"/>
        </w:numPr>
        <w:spacing w:line="440" w:lineRule="exact"/>
      </w:pPr>
      <w:r>
        <w:rPr>
          <w:rFonts w:hint="eastAsia"/>
        </w:rPr>
        <w:t>法律、法规规定的其他情况。</w:t>
      </w:r>
    </w:p>
    <w:p>
      <w:pPr>
        <w:pStyle w:val="85"/>
        <w:numPr>
          <w:ilvl w:val="0"/>
          <w:numId w:val="27"/>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pPr>
        <w:numPr>
          <w:ilvl w:val="1"/>
          <w:numId w:val="27"/>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pPr>
        <w:numPr>
          <w:ilvl w:val="1"/>
          <w:numId w:val="27"/>
        </w:numPr>
        <w:spacing w:line="440" w:lineRule="exact"/>
        <w:rPr>
          <w:rFonts w:ascii="宋体" w:hAnsi="宋体" w:cs="宋体"/>
          <w:szCs w:val="21"/>
        </w:rPr>
      </w:pPr>
      <w:r>
        <w:rPr>
          <w:rFonts w:hint="eastAsia" w:ascii="宋体" w:hAnsi="宋体" w:cs="宋体"/>
          <w:szCs w:val="21"/>
        </w:rPr>
        <w:t>出现影响采购公正的违法、违规行为的；</w:t>
      </w:r>
    </w:p>
    <w:p>
      <w:pPr>
        <w:numPr>
          <w:ilvl w:val="1"/>
          <w:numId w:val="27"/>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pPr>
        <w:numPr>
          <w:ilvl w:val="1"/>
          <w:numId w:val="27"/>
        </w:numPr>
        <w:spacing w:line="440" w:lineRule="exact"/>
        <w:rPr>
          <w:rFonts w:ascii="宋体" w:hAnsi="宋体" w:cs="宋体"/>
          <w:szCs w:val="21"/>
        </w:rPr>
      </w:pPr>
      <w:r>
        <w:rPr>
          <w:rFonts w:hint="eastAsia" w:ascii="宋体" w:hAnsi="宋体" w:cs="宋体"/>
          <w:szCs w:val="21"/>
        </w:rPr>
        <w:t>因重大变故，采购任务取消的</w:t>
      </w:r>
      <w:bookmarkStart w:id="6" w:name="OLE_LINK25"/>
      <w:bookmarkStart w:id="7" w:name="OLE_LINK26"/>
      <w:bookmarkStart w:id="8" w:name="OLE_LINK28"/>
      <w:bookmarkStart w:id="9" w:name="OLE_LINK29"/>
      <w:bookmarkStart w:id="10" w:name="OLE_LINK27"/>
      <w:r>
        <w:rPr>
          <w:rFonts w:hint="eastAsia" w:ascii="宋体" w:hAnsi="宋体" w:cs="宋体"/>
          <w:szCs w:val="21"/>
        </w:rPr>
        <w:t>；</w:t>
      </w:r>
      <w:bookmarkEnd w:id="6"/>
      <w:bookmarkEnd w:id="7"/>
      <w:bookmarkEnd w:id="8"/>
      <w:bookmarkEnd w:id="9"/>
      <w:bookmarkEnd w:id="10"/>
    </w:p>
    <w:p>
      <w:pPr>
        <w:numPr>
          <w:ilvl w:val="1"/>
          <w:numId w:val="27"/>
        </w:numPr>
        <w:spacing w:line="440" w:lineRule="exact"/>
        <w:rPr>
          <w:rFonts w:ascii="宋体" w:hAnsi="宋体" w:cs="宋体"/>
          <w:szCs w:val="21"/>
        </w:rPr>
      </w:pPr>
      <w:r>
        <w:rPr>
          <w:rFonts w:hint="eastAsia" w:ascii="宋体" w:hAnsi="宋体" w:cs="宋体"/>
          <w:szCs w:val="21"/>
        </w:rPr>
        <w:t>招标人认为其他应终止招标的情形。</w:t>
      </w:r>
    </w:p>
    <w:p>
      <w:pPr>
        <w:pStyle w:val="85"/>
        <w:numPr>
          <w:ilvl w:val="0"/>
          <w:numId w:val="27"/>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85"/>
        <w:spacing w:before="312" w:beforeLines="100" w:after="156" w:afterLines="50" w:line="480" w:lineRule="exact"/>
        <w:ind w:left="0" w:firstLine="0"/>
      </w:pPr>
      <w:r>
        <w:rPr>
          <w:rFonts w:hint="eastAsia"/>
        </w:rPr>
        <w:t>合同签订</w:t>
      </w:r>
    </w:p>
    <w:p>
      <w:pPr>
        <w:numPr>
          <w:ilvl w:val="0"/>
          <w:numId w:val="29"/>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pPr>
        <w:numPr>
          <w:ilvl w:val="0"/>
          <w:numId w:val="29"/>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pPr>
        <w:numPr>
          <w:ilvl w:val="0"/>
          <w:numId w:val="29"/>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pPr>
        <w:numPr>
          <w:ilvl w:val="0"/>
          <w:numId w:val="29"/>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pPr>
        <w:numPr>
          <w:ilvl w:val="0"/>
          <w:numId w:val="29"/>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pPr>
        <w:numPr>
          <w:ilvl w:val="0"/>
          <w:numId w:val="29"/>
        </w:numPr>
        <w:spacing w:line="360" w:lineRule="auto"/>
        <w:rPr>
          <w:rFonts w:ascii="宋体" w:hAnsi="宋体" w:cs="宋体"/>
          <w:b/>
          <w:color w:val="000000"/>
          <w:szCs w:val="21"/>
        </w:rPr>
      </w:pPr>
      <w:r>
        <w:rPr>
          <w:rFonts w:hint="eastAsia" w:ascii="宋体" w:hAnsi="宋体" w:cs="宋体"/>
          <w:b/>
          <w:szCs w:val="21"/>
        </w:rPr>
        <w:t>合同以双方最终签署的版本为准。</w:t>
      </w:r>
    </w:p>
    <w:p>
      <w:pPr>
        <w:pStyle w:val="85"/>
        <w:spacing w:before="312" w:beforeLines="100" w:after="156" w:afterLines="50" w:line="480" w:lineRule="exact"/>
        <w:ind w:left="0" w:firstLine="0"/>
      </w:pPr>
      <w:r>
        <w:rPr>
          <w:rFonts w:hint="eastAsia"/>
        </w:rPr>
        <w:t>交货及付款</w:t>
      </w:r>
    </w:p>
    <w:p>
      <w:pPr>
        <w:pStyle w:val="89"/>
        <w:numPr>
          <w:ilvl w:val="0"/>
          <w:numId w:val="30"/>
        </w:numPr>
        <w:spacing w:line="440" w:lineRule="exact"/>
        <w:ind w:left="0" w:firstLine="0"/>
      </w:pPr>
      <w:r>
        <w:rPr>
          <w:rFonts w:hint="eastAsia"/>
        </w:rPr>
        <w:t>交货期：按招标方需求24小时内完成救援工作。</w:t>
      </w:r>
    </w:p>
    <w:p>
      <w:pPr>
        <w:pStyle w:val="89"/>
        <w:keepNext w:val="0"/>
        <w:keepLines w:val="0"/>
        <w:pageBreakBefore w:val="0"/>
        <w:widowControl w:val="0"/>
        <w:numPr>
          <w:ilvl w:val="0"/>
          <w:numId w:val="30"/>
        </w:numPr>
        <w:kinsoku/>
        <w:wordWrap/>
        <w:overflowPunct/>
        <w:topLinePunct w:val="0"/>
        <w:autoSpaceDE/>
        <w:autoSpaceDN/>
        <w:bidi w:val="0"/>
        <w:adjustRightInd/>
        <w:snapToGrid/>
        <w:spacing w:line="440" w:lineRule="exact"/>
        <w:ind w:left="0" w:firstLine="0"/>
        <w:textAlignment w:val="auto"/>
      </w:pPr>
      <w:r>
        <w:rPr>
          <w:rFonts w:hint="eastAsia"/>
        </w:rPr>
        <w:t>付款方式：半年期商业汇票（包括银行承兑汇票和商业承兑汇票）</w:t>
      </w:r>
    </w:p>
    <w:p>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（1）合同生效设备全部到齐无质量问题通过买方初步验收后, 卖方提交金额为合同含税价款30%的收据及合同全额30%增值税专用发票（税率为13 %，正本一份，复印件二份），经买方依照财务制度审核无误后【30】日后支付。</w:t>
      </w:r>
    </w:p>
    <w:p>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eastAsia="宋体" w:cs="宋体"/>
          <w:color w:val="000000" w:themeColor="text1"/>
          <w:sz w:val="24"/>
          <w:szCs w:val="24"/>
          <w14:textFill>
            <w14:solidFill>
              <w14:schemeClr w14:val="tx1"/>
            </w14:solidFill>
          </w14:textFill>
        </w:rPr>
      </w:pPr>
      <w:r>
        <w:rPr>
          <w:rFonts w:hint="eastAsia" w:ascii="宋体" w:hAnsi="Courier New" w:eastAsia="宋体" w:cs="Times New Roman"/>
          <w:kern w:val="2"/>
          <w:sz w:val="21"/>
          <w:lang w:val="en-US" w:eastAsia="zh-CN" w:bidi="ar-SA"/>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r>
        <w:rPr>
          <w:rFonts w:hint="eastAsia" w:ascii="宋体" w:hAnsi="宋体" w:eastAsia="宋体" w:cs="宋体"/>
          <w:color w:val="000000" w:themeColor="text1"/>
          <w:sz w:val="24"/>
          <w:szCs w:val="24"/>
          <w14:textFill>
            <w14:solidFill>
              <w14:schemeClr w14:val="tx1"/>
            </w14:solidFill>
          </w14:textFill>
        </w:rPr>
        <w:t>。</w:t>
      </w:r>
    </w:p>
    <w:p>
      <w:pPr>
        <w:pStyle w:val="89"/>
        <w:spacing w:line="440" w:lineRule="exact"/>
        <w:ind w:firstLine="420" w:firstLineChars="200"/>
      </w:pPr>
      <w:r>
        <w:rPr>
          <w:rFonts w:hint="eastAsia"/>
          <w:highlight w:val="yellow"/>
        </w:rPr>
        <w:t>付款方式和付款比例不允许偏离</w:t>
      </w:r>
    </w:p>
    <w:p>
      <w:pPr>
        <w:pStyle w:val="85"/>
        <w:spacing w:before="312" w:beforeLines="100" w:after="156" w:afterLines="50" w:line="480" w:lineRule="exact"/>
        <w:ind w:left="0" w:firstLine="0"/>
      </w:pPr>
      <w:r>
        <w:rPr>
          <w:rFonts w:hint="eastAsia"/>
        </w:rPr>
        <w:t>本次招标最终解释权归中国重汽集团济南动力有限公司。</w:t>
      </w:r>
    </w:p>
    <w:p>
      <w:pPr>
        <w:pStyle w:val="89"/>
      </w:pPr>
    </w:p>
    <w:p>
      <w:pPr>
        <w:pStyle w:val="89"/>
      </w:pPr>
      <w:bookmarkStart w:id="11" w:name="_Toc47976607"/>
    </w:p>
    <w:p>
      <w:pPr>
        <w:pStyle w:val="89"/>
      </w:pPr>
    </w:p>
    <w:p>
      <w:pPr>
        <w:pStyle w:val="89"/>
      </w:pPr>
    </w:p>
    <w:p>
      <w:pPr>
        <w:pStyle w:val="89"/>
      </w:pPr>
    </w:p>
    <w:p>
      <w:pPr>
        <w:pStyle w:val="89"/>
      </w:pPr>
    </w:p>
    <w:p>
      <w:pPr>
        <w:pStyle w:val="89"/>
      </w:pPr>
    </w:p>
    <w:p>
      <w:pPr>
        <w:pStyle w:val="89"/>
      </w:pPr>
    </w:p>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84"/>
      </w:pPr>
      <w:bookmarkStart w:id="12" w:name="_Toc216428602"/>
      <w:r>
        <w:rPr>
          <w:rFonts w:hint="eastAsia"/>
        </w:rPr>
        <w:t>第二部分　</w:t>
      </w:r>
      <w:bookmarkEnd w:id="11"/>
      <w:r>
        <w:rPr>
          <w:rFonts w:hint="eastAsia"/>
        </w:rPr>
        <w:t>技术标书</w:t>
      </w:r>
      <w:bookmarkEnd w:id="12"/>
    </w:p>
    <w:p>
      <w:pPr>
        <w:keepNext/>
        <w:keepLines/>
        <w:spacing w:before="120" w:after="120" w:line="480" w:lineRule="exact"/>
        <w:jc w:val="center"/>
        <w:outlineLvl w:val="1"/>
        <w:rPr>
          <w:rFonts w:ascii="宋体" w:hAnsi="Calibri" w:eastAsia="宋体" w:cs="Times New Roman"/>
          <w:b/>
          <w:bCs/>
          <w:kern w:val="44"/>
          <w:sz w:val="28"/>
          <w:szCs w:val="28"/>
        </w:rPr>
      </w:pPr>
      <w:bookmarkStart w:id="1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13"/>
    </w:p>
    <w:p>
      <w:pPr>
        <w:keepNext/>
        <w:keepLines/>
        <w:spacing w:before="120" w:after="120" w:line="480" w:lineRule="exact"/>
        <w:jc w:val="center"/>
        <w:outlineLvl w:val="2"/>
        <w:rPr>
          <w:rFonts w:ascii="Arial" w:hAnsi="Arial" w:eastAsia="宋体" w:cs="Times New Roman"/>
          <w:b/>
          <w:bCs/>
          <w:sz w:val="24"/>
          <w:szCs w:val="24"/>
        </w:rPr>
      </w:pPr>
      <w:bookmarkStart w:id="1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1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ascii="宋体" w:hAnsi="宋体" w:eastAsia="宋体" w:cs="宋体"/>
          <w:color w:val="000000"/>
          <w:sz w:val="24"/>
          <w:szCs w:val="24"/>
          <w:u w:val="single"/>
        </w:rPr>
        <w:t>多通道便携式数据采集系统</w:t>
      </w:r>
      <w:r>
        <w:rPr>
          <w:rFonts w:hint="eastAsia" w:ascii="宋体" w:hAnsi="宋体" w:eastAsia="宋体" w:cs="宋体"/>
          <w:color w:val="000000"/>
          <w:sz w:val="24"/>
          <w:szCs w:val="24"/>
          <w:u w:val="single"/>
        </w:rPr>
        <w:t>项目</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济南市高新区华奥路777号</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四、工作制度：全年工作365天、一班制、设备年时基数292</w:t>
      </w:r>
      <w:r>
        <w:rPr>
          <w:rFonts w:ascii="宋体" w:hAnsi="宋体" w:eastAsia="宋体" w:cs="宋体"/>
          <w:sz w:val="24"/>
          <w:szCs w:val="24"/>
        </w:rPr>
        <w:t>0</w:t>
      </w:r>
      <w:r>
        <w:rPr>
          <w:rFonts w:hint="eastAsia" w:ascii="宋体" w:hAnsi="宋体" w:eastAsia="宋体" w:cs="宋体"/>
          <w:sz w:val="24"/>
          <w:szCs w:val="24"/>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1.海拔高度：6000m以下。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2.环境温度：室外极端最低温度-40℃、极端最高温度85℃，昼夜最大温差80℃。</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3.相对湿度：年平均5</w:t>
      </w:r>
      <w:r>
        <w:rPr>
          <w:rFonts w:ascii="宋体" w:hAnsi="宋体" w:eastAsia="宋体" w:cs="宋体"/>
          <w:bCs/>
          <w:sz w:val="24"/>
          <w:szCs w:val="24"/>
        </w:rPr>
        <w:t>9%</w:t>
      </w:r>
      <w:r>
        <w:rPr>
          <w:rFonts w:hint="eastAsia" w:ascii="宋体" w:hAnsi="宋体" w:eastAsia="宋体" w:cs="宋体"/>
          <w:bCs/>
          <w:sz w:val="24"/>
          <w:szCs w:val="24"/>
        </w:rPr>
        <w:t>，最大95%、最小15%。</w:t>
      </w:r>
    </w:p>
    <w:p>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六、能源环境：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1.电力：中国制式，可以与</w:t>
      </w:r>
      <w:r>
        <w:rPr>
          <w:rFonts w:ascii="宋体" w:hAnsi="宋体" w:eastAsia="宋体" w:cs="宋体"/>
          <w:bCs/>
          <w:sz w:val="24"/>
          <w:szCs w:val="24"/>
        </w:rPr>
        <w:t>12V和24V的汽车电源工作</w:t>
      </w:r>
      <w:r>
        <w:rPr>
          <w:rFonts w:hint="eastAsia" w:ascii="宋体" w:hAnsi="宋体" w:eastAsia="宋体" w:cs="宋体"/>
          <w:bCs/>
          <w:sz w:val="24"/>
          <w:szCs w:val="24"/>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ascii="宋体" w:hAnsi="宋体" w:eastAsia="宋体" w:cs="宋体"/>
          <w:sz w:val="24"/>
          <w:szCs w:val="24"/>
          <w:u w:val="single"/>
        </w:rPr>
        <w:t>多通道便携式数据采集系统</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bookmarkStart w:id="15" w:name="_Hlk215476662"/>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bookmarkEnd w:id="15"/>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2"/>
        <w:tblW w:w="5000" w:type="pct"/>
        <w:tblInd w:w="0" w:type="dxa"/>
        <w:tblLayout w:type="fixed"/>
        <w:tblCellMar>
          <w:top w:w="0" w:type="dxa"/>
          <w:left w:w="108" w:type="dxa"/>
          <w:bottom w:w="0" w:type="dxa"/>
          <w:right w:w="108" w:type="dxa"/>
        </w:tblCellMar>
      </w:tblPr>
      <w:tblGrid>
        <w:gridCol w:w="565"/>
        <w:gridCol w:w="1428"/>
        <w:gridCol w:w="2566"/>
        <w:gridCol w:w="1427"/>
        <w:gridCol w:w="855"/>
        <w:gridCol w:w="856"/>
        <w:gridCol w:w="713"/>
        <w:gridCol w:w="876"/>
      </w:tblGrid>
      <w:tr>
        <w:tblPrEx>
          <w:tblCellMar>
            <w:top w:w="0" w:type="dxa"/>
            <w:left w:w="108" w:type="dxa"/>
            <w:bottom w:w="0" w:type="dxa"/>
            <w:right w:w="108" w:type="dxa"/>
          </w:tblCellMar>
        </w:tblPrEx>
        <w:trPr>
          <w:trHeight w:val="288" w:hRule="atLeast"/>
        </w:trPr>
        <w:tc>
          <w:tcPr>
            <w:tcW w:w="304"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序号</w:t>
            </w:r>
          </w:p>
        </w:tc>
        <w:tc>
          <w:tcPr>
            <w:tcW w:w="769" w:type="pct"/>
            <w:tcBorders>
              <w:top w:val="single" w:color="auto" w:sz="4" w:space="0"/>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投资内容</w:t>
            </w:r>
          </w:p>
        </w:tc>
        <w:tc>
          <w:tcPr>
            <w:tcW w:w="1382" w:type="pct"/>
            <w:tcBorders>
              <w:top w:val="single" w:color="auto" w:sz="4" w:space="0"/>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规格型号</w:t>
            </w:r>
          </w:p>
        </w:tc>
        <w:tc>
          <w:tcPr>
            <w:tcW w:w="768" w:type="pct"/>
            <w:tcBorders>
              <w:top w:val="single" w:color="auto" w:sz="4" w:space="0"/>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产地</w:t>
            </w:r>
          </w:p>
        </w:tc>
        <w:tc>
          <w:tcPr>
            <w:tcW w:w="460" w:type="pct"/>
            <w:tcBorders>
              <w:top w:val="single" w:color="auto" w:sz="4" w:space="0"/>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数量（台、套）</w:t>
            </w:r>
          </w:p>
        </w:tc>
        <w:tc>
          <w:tcPr>
            <w:tcW w:w="461" w:type="pct"/>
            <w:tcBorders>
              <w:top w:val="single" w:color="auto" w:sz="4" w:space="0"/>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单价（万元）</w:t>
            </w:r>
          </w:p>
        </w:tc>
        <w:tc>
          <w:tcPr>
            <w:tcW w:w="384" w:type="pct"/>
            <w:tcBorders>
              <w:top w:val="single" w:color="auto" w:sz="4" w:space="0"/>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合计(万元)</w:t>
            </w:r>
          </w:p>
        </w:tc>
        <w:tc>
          <w:tcPr>
            <w:tcW w:w="472" w:type="pct"/>
            <w:tcBorders>
              <w:top w:val="single" w:color="auto" w:sz="4" w:space="0"/>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审核预算（万元)</w:t>
            </w: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电脑</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戴尔（DELL）Precision7780deepseek一体机4090显卡，I9,13950HX/64G/4T/RTX4000,4K （预算内市场配置）</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中国</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3.5</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3.5</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000000"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2</w:t>
            </w:r>
          </w:p>
        </w:tc>
        <w:tc>
          <w:tcPr>
            <w:tcW w:w="769" w:type="pct"/>
            <w:tcBorders>
              <w:top w:val="nil"/>
              <w:left w:val="single" w:color="auto" w:sz="4" w:space="0"/>
              <w:bottom w:val="single" w:color="000000"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小型陀螺仪</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DS-IMU1</w:t>
            </w:r>
          </w:p>
        </w:tc>
        <w:tc>
          <w:tcPr>
            <w:tcW w:w="768" w:type="pct"/>
            <w:tcBorders>
              <w:top w:val="nil"/>
              <w:left w:val="nil"/>
              <w:bottom w:val="single" w:color="auto" w:sz="4" w:space="0"/>
              <w:right w:val="single" w:color="auto" w:sz="4" w:space="0"/>
            </w:tcBorders>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斯洛文尼亚</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10.5</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10.5</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3</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数据采集</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DEWE43A</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斯洛文尼亚</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3</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6.5</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19.5</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4</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软件</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DEWESOFT</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斯洛文尼亚</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5</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踏板力</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CPFTB</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德国</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1.2</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1.2</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6</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踏板行程</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Witi-P</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德国</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1.3</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1.3</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7</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压力传感器</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PA23SY</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瑞士</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4</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0.5</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2</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8</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真空压力传感器</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PR-23SY</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瑞士</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0.5</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0.5</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9</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温度模块</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Krypton</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斯洛文尼亚</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4.5</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4.5</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10</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IEPE适配器</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DSI-ACC</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斯洛文尼亚</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21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0.3</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6.3</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11</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连接线束</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踏板力安装支架；</w:t>
            </w:r>
          </w:p>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天线；</w:t>
            </w:r>
          </w:p>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连接线束，每根长度不低于</w:t>
            </w:r>
            <w:r>
              <w:rPr>
                <w:rFonts w:cs="仿宋_GB2312" w:asciiTheme="minorEastAsia" w:hAnsiTheme="minorEastAsia"/>
                <w:bCs/>
                <w:szCs w:val="21"/>
              </w:rPr>
              <w:t>5m，三防屏蔽线</w:t>
            </w:r>
            <w:r>
              <w:rPr>
                <w:rFonts w:hint="eastAsia" w:cs="仿宋_GB2312" w:asciiTheme="minorEastAsia" w:hAnsiTheme="minorEastAsia"/>
                <w:bCs/>
                <w:szCs w:val="21"/>
              </w:rPr>
              <w:t>；</w:t>
            </w:r>
          </w:p>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安装工具　保证连接，实现功能　</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德国</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76"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12</w:t>
            </w: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其他易损配件</w:t>
            </w: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ascii="宋体" w:hAnsi="宋体" w:eastAsia="宋体" w:cs="宋体"/>
                <w:color w:val="000000"/>
                <w:kern w:val="0"/>
                <w:sz w:val="22"/>
              </w:rPr>
              <w:t>9针转接头</w:t>
            </w: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德国</w:t>
            </w: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6</w:t>
            </w: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w:t>
            </w: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0</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r>
      <w:tr>
        <w:tblPrEx>
          <w:tblCellMar>
            <w:top w:w="0" w:type="dxa"/>
            <w:left w:w="108" w:type="dxa"/>
            <w:bottom w:w="0" w:type="dxa"/>
            <w:right w:w="108" w:type="dxa"/>
          </w:tblCellMar>
        </w:tblPrEx>
        <w:trPr>
          <w:trHeight w:val="288" w:hRule="atLeast"/>
        </w:trPr>
        <w:tc>
          <w:tcPr>
            <w:tcW w:w="304" w:type="pct"/>
            <w:tcBorders>
              <w:top w:val="nil"/>
              <w:left w:val="single" w:color="auto" w:sz="4" w:space="0"/>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c>
          <w:tcPr>
            <w:tcW w:w="769"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c>
          <w:tcPr>
            <w:tcW w:w="138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c>
          <w:tcPr>
            <w:tcW w:w="768"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c>
          <w:tcPr>
            <w:tcW w:w="460"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c>
          <w:tcPr>
            <w:tcW w:w="461"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p>
        </w:tc>
        <w:tc>
          <w:tcPr>
            <w:tcW w:w="384"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49.3</w:t>
            </w:r>
          </w:p>
        </w:tc>
        <w:tc>
          <w:tcPr>
            <w:tcW w:w="472" w:type="pct"/>
            <w:tcBorders>
              <w:top w:val="nil"/>
              <w:left w:val="nil"/>
              <w:bottom w:val="single" w:color="auto" w:sz="4" w:space="0"/>
              <w:right w:val="single" w:color="auto" w:sz="4" w:space="0"/>
            </w:tcBorders>
            <w:noWrap/>
            <w:vAlign w:val="center"/>
          </w:tcPr>
          <w:p>
            <w:pPr>
              <w:widowControl/>
              <w:spacing w:line="240" w:lineRule="atLeast"/>
              <w:jc w:val="center"/>
              <w:rPr>
                <w:rFonts w:cs="仿宋_GB2312" w:asciiTheme="minorEastAsia" w:hAnsiTheme="minorEastAsia"/>
                <w:bCs/>
                <w:szCs w:val="21"/>
              </w:rPr>
            </w:pPr>
            <w:r>
              <w:rPr>
                <w:rFonts w:hint="eastAsia" w:cs="仿宋_GB2312" w:asciiTheme="minorEastAsia" w:hAnsiTheme="minorEastAsia"/>
                <w:bCs/>
                <w:szCs w:val="21"/>
              </w:rPr>
              <w:t>48.59</w:t>
            </w:r>
          </w:p>
        </w:tc>
      </w:tr>
    </w:tbl>
    <w:p>
      <w:pPr>
        <w:pStyle w:val="21"/>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ind w:firstLine="480" w:firstLineChars="200"/>
        <w:rPr>
          <w:rFonts w:ascii="宋体" w:hAnsi="宋体" w:eastAsia="宋体" w:cs="宋体"/>
          <w:bCs/>
          <w:sz w:val="24"/>
          <w:szCs w:val="24"/>
          <w:highlight w:val="red"/>
        </w:rP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pStyle w:val="16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spacing w:line="360" w:lineRule="auto"/>
        <w:ind w:firstLine="482" w:firstLineChars="200"/>
        <w:rPr>
          <w:rFonts w:eastAsia="宋体" w:cs="宋体"/>
          <w:b/>
          <w:bCs/>
          <w:sz w:val="24"/>
          <w:szCs w:val="24"/>
        </w:rPr>
      </w:pPr>
      <w:r>
        <w:rPr>
          <w:rFonts w:hint="eastAsia" w:eastAsia="宋体" w:cs="宋体"/>
          <w:b/>
          <w:sz w:val="24"/>
          <w:szCs w:val="24"/>
        </w:rPr>
        <w:t>二、</w:t>
      </w:r>
      <w:r>
        <w:rPr>
          <w:rFonts w:hint="eastAsia" w:ascii="宋体" w:hAnsi="宋体" w:eastAsia="宋体" w:cs="宋体"/>
          <w:bCs/>
          <w:sz w:val="24"/>
          <w:szCs w:val="24"/>
        </w:rPr>
        <w:t>基本</w:t>
      </w:r>
      <w:r>
        <w:rPr>
          <w:rFonts w:hint="eastAsia" w:eastAsia="宋体" w:cs="宋体"/>
          <w:b/>
          <w:sz w:val="24"/>
          <w:szCs w:val="24"/>
        </w:rPr>
        <w:t>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Times New Roman"/>
          <w:sz w:val="24"/>
          <w:szCs w:val="24"/>
        </w:rPr>
      </w:pPr>
      <w:bookmarkStart w:id="16" w:name="_Hlk215476757"/>
      <w:r>
        <w:rPr>
          <w:rFonts w:hint="eastAsia" w:ascii="宋体" w:hAnsi="宋体" w:eastAsia="宋体" w:cs="Times New Roman"/>
          <w:sz w:val="24"/>
          <w:szCs w:val="24"/>
        </w:rPr>
        <w:t>8</w:t>
      </w:r>
      <w:r>
        <w:rPr>
          <w:rFonts w:ascii="宋体" w:hAnsi="宋体" w:eastAsia="宋体" w:cs="Times New Roman"/>
          <w:sz w:val="24"/>
          <w:szCs w:val="24"/>
        </w:rPr>
        <w:t>.本项目不接受任何形式的代理商参与投标。若经核实存在代理投标行为，一律按无效标处理，并上报行政主管部门列入不良记录名单。</w:t>
      </w:r>
    </w:p>
    <w:bookmarkEnd w:id="16"/>
    <w:p>
      <w:pPr>
        <w:pStyle w:val="16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numPr>
          <w:ilvl w:val="0"/>
          <w:numId w:val="31"/>
        </w:numPr>
        <w:tabs>
          <w:tab w:val="left" w:pos="454"/>
        </w:tabs>
        <w:spacing w:line="360" w:lineRule="auto"/>
        <w:outlineLvl w:val="3"/>
        <w:rPr>
          <w:rFonts w:ascii="宋体" w:hAnsi="宋体" w:eastAsia="宋体" w:cs="宋体"/>
          <w:color w:val="000000"/>
          <w:sz w:val="24"/>
          <w:szCs w:val="24"/>
        </w:rPr>
      </w:pPr>
      <w:bookmarkStart w:id="17" w:name="_Toc240714079"/>
      <w:bookmarkStart w:id="18" w:name="_Hlk215476781"/>
      <w:bookmarkStart w:id="19" w:name="_Hlk215478093"/>
      <w:r>
        <w:rPr>
          <w:rFonts w:hint="eastAsia" w:ascii="宋体" w:hAnsi="宋体" w:eastAsia="宋体" w:cs="宋体"/>
          <w:color w:val="000000"/>
          <w:sz w:val="24"/>
          <w:szCs w:val="24"/>
        </w:rPr>
        <w:t>设备</w:t>
      </w:r>
      <w:r>
        <w:rPr>
          <w:rFonts w:ascii="宋体" w:hAnsi="宋体" w:eastAsia="宋体" w:cs="宋体"/>
          <w:color w:val="000000"/>
          <w:sz w:val="24"/>
          <w:szCs w:val="24"/>
        </w:rPr>
        <w:t>用途</w:t>
      </w:r>
      <w:bookmarkEnd w:id="17"/>
    </w:p>
    <w:bookmarkEnd w:id="18"/>
    <w:p>
      <w:pPr>
        <w:spacing w:line="360" w:lineRule="auto"/>
        <w:ind w:firstLine="480" w:firstLineChars="200"/>
        <w:rPr>
          <w:rFonts w:ascii="宋体" w:hAnsi="宋体" w:eastAsia="宋体" w:cs="宋体"/>
          <w:color w:val="000000"/>
          <w:sz w:val="24"/>
          <w:szCs w:val="24"/>
        </w:rPr>
      </w:pPr>
      <w:bookmarkStart w:id="20" w:name="_Hlk215476810"/>
      <w:r>
        <w:rPr>
          <w:rFonts w:hint="eastAsia" w:ascii="宋体" w:hAnsi="宋体" w:eastAsia="宋体" w:cs="宋体"/>
          <w:color w:val="000000" w:themeColor="text1"/>
          <w:sz w:val="24"/>
          <w:szCs w:val="24"/>
          <w14:textFill>
            <w14:solidFill>
              <w14:schemeClr w14:val="tx1"/>
            </w14:solidFill>
          </w14:textFill>
        </w:rPr>
        <w:t>为能满足对整车动态性能测试，可进行整车动力、制动、操稳、转向等动态性能客观测试；要求设备便携，可提高研发、售后服务、问题排查、市场反馈效率，对对标车进行评价和对发动机/整车标定给予辅助支持，重汽决定据此技术协议采购一套多通道便携式数据采集系统。在本系统中，将在笔记本电脑上安装一个多通道便携式数据采集系统评价软件的绑定计算机的许可证，使其能够开展针对乘用车（Passenger</w:t>
      </w:r>
      <w:r>
        <w:rPr>
          <w:rFonts w:ascii="宋体" w:hAnsi="宋体" w:eastAsia="宋体" w:cs="宋体"/>
          <w:color w:val="000000" w:themeColor="text1"/>
          <w:sz w:val="24"/>
          <w:szCs w:val="24"/>
          <w14:textFill>
            <w14:solidFill>
              <w14:schemeClr w14:val="tx1"/>
            </w14:solidFill>
          </w14:textFill>
        </w:rPr>
        <w:t xml:space="preserve"> car</w:t>
      </w:r>
      <w:r>
        <w:rPr>
          <w:rFonts w:hint="eastAsia" w:ascii="宋体" w:hAnsi="宋体" w:eastAsia="宋体" w:cs="宋体"/>
          <w:color w:val="000000" w:themeColor="text1"/>
          <w:sz w:val="24"/>
          <w:szCs w:val="24"/>
          <w14:textFill>
            <w14:solidFill>
              <w14:schemeClr w14:val="tx1"/>
            </w14:solidFill>
          </w14:textFill>
        </w:rPr>
        <w:t>）的数据采集测量</w:t>
      </w:r>
      <w:r>
        <w:rPr>
          <w:rFonts w:hint="eastAsia" w:ascii="宋体" w:hAnsi="宋体" w:eastAsia="宋体" w:cs="宋体"/>
          <w:color w:val="000000"/>
          <w:sz w:val="24"/>
          <w:szCs w:val="24"/>
        </w:rPr>
        <w:t>。</w:t>
      </w:r>
    </w:p>
    <w:p>
      <w:pPr>
        <w:spacing w:line="360" w:lineRule="auto"/>
        <w:outlineLvl w:val="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总体技术要求</w:t>
      </w:r>
    </w:p>
    <w:p>
      <w:pPr>
        <w:spacing w:line="360" w:lineRule="auto"/>
        <w:outlineLvl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2.1测试项目</w:t>
      </w:r>
    </w:p>
    <w:p>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1、道路性能测试，包含GB\ISO\ASCII\EN\等标准体系规定的，制动性能、操稳性能、转向性能、NVH性能、平顺性能、ADAS等，包括各整车系统及总成部件部分性能。</w:t>
      </w:r>
    </w:p>
    <w:p>
      <w:pPr>
        <w:spacing w:line="360" w:lineRule="auto"/>
        <w:outlineLvl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2.2测试对象覆盖范围</w:t>
      </w:r>
    </w:p>
    <w:p>
      <w:pPr>
        <w:pStyle w:val="16"/>
        <w:numPr>
          <w:ilvl w:val="0"/>
          <w:numId w:val="32"/>
        </w:numPr>
        <w:tabs>
          <w:tab w:val="left" w:pos="360"/>
        </w:tabs>
        <w:snapToGrid w:val="0"/>
        <w:jc w:val="left"/>
        <w:rPr>
          <w:rFonts w:ascii="宋体" w:hAnsi="宋体" w:eastAsia="宋体" w:cstheme="minorBidi"/>
          <w:color w:val="000000" w:themeColor="text1"/>
          <w:sz w:val="24"/>
          <w:szCs w:val="24"/>
          <w14:textFill>
            <w14:solidFill>
              <w14:schemeClr w14:val="tx1"/>
            </w14:solidFill>
          </w14:textFill>
        </w:rPr>
      </w:pPr>
      <w:r>
        <w:rPr>
          <w:rFonts w:hint="eastAsia" w:ascii="宋体" w:hAnsi="宋体" w:eastAsia="宋体" w:cstheme="minorBidi"/>
          <w:color w:val="000000" w:themeColor="text1"/>
          <w:sz w:val="24"/>
          <w:szCs w:val="24"/>
          <w14:textFill>
            <w14:solidFill>
              <w14:schemeClr w14:val="tx1"/>
            </w14:solidFill>
          </w14:textFill>
        </w:rPr>
        <w:t>整车、系统总成及其他零部件，需要动态性能测试调校的整车或样机样件等。</w:t>
      </w:r>
    </w:p>
    <w:p>
      <w:pPr>
        <w:spacing w:line="360" w:lineRule="auto"/>
        <w:outlineLvl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 主要技术参数</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123"/>
        <w:gridCol w:w="5841"/>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vAlign w:val="center"/>
          </w:tcPr>
          <w:p>
            <w:pPr>
              <w:jc w:val="left"/>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序号</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传感器</w:t>
            </w:r>
          </w:p>
        </w:tc>
        <w:tc>
          <w:tcPr>
            <w:tcW w:w="5841"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参数</w:t>
            </w:r>
          </w:p>
        </w:tc>
        <w:tc>
          <w:tcPr>
            <w:tcW w:w="1211" w:type="dxa"/>
            <w:vAlign w:val="center"/>
          </w:tcPr>
          <w:p>
            <w:pPr>
              <w:jc w:val="left"/>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电脑</w:t>
            </w:r>
          </w:p>
        </w:tc>
        <w:tc>
          <w:tcPr>
            <w:tcW w:w="5841" w:type="dxa"/>
            <w:vAlign w:val="center"/>
          </w:tcPr>
          <w:p>
            <w:pPr>
              <w:pStyle w:val="37"/>
              <w:jc w:val="center"/>
              <w:textAlignment w:val="bottom"/>
              <w:rPr>
                <w:rFonts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戴尔（DELL）Precision7780deepseek一体机4090显卡，I9,13950HX/64G/4T/RTX4000,4K （预算内市场主流配置）</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2</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小型陀螺仪</w:t>
            </w:r>
          </w:p>
        </w:tc>
        <w:tc>
          <w:tcPr>
            <w:tcW w:w="5841" w:type="dxa"/>
            <w:vAlign w:val="center"/>
          </w:tcPr>
          <w:p>
            <w:pPr>
              <w:widowControl/>
              <w:jc w:val="left"/>
              <w:rPr>
                <w:rFonts w:hAnsi="宋体" w:eastAsia="宋体" w:cs="宋体"/>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单天线陀螺仪+GPS系统</w:t>
            </w:r>
            <w:r>
              <w:rPr>
                <w:rFonts w:hAnsi="宋体" w:eastAsia="宋体" w:cs="宋体"/>
                <w:color w:val="000000" w:themeColor="text1"/>
                <w:sz w:val="24"/>
                <w:szCs w:val="24"/>
                <w14:textFill>
                  <w14:solidFill>
                    <w14:schemeClr w14:val="tx1"/>
                  </w14:solidFill>
                </w14:textFill>
              </w:rPr>
              <w:t>DS-IMU1</w:t>
            </w:r>
            <w:r>
              <w:rPr>
                <w:rFonts w:hint="eastAsia" w:ascii="宋体" w:hAnsi="宋体" w:eastAsia="宋体" w:cs="Times New Roman"/>
                <w:color w:val="000000" w:themeColor="text1"/>
                <w:sz w:val="24"/>
                <w:szCs w:val="24"/>
                <w14:textFill>
                  <w14:solidFill>
                    <w14:schemeClr w14:val="tx1"/>
                  </w14:solidFill>
                </w14:textFill>
              </w:rPr>
              <w:t>，可测速度，距离，角速度，加速度</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系统数据刷新率：200Hz</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可独立连接电脑</w:t>
            </w:r>
          </w:p>
          <w:p>
            <w:pPr>
              <w:pStyle w:val="21"/>
              <w:rPr>
                <w:rFonts w:hAnsi="宋体" w:eastAsia="宋体" w:cs="宋体"/>
                <w:color w:val="000000" w:themeColor="text1"/>
                <w:sz w:val="24"/>
                <w:szCs w:val="24"/>
                <w14:textFill>
                  <w14:solidFill>
                    <w14:schemeClr w14:val="tx1"/>
                  </w14:solidFill>
                </w14:textFill>
              </w:rPr>
            </w:pPr>
          </w:p>
          <w:p>
            <w:pPr>
              <w:pStyle w:val="21"/>
              <w:rPr>
                <w:rFonts w:hAnsi="宋体" w:eastAsia="宋体"/>
                <w:sz w:val="24"/>
                <w:szCs w:val="24"/>
              </w:rPr>
            </w:pPr>
            <w:r>
              <w:rPr>
                <w:rFonts w:hint="eastAsia" w:hAnsi="宋体" w:eastAsia="宋体"/>
                <w:sz w:val="24"/>
                <w:szCs w:val="24"/>
              </w:rPr>
              <w:t>定位：</w:t>
            </w:r>
            <w:r>
              <w:rPr>
                <w:rFonts w:hAnsi="宋体" w:eastAsia="宋体"/>
                <w:sz w:val="24"/>
                <w:szCs w:val="24"/>
              </w:rPr>
              <w:br w:type="textWrapping"/>
            </w:r>
            <w:r>
              <w:rPr>
                <w:rFonts w:hAnsi="宋体" w:eastAsia="宋体"/>
                <w:sz w:val="24"/>
                <w:szCs w:val="24"/>
              </w:rPr>
              <w:t>独立（水平定位）1.2米</w:t>
            </w:r>
          </w:p>
          <w:p>
            <w:pPr>
              <w:pStyle w:val="21"/>
              <w:rPr>
                <w:rFonts w:hAnsi="宋体" w:eastAsia="宋体"/>
                <w:sz w:val="24"/>
                <w:szCs w:val="24"/>
              </w:rPr>
            </w:pPr>
            <w:r>
              <w:rPr>
                <w:rFonts w:hAnsi="宋体" w:eastAsia="宋体"/>
                <w:sz w:val="24"/>
                <w:szCs w:val="24"/>
              </w:rPr>
              <w:t>速度精度 0.0</w:t>
            </w:r>
            <w:r>
              <w:rPr>
                <w:rFonts w:hint="eastAsia" w:hAnsi="宋体" w:eastAsia="宋体"/>
                <w:sz w:val="24"/>
                <w:szCs w:val="24"/>
              </w:rPr>
              <w:t>6km/h</w:t>
            </w:r>
            <w:r>
              <w:rPr>
                <w:rFonts w:hAnsi="宋体" w:eastAsia="宋体"/>
                <w:sz w:val="24"/>
                <w:szCs w:val="24"/>
              </w:rPr>
              <w:br w:type="textWrapping"/>
            </w:r>
            <w:r>
              <w:rPr>
                <w:rFonts w:hint="eastAsia" w:hAnsi="宋体" w:eastAsia="宋体"/>
                <w:sz w:val="24"/>
                <w:szCs w:val="24"/>
              </w:rPr>
              <w:t>角度量程侧倾/俯仰/航向：60°/60°/180°</w:t>
            </w:r>
          </w:p>
          <w:p>
            <w:pPr>
              <w:pStyle w:val="21"/>
              <w:rPr>
                <w:rFonts w:hAnsi="宋体" w:eastAsia="宋体"/>
                <w:sz w:val="24"/>
                <w:szCs w:val="24"/>
              </w:rPr>
            </w:pPr>
            <w:r>
              <w:rPr>
                <w:rFonts w:hAnsi="宋体" w:eastAsia="宋体"/>
                <w:sz w:val="24"/>
                <w:szCs w:val="24"/>
              </w:rPr>
              <w:t>横滚和俯仰精度（动态）</w:t>
            </w:r>
            <w:r>
              <w:rPr>
                <w:rFonts w:hint="eastAsia" w:hAnsi="宋体" w:eastAsia="宋体"/>
                <w:sz w:val="24"/>
                <w:szCs w:val="24"/>
              </w:rPr>
              <w:t>：</w:t>
            </w:r>
            <w:r>
              <w:rPr>
                <w:rFonts w:hAnsi="宋体" w:eastAsia="宋体"/>
                <w:sz w:val="24"/>
                <w:szCs w:val="24"/>
              </w:rPr>
              <w:t>0.</w:t>
            </w:r>
            <w:r>
              <w:rPr>
                <w:rFonts w:hint="eastAsia" w:hAnsi="宋体" w:eastAsia="宋体"/>
                <w:sz w:val="24"/>
                <w:szCs w:val="24"/>
              </w:rPr>
              <w:t>15</w:t>
            </w:r>
            <w:r>
              <w:rPr>
                <w:rFonts w:hAnsi="宋体" w:eastAsia="宋体"/>
                <w:sz w:val="24"/>
                <w:szCs w:val="24"/>
              </w:rPr>
              <w:t>°</w:t>
            </w:r>
            <w:r>
              <w:rPr>
                <w:rFonts w:hAnsi="宋体" w:eastAsia="宋体"/>
                <w:sz w:val="24"/>
                <w:szCs w:val="24"/>
              </w:rPr>
              <w:br w:type="textWrapping"/>
            </w:r>
            <w:r>
              <w:rPr>
                <w:rFonts w:hAnsi="宋体" w:eastAsia="宋体"/>
                <w:sz w:val="24"/>
                <w:szCs w:val="24"/>
              </w:rPr>
              <w:t>航向精度（带GNSS动态）</w:t>
            </w:r>
            <w:r>
              <w:rPr>
                <w:rFonts w:hint="eastAsia" w:hAnsi="宋体" w:eastAsia="宋体"/>
                <w:sz w:val="24"/>
                <w:szCs w:val="24"/>
              </w:rPr>
              <w:t>：</w:t>
            </w:r>
            <w:r>
              <w:rPr>
                <w:rFonts w:hAnsi="宋体" w:eastAsia="宋体"/>
                <w:sz w:val="24"/>
                <w:szCs w:val="24"/>
              </w:rPr>
              <w:t>0.</w:t>
            </w:r>
            <w:r>
              <w:rPr>
                <w:rFonts w:hint="eastAsia" w:hAnsi="宋体" w:eastAsia="宋体"/>
                <w:sz w:val="24"/>
                <w:szCs w:val="24"/>
              </w:rPr>
              <w:t>2</w:t>
            </w:r>
            <w:r>
              <w:rPr>
                <w:rFonts w:hAnsi="宋体" w:eastAsia="宋体"/>
                <w:sz w:val="24"/>
                <w:szCs w:val="24"/>
              </w:rPr>
              <w:t>°</w:t>
            </w:r>
            <w:r>
              <w:rPr>
                <w:rFonts w:hAnsi="宋体" w:eastAsia="宋体"/>
                <w:sz w:val="24"/>
                <w:szCs w:val="24"/>
              </w:rPr>
              <w:br w:type="textWrapping"/>
            </w:r>
            <w:r>
              <w:rPr>
                <w:rFonts w:hAnsi="宋体" w:eastAsia="宋体"/>
                <w:sz w:val="24"/>
                <w:szCs w:val="24"/>
              </w:rPr>
              <w:t>范围（陀螺仪/加速度计）</w:t>
            </w:r>
            <w:r>
              <w:rPr>
                <w:rFonts w:hint="eastAsia" w:hAnsi="宋体" w:eastAsia="宋体"/>
                <w:sz w:val="24"/>
                <w:szCs w:val="24"/>
              </w:rPr>
              <w:t>:</w:t>
            </w:r>
            <w:r>
              <w:rPr>
                <w:rFonts w:hAnsi="宋体" w:eastAsia="宋体"/>
                <w:sz w:val="24"/>
                <w:szCs w:val="24"/>
              </w:rPr>
              <w:t>±4</w:t>
            </w:r>
            <w:r>
              <w:rPr>
                <w:rFonts w:hint="eastAsia" w:hAnsi="宋体" w:eastAsia="宋体"/>
                <w:sz w:val="24"/>
                <w:szCs w:val="24"/>
              </w:rPr>
              <w:t>5</w:t>
            </w:r>
            <w:r>
              <w:rPr>
                <w:rFonts w:hAnsi="宋体" w:eastAsia="宋体"/>
                <w:sz w:val="24"/>
                <w:szCs w:val="24"/>
              </w:rPr>
              <w:t>0度/秒 / ±1</w:t>
            </w:r>
            <w:r>
              <w:rPr>
                <w:rFonts w:hint="eastAsia" w:hAnsi="宋体" w:eastAsia="宋体"/>
                <w:sz w:val="24"/>
                <w:szCs w:val="24"/>
              </w:rPr>
              <w:t>5</w:t>
            </w:r>
            <w:r>
              <w:rPr>
                <w:rFonts w:hAnsi="宋体" w:eastAsia="宋体"/>
                <w:sz w:val="24"/>
                <w:szCs w:val="24"/>
              </w:rPr>
              <w:t xml:space="preserve"> g</w:t>
            </w:r>
            <w:r>
              <w:rPr>
                <w:rFonts w:hAnsi="宋体" w:eastAsia="宋体"/>
                <w:sz w:val="24"/>
                <w:szCs w:val="24"/>
              </w:rPr>
              <w:br w:type="textWrapping"/>
            </w:r>
            <w:r>
              <w:rPr>
                <w:rFonts w:hAnsi="宋体" w:eastAsia="宋体"/>
                <w:sz w:val="24"/>
                <w:szCs w:val="24"/>
              </w:rPr>
              <w:t>热启动时间</w:t>
            </w:r>
            <w:r>
              <w:rPr>
                <w:rFonts w:hint="eastAsia" w:hAnsi="宋体" w:eastAsia="宋体"/>
                <w:sz w:val="24"/>
                <w:szCs w:val="24"/>
              </w:rPr>
              <w:t>：</w:t>
            </w:r>
            <w:r>
              <w:rPr>
                <w:rFonts w:hAnsi="宋体" w:eastAsia="宋体"/>
                <w:sz w:val="24"/>
                <w:szCs w:val="24"/>
              </w:rPr>
              <w:t xml:space="preserve">&lt; </w:t>
            </w:r>
            <w:r>
              <w:rPr>
                <w:rFonts w:hint="eastAsia" w:hAnsi="宋体" w:eastAsia="宋体"/>
                <w:sz w:val="24"/>
                <w:szCs w:val="24"/>
              </w:rPr>
              <w:t>1</w:t>
            </w:r>
            <w:r>
              <w:rPr>
                <w:rFonts w:hAnsi="宋体" w:eastAsia="宋体"/>
                <w:sz w:val="24"/>
                <w:szCs w:val="24"/>
              </w:rPr>
              <w:t>0秒</w:t>
            </w:r>
            <w:r>
              <w:rPr>
                <w:rFonts w:hAnsi="宋体" w:eastAsia="宋体"/>
                <w:sz w:val="24"/>
                <w:szCs w:val="24"/>
              </w:rPr>
              <w:br w:type="textWrapping"/>
            </w:r>
            <w:r>
              <w:rPr>
                <w:rFonts w:hAnsi="宋体" w:eastAsia="宋体"/>
                <w:sz w:val="24"/>
                <w:szCs w:val="24"/>
              </w:rPr>
              <w:t>输出数据速率</w:t>
            </w:r>
            <w:r>
              <w:rPr>
                <w:rFonts w:hint="eastAsia" w:hAnsi="宋体" w:eastAsia="宋体"/>
                <w:sz w:val="24"/>
                <w:szCs w:val="24"/>
              </w:rPr>
              <w:t>：2</w:t>
            </w:r>
            <w:r>
              <w:rPr>
                <w:rFonts w:hAnsi="宋体" w:eastAsia="宋体"/>
                <w:sz w:val="24"/>
                <w:szCs w:val="24"/>
              </w:rPr>
              <w:t>00 Hz</w:t>
            </w:r>
            <w:r>
              <w:rPr>
                <w:rFonts w:hAnsi="宋体" w:eastAsia="宋体"/>
                <w:sz w:val="24"/>
                <w:szCs w:val="24"/>
              </w:rPr>
              <w:br w:type="textWrapping"/>
            </w:r>
          </w:p>
          <w:p>
            <w:pPr>
              <w:pStyle w:val="21"/>
              <w:rPr>
                <w:rFonts w:hAnsi="宋体" w:eastAsia="宋体"/>
                <w:sz w:val="24"/>
                <w:szCs w:val="24"/>
              </w:rPr>
            </w:pPr>
            <w:r>
              <w:rPr>
                <w:rFonts w:hAnsi="宋体" w:eastAsia="宋体"/>
                <w:sz w:val="24"/>
                <w:szCs w:val="24"/>
              </w:rPr>
              <w:t>GNSS</w:t>
            </w:r>
            <w:r>
              <w:rPr>
                <w:rFonts w:hAnsi="宋体" w:eastAsia="宋体"/>
                <w:sz w:val="24"/>
                <w:szCs w:val="24"/>
              </w:rPr>
              <w:br w:type="textWrapping"/>
            </w:r>
            <w:r>
              <w:rPr>
                <w:rFonts w:hAnsi="宋体" w:eastAsia="宋体"/>
                <w:sz w:val="24"/>
                <w:szCs w:val="24"/>
              </w:rPr>
              <w:t xml:space="preserve">支持的导航系统 GPS L1、L2、L5；GLONASS L1、L2、L3；北斗 B1、B2；Galileo E1、AltBOC、E5a、E5b； </w:t>
            </w:r>
            <w:r>
              <w:rPr>
                <w:rFonts w:hAnsi="宋体" w:eastAsia="宋体"/>
                <w:sz w:val="24"/>
                <w:szCs w:val="24"/>
              </w:rPr>
              <w:br w:type="textWrapping"/>
            </w:r>
            <w:r>
              <w:rPr>
                <w:rFonts w:hAnsi="宋体" w:eastAsia="宋体"/>
                <w:sz w:val="24"/>
                <w:szCs w:val="24"/>
              </w:rPr>
              <w:t>支持的SBAS系统 SBAS L1、L5；</w:t>
            </w:r>
          </w:p>
          <w:p>
            <w:pPr>
              <w:pStyle w:val="21"/>
              <w:rPr>
                <w:rFonts w:hAnsi="宋体" w:eastAsia="宋体"/>
                <w:sz w:val="24"/>
                <w:szCs w:val="24"/>
              </w:rPr>
            </w:pPr>
          </w:p>
          <w:p>
            <w:pPr>
              <w:pStyle w:val="21"/>
              <w:rPr>
                <w:rFonts w:hAnsi="宋体" w:eastAsia="宋体"/>
                <w:sz w:val="24"/>
                <w:szCs w:val="24"/>
              </w:rPr>
            </w:pPr>
            <w:r>
              <w:rPr>
                <w:rFonts w:hAnsi="宋体" w:eastAsia="宋体"/>
                <w:sz w:val="24"/>
                <w:szCs w:val="24"/>
              </w:rPr>
              <w:t>陀螺仪</w:t>
            </w:r>
            <w:r>
              <w:rPr>
                <w:rFonts w:hAnsi="宋体" w:eastAsia="宋体"/>
                <w:sz w:val="24"/>
                <w:szCs w:val="24"/>
              </w:rPr>
              <w:br w:type="textWrapping"/>
            </w:r>
            <w:r>
              <w:rPr>
                <w:rFonts w:hint="eastAsia" w:hAnsi="宋体" w:eastAsia="宋体"/>
                <w:sz w:val="24"/>
                <w:szCs w:val="24"/>
              </w:rPr>
              <w:t>角速度量程：</w:t>
            </w:r>
            <w:r>
              <w:rPr>
                <w:rFonts w:hAnsi="宋体" w:eastAsia="宋体"/>
                <w:sz w:val="24"/>
                <w:szCs w:val="24"/>
              </w:rPr>
              <w:t>±4</w:t>
            </w:r>
            <w:r>
              <w:rPr>
                <w:rFonts w:hint="eastAsia" w:hAnsi="宋体" w:eastAsia="宋体"/>
                <w:sz w:val="24"/>
                <w:szCs w:val="24"/>
              </w:rPr>
              <w:t>5</w:t>
            </w:r>
            <w:r>
              <w:rPr>
                <w:rFonts w:hAnsi="宋体" w:eastAsia="宋体"/>
                <w:sz w:val="24"/>
                <w:szCs w:val="24"/>
              </w:rPr>
              <w:t xml:space="preserve">0 °/s </w:t>
            </w:r>
          </w:p>
          <w:p>
            <w:pPr>
              <w:pStyle w:val="21"/>
              <w:rPr>
                <w:rFonts w:hAnsi="宋体" w:eastAsia="宋体"/>
                <w:sz w:val="24"/>
                <w:szCs w:val="24"/>
              </w:rPr>
            </w:pPr>
            <w:r>
              <w:rPr>
                <w:rFonts w:hAnsi="宋体" w:eastAsia="宋体"/>
                <w:sz w:val="24"/>
                <w:szCs w:val="24"/>
              </w:rPr>
              <w:t>偏置重复性</w:t>
            </w:r>
            <w:r>
              <w:rPr>
                <w:rFonts w:hint="eastAsia" w:hAnsi="宋体" w:eastAsia="宋体"/>
                <w:sz w:val="24"/>
                <w:szCs w:val="24"/>
              </w:rPr>
              <w:t>：0.14°/s(x,y轴)，1.4</w:t>
            </w:r>
            <w:r>
              <w:rPr>
                <w:rFonts w:hAnsi="宋体" w:eastAsia="宋体"/>
                <w:sz w:val="24"/>
                <w:szCs w:val="24"/>
              </w:rPr>
              <w:t xml:space="preserve"> </w:t>
            </w:r>
            <w:r>
              <w:rPr>
                <w:rFonts w:hint="eastAsia" w:hAnsi="宋体" w:eastAsia="宋体"/>
                <w:sz w:val="24"/>
                <w:szCs w:val="24"/>
              </w:rPr>
              <w:t>°/s（z轴）</w:t>
            </w:r>
            <w:r>
              <w:rPr>
                <w:rFonts w:hAnsi="宋体" w:eastAsia="宋体"/>
                <w:sz w:val="24"/>
                <w:szCs w:val="24"/>
              </w:rPr>
              <w:br w:type="textWrapping"/>
            </w:r>
            <w:r>
              <w:rPr>
                <w:rFonts w:hAnsi="宋体" w:eastAsia="宋体"/>
                <w:sz w:val="24"/>
                <w:szCs w:val="24"/>
              </w:rPr>
              <w:t>偏置运行稳定性</w:t>
            </w:r>
            <w:r>
              <w:rPr>
                <w:rFonts w:hint="eastAsia" w:hAnsi="宋体" w:eastAsia="宋体"/>
                <w:sz w:val="24"/>
                <w:szCs w:val="24"/>
              </w:rPr>
              <w:t>x/y/z轴：2.7/2.2/1.6</w:t>
            </w:r>
            <w:r>
              <w:rPr>
                <w:rFonts w:hAnsi="宋体" w:eastAsia="宋体"/>
                <w:sz w:val="24"/>
                <w:szCs w:val="24"/>
              </w:rPr>
              <w:t>°/h</w:t>
            </w:r>
          </w:p>
          <w:p>
            <w:pPr>
              <w:pStyle w:val="21"/>
              <w:rPr>
                <w:rFonts w:hAnsi="宋体" w:eastAsia="宋体"/>
                <w:sz w:val="24"/>
                <w:szCs w:val="24"/>
              </w:rPr>
            </w:pPr>
            <w:r>
              <w:rPr>
                <w:rFonts w:hAnsi="宋体" w:eastAsia="宋体"/>
                <w:sz w:val="24"/>
                <w:szCs w:val="24"/>
              </w:rPr>
              <w:t>随机游走</w:t>
            </w:r>
            <w:r>
              <w:rPr>
                <w:rFonts w:hint="eastAsia" w:hAnsi="宋体" w:eastAsia="宋体"/>
                <w:sz w:val="24"/>
                <w:szCs w:val="24"/>
              </w:rPr>
              <w:t>:≤</w:t>
            </w:r>
            <w:r>
              <w:rPr>
                <w:rFonts w:hAnsi="宋体" w:eastAsia="宋体"/>
                <w:sz w:val="24"/>
                <w:szCs w:val="24"/>
              </w:rPr>
              <w:t>0.2 °/√h</w:t>
            </w:r>
          </w:p>
          <w:p>
            <w:pPr>
              <w:pStyle w:val="21"/>
              <w:rPr>
                <w:rFonts w:hAnsi="宋体" w:eastAsia="宋体"/>
                <w:sz w:val="24"/>
                <w:szCs w:val="24"/>
              </w:rPr>
            </w:pPr>
            <w:r>
              <w:rPr>
                <w:rFonts w:hAnsi="宋体" w:eastAsia="宋体"/>
                <w:sz w:val="24"/>
                <w:szCs w:val="24"/>
              </w:rPr>
              <w:t>带宽</w:t>
            </w:r>
            <w:r>
              <w:rPr>
                <w:rFonts w:hint="eastAsia" w:hAnsi="宋体" w:eastAsia="宋体"/>
                <w:sz w:val="24"/>
                <w:szCs w:val="24"/>
              </w:rPr>
              <w:t>： 480Hz，Z轴：590Hz</w:t>
            </w:r>
          </w:p>
          <w:p>
            <w:pPr>
              <w:pStyle w:val="21"/>
              <w:rPr>
                <w:rFonts w:hAnsi="宋体" w:eastAsia="宋体"/>
                <w:sz w:val="24"/>
                <w:szCs w:val="24"/>
              </w:rPr>
            </w:pPr>
          </w:p>
          <w:p>
            <w:pPr>
              <w:pStyle w:val="21"/>
              <w:rPr>
                <w:rFonts w:hAnsi="宋体" w:eastAsia="宋体"/>
                <w:sz w:val="24"/>
                <w:szCs w:val="24"/>
              </w:rPr>
            </w:pPr>
            <w:r>
              <w:rPr>
                <w:rFonts w:hAnsi="宋体" w:eastAsia="宋体"/>
                <w:sz w:val="24"/>
                <w:szCs w:val="24"/>
              </w:rPr>
              <w:t>加速度计</w:t>
            </w:r>
            <w:r>
              <w:rPr>
                <w:rFonts w:hAnsi="宋体" w:eastAsia="宋体"/>
                <w:sz w:val="24"/>
                <w:szCs w:val="24"/>
              </w:rPr>
              <w:br w:type="textWrapping"/>
            </w:r>
            <w:r>
              <w:rPr>
                <w:rFonts w:hAnsi="宋体" w:eastAsia="宋体"/>
                <w:sz w:val="24"/>
                <w:szCs w:val="24"/>
              </w:rPr>
              <w:t>量程</w:t>
            </w:r>
            <w:r>
              <w:rPr>
                <w:rFonts w:hint="eastAsia" w:hAnsi="宋体" w:eastAsia="宋体"/>
                <w:sz w:val="24"/>
                <w:szCs w:val="24"/>
              </w:rPr>
              <w:t>：</w:t>
            </w:r>
            <w:r>
              <w:rPr>
                <w:rFonts w:hAnsi="宋体" w:eastAsia="宋体"/>
                <w:sz w:val="24"/>
                <w:szCs w:val="24"/>
              </w:rPr>
              <w:t>±1</w:t>
            </w:r>
            <w:r>
              <w:rPr>
                <w:rFonts w:hint="eastAsia" w:hAnsi="宋体" w:eastAsia="宋体"/>
                <w:sz w:val="24"/>
                <w:szCs w:val="24"/>
              </w:rPr>
              <w:t>5</w:t>
            </w:r>
            <w:r>
              <w:rPr>
                <w:rFonts w:hAnsi="宋体" w:eastAsia="宋体"/>
                <w:sz w:val="24"/>
                <w:szCs w:val="24"/>
              </w:rPr>
              <w:t>g</w:t>
            </w:r>
            <w:r>
              <w:rPr>
                <w:rFonts w:hAnsi="宋体" w:eastAsia="宋体"/>
                <w:sz w:val="24"/>
                <w:szCs w:val="24"/>
              </w:rPr>
              <w:br w:type="textWrapping"/>
            </w:r>
            <w:r>
              <w:rPr>
                <w:rFonts w:hAnsi="宋体" w:eastAsia="宋体"/>
                <w:sz w:val="24"/>
                <w:szCs w:val="24"/>
              </w:rPr>
              <w:t>偏置重复性</w:t>
            </w:r>
            <w:r>
              <w:rPr>
                <w:rFonts w:hint="eastAsia" w:hAnsi="宋体" w:eastAsia="宋体"/>
                <w:sz w:val="24"/>
                <w:szCs w:val="24"/>
              </w:rPr>
              <w:t>：15</w:t>
            </w:r>
            <w:r>
              <w:rPr>
                <w:rFonts w:hAnsi="宋体" w:eastAsia="宋体"/>
                <w:sz w:val="24"/>
                <w:szCs w:val="24"/>
              </w:rPr>
              <w:t>mg (1σ)</w:t>
            </w:r>
            <w:r>
              <w:rPr>
                <w:rFonts w:hAnsi="宋体" w:eastAsia="宋体"/>
                <w:sz w:val="24"/>
                <w:szCs w:val="24"/>
              </w:rPr>
              <w:br w:type="textWrapping"/>
            </w:r>
            <w:r>
              <w:rPr>
                <w:rFonts w:hAnsi="宋体" w:eastAsia="宋体"/>
                <w:sz w:val="24"/>
                <w:szCs w:val="24"/>
              </w:rPr>
              <w:t>偏置运行稳定性</w:t>
            </w:r>
            <w:r>
              <w:rPr>
                <w:rFonts w:hint="eastAsia" w:hAnsi="宋体" w:eastAsia="宋体"/>
                <w:sz w:val="24"/>
                <w:szCs w:val="24"/>
              </w:rPr>
              <w:t>:&lt;15ug</w:t>
            </w:r>
            <w:r>
              <w:rPr>
                <w:rFonts w:hAnsi="宋体" w:eastAsia="宋体"/>
                <w:sz w:val="24"/>
                <w:szCs w:val="24"/>
              </w:rPr>
              <w:t>(1σ)</w:t>
            </w:r>
            <w:r>
              <w:rPr>
                <w:rFonts w:hAnsi="宋体" w:eastAsia="宋体"/>
                <w:sz w:val="24"/>
                <w:szCs w:val="24"/>
              </w:rPr>
              <w:br w:type="textWrapping"/>
            </w:r>
            <w:r>
              <w:rPr>
                <w:rFonts w:hAnsi="宋体" w:eastAsia="宋体"/>
                <w:sz w:val="24"/>
                <w:szCs w:val="24"/>
              </w:rPr>
              <w:t>随机游走</w:t>
            </w:r>
            <w:r>
              <w:rPr>
                <w:rFonts w:hint="eastAsia" w:hAnsi="宋体" w:eastAsia="宋体"/>
                <w:sz w:val="24"/>
                <w:szCs w:val="24"/>
              </w:rPr>
              <w:t>:≤90ug</w:t>
            </w:r>
            <w:r>
              <w:rPr>
                <w:rFonts w:hAnsi="宋体" w:eastAsia="宋体"/>
                <w:sz w:val="24"/>
                <w:szCs w:val="24"/>
              </w:rPr>
              <w:t>/√h</w:t>
            </w:r>
            <w:r>
              <w:rPr>
                <w:rFonts w:hAnsi="宋体" w:eastAsia="宋体"/>
                <w:sz w:val="24"/>
                <w:szCs w:val="24"/>
              </w:rPr>
              <w:br w:type="textWrapping"/>
            </w:r>
            <w:r>
              <w:rPr>
                <w:rFonts w:hAnsi="宋体" w:eastAsia="宋体"/>
                <w:sz w:val="24"/>
                <w:szCs w:val="24"/>
              </w:rPr>
              <w:t>带宽</w:t>
            </w:r>
            <w:r>
              <w:rPr>
                <w:rFonts w:hint="eastAsia" w:hAnsi="宋体" w:eastAsia="宋体"/>
                <w:sz w:val="24"/>
                <w:szCs w:val="24"/>
              </w:rPr>
              <w:t>：750Hz</w:t>
            </w:r>
            <w:r>
              <w:rPr>
                <w:rFonts w:hAnsi="宋体" w:eastAsia="宋体"/>
                <w:sz w:val="24"/>
                <w:szCs w:val="24"/>
              </w:rPr>
              <w:br w:type="textWrapping"/>
            </w:r>
          </w:p>
          <w:p>
            <w:pPr>
              <w:pStyle w:val="21"/>
              <w:rPr>
                <w:rFonts w:hAnsi="宋体" w:eastAsia="宋体"/>
                <w:sz w:val="24"/>
                <w:szCs w:val="24"/>
              </w:rPr>
            </w:pPr>
            <w:r>
              <w:rPr>
                <w:rFonts w:hint="eastAsia" w:hAnsi="宋体" w:eastAsia="宋体"/>
                <w:sz w:val="24"/>
                <w:szCs w:val="24"/>
              </w:rPr>
              <w:t>基本性能：</w:t>
            </w:r>
          </w:p>
          <w:p>
            <w:pPr>
              <w:pStyle w:val="21"/>
              <w:rPr>
                <w:rFonts w:hAnsi="宋体" w:eastAsia="宋体"/>
                <w:sz w:val="24"/>
                <w:szCs w:val="24"/>
              </w:rPr>
            </w:pPr>
            <w:r>
              <w:rPr>
                <w:rFonts w:hint="eastAsia" w:hAnsi="宋体" w:eastAsia="宋体"/>
                <w:sz w:val="24"/>
                <w:szCs w:val="24"/>
              </w:rPr>
              <w:t>重量：不大于250g</w:t>
            </w:r>
          </w:p>
          <w:p>
            <w:pPr>
              <w:pStyle w:val="21"/>
              <w:rPr>
                <w:rFonts w:hAnsi="宋体" w:eastAsia="宋体"/>
                <w:sz w:val="24"/>
                <w:szCs w:val="24"/>
              </w:rPr>
            </w:pPr>
            <w:r>
              <w:rPr>
                <w:rFonts w:hint="eastAsia" w:hAnsi="宋体" w:eastAsia="宋体"/>
                <w:sz w:val="24"/>
                <w:szCs w:val="24"/>
              </w:rPr>
              <w:t>供电：9-32VDC</w:t>
            </w:r>
          </w:p>
          <w:p>
            <w:pPr>
              <w:pStyle w:val="21"/>
              <w:rPr>
                <w:rFonts w:hAnsi="宋体" w:eastAsia="宋体"/>
                <w:sz w:val="24"/>
                <w:szCs w:val="24"/>
              </w:rPr>
            </w:pPr>
            <w:r>
              <w:rPr>
                <w:rFonts w:hint="eastAsia" w:hAnsi="宋体" w:eastAsia="宋体"/>
                <w:sz w:val="24"/>
                <w:szCs w:val="24"/>
              </w:rPr>
              <w:t>尺寸：93*71.5*32.5mm</w:t>
            </w:r>
          </w:p>
          <w:p>
            <w:pPr>
              <w:pStyle w:val="21"/>
              <w:rPr>
                <w:rFonts w:hAnsi="宋体" w:eastAsia="宋体"/>
                <w:sz w:val="24"/>
                <w:szCs w:val="24"/>
              </w:rPr>
            </w:pPr>
            <w:r>
              <w:rPr>
                <w:rFonts w:hint="eastAsia" w:hAnsi="宋体" w:eastAsia="宋体"/>
                <w:sz w:val="24"/>
                <w:szCs w:val="24"/>
              </w:rPr>
              <w:t>工作温度：-20-75℃</w:t>
            </w:r>
          </w:p>
          <w:p>
            <w:pPr>
              <w:pStyle w:val="21"/>
              <w:rPr>
                <w:rFonts w:hAnsi="宋体" w:eastAsia="宋体"/>
                <w:sz w:val="24"/>
                <w:szCs w:val="24"/>
              </w:rPr>
            </w:pPr>
            <w:r>
              <w:rPr>
                <w:rFonts w:hint="eastAsia" w:hAnsi="宋体" w:eastAsia="宋体"/>
                <w:sz w:val="24"/>
                <w:szCs w:val="24"/>
              </w:rPr>
              <w:t>防护等级：IP67</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3</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数据采集</w:t>
            </w:r>
          </w:p>
        </w:tc>
        <w:tc>
          <w:tcPr>
            <w:tcW w:w="5841" w:type="dxa"/>
            <w:vAlign w:val="center"/>
          </w:tcPr>
          <w:p>
            <w:pPr>
              <w:widowControl/>
              <w:jc w:val="left"/>
              <w:rPr>
                <w:rFonts w:hAnsi="宋体" w:eastAsia="宋体" w:cs="宋体"/>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采用3个标准Dewe43A便携式数采模块（8通道模拟，8通道数字，2通道CAN）组合，包含PC处理单元、陀螺仪、力、位移、惯量、温度等传感器，</w:t>
            </w:r>
            <w:r>
              <w:rPr>
                <w:rFonts w:hint="eastAsia" w:hAnsi="宋体" w:eastAsia="宋体" w:cs="宋体"/>
                <w:color w:val="000000" w:themeColor="text1"/>
                <w:sz w:val="24"/>
                <w:szCs w:val="24"/>
                <w14:textFill>
                  <w14:solidFill>
                    <w14:schemeClr w14:val="tx1"/>
                  </w14:solidFill>
                </w14:textFill>
              </w:rPr>
              <w:t>自带采集软件，</w:t>
            </w:r>
            <w:r>
              <w:rPr>
                <w:rFonts w:hint="eastAsia" w:hAnsi="宋体" w:eastAsia="宋体" w:cs="宋体"/>
                <w:b/>
                <w:bCs/>
                <w:color w:val="000000" w:themeColor="text1"/>
                <w:sz w:val="24"/>
                <w:szCs w:val="24"/>
                <w14:textFill>
                  <w14:solidFill>
                    <w14:schemeClr w14:val="tx1"/>
                  </w14:solidFill>
                </w14:textFill>
              </w:rPr>
              <w:t>支持音视频采集播放</w:t>
            </w:r>
            <w:r>
              <w:rPr>
                <w:rFonts w:hint="eastAsia" w:hAnsi="宋体" w:eastAsia="宋体" w:cs="宋体"/>
                <w:color w:val="000000" w:themeColor="text1"/>
                <w:sz w:val="24"/>
                <w:szCs w:val="24"/>
                <w14:textFill>
                  <w14:solidFill>
                    <w14:schemeClr w14:val="tx1"/>
                  </w14:solidFill>
                </w14:textFill>
              </w:rPr>
              <w:t>；</w:t>
            </w:r>
          </w:p>
          <w:p>
            <w:pPr>
              <w:widowControl/>
              <w:jc w:val="left"/>
              <w:rPr>
                <w:rFonts w:hAnsi="宋体" w:eastAsia="宋体" w:cs="宋体"/>
                <w:color w:val="000000" w:themeColor="text1"/>
                <w:sz w:val="24"/>
                <w:szCs w:val="24"/>
                <w14:textFill>
                  <w14:solidFill>
                    <w14:schemeClr w14:val="tx1"/>
                  </w14:solidFill>
                </w14:textFill>
              </w:rPr>
            </w:pPr>
          </w:p>
          <w:p>
            <w:pPr>
              <w:widowControl/>
              <w:jc w:val="left"/>
              <w:rPr>
                <w:rFonts w:hAnsi="宋体" w:eastAsia="宋体"/>
                <w:sz w:val="24"/>
                <w:szCs w:val="24"/>
              </w:rPr>
            </w:pPr>
            <w:r>
              <w:rPr>
                <w:rFonts w:hAnsi="宋体" w:eastAsia="宋体"/>
                <w:sz w:val="24"/>
                <w:szCs w:val="24"/>
              </w:rPr>
              <w:t>模拟输入</w:t>
            </w:r>
            <w:r>
              <w:rPr>
                <w:rFonts w:hAnsi="宋体" w:eastAsia="宋体"/>
                <w:sz w:val="24"/>
                <w:szCs w:val="24"/>
              </w:rPr>
              <w:br w:type="textWrapping"/>
            </w:r>
            <w:r>
              <w:rPr>
                <w:rFonts w:hAnsi="宋体" w:eastAsia="宋体"/>
                <w:sz w:val="24"/>
                <w:szCs w:val="24"/>
              </w:rPr>
              <w:t>通道数量</w:t>
            </w:r>
            <w:r>
              <w:rPr>
                <w:rFonts w:hint="eastAsia" w:hAnsi="宋体" w:eastAsia="宋体"/>
                <w:sz w:val="24"/>
                <w:szCs w:val="24"/>
              </w:rPr>
              <w:t>：</w:t>
            </w:r>
            <w:r>
              <w:rPr>
                <w:rFonts w:hAnsi="宋体" w:eastAsia="宋体"/>
                <w:sz w:val="24"/>
                <w:szCs w:val="24"/>
              </w:rPr>
              <w:t>8</w:t>
            </w:r>
            <w:r>
              <w:rPr>
                <w:rFonts w:hAnsi="宋体" w:eastAsia="宋体"/>
                <w:sz w:val="24"/>
                <w:szCs w:val="24"/>
              </w:rPr>
              <w:br w:type="textWrapping"/>
            </w:r>
            <w:r>
              <w:rPr>
                <w:rFonts w:hAnsi="宋体" w:eastAsia="宋体"/>
                <w:sz w:val="24"/>
                <w:szCs w:val="24"/>
              </w:rPr>
              <w:t>输入</w:t>
            </w:r>
            <w:r>
              <w:rPr>
                <w:rFonts w:hint="eastAsia" w:hAnsi="宋体" w:eastAsia="宋体"/>
                <w:sz w:val="24"/>
                <w:szCs w:val="24"/>
              </w:rPr>
              <w:t>：</w:t>
            </w:r>
            <w:r>
              <w:rPr>
                <w:rFonts w:hAnsi="宋体" w:eastAsia="宋体"/>
                <w:sz w:val="24"/>
                <w:szCs w:val="24"/>
              </w:rPr>
              <w:t>电压，全桥</w:t>
            </w:r>
            <w:r>
              <w:rPr>
                <w:rFonts w:hAnsi="宋体" w:eastAsia="宋体"/>
                <w:sz w:val="24"/>
                <w:szCs w:val="24"/>
              </w:rPr>
              <w:br w:type="textWrapping"/>
            </w:r>
            <w:r>
              <w:rPr>
                <w:rFonts w:hAnsi="宋体" w:eastAsia="宋体"/>
                <w:sz w:val="24"/>
                <w:szCs w:val="24"/>
              </w:rPr>
              <w:t>ADC类型</w:t>
            </w:r>
            <w:r>
              <w:rPr>
                <w:rFonts w:hint="eastAsia" w:hAnsi="宋体" w:eastAsia="宋体"/>
                <w:sz w:val="24"/>
                <w:szCs w:val="24"/>
              </w:rPr>
              <w:t>：</w:t>
            </w:r>
            <w:r>
              <w:rPr>
                <w:rFonts w:hAnsi="宋体" w:eastAsia="宋体"/>
                <w:sz w:val="24"/>
                <w:szCs w:val="24"/>
              </w:rPr>
              <w:t>24位，带抗混叠滤波器</w:t>
            </w:r>
            <w:r>
              <w:rPr>
                <w:rFonts w:hAnsi="宋体" w:eastAsia="宋体"/>
                <w:sz w:val="24"/>
                <w:szCs w:val="24"/>
              </w:rPr>
              <w:br w:type="textWrapping"/>
            </w:r>
            <w:r>
              <w:rPr>
                <w:rFonts w:hAnsi="宋体" w:eastAsia="宋体"/>
                <w:sz w:val="24"/>
                <w:szCs w:val="24"/>
              </w:rPr>
              <w:t>采样率</w:t>
            </w:r>
            <w:r>
              <w:rPr>
                <w:rFonts w:hint="eastAsia" w:hAnsi="宋体" w:eastAsia="宋体"/>
                <w:sz w:val="24"/>
                <w:szCs w:val="24"/>
              </w:rPr>
              <w:t>：</w:t>
            </w:r>
            <w:r>
              <w:rPr>
                <w:rFonts w:hAnsi="宋体" w:eastAsia="宋体"/>
                <w:sz w:val="24"/>
                <w:szCs w:val="24"/>
              </w:rPr>
              <w:t>同步 200 kS/秒</w:t>
            </w:r>
            <w:r>
              <w:rPr>
                <w:rFonts w:hAnsi="宋体" w:eastAsia="宋体"/>
                <w:sz w:val="24"/>
                <w:szCs w:val="24"/>
              </w:rPr>
              <w:br w:type="textWrapping"/>
            </w:r>
            <w:r>
              <w:rPr>
                <w:rFonts w:hAnsi="宋体" w:eastAsia="宋体"/>
                <w:sz w:val="24"/>
                <w:szCs w:val="24"/>
              </w:rPr>
              <w:t>输入类型</w:t>
            </w:r>
            <w:r>
              <w:rPr>
                <w:rFonts w:hint="eastAsia" w:hAnsi="宋体" w:eastAsia="宋体"/>
                <w:sz w:val="24"/>
                <w:szCs w:val="24"/>
              </w:rPr>
              <w:t>：</w:t>
            </w:r>
            <w:r>
              <w:rPr>
                <w:rFonts w:hAnsi="宋体" w:eastAsia="宋体"/>
                <w:sz w:val="24"/>
                <w:szCs w:val="24"/>
              </w:rPr>
              <w:t>差分</w:t>
            </w:r>
            <w:r>
              <w:rPr>
                <w:rFonts w:hAnsi="宋体" w:eastAsia="宋体"/>
                <w:sz w:val="24"/>
                <w:szCs w:val="24"/>
              </w:rPr>
              <w:br w:type="textWrapping"/>
            </w:r>
            <w:r>
              <w:rPr>
                <w:rFonts w:hAnsi="宋体" w:eastAsia="宋体"/>
                <w:sz w:val="24"/>
                <w:szCs w:val="24"/>
              </w:rPr>
              <w:t>电压范围</w:t>
            </w:r>
            <w:r>
              <w:rPr>
                <w:rFonts w:hint="eastAsia" w:hAnsi="宋体" w:eastAsia="宋体"/>
                <w:sz w:val="24"/>
                <w:szCs w:val="24"/>
              </w:rPr>
              <w:t>：</w:t>
            </w:r>
            <w:r>
              <w:rPr>
                <w:rFonts w:hAnsi="宋体" w:eastAsia="宋体"/>
                <w:sz w:val="24"/>
                <w:szCs w:val="24"/>
              </w:rPr>
              <w:t>±10 mV</w:t>
            </w:r>
            <w:r>
              <w:rPr>
                <w:rFonts w:hint="eastAsia" w:hAnsi="宋体" w:eastAsia="宋体"/>
                <w:sz w:val="24"/>
                <w:szCs w:val="24"/>
              </w:rPr>
              <w:t>到</w:t>
            </w:r>
            <w:r>
              <w:rPr>
                <w:rFonts w:hAnsi="宋体" w:eastAsia="宋体"/>
                <w:sz w:val="24"/>
                <w:szCs w:val="24"/>
              </w:rPr>
              <w:t>±10 V</w:t>
            </w:r>
            <w:r>
              <w:rPr>
                <w:rFonts w:hAnsi="宋体" w:eastAsia="宋体"/>
                <w:sz w:val="24"/>
                <w:szCs w:val="24"/>
              </w:rPr>
              <w:br w:type="textWrapping"/>
            </w:r>
            <w:r>
              <w:rPr>
                <w:rFonts w:hAnsi="宋体" w:eastAsia="宋体"/>
                <w:sz w:val="24"/>
                <w:szCs w:val="24"/>
              </w:rPr>
              <w:t>直流精度</w:t>
            </w:r>
            <w:r>
              <w:rPr>
                <w:rFonts w:hint="eastAsia" w:hAnsi="宋体" w:eastAsia="宋体"/>
                <w:sz w:val="24"/>
                <w:szCs w:val="24"/>
              </w:rPr>
              <w:t>：不超过</w:t>
            </w:r>
            <w:r>
              <w:rPr>
                <w:rFonts w:hAnsi="宋体" w:eastAsia="宋体"/>
                <w:sz w:val="24"/>
                <w:szCs w:val="24"/>
              </w:rPr>
              <w:t xml:space="preserve">0.05% </w:t>
            </w:r>
            <w:r>
              <w:rPr>
                <w:rFonts w:hint="eastAsia" w:hAnsi="宋体" w:eastAsia="宋体"/>
                <w:sz w:val="24"/>
                <w:szCs w:val="24"/>
              </w:rPr>
              <w:t>读数值+</w:t>
            </w:r>
            <w:r>
              <w:rPr>
                <w:rFonts w:hAnsi="宋体" w:eastAsia="宋体"/>
                <w:sz w:val="24"/>
                <w:szCs w:val="24"/>
              </w:rPr>
              <w:t xml:space="preserve">1 mV </w:t>
            </w:r>
            <w:r>
              <w:rPr>
                <w:rFonts w:hAnsi="宋体" w:eastAsia="宋体"/>
                <w:sz w:val="24"/>
                <w:szCs w:val="24"/>
              </w:rPr>
              <w:br w:type="textWrapping"/>
            </w:r>
            <w:r>
              <w:rPr>
                <w:rFonts w:hint="eastAsia" w:hAnsi="宋体" w:eastAsia="宋体"/>
                <w:sz w:val="24"/>
                <w:szCs w:val="24"/>
              </w:rPr>
              <w:t>本底噪声：</w:t>
            </w:r>
            <w:r>
              <w:rPr>
                <w:rFonts w:hAnsi="宋体" w:eastAsia="宋体"/>
                <w:sz w:val="24"/>
                <w:szCs w:val="24"/>
              </w:rPr>
              <w:t>107 dB @ ±10 V范围</w:t>
            </w:r>
            <w:r>
              <w:rPr>
                <w:rFonts w:hAnsi="宋体" w:eastAsia="宋体"/>
                <w:sz w:val="24"/>
                <w:szCs w:val="24"/>
              </w:rPr>
              <w:br w:type="textWrapping"/>
            </w:r>
            <w:r>
              <w:rPr>
                <w:rFonts w:hAnsi="宋体" w:eastAsia="宋体"/>
                <w:sz w:val="24"/>
                <w:szCs w:val="24"/>
              </w:rPr>
              <w:t>信噪比：</w:t>
            </w:r>
            <w:r>
              <w:rPr>
                <w:rFonts w:hAnsi="宋体" w:eastAsia="宋体"/>
                <w:sz w:val="24"/>
                <w:szCs w:val="24"/>
              </w:rPr>
              <w:br w:type="textWrapping"/>
            </w:r>
            <w:r>
              <w:rPr>
                <w:rFonts w:hAnsi="宋体" w:eastAsia="宋体"/>
                <w:sz w:val="24"/>
                <w:szCs w:val="24"/>
              </w:rPr>
              <w:t>0.1 kS/s 到 51.2 kS/s</w:t>
            </w:r>
            <w:r>
              <w:rPr>
                <w:rFonts w:hint="eastAsia" w:hAnsi="宋体" w:eastAsia="宋体"/>
                <w:sz w:val="24"/>
                <w:szCs w:val="24"/>
              </w:rPr>
              <w:t>：</w:t>
            </w:r>
            <w:r>
              <w:rPr>
                <w:rFonts w:hAnsi="宋体" w:eastAsia="宋体"/>
                <w:sz w:val="24"/>
                <w:szCs w:val="24"/>
              </w:rPr>
              <w:t>105 dB</w:t>
            </w:r>
            <w:r>
              <w:rPr>
                <w:rFonts w:hAnsi="宋体" w:eastAsia="宋体"/>
                <w:sz w:val="24"/>
                <w:szCs w:val="24"/>
              </w:rPr>
              <w:br w:type="textWrapping"/>
            </w:r>
            <w:r>
              <w:rPr>
                <w:rFonts w:hAnsi="宋体" w:eastAsia="宋体"/>
                <w:sz w:val="24"/>
                <w:szCs w:val="24"/>
              </w:rPr>
              <w:t>51.2 kS/s 到 102.4 kS/s</w:t>
            </w:r>
            <w:r>
              <w:rPr>
                <w:rFonts w:hint="eastAsia" w:hAnsi="宋体" w:eastAsia="宋体"/>
                <w:sz w:val="24"/>
                <w:szCs w:val="24"/>
              </w:rPr>
              <w:t>：</w:t>
            </w:r>
            <w:r>
              <w:rPr>
                <w:rFonts w:hAnsi="宋体" w:eastAsia="宋体"/>
                <w:sz w:val="24"/>
                <w:szCs w:val="24"/>
              </w:rPr>
              <w:t>100 dB</w:t>
            </w:r>
            <w:r>
              <w:rPr>
                <w:rFonts w:hAnsi="宋体" w:eastAsia="宋体"/>
                <w:sz w:val="24"/>
                <w:szCs w:val="24"/>
              </w:rPr>
              <w:br w:type="textWrapping"/>
            </w:r>
            <w:r>
              <w:rPr>
                <w:rFonts w:hAnsi="宋体" w:eastAsia="宋体"/>
                <w:sz w:val="24"/>
                <w:szCs w:val="24"/>
              </w:rPr>
              <w:t>102.4 kS/s 到 200 kS/s</w:t>
            </w:r>
            <w:r>
              <w:rPr>
                <w:rFonts w:hint="eastAsia" w:hAnsi="宋体" w:eastAsia="宋体"/>
                <w:sz w:val="24"/>
                <w:szCs w:val="24"/>
              </w:rPr>
              <w:t>：</w:t>
            </w:r>
            <w:r>
              <w:rPr>
                <w:rFonts w:hAnsi="宋体" w:eastAsia="宋体"/>
                <w:sz w:val="24"/>
                <w:szCs w:val="24"/>
              </w:rPr>
              <w:t>75 dB</w:t>
            </w:r>
            <w:r>
              <w:rPr>
                <w:rFonts w:hAnsi="宋体" w:eastAsia="宋体"/>
                <w:sz w:val="24"/>
                <w:szCs w:val="24"/>
              </w:rPr>
              <w:br w:type="textWrapping"/>
            </w:r>
            <w:r>
              <w:rPr>
                <w:rFonts w:hAnsi="宋体" w:eastAsia="宋体"/>
                <w:sz w:val="24"/>
                <w:szCs w:val="24"/>
              </w:rPr>
              <w:t>增益漂移</w:t>
            </w:r>
            <w:r>
              <w:rPr>
                <w:rFonts w:hint="eastAsia" w:hAnsi="宋体" w:eastAsia="宋体"/>
                <w:sz w:val="24"/>
                <w:szCs w:val="24"/>
              </w:rPr>
              <w:t>：</w:t>
            </w:r>
            <w:r>
              <w:rPr>
                <w:rFonts w:hAnsi="宋体" w:eastAsia="宋体"/>
                <w:sz w:val="24"/>
                <w:szCs w:val="24"/>
              </w:rPr>
              <w:t>典型值 10 ppm/K，最大 40 ppm/K</w:t>
            </w:r>
            <w:r>
              <w:rPr>
                <w:rFonts w:hAnsi="宋体" w:eastAsia="宋体"/>
                <w:sz w:val="24"/>
                <w:szCs w:val="24"/>
              </w:rPr>
              <w:br w:type="textWrapping"/>
            </w:r>
            <w:r>
              <w:rPr>
                <w:rFonts w:hAnsi="宋体" w:eastAsia="宋体"/>
                <w:sz w:val="24"/>
                <w:szCs w:val="24"/>
              </w:rPr>
              <w:t>偏移漂移</w:t>
            </w:r>
            <w:r>
              <w:rPr>
                <w:rFonts w:hint="eastAsia" w:hAnsi="宋体" w:eastAsia="宋体"/>
                <w:sz w:val="24"/>
                <w:szCs w:val="24"/>
              </w:rPr>
              <w:t>：</w:t>
            </w:r>
            <w:r>
              <w:rPr>
                <w:rFonts w:hAnsi="宋体" w:eastAsia="宋体"/>
                <w:sz w:val="24"/>
                <w:szCs w:val="24"/>
              </w:rPr>
              <w:t>典型值 2 μV/K 量程的 5 ppm/K，最大 5 μV/K 量程的 10 ppm/K</w:t>
            </w:r>
            <w:r>
              <w:rPr>
                <w:rFonts w:hAnsi="宋体" w:eastAsia="宋体"/>
                <w:sz w:val="24"/>
                <w:szCs w:val="24"/>
              </w:rPr>
              <w:br w:type="textWrapping"/>
            </w:r>
            <w:r>
              <w:rPr>
                <w:rFonts w:hAnsi="宋体" w:eastAsia="宋体"/>
                <w:sz w:val="24"/>
                <w:szCs w:val="24"/>
              </w:rPr>
              <w:t>输入阻抗</w:t>
            </w:r>
            <w:r>
              <w:rPr>
                <w:rFonts w:hint="eastAsia" w:hAnsi="宋体" w:eastAsia="宋体"/>
                <w:sz w:val="24"/>
                <w:szCs w:val="24"/>
              </w:rPr>
              <w:t>：</w:t>
            </w:r>
            <w:r>
              <w:rPr>
                <w:rFonts w:hAnsi="宋体" w:eastAsia="宋体"/>
                <w:sz w:val="24"/>
                <w:szCs w:val="24"/>
              </w:rPr>
              <w:t>20 MΩ || 47 pF（差分） 10 MΩ || 33 pF（</w:t>
            </w:r>
            <w:r>
              <w:rPr>
                <w:rFonts w:hint="eastAsia" w:hAnsi="宋体" w:eastAsia="宋体"/>
                <w:sz w:val="24"/>
                <w:szCs w:val="24"/>
              </w:rPr>
              <w:t>单端</w:t>
            </w:r>
            <w:r>
              <w:rPr>
                <w:rFonts w:hAnsi="宋体" w:eastAsia="宋体"/>
                <w:sz w:val="24"/>
                <w:szCs w:val="24"/>
              </w:rPr>
              <w:t>）</w:t>
            </w:r>
            <w:r>
              <w:rPr>
                <w:rFonts w:hAnsi="宋体" w:eastAsia="宋体"/>
                <w:sz w:val="24"/>
                <w:szCs w:val="24"/>
              </w:rPr>
              <w:br w:type="textWrapping"/>
            </w:r>
            <w:r>
              <w:rPr>
                <w:rFonts w:hAnsi="宋体" w:eastAsia="宋体"/>
                <w:sz w:val="24"/>
                <w:szCs w:val="24"/>
              </w:rPr>
              <w:t>最大共模电压</w:t>
            </w:r>
            <w:r>
              <w:rPr>
                <w:rFonts w:hint="eastAsia" w:hAnsi="宋体" w:eastAsia="宋体"/>
                <w:sz w:val="24"/>
                <w:szCs w:val="24"/>
              </w:rPr>
              <w:t>：</w:t>
            </w:r>
            <w:r>
              <w:rPr>
                <w:rFonts w:hAnsi="宋体" w:eastAsia="宋体"/>
                <w:sz w:val="24"/>
                <w:szCs w:val="24"/>
              </w:rPr>
              <w:t>±13 V</w:t>
            </w:r>
            <w:r>
              <w:rPr>
                <w:rFonts w:hAnsi="宋体" w:eastAsia="宋体"/>
                <w:sz w:val="24"/>
                <w:szCs w:val="24"/>
              </w:rPr>
              <w:br w:type="textWrapping"/>
            </w:r>
            <w:r>
              <w:rPr>
                <w:rFonts w:hAnsi="宋体" w:eastAsia="宋体"/>
                <w:sz w:val="24"/>
                <w:szCs w:val="24"/>
              </w:rPr>
              <w:t>过压保护</w:t>
            </w:r>
            <w:r>
              <w:rPr>
                <w:rFonts w:hint="eastAsia" w:hAnsi="宋体" w:eastAsia="宋体"/>
                <w:sz w:val="24"/>
                <w:szCs w:val="24"/>
              </w:rPr>
              <w:t>：</w:t>
            </w:r>
            <w:r>
              <w:rPr>
                <w:rFonts w:hAnsi="宋体" w:eastAsia="宋体"/>
                <w:sz w:val="24"/>
                <w:szCs w:val="24"/>
              </w:rPr>
              <w:t>±70 V 输入保护</w:t>
            </w:r>
          </w:p>
          <w:p>
            <w:pPr>
              <w:pStyle w:val="21"/>
              <w:rPr>
                <w:rFonts w:hAnsi="宋体" w:eastAsia="宋体"/>
                <w:sz w:val="24"/>
                <w:szCs w:val="24"/>
              </w:rPr>
            </w:pPr>
          </w:p>
          <w:p>
            <w:pPr>
              <w:pStyle w:val="21"/>
              <w:rPr>
                <w:rFonts w:hAnsi="宋体" w:eastAsia="宋体"/>
                <w:sz w:val="24"/>
                <w:szCs w:val="24"/>
              </w:rPr>
            </w:pPr>
            <w:r>
              <w:rPr>
                <w:rFonts w:hAnsi="宋体" w:eastAsia="宋体"/>
                <w:sz w:val="24"/>
                <w:szCs w:val="24"/>
              </w:rPr>
              <w:t>计数器/数字输入</w:t>
            </w:r>
            <w:r>
              <w:rPr>
                <w:rFonts w:hAnsi="宋体" w:eastAsia="宋体"/>
                <w:sz w:val="24"/>
                <w:szCs w:val="24"/>
              </w:rPr>
              <w:br w:type="textWrapping"/>
            </w:r>
            <w:r>
              <w:rPr>
                <w:rFonts w:hAnsi="宋体" w:eastAsia="宋体"/>
                <w:sz w:val="24"/>
                <w:szCs w:val="24"/>
              </w:rPr>
              <w:t>通道数量 8 个计数器，与模拟信号完全同步</w:t>
            </w:r>
            <w:r>
              <w:rPr>
                <w:rFonts w:hAnsi="宋体" w:eastAsia="宋体"/>
                <w:sz w:val="24"/>
                <w:szCs w:val="24"/>
              </w:rPr>
              <w:br w:type="textWrapping"/>
            </w:r>
            <w:r>
              <w:rPr>
                <w:rFonts w:hAnsi="宋体" w:eastAsia="宋体"/>
                <w:sz w:val="24"/>
                <w:szCs w:val="24"/>
              </w:rPr>
              <w:t>模式</w:t>
            </w:r>
            <w:r>
              <w:rPr>
                <w:rFonts w:hint="eastAsia" w:hAnsi="宋体" w:eastAsia="宋体"/>
                <w:sz w:val="24"/>
                <w:szCs w:val="24"/>
              </w:rPr>
              <w:t>：</w:t>
            </w:r>
            <w:r>
              <w:rPr>
                <w:rFonts w:hAnsi="宋体" w:eastAsia="宋体"/>
                <w:sz w:val="24"/>
                <w:szCs w:val="24"/>
              </w:rPr>
              <w:t>计数、波形定时、编码器、测速、齿轮传感器</w:t>
            </w:r>
            <w:r>
              <w:rPr>
                <w:rFonts w:hAnsi="宋体" w:eastAsia="宋体"/>
                <w:sz w:val="24"/>
                <w:szCs w:val="24"/>
              </w:rPr>
              <w:br w:type="textWrapping"/>
            </w:r>
            <w:r>
              <w:rPr>
                <w:rFonts w:hAnsi="宋体" w:eastAsia="宋体"/>
                <w:sz w:val="24"/>
                <w:szCs w:val="24"/>
              </w:rPr>
              <w:t>计数器时基</w:t>
            </w:r>
            <w:r>
              <w:rPr>
                <w:rFonts w:hint="eastAsia" w:hAnsi="宋体" w:eastAsia="宋体"/>
                <w:sz w:val="24"/>
                <w:szCs w:val="24"/>
              </w:rPr>
              <w:t>：</w:t>
            </w:r>
            <w:r>
              <w:rPr>
                <w:rFonts w:hAnsi="宋体" w:eastAsia="宋体"/>
                <w:sz w:val="24"/>
                <w:szCs w:val="24"/>
              </w:rPr>
              <w:t>102.4 MHz</w:t>
            </w:r>
            <w:r>
              <w:rPr>
                <w:rFonts w:hAnsi="宋体" w:eastAsia="宋体"/>
                <w:sz w:val="24"/>
                <w:szCs w:val="24"/>
              </w:rPr>
              <w:br w:type="textWrapping"/>
            </w:r>
            <w:r>
              <w:rPr>
                <w:rFonts w:hAnsi="宋体" w:eastAsia="宋体"/>
                <w:sz w:val="24"/>
                <w:szCs w:val="24"/>
              </w:rPr>
              <w:t>时基精度</w:t>
            </w:r>
            <w:r>
              <w:rPr>
                <w:rFonts w:hint="eastAsia" w:hAnsi="宋体" w:eastAsia="宋体"/>
                <w:sz w:val="24"/>
                <w:szCs w:val="24"/>
              </w:rPr>
              <w:t>：</w:t>
            </w:r>
            <w:r>
              <w:rPr>
                <w:rFonts w:hAnsi="宋体" w:eastAsia="宋体"/>
                <w:sz w:val="24"/>
                <w:szCs w:val="24"/>
              </w:rPr>
              <w:t>典型值：5 ppm，最大值：20 ppm</w:t>
            </w:r>
            <w:r>
              <w:rPr>
                <w:rFonts w:hAnsi="宋体" w:eastAsia="宋体"/>
                <w:sz w:val="24"/>
                <w:szCs w:val="24"/>
              </w:rPr>
              <w:br w:type="textWrapping"/>
            </w:r>
            <w:r>
              <w:rPr>
                <w:rFonts w:hAnsi="宋体" w:eastAsia="宋体"/>
                <w:sz w:val="24"/>
                <w:szCs w:val="24"/>
              </w:rPr>
              <w:t>最大带宽</w:t>
            </w:r>
            <w:r>
              <w:rPr>
                <w:rFonts w:hint="eastAsia" w:hAnsi="宋体" w:eastAsia="宋体"/>
                <w:sz w:val="24"/>
                <w:szCs w:val="24"/>
              </w:rPr>
              <w:t>：</w:t>
            </w:r>
            <w:r>
              <w:rPr>
                <w:rFonts w:hAnsi="宋体" w:eastAsia="宋体"/>
                <w:sz w:val="24"/>
                <w:szCs w:val="24"/>
              </w:rPr>
              <w:t>10 MHz</w:t>
            </w:r>
            <w:r>
              <w:rPr>
                <w:rFonts w:hAnsi="宋体" w:eastAsia="宋体"/>
                <w:sz w:val="24"/>
                <w:szCs w:val="24"/>
              </w:rPr>
              <w:br w:type="textWrapping"/>
            </w:r>
            <w:r>
              <w:rPr>
                <w:rFonts w:hAnsi="宋体" w:eastAsia="宋体"/>
                <w:sz w:val="24"/>
                <w:szCs w:val="24"/>
              </w:rPr>
              <w:t>输入滤波器</w:t>
            </w:r>
            <w:r>
              <w:rPr>
                <w:rFonts w:hint="eastAsia" w:hAnsi="宋体" w:eastAsia="宋体"/>
                <w:sz w:val="24"/>
                <w:szCs w:val="24"/>
              </w:rPr>
              <w:t>：</w:t>
            </w:r>
            <w:r>
              <w:rPr>
                <w:rFonts w:hAnsi="宋体" w:eastAsia="宋体"/>
                <w:sz w:val="24"/>
                <w:szCs w:val="24"/>
              </w:rPr>
              <w:t>500 ns、1 μs、2 μs、4 μs、5 μs 和 7.5 μs</w:t>
            </w:r>
            <w:r>
              <w:rPr>
                <w:rFonts w:hAnsi="宋体" w:eastAsia="宋体"/>
                <w:sz w:val="24"/>
                <w:szCs w:val="24"/>
              </w:rPr>
              <w:br w:type="textWrapping"/>
            </w:r>
            <w:r>
              <w:rPr>
                <w:rFonts w:hAnsi="宋体" w:eastAsia="宋体"/>
                <w:sz w:val="24"/>
                <w:szCs w:val="24"/>
              </w:rPr>
              <w:t>计数器分辨率</w:t>
            </w:r>
            <w:r>
              <w:rPr>
                <w:rFonts w:hint="eastAsia" w:hAnsi="宋体" w:eastAsia="宋体"/>
                <w:sz w:val="24"/>
                <w:szCs w:val="24"/>
              </w:rPr>
              <w:t>：</w:t>
            </w:r>
            <w:r>
              <w:rPr>
                <w:rFonts w:hAnsi="宋体" w:eastAsia="宋体"/>
                <w:sz w:val="24"/>
                <w:szCs w:val="24"/>
              </w:rPr>
              <w:t>32 位</w:t>
            </w:r>
            <w:r>
              <w:rPr>
                <w:rFonts w:hAnsi="宋体" w:eastAsia="宋体"/>
                <w:sz w:val="24"/>
                <w:szCs w:val="24"/>
              </w:rPr>
              <w:br w:type="textWrapping"/>
            </w:r>
            <w:r>
              <w:rPr>
                <w:rFonts w:hAnsi="宋体" w:eastAsia="宋体"/>
                <w:sz w:val="24"/>
                <w:szCs w:val="24"/>
              </w:rPr>
              <w:t>输入兼容电平</w:t>
            </w:r>
            <w:r>
              <w:rPr>
                <w:rFonts w:hint="eastAsia" w:hAnsi="宋体" w:eastAsia="宋体"/>
                <w:sz w:val="24"/>
                <w:szCs w:val="24"/>
              </w:rPr>
              <w:t>：</w:t>
            </w:r>
            <w:r>
              <w:rPr>
                <w:rFonts w:hAnsi="宋体" w:eastAsia="宋体"/>
                <w:sz w:val="24"/>
                <w:szCs w:val="24"/>
              </w:rPr>
              <w:t>TTL/CMOS（低：&lt;0.8 V，高：&gt;2 V）</w:t>
            </w:r>
            <w:r>
              <w:rPr>
                <w:rFonts w:hAnsi="宋体" w:eastAsia="宋体"/>
                <w:sz w:val="24"/>
                <w:szCs w:val="24"/>
              </w:rPr>
              <w:br w:type="textWrapping"/>
            </w:r>
            <w:r>
              <w:rPr>
                <w:rFonts w:hAnsi="宋体" w:eastAsia="宋体"/>
                <w:sz w:val="24"/>
                <w:szCs w:val="24"/>
              </w:rPr>
              <w:t>输入终端电阻</w:t>
            </w:r>
            <w:r>
              <w:rPr>
                <w:rFonts w:hint="eastAsia" w:hAnsi="宋体" w:eastAsia="宋体"/>
                <w:sz w:val="24"/>
                <w:szCs w:val="24"/>
              </w:rPr>
              <w:t>：</w:t>
            </w:r>
            <w:r>
              <w:rPr>
                <w:rFonts w:hAnsi="宋体" w:eastAsia="宋体"/>
                <w:sz w:val="24"/>
                <w:szCs w:val="24"/>
              </w:rPr>
              <w:t>100 kΩ 上拉至 3.3 V</w:t>
            </w:r>
            <w:r>
              <w:rPr>
                <w:rFonts w:hAnsi="宋体" w:eastAsia="宋体"/>
                <w:sz w:val="24"/>
                <w:szCs w:val="24"/>
              </w:rPr>
              <w:br w:type="textWrapping"/>
            </w:r>
            <w:r>
              <w:rPr>
                <w:rFonts w:hAnsi="宋体" w:eastAsia="宋体"/>
                <w:sz w:val="24"/>
                <w:szCs w:val="24"/>
              </w:rPr>
              <w:t>输入保护</w:t>
            </w:r>
            <w:r>
              <w:rPr>
                <w:rFonts w:hint="eastAsia" w:hAnsi="宋体" w:eastAsia="宋体"/>
                <w:sz w:val="24"/>
                <w:szCs w:val="24"/>
              </w:rPr>
              <w:t>：</w:t>
            </w:r>
            <w:r>
              <w:rPr>
                <w:rFonts w:hAnsi="宋体" w:eastAsia="宋体"/>
                <w:sz w:val="24"/>
                <w:szCs w:val="24"/>
              </w:rPr>
              <w:t>±30 V 持续</w:t>
            </w:r>
            <w:r>
              <w:rPr>
                <w:rFonts w:hAnsi="宋体" w:eastAsia="宋体"/>
                <w:sz w:val="24"/>
                <w:szCs w:val="24"/>
              </w:rPr>
              <w:br w:type="textWrapping"/>
            </w:r>
            <w:r>
              <w:rPr>
                <w:rFonts w:hAnsi="宋体" w:eastAsia="宋体"/>
                <w:sz w:val="24"/>
                <w:szCs w:val="24"/>
              </w:rPr>
              <w:t>传感器</w:t>
            </w:r>
            <w:r>
              <w:rPr>
                <w:rFonts w:hint="eastAsia" w:hAnsi="宋体" w:eastAsia="宋体"/>
                <w:sz w:val="24"/>
                <w:szCs w:val="24"/>
              </w:rPr>
              <w:t>供电：</w:t>
            </w:r>
            <w:r>
              <w:rPr>
                <w:rFonts w:hAnsi="宋体" w:eastAsia="宋体"/>
                <w:sz w:val="24"/>
                <w:szCs w:val="24"/>
              </w:rPr>
              <w:t>5 V, 12 V（见下文：电源、传感器电源）</w:t>
            </w:r>
            <w:r>
              <w:rPr>
                <w:rFonts w:hAnsi="宋体" w:eastAsia="宋体"/>
                <w:sz w:val="24"/>
                <w:szCs w:val="24"/>
              </w:rPr>
              <w:br w:type="textWrapping"/>
            </w:r>
            <w:r>
              <w:rPr>
                <w:rFonts w:hAnsi="宋体" w:eastAsia="宋体"/>
                <w:sz w:val="24"/>
                <w:szCs w:val="24"/>
              </w:rPr>
              <w:t>CAN 总线</w:t>
            </w:r>
            <w:r>
              <w:rPr>
                <w:rFonts w:hAnsi="宋体" w:eastAsia="宋体"/>
                <w:sz w:val="24"/>
                <w:szCs w:val="24"/>
              </w:rPr>
              <w:br w:type="textWrapping"/>
            </w:r>
            <w:r>
              <w:rPr>
                <w:rFonts w:hAnsi="宋体" w:eastAsia="宋体"/>
                <w:sz w:val="24"/>
                <w:szCs w:val="24"/>
              </w:rPr>
              <w:t>端口数量</w:t>
            </w:r>
            <w:r>
              <w:rPr>
                <w:rFonts w:hint="eastAsia" w:hAnsi="宋体" w:eastAsia="宋体"/>
                <w:sz w:val="24"/>
                <w:szCs w:val="24"/>
              </w:rPr>
              <w:t>：</w:t>
            </w:r>
            <w:r>
              <w:rPr>
                <w:rFonts w:hAnsi="宋体" w:eastAsia="宋体"/>
                <w:sz w:val="24"/>
                <w:szCs w:val="24"/>
              </w:rPr>
              <w:t>2</w:t>
            </w:r>
            <w:r>
              <w:rPr>
                <w:rFonts w:hAnsi="宋体" w:eastAsia="宋体"/>
                <w:sz w:val="24"/>
                <w:szCs w:val="24"/>
              </w:rPr>
              <w:br w:type="textWrapping"/>
            </w:r>
            <w:r>
              <w:rPr>
                <w:rFonts w:hAnsi="宋体" w:eastAsia="宋体"/>
                <w:sz w:val="24"/>
                <w:szCs w:val="24"/>
              </w:rPr>
              <w:t>接口类型</w:t>
            </w:r>
            <w:r>
              <w:rPr>
                <w:rFonts w:hint="eastAsia" w:hAnsi="宋体" w:eastAsia="宋体"/>
                <w:sz w:val="24"/>
                <w:szCs w:val="24"/>
              </w:rPr>
              <w:t>：</w:t>
            </w:r>
            <w:r>
              <w:rPr>
                <w:rFonts w:hAnsi="宋体" w:eastAsia="宋体"/>
                <w:sz w:val="24"/>
                <w:szCs w:val="24"/>
              </w:rPr>
              <w:t>CAN 2.0B，最高 1 MBit/秒</w:t>
            </w:r>
            <w:r>
              <w:rPr>
                <w:rFonts w:hAnsi="宋体" w:eastAsia="宋体"/>
                <w:sz w:val="24"/>
                <w:szCs w:val="24"/>
              </w:rPr>
              <w:br w:type="textWrapping"/>
            </w:r>
            <w:r>
              <w:rPr>
                <w:rFonts w:hAnsi="宋体" w:eastAsia="宋体"/>
                <w:sz w:val="24"/>
                <w:szCs w:val="24"/>
              </w:rPr>
              <w:t>特殊应用</w:t>
            </w:r>
            <w:r>
              <w:rPr>
                <w:rFonts w:hint="eastAsia" w:hAnsi="宋体" w:eastAsia="宋体"/>
                <w:sz w:val="24"/>
                <w:szCs w:val="24"/>
              </w:rPr>
              <w:t>：</w:t>
            </w:r>
            <w:r>
              <w:rPr>
                <w:rFonts w:hAnsi="宋体" w:eastAsia="宋体"/>
                <w:sz w:val="24"/>
                <w:szCs w:val="24"/>
              </w:rPr>
              <w:t>CCP、OBDII、J1939、CAN 输出</w:t>
            </w:r>
            <w:r>
              <w:rPr>
                <w:rFonts w:hAnsi="宋体" w:eastAsia="宋体"/>
                <w:sz w:val="24"/>
                <w:szCs w:val="24"/>
              </w:rPr>
              <w:br w:type="textWrapping"/>
            </w:r>
            <w:r>
              <w:rPr>
                <w:rFonts w:hAnsi="宋体" w:eastAsia="宋体"/>
                <w:sz w:val="24"/>
                <w:szCs w:val="24"/>
              </w:rPr>
              <w:t>电隔离</w:t>
            </w:r>
            <w:r>
              <w:rPr>
                <w:rFonts w:hint="eastAsia" w:hAnsi="宋体" w:eastAsia="宋体"/>
                <w:sz w:val="24"/>
                <w:szCs w:val="24"/>
              </w:rPr>
              <w:t>：</w:t>
            </w:r>
            <w:r>
              <w:rPr>
                <w:rFonts w:hAnsi="宋体" w:eastAsia="宋体"/>
                <w:sz w:val="24"/>
                <w:szCs w:val="24"/>
              </w:rPr>
              <w:t>隔离</w:t>
            </w:r>
            <w:r>
              <w:rPr>
                <w:rFonts w:hAnsi="宋体" w:eastAsia="宋体"/>
                <w:sz w:val="24"/>
                <w:szCs w:val="24"/>
              </w:rPr>
              <w:br w:type="textWrapping"/>
            </w:r>
            <w:r>
              <w:rPr>
                <w:rFonts w:hAnsi="宋体" w:eastAsia="宋体"/>
                <w:sz w:val="24"/>
                <w:szCs w:val="24"/>
              </w:rPr>
              <w:t>总线引脚故障保护</w:t>
            </w:r>
            <w:r>
              <w:rPr>
                <w:rFonts w:hint="eastAsia" w:hAnsi="宋体" w:eastAsia="宋体"/>
                <w:sz w:val="24"/>
                <w:szCs w:val="24"/>
              </w:rPr>
              <w:t>：</w:t>
            </w:r>
            <w:r>
              <w:rPr>
                <w:rFonts w:hAnsi="宋体" w:eastAsia="宋体"/>
                <w:sz w:val="24"/>
                <w:szCs w:val="24"/>
              </w:rPr>
              <w:t>±36 V</w:t>
            </w:r>
            <w:r>
              <w:rPr>
                <w:rFonts w:hAnsi="宋体" w:eastAsia="宋体"/>
                <w:sz w:val="24"/>
                <w:szCs w:val="24"/>
              </w:rPr>
              <w:br w:type="textWrapping"/>
            </w:r>
            <w:r>
              <w:rPr>
                <w:rFonts w:hAnsi="宋体" w:eastAsia="宋体"/>
                <w:sz w:val="24"/>
                <w:szCs w:val="24"/>
              </w:rPr>
              <w:t>ESD 保护</w:t>
            </w:r>
            <w:r>
              <w:rPr>
                <w:rFonts w:hint="eastAsia" w:hAnsi="宋体" w:eastAsia="宋体"/>
                <w:sz w:val="24"/>
                <w:szCs w:val="24"/>
              </w:rPr>
              <w:t>：</w:t>
            </w:r>
            <w:r>
              <w:rPr>
                <w:rFonts w:hAnsi="宋体" w:eastAsia="宋体"/>
                <w:sz w:val="24"/>
                <w:szCs w:val="24"/>
              </w:rPr>
              <w:t>8 kV</w:t>
            </w:r>
          </w:p>
          <w:p>
            <w:pPr>
              <w:pStyle w:val="21"/>
              <w:rPr>
                <w:rFonts w:hAnsi="宋体" w:eastAsia="宋体"/>
                <w:sz w:val="24"/>
                <w:szCs w:val="24"/>
              </w:rPr>
            </w:pPr>
          </w:p>
          <w:p>
            <w:pPr>
              <w:pStyle w:val="21"/>
              <w:rPr>
                <w:rFonts w:hAnsi="宋体" w:eastAsia="宋体"/>
                <w:sz w:val="24"/>
                <w:szCs w:val="24"/>
              </w:rPr>
            </w:pPr>
            <w:r>
              <w:rPr>
                <w:rFonts w:hAnsi="宋体" w:eastAsia="宋体"/>
                <w:sz w:val="24"/>
                <w:szCs w:val="24"/>
              </w:rPr>
              <w:t>接口</w:t>
            </w:r>
            <w:r>
              <w:rPr>
                <w:rFonts w:hAnsi="宋体" w:eastAsia="宋体"/>
                <w:sz w:val="24"/>
                <w:szCs w:val="24"/>
              </w:rPr>
              <w:br w:type="textWrapping"/>
            </w:r>
            <w:r>
              <w:rPr>
                <w:rFonts w:hAnsi="宋体" w:eastAsia="宋体"/>
                <w:sz w:val="24"/>
                <w:szCs w:val="24"/>
              </w:rPr>
              <w:t>USB-B mini，USB 2.0 接口</w:t>
            </w:r>
            <w:r>
              <w:rPr>
                <w:rFonts w:hAnsi="宋体" w:eastAsia="宋体"/>
                <w:sz w:val="24"/>
                <w:szCs w:val="24"/>
              </w:rPr>
              <w:br w:type="textWrapping"/>
            </w:r>
            <w:r>
              <w:rPr>
                <w:rFonts w:hAnsi="宋体" w:eastAsia="宋体"/>
                <w:sz w:val="24"/>
                <w:szCs w:val="24"/>
              </w:rPr>
              <w:t>同步</w:t>
            </w:r>
            <w:r>
              <w:rPr>
                <w:rFonts w:hint="eastAsia" w:hAnsi="宋体" w:eastAsia="宋体"/>
                <w:sz w:val="24"/>
                <w:szCs w:val="24"/>
              </w:rPr>
              <w:t>：</w:t>
            </w:r>
            <w:r>
              <w:rPr>
                <w:rFonts w:hAnsi="宋体" w:eastAsia="宋体"/>
                <w:sz w:val="24"/>
                <w:szCs w:val="24"/>
              </w:rPr>
              <w:t>2x SIRIUS® SYNC</w:t>
            </w:r>
            <w:r>
              <w:rPr>
                <w:rFonts w:hAnsi="宋体" w:eastAsia="宋体"/>
                <w:sz w:val="24"/>
                <w:szCs w:val="24"/>
              </w:rPr>
              <w:br w:type="textWrapping"/>
            </w:r>
            <w:r>
              <w:rPr>
                <w:rFonts w:hAnsi="宋体" w:eastAsia="宋体"/>
                <w:sz w:val="24"/>
                <w:szCs w:val="24"/>
              </w:rPr>
              <w:br w:type="textWrapping"/>
            </w:r>
            <w:r>
              <w:rPr>
                <w:rFonts w:hAnsi="宋体" w:eastAsia="宋体"/>
                <w:sz w:val="24"/>
                <w:szCs w:val="24"/>
              </w:rPr>
              <w:t>电源</w:t>
            </w:r>
            <w:r>
              <w:rPr>
                <w:rFonts w:hAnsi="宋体" w:eastAsia="宋体"/>
                <w:sz w:val="24"/>
                <w:szCs w:val="24"/>
              </w:rPr>
              <w:br w:type="textWrapping"/>
            </w:r>
            <w:r>
              <w:rPr>
                <w:rFonts w:hAnsi="宋体" w:eastAsia="宋体"/>
                <w:sz w:val="24"/>
                <w:szCs w:val="24"/>
              </w:rPr>
              <w:t>电源供应</w:t>
            </w:r>
            <w:r>
              <w:rPr>
                <w:rFonts w:hint="eastAsia" w:hAnsi="宋体" w:eastAsia="宋体"/>
                <w:sz w:val="24"/>
                <w:szCs w:val="24"/>
              </w:rPr>
              <w:t>：</w:t>
            </w:r>
            <w:r>
              <w:rPr>
                <w:rFonts w:hAnsi="宋体" w:eastAsia="宋体"/>
                <w:sz w:val="24"/>
                <w:szCs w:val="24"/>
              </w:rPr>
              <w:t>9 - 36 V DC</w:t>
            </w:r>
            <w:r>
              <w:rPr>
                <w:rFonts w:hAnsi="宋体" w:eastAsia="宋体"/>
                <w:sz w:val="24"/>
                <w:szCs w:val="24"/>
              </w:rPr>
              <w:br w:type="textWrapping"/>
            </w:r>
            <w:r>
              <w:rPr>
                <w:rFonts w:hAnsi="宋体" w:eastAsia="宋体"/>
                <w:sz w:val="24"/>
                <w:szCs w:val="24"/>
              </w:rPr>
              <w:t>电隔离</w:t>
            </w:r>
            <w:r>
              <w:rPr>
                <w:rFonts w:hint="eastAsia" w:hAnsi="宋体" w:eastAsia="宋体"/>
                <w:sz w:val="24"/>
                <w:szCs w:val="24"/>
              </w:rPr>
              <w:t>;</w:t>
            </w:r>
            <w:r>
              <w:rPr>
                <w:rFonts w:hAnsi="宋体" w:eastAsia="宋体"/>
                <w:sz w:val="24"/>
                <w:szCs w:val="24"/>
              </w:rPr>
              <w:t>ISO-POWER 隔离</w:t>
            </w:r>
            <w:r>
              <w:rPr>
                <w:rFonts w:hAnsi="宋体" w:eastAsia="宋体"/>
                <w:sz w:val="24"/>
                <w:szCs w:val="24"/>
              </w:rPr>
              <w:br w:type="textWrapping"/>
            </w:r>
            <w:r>
              <w:rPr>
                <w:rFonts w:hAnsi="宋体" w:eastAsia="宋体"/>
                <w:sz w:val="24"/>
                <w:szCs w:val="24"/>
              </w:rPr>
              <w:t>传感器电源供应</w:t>
            </w:r>
            <w:r>
              <w:rPr>
                <w:rFonts w:hAnsi="宋体" w:eastAsia="宋体"/>
                <w:sz w:val="24"/>
                <w:szCs w:val="24"/>
              </w:rPr>
              <w:br w:type="textWrapping"/>
            </w:r>
            <w:r>
              <w:rPr>
                <w:rFonts w:hAnsi="宋体" w:eastAsia="宋体"/>
                <w:sz w:val="24"/>
                <w:szCs w:val="24"/>
              </w:rPr>
              <w:t>总功率最高10W：</w:t>
            </w:r>
            <w:r>
              <w:rPr>
                <w:rFonts w:hAnsi="宋体" w:eastAsia="宋体"/>
                <w:sz w:val="24"/>
                <w:szCs w:val="24"/>
              </w:rPr>
              <w:br w:type="textWrapping"/>
            </w:r>
            <w:r>
              <w:rPr>
                <w:rFonts w:hAnsi="宋体" w:eastAsia="宋体"/>
                <w:sz w:val="24"/>
                <w:szCs w:val="24"/>
              </w:rPr>
              <w:t>12V，总</w:t>
            </w:r>
            <w:r>
              <w:rPr>
                <w:rFonts w:hint="eastAsia" w:hAnsi="宋体" w:eastAsia="宋体"/>
                <w:sz w:val="24"/>
                <w:szCs w:val="24"/>
              </w:rPr>
              <w:t>限流</w:t>
            </w:r>
            <w:r>
              <w:rPr>
                <w:rFonts w:hAnsi="宋体" w:eastAsia="宋体"/>
                <w:sz w:val="24"/>
                <w:szCs w:val="24"/>
              </w:rPr>
              <w:t>350 mA（分配于：8xAI, 8x计数器, 2xCAN）</w:t>
            </w:r>
            <w:r>
              <w:rPr>
                <w:rFonts w:hAnsi="宋体" w:eastAsia="宋体"/>
                <w:sz w:val="24"/>
                <w:szCs w:val="24"/>
              </w:rPr>
              <w:br w:type="textWrapping"/>
            </w:r>
            <w:r>
              <w:rPr>
                <w:rFonts w:hAnsi="宋体" w:eastAsia="宋体"/>
                <w:sz w:val="24"/>
                <w:szCs w:val="24"/>
              </w:rPr>
              <w:t>5V，总限流 700 mA（分配于：8x计数器, 2xCAN）</w:t>
            </w:r>
            <w:r>
              <w:rPr>
                <w:rFonts w:hAnsi="宋体" w:eastAsia="宋体"/>
                <w:sz w:val="24"/>
                <w:szCs w:val="24"/>
              </w:rPr>
              <w:br w:type="textWrapping"/>
            </w:r>
            <w:r>
              <w:rPr>
                <w:rFonts w:hint="eastAsia" w:hAnsi="宋体" w:eastAsia="宋体"/>
                <w:sz w:val="24"/>
                <w:szCs w:val="24"/>
              </w:rPr>
              <w:t>±</w:t>
            </w:r>
            <w:r>
              <w:rPr>
                <w:rFonts w:hAnsi="宋体" w:eastAsia="宋体"/>
                <w:sz w:val="24"/>
                <w:szCs w:val="24"/>
              </w:rPr>
              <w:t>5V 激励，通道限流 70 mA</w:t>
            </w:r>
            <w:r>
              <w:rPr>
                <w:rFonts w:hAnsi="宋体" w:eastAsia="宋体"/>
                <w:sz w:val="24"/>
                <w:szCs w:val="24"/>
              </w:rPr>
              <w:br w:type="textWrapping"/>
            </w:r>
            <w:r>
              <w:rPr>
                <w:rFonts w:hAnsi="宋体" w:eastAsia="宋体"/>
                <w:sz w:val="24"/>
                <w:szCs w:val="24"/>
              </w:rPr>
              <w:t>功耗</w:t>
            </w:r>
            <w:r>
              <w:rPr>
                <w:rFonts w:hint="eastAsia" w:hAnsi="宋体" w:eastAsia="宋体"/>
                <w:sz w:val="24"/>
                <w:szCs w:val="24"/>
              </w:rPr>
              <w:t>：</w:t>
            </w:r>
            <w:r>
              <w:rPr>
                <w:rFonts w:hAnsi="宋体" w:eastAsia="宋体"/>
                <w:sz w:val="24"/>
                <w:szCs w:val="24"/>
              </w:rPr>
              <w:t>典型 6 W，最大 18 W</w:t>
            </w:r>
            <w:r>
              <w:rPr>
                <w:rFonts w:hAnsi="宋体" w:eastAsia="宋体"/>
                <w:sz w:val="24"/>
                <w:szCs w:val="24"/>
              </w:rPr>
              <w:br w:type="textWrapping"/>
            </w:r>
            <w:r>
              <w:rPr>
                <w:rFonts w:hAnsi="宋体" w:eastAsia="宋体"/>
                <w:sz w:val="24"/>
                <w:szCs w:val="24"/>
              </w:rPr>
              <w:t>环境</w:t>
            </w:r>
            <w:r>
              <w:rPr>
                <w:rFonts w:hAnsi="宋体" w:eastAsia="宋体"/>
                <w:sz w:val="24"/>
                <w:szCs w:val="24"/>
              </w:rPr>
              <w:br w:type="textWrapping"/>
            </w:r>
            <w:r>
              <w:rPr>
                <w:rFonts w:hAnsi="宋体" w:eastAsia="宋体"/>
                <w:sz w:val="24"/>
                <w:szCs w:val="24"/>
              </w:rPr>
              <w:t>工作温度 -</w:t>
            </w:r>
            <w:r>
              <w:rPr>
                <w:rFonts w:hint="eastAsia" w:hAnsi="宋体" w:eastAsia="宋体"/>
                <w:sz w:val="24"/>
                <w:szCs w:val="24"/>
              </w:rPr>
              <w:t>2</w:t>
            </w:r>
            <w:r>
              <w:rPr>
                <w:rFonts w:hAnsi="宋体" w:eastAsia="宋体"/>
                <w:sz w:val="24"/>
                <w:szCs w:val="24"/>
              </w:rPr>
              <w:t xml:space="preserve">0 °C 至 </w:t>
            </w:r>
            <w:r>
              <w:rPr>
                <w:rFonts w:hint="eastAsia" w:hAnsi="宋体" w:eastAsia="宋体"/>
                <w:sz w:val="24"/>
                <w:szCs w:val="24"/>
              </w:rPr>
              <w:t>60</w:t>
            </w:r>
            <w:r>
              <w:rPr>
                <w:rFonts w:hAnsi="宋体" w:eastAsia="宋体"/>
                <w:sz w:val="24"/>
                <w:szCs w:val="24"/>
              </w:rPr>
              <w:t xml:space="preserve"> °C</w:t>
            </w:r>
            <w:r>
              <w:rPr>
                <w:rFonts w:hAnsi="宋体" w:eastAsia="宋体"/>
                <w:sz w:val="24"/>
                <w:szCs w:val="24"/>
              </w:rPr>
              <w:br w:type="textWrapping"/>
            </w:r>
            <w:r>
              <w:rPr>
                <w:rFonts w:hAnsi="宋体" w:eastAsia="宋体"/>
                <w:sz w:val="24"/>
                <w:szCs w:val="24"/>
              </w:rPr>
              <w:t>存储温度</w:t>
            </w:r>
            <w:r>
              <w:rPr>
                <w:rFonts w:hint="eastAsia" w:hAnsi="宋体" w:eastAsia="宋体"/>
                <w:sz w:val="24"/>
                <w:szCs w:val="24"/>
              </w:rPr>
              <w:t>：</w:t>
            </w:r>
            <w:r>
              <w:rPr>
                <w:rFonts w:hAnsi="宋体" w:eastAsia="宋体"/>
                <w:sz w:val="24"/>
                <w:szCs w:val="24"/>
              </w:rPr>
              <w:t>-40 °C 至 85 °C</w:t>
            </w:r>
            <w:r>
              <w:rPr>
                <w:rFonts w:hAnsi="宋体" w:eastAsia="宋体"/>
                <w:sz w:val="24"/>
                <w:szCs w:val="24"/>
              </w:rPr>
              <w:br w:type="textWrapping"/>
            </w:r>
            <w:r>
              <w:rPr>
                <w:rFonts w:hAnsi="宋体" w:eastAsia="宋体"/>
                <w:sz w:val="24"/>
                <w:szCs w:val="24"/>
              </w:rPr>
              <w:t>湿度 5 到 95 % RH，50 °C 非冷凝</w:t>
            </w:r>
            <w:r>
              <w:rPr>
                <w:rFonts w:hAnsi="宋体" w:eastAsia="宋体"/>
                <w:sz w:val="24"/>
                <w:szCs w:val="24"/>
              </w:rPr>
              <w:br w:type="textWrapping"/>
            </w:r>
            <w:r>
              <w:rPr>
                <w:rFonts w:hAnsi="宋体" w:eastAsia="宋体"/>
                <w:sz w:val="24"/>
                <w:szCs w:val="24"/>
              </w:rPr>
              <w:t>防护等级 IP50</w:t>
            </w:r>
            <w:r>
              <w:rPr>
                <w:rFonts w:hAnsi="宋体" w:eastAsia="宋体"/>
                <w:sz w:val="24"/>
                <w:szCs w:val="24"/>
              </w:rPr>
              <w:br w:type="textWrapping"/>
            </w:r>
            <w:r>
              <w:rPr>
                <w:rFonts w:hAnsi="宋体" w:eastAsia="宋体"/>
                <w:sz w:val="24"/>
                <w:szCs w:val="24"/>
              </w:rPr>
              <w:t>冲击与振动</w:t>
            </w:r>
            <w:r>
              <w:rPr>
                <w:rFonts w:hAnsi="宋体" w:eastAsia="宋体"/>
                <w:sz w:val="24"/>
                <w:szCs w:val="24"/>
              </w:rPr>
              <w:br w:type="textWrapping"/>
            </w:r>
            <w:r>
              <w:rPr>
                <w:rFonts w:hAnsi="宋体" w:eastAsia="宋体"/>
                <w:sz w:val="24"/>
                <w:szCs w:val="24"/>
              </w:rPr>
              <w:t>振动扫描正弦（EN 60068-2-6:2008）</w:t>
            </w:r>
            <w:r>
              <w:rPr>
                <w:rFonts w:hAnsi="宋体" w:eastAsia="宋体"/>
                <w:sz w:val="24"/>
                <w:szCs w:val="24"/>
              </w:rPr>
              <w:br w:type="textWrapping"/>
            </w:r>
            <w:r>
              <w:rPr>
                <w:rFonts w:hAnsi="宋体" w:eastAsia="宋体"/>
                <w:sz w:val="24"/>
                <w:szCs w:val="24"/>
              </w:rPr>
              <w:t>振动随机（EN 60721-3-2: 1997 - Class 2M2）</w:t>
            </w:r>
            <w:r>
              <w:rPr>
                <w:rFonts w:hAnsi="宋体" w:eastAsia="宋体"/>
                <w:sz w:val="24"/>
                <w:szCs w:val="24"/>
              </w:rPr>
              <w:br w:type="textWrapping"/>
            </w:r>
            <w:r>
              <w:rPr>
                <w:rFonts w:hAnsi="宋体" w:eastAsia="宋体"/>
                <w:sz w:val="24"/>
                <w:szCs w:val="24"/>
              </w:rPr>
              <w:t>冲击（EN 60068-2-27:2009）</w:t>
            </w:r>
            <w:r>
              <w:rPr>
                <w:rFonts w:hAnsi="宋体" w:eastAsia="宋体"/>
                <w:sz w:val="24"/>
                <w:szCs w:val="24"/>
              </w:rPr>
              <w:br w:type="textWrapping"/>
            </w:r>
            <w:r>
              <w:rPr>
                <w:rFonts w:hAnsi="宋体" w:eastAsia="宋体"/>
                <w:sz w:val="24"/>
                <w:szCs w:val="24"/>
              </w:rPr>
              <w:t>MIL-STD-810D</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4</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软件</w:t>
            </w:r>
          </w:p>
        </w:tc>
        <w:tc>
          <w:tcPr>
            <w:tcW w:w="5841"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数据采集软件，含基本数据分析功能，如滤波，FFT等，含制动测试插件</w:t>
            </w:r>
          </w:p>
          <w:p>
            <w:pPr>
              <w:pStyle w:val="21"/>
              <w:rPr>
                <w:rFonts w:hAnsi="宋体" w:eastAsia="宋体"/>
                <w:sz w:val="24"/>
                <w:szCs w:val="24"/>
              </w:rPr>
            </w:pPr>
            <w:r>
              <w:rPr>
                <w:rFonts w:hint="eastAsia" w:hAnsi="宋体" w:eastAsia="宋体" w:cs="宋体"/>
                <w:color w:val="000000" w:themeColor="text1"/>
                <w:sz w:val="24"/>
                <w:szCs w:val="24"/>
                <w14:textFill>
                  <w14:solidFill>
                    <w14:schemeClr w14:val="tx1"/>
                  </w14:solidFill>
                </w14:textFill>
              </w:rPr>
              <w:t>DEWESOFT X用于测试、测量和监控，支持手机和平板电脑查看实时数据和状态，可读写编辑测试固件，</w:t>
            </w:r>
            <w:r>
              <w:rPr>
                <w:rFonts w:hint="eastAsia" w:hAnsi="宋体" w:eastAsia="宋体" w:cs="宋体"/>
                <w:b/>
                <w:bCs/>
                <w:color w:val="000000" w:themeColor="text1"/>
                <w:sz w:val="24"/>
                <w:szCs w:val="24"/>
                <w14:textFill>
                  <w14:solidFill>
                    <w14:schemeClr w14:val="tx1"/>
                  </w14:solidFill>
                </w14:textFill>
              </w:rPr>
              <w:t>实时监控测试过程、输出动态测试结果</w:t>
            </w:r>
            <w:r>
              <w:rPr>
                <w:rFonts w:hint="eastAsia" w:hAnsi="宋体" w:eastAsia="宋体" w:cs="宋体"/>
                <w:color w:val="000000" w:themeColor="text1"/>
                <w:sz w:val="24"/>
                <w:szCs w:val="24"/>
                <w14:textFill>
                  <w14:solidFill>
                    <w14:schemeClr w14:val="tx1"/>
                  </w14:solidFill>
                </w14:textFill>
              </w:rPr>
              <w:t>；开展测试标准和测试方法的matlab、flexpro等</w:t>
            </w:r>
            <w:r>
              <w:rPr>
                <w:rFonts w:hint="eastAsia" w:hAnsi="宋体" w:eastAsia="宋体" w:cs="宋体"/>
                <w:b/>
                <w:bCs/>
                <w:color w:val="000000" w:themeColor="text1"/>
                <w:sz w:val="24"/>
                <w:szCs w:val="24"/>
                <w14:textFill>
                  <w14:solidFill>
                    <w14:schemeClr w14:val="tx1"/>
                  </w14:solidFill>
                </w14:textFill>
              </w:rPr>
              <w:t>二次开发</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5</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踏板力计</w:t>
            </w:r>
          </w:p>
        </w:tc>
        <w:tc>
          <w:tcPr>
            <w:tcW w:w="5841" w:type="dxa"/>
            <w:vAlign w:val="center"/>
          </w:tcPr>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量程：</w:t>
            </w:r>
            <w:r>
              <w:rPr>
                <w:rFonts w:ascii="宋体" w:hAnsi="宋体" w:eastAsia="宋体"/>
                <w:color w:val="000000" w:themeColor="text1"/>
                <w:sz w:val="24"/>
                <w:szCs w:val="24"/>
                <w14:textFill>
                  <w14:solidFill>
                    <w14:schemeClr w14:val="tx1"/>
                  </w14:solidFill>
                </w14:textFill>
              </w:rPr>
              <w:t>1500N</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精度：</w:t>
            </w:r>
            <w:r>
              <w:rPr>
                <w:rFonts w:ascii="宋体" w:hAnsi="宋体" w:eastAsia="宋体"/>
                <w:color w:val="000000" w:themeColor="text1"/>
                <w:sz w:val="24"/>
                <w:szCs w:val="24"/>
                <w14:textFill>
                  <w14:solidFill>
                    <w14:schemeClr w14:val="tx1"/>
                  </w14:solidFill>
                </w14:textFill>
              </w:rPr>
              <w:t>0.5% FS</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分辨率：</w:t>
            </w:r>
            <w:r>
              <w:rPr>
                <w:rFonts w:ascii="宋体" w:hAnsi="宋体" w:eastAsia="宋体"/>
                <w:color w:val="000000" w:themeColor="text1"/>
                <w:sz w:val="24"/>
                <w:szCs w:val="24"/>
                <w14:textFill>
                  <w14:solidFill>
                    <w14:schemeClr w14:val="tx1"/>
                  </w14:solidFill>
                </w14:textFill>
              </w:rPr>
              <w:t>1N</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6</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踏板行程传感器</w:t>
            </w:r>
          </w:p>
        </w:tc>
        <w:tc>
          <w:tcPr>
            <w:tcW w:w="5841" w:type="dxa"/>
            <w:vAlign w:val="center"/>
          </w:tcPr>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量程：500</w:t>
            </w:r>
            <w:r>
              <w:rPr>
                <w:rFonts w:ascii="宋体" w:hAnsi="宋体" w:eastAsia="宋体"/>
                <w:color w:val="000000" w:themeColor="text1"/>
                <w:sz w:val="24"/>
                <w:szCs w:val="24"/>
                <w14:textFill>
                  <w14:solidFill>
                    <w14:schemeClr w14:val="tx1"/>
                  </w14:solidFill>
                </w14:textFill>
              </w:rPr>
              <w:t>mm</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精度：</w:t>
            </w:r>
            <w:r>
              <w:rPr>
                <w:rFonts w:hint="eastAsia" w:ascii="宋体" w:hAnsi="宋体" w:eastAsia="宋体" w:cs="Times New Roman"/>
                <w:color w:val="000000" w:themeColor="text1"/>
                <w:sz w:val="24"/>
                <w:szCs w:val="24"/>
                <w14:textFill>
                  <w14:solidFill>
                    <w14:schemeClr w14:val="tx1"/>
                  </w14:solidFill>
                </w14:textFill>
              </w:rPr>
              <w:t>0.1%精度</w:t>
            </w:r>
            <w:r>
              <w:rPr>
                <w:rFonts w:ascii="宋体" w:hAnsi="宋体" w:eastAsia="宋体"/>
                <w:color w:val="000000" w:themeColor="text1"/>
                <w:sz w:val="24"/>
                <w:szCs w:val="24"/>
                <w14:textFill>
                  <w14:solidFill>
                    <w14:schemeClr w14:val="tx1"/>
                  </w14:solidFill>
                </w14:textFill>
              </w:rPr>
              <w:t>FS</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分辨率：无限小信号</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使用温度范围：</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20</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85</w:t>
            </w:r>
            <w:r>
              <w:rPr>
                <w:rFonts w:ascii="宋体" w:hAnsi="宋体" w:eastAsia="宋体"/>
                <w:color w:val="000000" w:themeColor="text1"/>
                <w:sz w:val="24"/>
                <w:szCs w:val="24"/>
                <w14:textFill>
                  <w14:solidFill>
                    <w14:schemeClr w14:val="tx1"/>
                  </w14:solidFill>
                </w14:textFill>
              </w:rPr>
              <w:t>°C</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供电：12</w:t>
            </w:r>
            <w:r>
              <w:rPr>
                <w:rFonts w:ascii="宋体" w:hAnsi="宋体" w:eastAsia="宋体"/>
                <w:color w:val="000000" w:themeColor="text1"/>
                <w:sz w:val="24"/>
                <w:szCs w:val="24"/>
                <w14:textFill>
                  <w14:solidFill>
                    <w14:schemeClr w14:val="tx1"/>
                  </w14:solidFill>
                </w14:textFill>
              </w:rPr>
              <w:t>—30VDC</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输出：</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10</w:t>
            </w:r>
            <w:r>
              <w:rPr>
                <w:rFonts w:ascii="宋体" w:hAnsi="宋体" w:eastAsia="宋体"/>
                <w:color w:val="000000" w:themeColor="text1"/>
                <w:sz w:val="24"/>
                <w:szCs w:val="24"/>
                <w14:textFill>
                  <w14:solidFill>
                    <w14:schemeClr w14:val="tx1"/>
                  </w14:solidFill>
                </w14:textFill>
              </w:rPr>
              <w:t>V</w:t>
            </w:r>
          </w:p>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内置</w:t>
            </w:r>
            <w:r>
              <w:rPr>
                <w:rFonts w:ascii="宋体" w:hAnsi="宋体" w:eastAsia="宋体"/>
                <w:color w:val="000000" w:themeColor="text1"/>
                <w:sz w:val="24"/>
                <w:szCs w:val="24"/>
                <w14:textFill>
                  <w14:solidFill>
                    <w14:schemeClr w14:val="tx1"/>
                  </w14:solidFill>
                </w14:textFill>
              </w:rPr>
              <w:t>5V精密电源，无需外部稳压电源</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7</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olor w:val="000000"/>
                <w:sz w:val="24"/>
                <w:szCs w:val="24"/>
              </w:rPr>
              <w:t>压力传感器</w:t>
            </w:r>
          </w:p>
        </w:tc>
        <w:tc>
          <w:tcPr>
            <w:tcW w:w="5841" w:type="dxa"/>
            <w:vAlign w:val="center"/>
          </w:tcPr>
          <w:p>
            <w:pPr>
              <w:pStyle w:val="21"/>
              <w:jc w:val="left"/>
              <w:rPr>
                <w:rFonts w:hAnsi="宋体" w:eastAsia="宋体"/>
                <w:color w:val="000000"/>
                <w:sz w:val="24"/>
                <w:szCs w:val="24"/>
              </w:rPr>
            </w:pPr>
            <w:r>
              <w:rPr>
                <w:rFonts w:hint="eastAsia" w:hAnsi="宋体" w:eastAsia="宋体"/>
                <w:color w:val="000000"/>
                <w:sz w:val="24"/>
                <w:szCs w:val="24"/>
              </w:rPr>
              <w:t>压力传感器，0-200bar，0.25%精度</w:t>
            </w:r>
          </w:p>
          <w:p>
            <w:pPr>
              <w:pStyle w:val="21"/>
              <w:jc w:val="left"/>
              <w:rPr>
                <w:rFonts w:hAnsi="宋体" w:eastAsia="宋体"/>
                <w:color w:val="000000"/>
                <w:sz w:val="24"/>
                <w:szCs w:val="24"/>
              </w:rPr>
            </w:pPr>
            <w:r>
              <w:rPr>
                <w:rFonts w:hint="eastAsia" w:hAnsi="宋体" w:eastAsia="宋体"/>
                <w:color w:val="000000"/>
                <w:sz w:val="24"/>
                <w:szCs w:val="24"/>
              </w:rPr>
              <w:t>供电电源：9.5—27V dc</w:t>
            </w:r>
          </w:p>
          <w:p>
            <w:pPr>
              <w:pStyle w:val="21"/>
              <w:jc w:val="left"/>
              <w:rPr>
                <w:rFonts w:hAnsi="宋体" w:eastAsia="宋体"/>
                <w:color w:val="000000"/>
                <w:sz w:val="24"/>
                <w:szCs w:val="24"/>
              </w:rPr>
            </w:pPr>
            <w:r>
              <w:rPr>
                <w:rFonts w:hint="eastAsia" w:hAnsi="宋体" w:eastAsia="宋体"/>
                <w:color w:val="000000"/>
                <w:sz w:val="24"/>
                <w:szCs w:val="24"/>
              </w:rPr>
              <w:t>过压/瞬压：150%FS/&gt;300%FS</w:t>
            </w:r>
          </w:p>
          <w:p>
            <w:pPr>
              <w:pStyle w:val="21"/>
              <w:jc w:val="left"/>
              <w:rPr>
                <w:rFonts w:hAnsi="宋体" w:eastAsia="宋体"/>
                <w:color w:val="000000"/>
                <w:sz w:val="24"/>
                <w:szCs w:val="24"/>
              </w:rPr>
            </w:pPr>
            <w:r>
              <w:rPr>
                <w:rFonts w:hint="eastAsia" w:hAnsi="宋体" w:eastAsia="宋体"/>
                <w:color w:val="000000"/>
                <w:sz w:val="24"/>
                <w:szCs w:val="24"/>
              </w:rPr>
              <w:t>额定输出：4.5V</w:t>
            </w:r>
          </w:p>
          <w:p>
            <w:pPr>
              <w:pStyle w:val="21"/>
              <w:jc w:val="left"/>
              <w:rPr>
                <w:rFonts w:hAnsi="宋体" w:eastAsia="宋体"/>
                <w:color w:val="000000"/>
                <w:sz w:val="24"/>
                <w:szCs w:val="24"/>
              </w:rPr>
            </w:pPr>
            <w:r>
              <w:rPr>
                <w:rFonts w:hint="eastAsia" w:hAnsi="宋体" w:eastAsia="宋体"/>
                <w:color w:val="000000"/>
                <w:sz w:val="24"/>
                <w:szCs w:val="24"/>
              </w:rPr>
              <w:t>组合非线性度+磁滞：±0.25%FS 最大值</w:t>
            </w:r>
          </w:p>
          <w:p>
            <w:pPr>
              <w:pStyle w:val="21"/>
              <w:jc w:val="left"/>
              <w:rPr>
                <w:rFonts w:hAnsi="宋体" w:eastAsia="宋体"/>
                <w:color w:val="000000"/>
                <w:sz w:val="24"/>
                <w:szCs w:val="24"/>
              </w:rPr>
            </w:pPr>
            <w:r>
              <w:rPr>
                <w:rFonts w:hint="eastAsia" w:hAnsi="宋体" w:eastAsia="宋体"/>
                <w:color w:val="000000"/>
                <w:sz w:val="24"/>
                <w:szCs w:val="24"/>
              </w:rPr>
              <w:t>长期稳定性：±0.1% FS/年</w:t>
            </w:r>
          </w:p>
          <w:p>
            <w:pPr>
              <w:widowControl/>
              <w:jc w:val="left"/>
              <w:rPr>
                <w:rFonts w:ascii="宋体" w:hAnsi="宋体" w:eastAsia="宋体"/>
                <w:color w:val="000000" w:themeColor="text1"/>
                <w:sz w:val="24"/>
                <w:szCs w:val="24"/>
                <w14:textFill>
                  <w14:solidFill>
                    <w14:schemeClr w14:val="tx1"/>
                  </w14:solidFill>
                </w14:textFill>
              </w:rPr>
            </w:pPr>
            <w:r>
              <w:rPr>
                <w:rFonts w:hint="eastAsia" w:hAnsi="宋体" w:eastAsia="宋体"/>
                <w:color w:val="000000"/>
                <w:sz w:val="24"/>
                <w:szCs w:val="24"/>
              </w:rPr>
              <w:t>能耗：&lt;10mA</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8</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olor w:val="000000"/>
                <w:sz w:val="24"/>
                <w:szCs w:val="24"/>
              </w:rPr>
              <w:t>真空压力传感器</w:t>
            </w:r>
          </w:p>
        </w:tc>
        <w:tc>
          <w:tcPr>
            <w:tcW w:w="5841" w:type="dxa"/>
            <w:vAlign w:val="center"/>
          </w:tcPr>
          <w:p>
            <w:pPr>
              <w:pStyle w:val="21"/>
              <w:jc w:val="left"/>
              <w:rPr>
                <w:rFonts w:hAnsi="宋体" w:eastAsia="宋体"/>
                <w:color w:val="000000"/>
                <w:sz w:val="24"/>
                <w:szCs w:val="24"/>
              </w:rPr>
            </w:pPr>
            <w:r>
              <w:rPr>
                <w:rFonts w:hint="eastAsia" w:hAnsi="宋体" w:eastAsia="宋体"/>
                <w:color w:val="000000"/>
                <w:sz w:val="24"/>
                <w:szCs w:val="24"/>
              </w:rPr>
              <w:t>压力传感器，-1-2bar，0.25%精度</w:t>
            </w:r>
          </w:p>
          <w:p>
            <w:pPr>
              <w:pStyle w:val="21"/>
              <w:jc w:val="left"/>
              <w:rPr>
                <w:rFonts w:hAnsi="宋体" w:eastAsia="宋体"/>
                <w:color w:val="000000"/>
                <w:sz w:val="24"/>
                <w:szCs w:val="24"/>
              </w:rPr>
            </w:pPr>
            <w:r>
              <w:rPr>
                <w:rFonts w:hint="eastAsia" w:hAnsi="宋体" w:eastAsia="宋体"/>
                <w:color w:val="000000"/>
                <w:sz w:val="24"/>
                <w:szCs w:val="24"/>
              </w:rPr>
              <w:t>供电电源：9.5—27V dc</w:t>
            </w:r>
          </w:p>
          <w:p>
            <w:pPr>
              <w:pStyle w:val="21"/>
              <w:jc w:val="left"/>
              <w:rPr>
                <w:rFonts w:hAnsi="宋体" w:eastAsia="宋体"/>
                <w:color w:val="000000"/>
                <w:sz w:val="24"/>
                <w:szCs w:val="24"/>
              </w:rPr>
            </w:pPr>
            <w:r>
              <w:rPr>
                <w:rFonts w:hint="eastAsia" w:hAnsi="宋体" w:eastAsia="宋体"/>
                <w:color w:val="000000"/>
                <w:sz w:val="24"/>
                <w:szCs w:val="24"/>
              </w:rPr>
              <w:t>过压/瞬压：150%FS/&gt;300%FS</w:t>
            </w:r>
          </w:p>
          <w:p>
            <w:pPr>
              <w:pStyle w:val="21"/>
              <w:jc w:val="left"/>
              <w:rPr>
                <w:rFonts w:hAnsi="宋体" w:eastAsia="宋体"/>
                <w:color w:val="000000"/>
                <w:sz w:val="24"/>
                <w:szCs w:val="24"/>
              </w:rPr>
            </w:pPr>
            <w:r>
              <w:rPr>
                <w:rFonts w:hint="eastAsia" w:hAnsi="宋体" w:eastAsia="宋体"/>
                <w:color w:val="000000"/>
                <w:sz w:val="24"/>
                <w:szCs w:val="24"/>
              </w:rPr>
              <w:t>额定输出：4.5V</w:t>
            </w:r>
          </w:p>
          <w:p>
            <w:pPr>
              <w:pStyle w:val="21"/>
              <w:jc w:val="left"/>
              <w:rPr>
                <w:rFonts w:hAnsi="宋体" w:eastAsia="宋体"/>
                <w:color w:val="000000"/>
                <w:sz w:val="24"/>
                <w:szCs w:val="24"/>
              </w:rPr>
            </w:pPr>
            <w:r>
              <w:rPr>
                <w:rFonts w:hint="eastAsia" w:hAnsi="宋体" w:eastAsia="宋体"/>
                <w:color w:val="000000"/>
                <w:sz w:val="24"/>
                <w:szCs w:val="24"/>
              </w:rPr>
              <w:t>组合非线性度+磁滞：±0.25%FS 最大值</w:t>
            </w:r>
          </w:p>
          <w:p>
            <w:pPr>
              <w:pStyle w:val="21"/>
              <w:jc w:val="left"/>
              <w:rPr>
                <w:rFonts w:hAnsi="宋体" w:eastAsia="宋体"/>
                <w:color w:val="000000"/>
                <w:sz w:val="24"/>
                <w:szCs w:val="24"/>
              </w:rPr>
            </w:pPr>
            <w:r>
              <w:rPr>
                <w:rFonts w:hint="eastAsia" w:hAnsi="宋体" w:eastAsia="宋体"/>
                <w:color w:val="000000"/>
                <w:sz w:val="24"/>
                <w:szCs w:val="24"/>
              </w:rPr>
              <w:t>长期稳定性：±0.1% FS/年</w:t>
            </w:r>
          </w:p>
          <w:p>
            <w:pPr>
              <w:widowControl/>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sz w:val="24"/>
                <w:szCs w:val="24"/>
              </w:rPr>
              <w:t>能耗：&lt;10mA</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9</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温度模块</w:t>
            </w:r>
          </w:p>
        </w:tc>
        <w:tc>
          <w:tcPr>
            <w:tcW w:w="5841"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8通道K型温度模块</w:t>
            </w:r>
          </w:p>
          <w:p>
            <w:pPr>
              <w:pStyle w:val="21"/>
            </w:pPr>
            <w:r>
              <w:rPr>
                <w:rFonts w:hint="eastAsia"/>
              </w:rPr>
              <w:t>通道数≥8，支持K、T型热电偶</w:t>
            </w:r>
          </w:p>
          <w:p>
            <w:pPr>
              <w:pStyle w:val="21"/>
            </w:pPr>
            <w:r>
              <w:rPr>
                <w:rFonts w:hint="eastAsia"/>
              </w:rPr>
              <w:t>通道间隔离：1500V</w:t>
            </w:r>
          </w:p>
          <w:p>
            <w:pPr>
              <w:pStyle w:val="21"/>
            </w:pPr>
            <w:r>
              <w:rPr>
                <w:rFonts w:hint="eastAsia"/>
              </w:rPr>
              <w:t>每个通道含独立的冷端补偿电路</w:t>
            </w:r>
          </w:p>
          <w:p>
            <w:pPr>
              <w:pStyle w:val="21"/>
            </w:pPr>
            <w:r>
              <w:rPr>
                <w:rFonts w:hint="eastAsia"/>
              </w:rPr>
              <w:t>模块每通道均有故障指示灯</w:t>
            </w:r>
          </w:p>
          <w:p>
            <w:pPr>
              <w:pStyle w:val="21"/>
            </w:pPr>
            <w:r>
              <w:rPr>
                <w:rFonts w:hint="eastAsia"/>
              </w:rPr>
              <w:t>防护等级：IP65</w:t>
            </w:r>
          </w:p>
          <w:p>
            <w:pPr>
              <w:pStyle w:val="21"/>
            </w:pPr>
            <w:r>
              <w:rPr>
                <w:rFonts w:hint="eastAsia"/>
              </w:rPr>
              <w:t>数据输出：CAN总线</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10</w:t>
            </w:r>
          </w:p>
        </w:tc>
        <w:tc>
          <w:tcPr>
            <w:tcW w:w="1123" w:type="dxa"/>
            <w:vAlign w:val="center"/>
          </w:tcPr>
          <w:p>
            <w:pPr>
              <w:widowControl/>
              <w:jc w:val="left"/>
              <w:rPr>
                <w:rFonts w:ascii="等线" w:hAnsi="等线" w:eastAsia="等线" w:cs="宋体"/>
                <w:color w:val="000000"/>
                <w:kern w:val="0"/>
                <w:sz w:val="22"/>
              </w:rPr>
            </w:pPr>
            <w:r>
              <w:rPr>
                <w:rFonts w:hint="eastAsia" w:ascii="等线" w:hAnsi="等线" w:eastAsia="等线"/>
                <w:color w:val="000000"/>
                <w:sz w:val="22"/>
              </w:rPr>
              <w:t>IEPE适配器</w:t>
            </w:r>
          </w:p>
        </w:tc>
        <w:tc>
          <w:tcPr>
            <w:tcW w:w="5841"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IEPE接头模块</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11</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扩展</w:t>
            </w:r>
          </w:p>
        </w:tc>
        <w:tc>
          <w:tcPr>
            <w:tcW w:w="5841" w:type="dxa"/>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可根据需要实现DEWE43A与SIRSUS-SBOX 主机串联，并可以与DEWE其他主机实现串联功能，通道无限扩展；</w:t>
            </w:r>
            <w:r>
              <w:rPr>
                <w:rFonts w:hint="eastAsia" w:ascii="宋体" w:hAnsi="宋体" w:eastAsia="宋体" w:cs="宋体"/>
                <w:b/>
                <w:bCs/>
                <w:color w:val="000000" w:themeColor="text1"/>
                <w:sz w:val="24"/>
                <w:szCs w:val="24"/>
                <w14:textFill>
                  <w14:solidFill>
                    <w14:schemeClr w14:val="tx1"/>
                  </w14:solidFill>
                </w14:textFill>
              </w:rPr>
              <w:t>可与现有三轴加速度、三向坐垫、麦克风、测力方向盘等设备扩展兼容使用；</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12</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功能</w:t>
            </w:r>
          </w:p>
        </w:tc>
        <w:tc>
          <w:tcPr>
            <w:tcW w:w="5841" w:type="dxa"/>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除完成基本定型法规性能测试外，可满足ADAS/操稳/转向/驾驶性/舒适性/平顺性等主观评价/客观测试，同步测量VD+NVH性能；</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13</w:t>
            </w:r>
          </w:p>
        </w:tc>
        <w:tc>
          <w:tcPr>
            <w:tcW w:w="1123"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采样精度</w:t>
            </w:r>
          </w:p>
        </w:tc>
        <w:tc>
          <w:tcPr>
            <w:tcW w:w="5841" w:type="dxa"/>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采集模块热稳定性好，采样率高，精度高，漂移小，数据一致性稳定性高</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pPr>
              <w:widowControl/>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14</w:t>
            </w:r>
          </w:p>
        </w:tc>
        <w:tc>
          <w:tcPr>
            <w:tcW w:w="1123" w:type="dxa"/>
            <w:vAlign w:val="center"/>
          </w:tcPr>
          <w:p>
            <w:pPr>
              <w:widowControl/>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w:t>
            </w:r>
          </w:p>
        </w:tc>
        <w:tc>
          <w:tcPr>
            <w:tcW w:w="5841" w:type="dxa"/>
          </w:tcPr>
          <w:p>
            <w:pPr>
              <w:widowControl/>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踏板力安装支架</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天线</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连接线束，每根长度不低于</w:t>
            </w:r>
            <w:r>
              <w:rPr>
                <w:rFonts w:hAnsi="宋体" w:eastAsia="宋体" w:cs="宋体"/>
                <w:color w:val="000000" w:themeColor="text1"/>
                <w:sz w:val="24"/>
                <w:szCs w:val="24"/>
                <w14:textFill>
                  <w14:solidFill>
                    <w14:schemeClr w14:val="tx1"/>
                  </w14:solidFill>
                </w14:textFill>
              </w:rPr>
              <w:t>5m，三防屏蔽线</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安装工具</w:t>
            </w:r>
          </w:p>
          <w:p>
            <w:pPr>
              <w:pStyle w:val="21"/>
              <w:rPr>
                <w:rFonts w:hint="eastAsia" w:hAnsi="宋体" w:eastAsia="宋体" w:cs="宋体"/>
                <w:color w:val="000000" w:themeColor="text1"/>
                <w:sz w:val="24"/>
                <w:szCs w:val="24"/>
                <w14:textFill>
                  <w14:solidFill>
                    <w14:schemeClr w14:val="tx1"/>
                  </w14:solidFill>
                </w14:textFill>
              </w:rPr>
            </w:pPr>
            <w:r>
              <w:rPr>
                <w:rFonts w:hint="eastAsia" w:cs="仿宋_GB2312" w:asciiTheme="minorEastAsia" w:hAnsiTheme="minorEastAsia"/>
                <w:bCs/>
                <w:szCs w:val="21"/>
              </w:rPr>
              <w:t>保证连接，实现功能　</w:t>
            </w:r>
          </w:p>
          <w:p>
            <w:pPr>
              <w:pStyle w:val="21"/>
              <w:rPr>
                <w:rFonts w:hAnsi="宋体" w:eastAsia="宋体" w:cs="宋体"/>
                <w:color w:val="000000" w:themeColor="text1"/>
                <w:sz w:val="24"/>
                <w:szCs w:val="24"/>
                <w14:textFill>
                  <w14:solidFill>
                    <w14:schemeClr w14:val="tx1"/>
                  </w14:solidFill>
                </w14:textFill>
              </w:rPr>
            </w:pPr>
            <w:r>
              <w:rPr>
                <w:rFonts w:hAnsi="宋体" w:eastAsia="宋体" w:cs="宋体"/>
                <w:color w:val="000000" w:themeColor="text1"/>
                <w:sz w:val="24"/>
                <w:szCs w:val="24"/>
                <w14:textFill>
                  <w14:solidFill>
                    <w14:schemeClr w14:val="tx1"/>
                  </w14:solidFill>
                </w14:textFill>
              </w:rPr>
              <w:t>9针转接头</w:t>
            </w:r>
          </w:p>
        </w:tc>
        <w:tc>
          <w:tcPr>
            <w:tcW w:w="1211" w:type="dxa"/>
            <w:vAlign w:val="center"/>
          </w:tcPr>
          <w:p>
            <w:pPr>
              <w:jc w:val="left"/>
              <w:rPr>
                <w:rFonts w:ascii="宋体" w:hAnsi="宋体" w:eastAsia="宋体" w:cs="宋体"/>
                <w:color w:val="000000" w:themeColor="text1"/>
                <w:sz w:val="24"/>
                <w:szCs w:val="24"/>
                <w14:textFill>
                  <w14:solidFill>
                    <w14:schemeClr w14:val="tx1"/>
                  </w14:solidFill>
                </w14:textFill>
              </w:rPr>
            </w:pPr>
          </w:p>
        </w:tc>
      </w:tr>
    </w:tbl>
    <w:p>
      <w:pPr>
        <w:pStyle w:val="21"/>
        <w:rPr>
          <w:rFonts w:hAnsi="宋体" w:eastAsia="宋体"/>
        </w:rPr>
      </w:pPr>
    </w:p>
    <w:p>
      <w:pPr>
        <w:pStyle w:val="21"/>
        <w:rPr>
          <w:rFonts w:hAnsi="宋体" w:eastAsia="宋体"/>
        </w:rPr>
      </w:pPr>
    </w:p>
    <w:p>
      <w:pPr>
        <w:spacing w:line="360" w:lineRule="auto"/>
        <w:outlineLvl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 设备要求</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2.4.1设备主体，此次采购</w:t>
      </w:r>
      <w:r>
        <w:rPr>
          <w:rFonts w:hAnsi="宋体" w:eastAsia="宋体" w:cs="宋体"/>
          <w:color w:val="000000" w:themeColor="text1"/>
          <w:sz w:val="24"/>
          <w:szCs w:val="24"/>
          <w14:textFill>
            <w14:solidFill>
              <w14:schemeClr w14:val="tx1"/>
            </w14:solidFill>
          </w14:textFill>
        </w:rPr>
        <w:t>多通道便携式数据采集系统</w:t>
      </w:r>
      <w:r>
        <w:rPr>
          <w:rFonts w:hint="eastAsia" w:hAnsi="宋体" w:eastAsia="宋体" w:cs="宋体"/>
          <w:color w:val="000000" w:themeColor="text1"/>
          <w:sz w:val="24"/>
          <w:szCs w:val="24"/>
          <w14:textFill>
            <w14:solidFill>
              <w14:schemeClr w14:val="tx1"/>
            </w14:solidFill>
          </w14:textFill>
        </w:rPr>
        <w:t xml:space="preserve">整车动态性能测试设备硬件、软件应包含以下内容： </w:t>
      </w:r>
    </w:p>
    <w:p>
      <w:pPr>
        <w:pStyle w:val="21"/>
        <w:rPr>
          <w:rFonts w:hAnsi="宋体" w:eastAsia="宋体"/>
          <w:color w:val="000000" w:themeColor="text1"/>
          <w:sz w:val="24"/>
          <w:szCs w:val="24"/>
          <w14:textFill>
            <w14:solidFill>
              <w14:schemeClr w14:val="tx1"/>
            </w14:solidFill>
          </w14:textFill>
        </w:rPr>
      </w:pPr>
      <w:r>
        <w:rPr>
          <w:rFonts w:hint="eastAsia" w:hAnsi="宋体" w:eastAsia="宋体"/>
          <w:color w:val="000000" w:themeColor="text1"/>
          <w:sz w:val="24"/>
          <w:szCs w:val="24"/>
          <w14:textFill>
            <w14:solidFill>
              <w14:schemeClr w14:val="tx1"/>
            </w14:solidFill>
          </w14:textFill>
        </w:rPr>
        <w:t>多通道便携式数据采集项目，含2个数据采集模块及相关软件，小型陀螺仪，相关力、位移、温度传感器等附件，可建立自主整车部分动态性能测试能力。</w:t>
      </w:r>
    </w:p>
    <w:p>
      <w:pPr>
        <w:pStyle w:val="21"/>
      </w:pPr>
      <w:r>
        <w:rPr>
          <w:rFonts w:hAnsi="宋体" w:eastAsia="宋体" w:cs="宋体"/>
          <w:color w:val="000000" w:themeColor="text1"/>
          <w:sz w:val="24"/>
          <w:szCs w:val="24"/>
          <w14:textFill>
            <w14:solidFill>
              <w14:schemeClr w14:val="tx1"/>
            </w14:solidFill>
          </w14:textFill>
        </w:rPr>
        <w:drawing>
          <wp:inline distT="0" distB="0" distL="0" distR="0">
            <wp:extent cx="5759450" cy="3186430"/>
            <wp:effectExtent l="0" t="0" r="12700" b="13970"/>
            <wp:docPr id="14170837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3708"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9450" cy="3186430"/>
                    </a:xfrm>
                    <a:prstGeom prst="rect">
                      <a:avLst/>
                    </a:prstGeom>
                    <a:noFill/>
                    <a:ln>
                      <a:noFill/>
                    </a:ln>
                  </pic:spPr>
                </pic:pic>
              </a:graphicData>
            </a:graphic>
          </wp:inline>
        </w:drawing>
      </w:r>
    </w:p>
    <w:bookmarkEnd w:id="20"/>
    <w:p>
      <w:pPr>
        <w:tabs>
          <w:tab w:val="left" w:pos="284"/>
          <w:tab w:val="left" w:pos="454"/>
          <w:tab w:val="left" w:pos="624"/>
        </w:tabs>
        <w:spacing w:line="360" w:lineRule="auto"/>
        <w:outlineLvl w:val="4"/>
        <w:rPr>
          <w:rFonts w:ascii="宋体" w:hAnsi="宋体" w:eastAsia="宋体" w:cs="宋体"/>
          <w:color w:val="000000"/>
          <w:sz w:val="24"/>
          <w:szCs w:val="24"/>
        </w:rPr>
      </w:pPr>
      <w:bookmarkStart w:id="21" w:name="_Hlk215477323"/>
    </w:p>
    <w:p>
      <w:pPr>
        <w:spacing w:line="360" w:lineRule="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2.4.2测试软件</w:t>
      </w:r>
    </w:p>
    <w:p>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测试软件应具有良好的人机对话界面，所有的控制操作均可在测试软件中实现，所有测试数据可实现电脑实时显示、自动数据记录、处理和打印、异常及故障报警功能。支持定制中英文报告，买方可进行一定程度的二次开发。</w:t>
      </w:r>
    </w:p>
    <w:p>
      <w:pPr>
        <w:spacing w:line="360" w:lineRule="auto"/>
        <w:outlineLvl w:val="7"/>
        <w:rPr>
          <w:rFonts w:ascii="宋体" w:hAnsi="宋体" w:eastAsia="宋体" w:cs="宋体"/>
          <w:color w:val="000000" w:themeColor="text1"/>
          <w:sz w:val="24"/>
          <w:szCs w:val="24"/>
          <w14:textFill>
            <w14:solidFill>
              <w14:schemeClr w14:val="tx1"/>
            </w14:solidFill>
          </w14:textFill>
        </w:rPr>
      </w:pPr>
      <w:bookmarkStart w:id="22" w:name="_Toc419446546"/>
      <w:bookmarkStart w:id="23" w:name="_Toc8745"/>
      <w:bookmarkStart w:id="24" w:name="_Toc353353485"/>
      <w:bookmarkStart w:id="25" w:name="_Toc356922273"/>
      <w:bookmarkStart w:id="26" w:name="_Toc412787428"/>
      <w:bookmarkStart w:id="27" w:name="_Toc278784783"/>
      <w:r>
        <w:rPr>
          <w:rFonts w:hint="eastAsia" w:ascii="宋体" w:hAnsi="宋体" w:eastAsia="宋体" w:cs="宋体"/>
          <w:color w:val="000000" w:themeColor="text1"/>
          <w:sz w:val="24"/>
          <w:szCs w:val="24"/>
          <w14:textFill>
            <w14:solidFill>
              <w14:schemeClr w14:val="tx1"/>
            </w14:solidFill>
          </w14:textFill>
        </w:rPr>
        <w:t>2.4.3 工作时间</w:t>
      </w:r>
      <w:bookmarkEnd w:id="22"/>
      <w:bookmarkEnd w:id="23"/>
      <w:bookmarkEnd w:id="24"/>
      <w:bookmarkEnd w:id="25"/>
      <w:bookmarkEnd w:id="26"/>
    </w:p>
    <w:p>
      <w:pPr>
        <w:pStyle w:val="17"/>
        <w:adjustRightInd w:val="0"/>
        <w:spacing w:after="0" w:line="360" w:lineRule="auto"/>
        <w:ind w:left="0" w:leftChars="0" w:firstLine="480" w:firstLineChars="200"/>
        <w:textAlignment w:val="baseline"/>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1）设备运行连续性时间：最长连续运行时间不小于5小时；</w:t>
      </w:r>
    </w:p>
    <w:p>
      <w:pPr>
        <w:pStyle w:val="17"/>
        <w:adjustRightInd w:val="0"/>
        <w:spacing w:after="0" w:line="360" w:lineRule="auto"/>
        <w:ind w:left="0" w:leftChars="0" w:firstLine="480" w:firstLineChars="200"/>
        <w:textAlignment w:val="baseline"/>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2）可靠性MTBF：≥200h；</w:t>
      </w:r>
    </w:p>
    <w:p>
      <w:pPr>
        <w:pStyle w:val="17"/>
        <w:adjustRightInd w:val="0"/>
        <w:spacing w:after="0" w:line="360" w:lineRule="auto"/>
        <w:ind w:left="0" w:leftChars="0" w:firstLine="480" w:firstLineChars="200"/>
        <w:textAlignment w:val="baseline"/>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3）维修性MTTR：≤0.5h；</w:t>
      </w:r>
    </w:p>
    <w:p>
      <w:pPr>
        <w:pStyle w:val="17"/>
        <w:adjustRightInd w:val="0"/>
        <w:spacing w:after="0" w:line="360" w:lineRule="auto"/>
        <w:ind w:left="0" w:leftChars="0" w:firstLine="480" w:firstLineChars="200"/>
        <w:textAlignment w:val="baseline"/>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4）展开时间≤0.5h。</w:t>
      </w:r>
      <w:bookmarkEnd w:id="27"/>
      <w:bookmarkStart w:id="28" w:name="_Toc513514400"/>
    </w:p>
    <w:bookmarkEnd w:id="28"/>
    <w:p>
      <w:pPr>
        <w:pStyle w:val="21"/>
        <w:rPr>
          <w:rFonts w:hAnsi="宋体" w:eastAsia="宋体"/>
          <w:color w:val="000000" w:themeColor="text1"/>
          <w14:textFill>
            <w14:solidFill>
              <w14:schemeClr w14:val="tx1"/>
            </w14:solidFill>
          </w14:textFill>
        </w:rPr>
      </w:pPr>
    </w:p>
    <w:p>
      <w:pPr>
        <w:pStyle w:val="76"/>
        <w:numPr>
          <w:ilvl w:val="0"/>
          <w:numId w:val="33"/>
        </w:numPr>
        <w:spacing w:line="360" w:lineRule="auto"/>
        <w:ind w:firstLineChars="0"/>
        <w:outlineLvl w:val="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项目时间节点</w:t>
      </w:r>
    </w:p>
    <w:p>
      <w:pPr>
        <w:pStyle w:val="21"/>
        <w:rPr>
          <w:rFonts w:hAnsi="宋体" w:eastAsia="宋体" w:cs="宋体"/>
          <w:color w:val="000000" w:themeColor="text1"/>
          <w:sz w:val="24"/>
          <w:szCs w:val="24"/>
          <w14:textFill>
            <w14:solidFill>
              <w14:schemeClr w14:val="tx1"/>
            </w14:solidFill>
          </w14:textFill>
        </w:rPr>
      </w:pPr>
    </w:p>
    <w:tbl>
      <w:tblPr>
        <w:tblStyle w:val="1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207"/>
        <w:gridCol w:w="2693"/>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实施节点</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完成时间</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727" w:type="pct"/>
          </w:tcPr>
          <w:p>
            <w:pPr>
              <w:pStyle w:val="120"/>
              <w:numPr>
                <w:ilvl w:val="1"/>
                <w:numId w:val="0"/>
              </w:numPr>
              <w:spacing w:line="240" w:lineRule="atLeast"/>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立项后90日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项目启动</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合同签订后30日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基建满足设备进场安装</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基建满足设备调试</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设备到货</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合同签订后180日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1727"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安装调试</w:t>
            </w:r>
          </w:p>
        </w:tc>
        <w:tc>
          <w:tcPr>
            <w:tcW w:w="1450"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合同签订后210日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1727"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验收完成</w:t>
            </w:r>
          </w:p>
        </w:tc>
        <w:tc>
          <w:tcPr>
            <w:tcW w:w="1450"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合同签订后390日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p>
        </w:tc>
        <w:tc>
          <w:tcPr>
            <w:tcW w:w="1727"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质保期</w:t>
            </w:r>
          </w:p>
        </w:tc>
        <w:tc>
          <w:tcPr>
            <w:tcW w:w="1450"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合同签订后1050日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投入使用</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合同签订后240日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bl>
    <w:p>
      <w:pPr>
        <w:pStyle w:val="21"/>
      </w:pPr>
    </w:p>
    <w:p>
      <w:pPr>
        <w:pStyle w:val="21"/>
      </w:pPr>
    </w:p>
    <w:bookmarkEnd w:id="19"/>
    <w:bookmarkEnd w:id="21"/>
    <w:p>
      <w:pPr>
        <w:pStyle w:val="171"/>
        <w:spacing w:line="360" w:lineRule="auto"/>
        <w:outlineLvl w:val="4"/>
        <w:rPr>
          <w:rFonts w:ascii="宋体" w:hAnsi="宋体" w:cs="宋体"/>
          <w:color w:val="auto"/>
        </w:rPr>
      </w:pPr>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539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9" w:type="dxa"/>
            <w:vAlign w:val="center"/>
          </w:tcPr>
          <w:p>
            <w:pPr>
              <w:spacing w:line="360" w:lineRule="auto"/>
              <w:jc w:val="center"/>
              <w:rPr>
                <w:rFonts w:ascii="宋体" w:hAnsi="宋体" w:eastAsia="宋体" w:cs="宋体"/>
                <w:b/>
                <w:color w:val="000000"/>
                <w:sz w:val="24"/>
                <w:szCs w:val="24"/>
              </w:rPr>
            </w:pPr>
            <w:bookmarkStart w:id="29" w:name="_Hlk215478470"/>
            <w:r>
              <w:rPr>
                <w:rFonts w:hint="eastAsia" w:ascii="宋体" w:hAnsi="宋体" w:eastAsia="宋体" w:cs="宋体"/>
                <w:b/>
                <w:color w:val="000000"/>
                <w:sz w:val="24"/>
                <w:szCs w:val="24"/>
              </w:rPr>
              <w:t>序号</w:t>
            </w:r>
          </w:p>
        </w:tc>
        <w:tc>
          <w:tcPr>
            <w:tcW w:w="5391" w:type="dxa"/>
            <w:vAlign w:val="center"/>
          </w:tcPr>
          <w:p>
            <w:pPr>
              <w:spacing w:line="360" w:lineRule="auto"/>
              <w:jc w:val="center"/>
              <w:rPr>
                <w:rFonts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134" w:type="dxa"/>
            <w:vAlign w:val="center"/>
          </w:tcPr>
          <w:p>
            <w:pPr>
              <w:spacing w:line="360" w:lineRule="auto"/>
              <w:jc w:val="center"/>
              <w:rPr>
                <w:rFonts w:ascii="宋体" w:hAnsi="宋体" w:eastAsia="宋体" w:cs="宋体"/>
                <w:b/>
                <w:color w:val="000000"/>
                <w:sz w:val="24"/>
                <w:szCs w:val="24"/>
              </w:rPr>
            </w:pPr>
            <w:r>
              <w:rPr>
                <w:rFonts w:hint="eastAsia" w:ascii="宋体" w:hAnsi="宋体" w:eastAsia="宋体" w:cs="宋体"/>
                <w:b/>
                <w:color w:val="000000"/>
                <w:sz w:val="24"/>
                <w:szCs w:val="24"/>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59"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5391" w:type="dxa"/>
            <w:vAlign w:val="center"/>
          </w:tcPr>
          <w:p>
            <w:pPr>
              <w:spacing w:line="360" w:lineRule="auto"/>
              <w:jc w:val="left"/>
              <w:rPr>
                <w:rFonts w:ascii="宋体" w:hAnsi="宋体" w:eastAsia="宋体" w:cs="宋体"/>
                <w:color w:val="000000"/>
                <w:sz w:val="24"/>
                <w:szCs w:val="24"/>
              </w:rPr>
            </w:pPr>
            <w:r>
              <w:rPr>
                <w:rFonts w:hint="eastAsia" w:ascii="宋体" w:hAnsi="宋体" w:eastAsia="宋体" w:cs="宋体"/>
                <w:color w:val="000000"/>
                <w:sz w:val="24"/>
                <w:szCs w:val="24"/>
              </w:rPr>
              <w:t>投标方提供行业内的推荐性、企业、国家标准。</w:t>
            </w:r>
          </w:p>
        </w:tc>
        <w:tc>
          <w:tcPr>
            <w:tcW w:w="2134"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EN61010-1:2001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259"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5391" w:type="dxa"/>
            <w:vAlign w:val="center"/>
          </w:tcPr>
          <w:p>
            <w:pPr>
              <w:spacing w:line="360" w:lineRule="auto"/>
              <w:jc w:val="left"/>
              <w:rPr>
                <w:rFonts w:ascii="宋体" w:hAnsi="宋体" w:eastAsia="宋体" w:cs="宋体"/>
                <w:color w:val="000000"/>
                <w:sz w:val="24"/>
                <w:szCs w:val="24"/>
              </w:rPr>
            </w:pPr>
            <w:r>
              <w:rPr>
                <w:rFonts w:hint="eastAsia" w:ascii="宋体" w:hAnsi="宋体" w:eastAsia="宋体" w:cs="宋体"/>
                <w:color w:val="000000"/>
                <w:sz w:val="24"/>
                <w:szCs w:val="24"/>
              </w:rPr>
              <w:t>视听系统设备互连用连接器的应用</w:t>
            </w:r>
          </w:p>
        </w:tc>
        <w:tc>
          <w:tcPr>
            <w:tcW w:w="2134"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GB/T15644-95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9"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5391" w:type="dxa"/>
            <w:vAlign w:val="center"/>
          </w:tcPr>
          <w:p>
            <w:pPr>
              <w:spacing w:line="360" w:lineRule="auto"/>
              <w:jc w:val="left"/>
              <w:rPr>
                <w:rFonts w:ascii="宋体" w:hAnsi="宋体" w:eastAsia="宋体" w:cs="宋体"/>
                <w:color w:val="000000"/>
                <w:sz w:val="24"/>
                <w:szCs w:val="24"/>
              </w:rPr>
            </w:pPr>
            <w:r>
              <w:rPr>
                <w:rFonts w:hint="eastAsia" w:ascii="宋体" w:hAnsi="宋体" w:eastAsia="宋体" w:cs="宋体"/>
                <w:color w:val="000000"/>
                <w:sz w:val="24"/>
                <w:szCs w:val="24"/>
              </w:rPr>
              <w:t>电子工业协会标准</w:t>
            </w:r>
          </w:p>
        </w:tc>
        <w:tc>
          <w:tcPr>
            <w:tcW w:w="2134"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EIA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9"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5391" w:type="dxa"/>
            <w:vAlign w:val="center"/>
          </w:tcPr>
          <w:p>
            <w:pPr>
              <w:spacing w:line="360" w:lineRule="auto"/>
              <w:jc w:val="left"/>
              <w:rPr>
                <w:rFonts w:ascii="宋体" w:hAnsi="宋体" w:eastAsia="宋体" w:cs="宋体"/>
                <w:color w:val="000000"/>
                <w:sz w:val="24"/>
                <w:szCs w:val="24"/>
              </w:rPr>
            </w:pPr>
            <w:r>
              <w:rPr>
                <w:rFonts w:hint="eastAsia" w:ascii="宋体" w:hAnsi="宋体" w:eastAsia="宋体" w:cs="宋体"/>
                <w:color w:val="000000"/>
                <w:sz w:val="24"/>
                <w:szCs w:val="24"/>
              </w:rPr>
              <w:t>中国产品强制认证标准</w:t>
            </w:r>
          </w:p>
        </w:tc>
        <w:tc>
          <w:tcPr>
            <w:tcW w:w="2134"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3C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5391"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重型汽车操纵稳定性试验通用条件</w:t>
            </w:r>
          </w:p>
        </w:tc>
        <w:tc>
          <w:tcPr>
            <w:tcW w:w="2134"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GB/T 40499-2021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9"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6</w:t>
            </w:r>
          </w:p>
        </w:tc>
        <w:tc>
          <w:tcPr>
            <w:tcW w:w="5391"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汽车操纵稳定性试验方法</w:t>
            </w:r>
          </w:p>
        </w:tc>
        <w:tc>
          <w:tcPr>
            <w:tcW w:w="2134"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GB/T 6323-2014</w:t>
            </w:r>
          </w:p>
        </w:tc>
      </w:tr>
      <w:bookmarkEnd w:id="29"/>
    </w:tbl>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  </w:t>
      </w: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rPr>
          <w:rFonts w:hAnsi="宋体" w:eastAsia="宋体" w:cs="宋体"/>
          <w:sz w:val="24"/>
          <w:szCs w:val="24"/>
        </w:rPr>
      </w:pPr>
    </w:p>
    <w:p>
      <w:pPr>
        <w:pStyle w:val="21"/>
        <w:sectPr>
          <w:footerReference r:id="rId8" w:type="first"/>
          <w:footerReference r:id="rId7" w:type="default"/>
          <w:pgSz w:w="11906" w:h="16838"/>
          <w:pgMar w:top="1588" w:right="1418" w:bottom="1134" w:left="1418" w:header="851" w:footer="992" w:gutter="0"/>
          <w:cols w:space="720" w:num="1"/>
          <w:titlePg/>
          <w:docGrid w:linePitch="312" w:charSpace="0"/>
        </w:sect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2"/>
        <w:tblW w:w="4992" w:type="pct"/>
        <w:tblInd w:w="0" w:type="dxa"/>
        <w:tblLayout w:type="autofit"/>
        <w:tblCellMar>
          <w:top w:w="0" w:type="dxa"/>
          <w:left w:w="108" w:type="dxa"/>
          <w:bottom w:w="0" w:type="dxa"/>
          <w:right w:w="108" w:type="dxa"/>
        </w:tblCellMar>
      </w:tblPr>
      <w:tblGrid>
        <w:gridCol w:w="673"/>
        <w:gridCol w:w="1943"/>
        <w:gridCol w:w="2333"/>
        <w:gridCol w:w="1294"/>
        <w:gridCol w:w="1628"/>
        <w:gridCol w:w="712"/>
        <w:gridCol w:w="688"/>
      </w:tblGrid>
      <w:tr>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048"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名称</w:t>
            </w:r>
          </w:p>
        </w:tc>
        <w:tc>
          <w:tcPr>
            <w:tcW w:w="1258"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规格型号</w:t>
            </w:r>
          </w:p>
        </w:tc>
        <w:tc>
          <w:tcPr>
            <w:tcW w:w="698"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品牌</w:t>
            </w:r>
          </w:p>
        </w:tc>
        <w:tc>
          <w:tcPr>
            <w:tcW w:w="878"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产地</w:t>
            </w:r>
          </w:p>
        </w:tc>
        <w:tc>
          <w:tcPr>
            <w:tcW w:w="384"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单位</w:t>
            </w:r>
          </w:p>
        </w:tc>
        <w:tc>
          <w:tcPr>
            <w:tcW w:w="371"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r>
      <w:tr>
        <w:tblPrEx>
          <w:tblCellMar>
            <w:top w:w="0" w:type="dxa"/>
            <w:left w:w="108" w:type="dxa"/>
            <w:bottom w:w="0" w:type="dxa"/>
            <w:right w:w="108" w:type="dxa"/>
          </w:tblCellMar>
        </w:tblPrEx>
        <w:trPr>
          <w:trHeight w:val="397"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04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电脑</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Precision 7780 工作站</w:t>
            </w:r>
            <w:r>
              <w:rPr>
                <w:rFonts w:ascii="宋体" w:hAnsi="宋体" w:cs="宋体"/>
                <w:bCs/>
                <w:szCs w:val="24"/>
              </w:rPr>
              <w:t>（预算内市场</w:t>
            </w:r>
            <w:r>
              <w:rPr>
                <w:rFonts w:hint="eastAsia" w:ascii="宋体" w:hAnsi="宋体" w:cs="宋体"/>
                <w:bCs/>
                <w:szCs w:val="24"/>
              </w:rPr>
              <w:t>主流</w:t>
            </w:r>
            <w:r>
              <w:rPr>
                <w:rFonts w:ascii="宋体" w:hAnsi="宋体" w:cs="宋体"/>
                <w:bCs/>
                <w:szCs w:val="24"/>
              </w:rPr>
              <w:t>配置）</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DELL</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中国</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CellMar>
            <w:top w:w="0" w:type="dxa"/>
            <w:left w:w="108" w:type="dxa"/>
            <w:bottom w:w="0" w:type="dxa"/>
            <w:right w:w="108" w:type="dxa"/>
          </w:tblCellMar>
        </w:tblPrEx>
        <w:trPr>
          <w:trHeight w:val="344"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04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小型陀螺仪</w:t>
            </w:r>
          </w:p>
        </w:tc>
        <w:tc>
          <w:tcPr>
            <w:tcW w:w="125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DS-IMU1</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Genesys</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斯洛文尼亚</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CellMar>
            <w:top w:w="0" w:type="dxa"/>
            <w:left w:w="108" w:type="dxa"/>
            <w:bottom w:w="0" w:type="dxa"/>
            <w:right w:w="108" w:type="dxa"/>
          </w:tblCellMar>
        </w:tblPrEx>
        <w:trPr>
          <w:trHeight w:val="58"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04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多通道便携数采dewesoft</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DEWE43A</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DEWESOFT</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斯洛文尼亚</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r>
      <w:tr>
        <w:tblPrEx>
          <w:tblCellMar>
            <w:top w:w="0" w:type="dxa"/>
            <w:left w:w="108" w:type="dxa"/>
            <w:bottom w:w="0" w:type="dxa"/>
            <w:right w:w="108" w:type="dxa"/>
          </w:tblCellMar>
        </w:tblPrEx>
        <w:trPr>
          <w:trHeight w:val="317"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04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软件</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DEWESOFT</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DEWESOFT</w:t>
            </w:r>
          </w:p>
        </w:tc>
        <w:tc>
          <w:tcPr>
            <w:tcW w:w="87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斯洛文尼亚</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8"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04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踏板力</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CPFTB</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KISTLER</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德国</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CellMar>
            <w:top w:w="0" w:type="dxa"/>
            <w:left w:w="108" w:type="dxa"/>
            <w:bottom w:w="0" w:type="dxa"/>
            <w:right w:w="108" w:type="dxa"/>
          </w:tblCellMar>
        </w:tblPrEx>
        <w:trPr>
          <w:trHeight w:val="58"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04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踏板行程</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Witi-P</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KISTLER</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德国</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04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压力传感器</w:t>
            </w:r>
          </w:p>
        </w:tc>
        <w:tc>
          <w:tcPr>
            <w:tcW w:w="125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PA23SY</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KISTLER</w:t>
            </w:r>
          </w:p>
        </w:tc>
        <w:tc>
          <w:tcPr>
            <w:tcW w:w="87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瑞士</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r>
      <w:tr>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04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真空压力传感器</w:t>
            </w:r>
          </w:p>
        </w:tc>
        <w:tc>
          <w:tcPr>
            <w:tcW w:w="125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PR-23SY</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KISTLER</w:t>
            </w:r>
          </w:p>
        </w:tc>
        <w:tc>
          <w:tcPr>
            <w:tcW w:w="87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瑞士</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04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温度模块</w:t>
            </w:r>
          </w:p>
        </w:tc>
        <w:tc>
          <w:tcPr>
            <w:tcW w:w="125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Krypton</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KISTLER</w:t>
            </w:r>
          </w:p>
        </w:tc>
        <w:tc>
          <w:tcPr>
            <w:tcW w:w="87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斯洛文尼亚</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048" w:type="pct"/>
            <w:tcBorders>
              <w:top w:val="nil"/>
              <w:left w:val="nil"/>
              <w:bottom w:val="single" w:color="auto" w:sz="4" w:space="0"/>
              <w:right w:val="single" w:color="auto" w:sz="4" w:space="0"/>
            </w:tcBorders>
            <w:noWrap/>
            <w:vAlign w:val="bottom"/>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IEPE适配器</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DSI-ACC</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DEWESOFT</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斯洛文尼亚</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w:t>
            </w:r>
          </w:p>
        </w:tc>
      </w:tr>
      <w:tr>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04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连接线束</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踏板力安装支架；</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天线；</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连接线束，每根长度不低于</w:t>
            </w:r>
            <w:r>
              <w:rPr>
                <w:rFonts w:ascii="宋体" w:hAnsi="宋体" w:eastAsia="宋体" w:cs="宋体"/>
                <w:color w:val="000000"/>
                <w:kern w:val="0"/>
                <w:sz w:val="22"/>
              </w:rPr>
              <w:t>5m，三防屏蔽线</w:t>
            </w:r>
            <w:r>
              <w:rPr>
                <w:rFonts w:hint="eastAsia" w:ascii="宋体" w:hAnsi="宋体" w:eastAsia="宋体" w:cs="宋体"/>
                <w:color w:val="000000"/>
                <w:kern w:val="0"/>
                <w:sz w:val="22"/>
              </w:rPr>
              <w:t>；</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安装工具　</w:t>
            </w:r>
          </w:p>
          <w:p>
            <w:pPr>
              <w:widowControl/>
              <w:jc w:val="center"/>
              <w:rPr>
                <w:rFonts w:ascii="宋体" w:hAnsi="宋体" w:eastAsia="宋体" w:cs="宋体"/>
                <w:color w:val="000000"/>
                <w:kern w:val="0"/>
                <w:sz w:val="22"/>
              </w:rPr>
            </w:pPr>
            <w:r>
              <w:rPr>
                <w:rFonts w:hint="eastAsia" w:cs="仿宋_GB2312" w:asciiTheme="minorEastAsia" w:hAnsiTheme="minorEastAsia"/>
                <w:bCs/>
                <w:szCs w:val="21"/>
              </w:rPr>
              <w:t>保证连接，实现功能　</w:t>
            </w:r>
            <w:r>
              <w:rPr>
                <w:rFonts w:hint="eastAsia" w:ascii="宋体" w:hAnsi="宋体" w:eastAsia="宋体" w:cs="宋体"/>
                <w:color w:val="000000"/>
                <w:kern w:val="0"/>
                <w:sz w:val="22"/>
              </w:rPr>
              <w:t>　</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DEWESOFT</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德国</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　</w:t>
            </w:r>
          </w:p>
        </w:tc>
      </w:tr>
      <w:tr>
        <w:tblPrEx>
          <w:tblCellMar>
            <w:top w:w="0" w:type="dxa"/>
            <w:left w:w="108" w:type="dxa"/>
            <w:bottom w:w="0" w:type="dxa"/>
            <w:right w:w="108" w:type="dxa"/>
          </w:tblCellMar>
        </w:tblPrEx>
        <w:trPr>
          <w:trHeight w:val="32" w:hRule="atLeast"/>
        </w:trPr>
        <w:tc>
          <w:tcPr>
            <w:tcW w:w="363" w:type="pc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1048"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其他易损配件</w:t>
            </w:r>
          </w:p>
        </w:tc>
        <w:tc>
          <w:tcPr>
            <w:tcW w:w="125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t>9针转接头</w:t>
            </w:r>
          </w:p>
        </w:tc>
        <w:tc>
          <w:tcPr>
            <w:tcW w:w="69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DEWESOFT</w:t>
            </w:r>
          </w:p>
        </w:tc>
        <w:tc>
          <w:tcPr>
            <w:tcW w:w="878"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德国</w:t>
            </w:r>
          </w:p>
        </w:tc>
        <w:tc>
          <w:tcPr>
            <w:tcW w:w="384"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71" w:type="pct"/>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r>
    </w:tbl>
    <w:p>
      <w:pPr>
        <w:pStyle w:val="21"/>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以及在整个施工过程中的管道、电路的拆卸、改装、清理等工作，不产生报价外的其他费用。</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bCs/>
          <w:color w:val="000000" w:themeColor="text1"/>
          <w:sz w:val="24"/>
          <w:szCs w:val="24"/>
          <w14:textFill>
            <w14:solidFill>
              <w14:schemeClr w14:val="tx1"/>
            </w14:solidFill>
          </w14:textFill>
        </w:rPr>
        <w:t>供应</w:t>
      </w:r>
      <w:r>
        <w:rPr>
          <w:rFonts w:hint="eastAsia" w:ascii="宋体" w:hAnsi="宋体" w:eastAsia="宋体" w:cs="宋体"/>
          <w:color w:val="000000" w:themeColor="text1"/>
          <w:sz w:val="24"/>
          <w:szCs w:val="24"/>
          <w14:textFill>
            <w14:solidFill>
              <w14:schemeClr w14:val="tx1"/>
            </w14:solidFill>
          </w14:textFill>
        </w:rPr>
        <w:t>商在合同签订后</w:t>
      </w:r>
      <w:r>
        <w:rPr>
          <w:rFonts w:ascii="宋体" w:hAnsi="宋体" w:eastAsia="宋体" w:cs="宋体"/>
          <w:color w:val="000000" w:themeColor="text1"/>
          <w:sz w:val="24"/>
          <w:szCs w:val="24"/>
          <w14:textFill>
            <w14:solidFill>
              <w14:schemeClr w14:val="tx1"/>
            </w14:solidFill>
          </w14:textFill>
        </w:rPr>
        <w:t>30 个日历日内应提供以下文件资料（进口项目提供中文及英文文件资料，</w:t>
      </w:r>
      <w:r>
        <w:rPr>
          <w:rFonts w:hint="eastAsia" w:ascii="宋体" w:hAnsi="宋体" w:eastAsia="宋体" w:cs="宋体"/>
          <w:color w:val="000000" w:themeColor="text1"/>
          <w:sz w:val="24"/>
          <w:szCs w:val="24"/>
          <w14:textFill>
            <w14:solidFill>
              <w14:schemeClr w14:val="tx1"/>
            </w14:solidFill>
          </w14:textFill>
        </w:rPr>
        <w:t>以中文版本的含义为准），其费用应包括在技术服务价格之内，技术文件应完整、清楚、足够保证现场安装、试运转以及正常安全运行和维修。</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1）合同设备的供货范围，并提供主要系统、部件和外购件的分项报价。</w:t>
      </w:r>
    </w:p>
    <w:p>
      <w:pPr>
        <w:spacing w:line="360" w:lineRule="auto"/>
        <w:ind w:firstLine="708" w:firstLineChars="29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a 主机清单。</w:t>
      </w:r>
    </w:p>
    <w:p>
      <w:pPr>
        <w:spacing w:line="360" w:lineRule="auto"/>
        <w:ind w:firstLine="708" w:firstLineChars="29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b 附件及配套件清单。</w:t>
      </w:r>
    </w:p>
    <w:p>
      <w:pPr>
        <w:spacing w:line="360" w:lineRule="auto"/>
        <w:ind w:firstLine="708" w:firstLineChars="29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c 随机的易损件及备件的清单及其价格。</w:t>
      </w:r>
    </w:p>
    <w:p>
      <w:pPr>
        <w:spacing w:line="360" w:lineRule="auto"/>
        <w:ind w:firstLine="708" w:firstLineChars="29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d 特殊、专用工具清单。</w:t>
      </w:r>
    </w:p>
    <w:p>
      <w:pPr>
        <w:spacing w:line="360" w:lineRule="auto"/>
        <w:ind w:firstLine="708" w:firstLineChars="29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e 检测仪器及仪表清单。</w:t>
      </w:r>
    </w:p>
    <w:p>
      <w:pPr>
        <w:spacing w:line="360" w:lineRule="auto"/>
        <w:ind w:firstLine="708" w:firstLineChars="29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f 软件清单。</w:t>
      </w:r>
    </w:p>
    <w:p>
      <w:pPr>
        <w:spacing w:line="360" w:lineRule="auto"/>
        <w:ind w:firstLine="708" w:firstLineChars="29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g 标定及校准装置清单。</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2）随机提供详细的装箱清单（每箱/件一单）、质量合格证及检验记录等资料，在货物发运</w:t>
      </w:r>
      <w:r>
        <w:rPr>
          <w:rFonts w:hint="eastAsia" w:ascii="宋体" w:hAnsi="宋体" w:eastAsia="宋体" w:cs="宋体"/>
          <w:color w:val="000000" w:themeColor="text1"/>
          <w:sz w:val="24"/>
          <w:szCs w:val="24"/>
          <w14:textFill>
            <w14:solidFill>
              <w14:schemeClr w14:val="tx1"/>
            </w14:solidFill>
          </w14:textFill>
        </w:rPr>
        <w:t>前</w:t>
      </w:r>
      <w:r>
        <w:rPr>
          <w:rFonts w:ascii="宋体" w:hAnsi="宋体" w:eastAsia="宋体" w:cs="宋体"/>
          <w:color w:val="000000" w:themeColor="text1"/>
          <w:sz w:val="24"/>
          <w:szCs w:val="24"/>
          <w14:textFill>
            <w14:solidFill>
              <w14:schemeClr w14:val="tx1"/>
            </w14:solidFill>
          </w14:textFill>
        </w:rPr>
        <w:t>5 个工作日内供应商应将装箱单一式三份邮寄用户，产品中如有外购配件也一并列入装箱单中邮</w:t>
      </w:r>
      <w:r>
        <w:rPr>
          <w:rFonts w:hint="eastAsia" w:ascii="宋体" w:hAnsi="宋体" w:eastAsia="宋体" w:cs="宋体"/>
          <w:color w:val="000000" w:themeColor="text1"/>
          <w:sz w:val="24"/>
          <w:szCs w:val="24"/>
          <w14:textFill>
            <w14:solidFill>
              <w14:schemeClr w14:val="tx1"/>
            </w14:solidFill>
          </w14:textFill>
        </w:rPr>
        <w:t>寄用户。</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3）原产地证明书。</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4）合同设备的制造标准、检验项目及方法和校准方法。</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5）提供三套纸质和电子文档的系统及设备的安装使用手册和出厂验收文件。</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6）提供一份设备调试验收后的控制系统的备份硬盘或光盘。</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7）提供设备外购件使用维修说明书和制造厂家名称、地址及定货号。</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8）提供原厂出厂合格证书。</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9）本条款所列要求，如招标方认为投标方提供的资料不能满足要求时，有权要求投标方免费</w:t>
      </w:r>
      <w:r>
        <w:rPr>
          <w:rFonts w:hint="eastAsia" w:ascii="宋体" w:hAnsi="宋体" w:eastAsia="宋体" w:cs="宋体"/>
          <w:color w:val="000000" w:themeColor="text1"/>
          <w:sz w:val="24"/>
          <w:szCs w:val="24"/>
          <w14:textFill>
            <w14:solidFill>
              <w14:schemeClr w14:val="tx1"/>
            </w14:solidFill>
          </w14:textFill>
        </w:rPr>
        <w:t>补充或增加。</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ascii="宋体" w:hAnsi="宋体" w:eastAsia="宋体" w:cs="宋体"/>
          <w:bCs/>
          <w:sz w:val="24"/>
          <w:szCs w:val="24"/>
          <w:u w:val="single"/>
          <w:shd w:val="pct10" w:color="auto" w:fill="FFFFFF"/>
        </w:rPr>
        <w:t>3</w:t>
      </w:r>
      <w:r>
        <w:rPr>
          <w:rFonts w:hint="eastAsia" w:ascii="宋体" w:hAnsi="宋体" w:eastAsia="宋体" w:cs="宋体"/>
          <w:bCs/>
          <w:sz w:val="24"/>
          <w:szCs w:val="24"/>
          <w:u w:val="single"/>
          <w:shd w:val="pct10" w:color="auto" w:fill="FFFFFF"/>
        </w:rPr>
        <w:t xml:space="preserve">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pStyle w:val="21"/>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themeColor="text1"/>
          <w:sz w:val="24"/>
          <w:szCs w:val="28"/>
          <w14:textFill>
            <w14:solidFill>
              <w14:schemeClr w14:val="tx1"/>
            </w14:solidFill>
          </w14:textFill>
        </w:rPr>
        <w:t>济南市高新区华奥路777号</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000000" w:themeColor="text1"/>
          <w:sz w:val="24"/>
          <w:szCs w:val="24"/>
          <w14:textFill>
            <w14:solidFill>
              <w14:schemeClr w14:val="tx1"/>
            </w14:solidFill>
          </w14:textFill>
        </w:rPr>
        <w:t xml:space="preserve"> 自合同签定生效之日起，</w:t>
      </w:r>
      <w:r>
        <w:rPr>
          <w:rFonts w:hint="eastAsia" w:ascii="宋体" w:hAnsi="宋体" w:eastAsia="宋体" w:cs="宋体"/>
          <w:color w:val="000000" w:themeColor="text1"/>
          <w:sz w:val="24"/>
          <w:szCs w:val="24"/>
          <w:u w:val="single"/>
          <w14:textFill>
            <w14:solidFill>
              <w14:schemeClr w14:val="tx1"/>
            </w14:solidFill>
          </w14:textFill>
        </w:rPr>
        <w:t>18</w:t>
      </w:r>
      <w:r>
        <w:rPr>
          <w:rFonts w:ascii="宋体" w:hAnsi="宋体" w:eastAsia="宋体" w:cs="宋体"/>
          <w:color w:val="000000" w:themeColor="text1"/>
          <w:sz w:val="24"/>
          <w:szCs w:val="24"/>
          <w:u w:val="single"/>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个日历日之内交货至供货地点</w:t>
      </w:r>
      <w:r>
        <w:rPr>
          <w:rFonts w:ascii="宋体" w:hAnsi="宋体" w:eastAsia="宋体" w:cs="宋体"/>
          <w:sz w:val="24"/>
          <w:szCs w:val="24"/>
        </w:rPr>
        <w:t>，并保证整套测试系统正常进入试运行状态。</w:t>
      </w:r>
    </w:p>
    <w:p>
      <w:pPr>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2.</w:t>
      </w:r>
      <w:bookmarkStart w:id="30" w:name="_Hlk215478574"/>
      <w:r>
        <w:rPr>
          <w:rFonts w:hint="eastAsia" w:ascii="宋体" w:hAnsi="宋体" w:eastAsia="宋体" w:cs="宋体"/>
          <w:sz w:val="24"/>
          <w:szCs w:val="24"/>
        </w:rPr>
        <w:t>接续</w:t>
      </w:r>
      <w:r>
        <w:rPr>
          <w:rFonts w:hint="eastAsia" w:ascii="宋体" w:hAnsi="宋体" w:eastAsia="宋体" w:cs="宋体"/>
          <w:sz w:val="24"/>
          <w:szCs w:val="24"/>
          <w:u w:val="single"/>
        </w:rPr>
        <w:t>3</w:t>
      </w:r>
      <w:r>
        <w:rPr>
          <w:rFonts w:ascii="宋体" w:hAnsi="宋体" w:eastAsia="宋体" w:cs="宋体"/>
          <w:sz w:val="24"/>
          <w:szCs w:val="24"/>
          <w:u w:val="single"/>
        </w:rPr>
        <w:t>0</w:t>
      </w:r>
      <w:r>
        <w:rPr>
          <w:rFonts w:hint="eastAsia" w:ascii="宋体" w:hAnsi="宋体" w:eastAsia="宋体" w:cs="宋体"/>
          <w:sz w:val="24"/>
          <w:szCs w:val="24"/>
        </w:rPr>
        <w:t>个日历日之内安装调试完毕。</w:t>
      </w:r>
      <w:r>
        <w:rPr>
          <w:rFonts w:ascii="宋体" w:hAnsi="宋体" w:eastAsia="宋体" w:cs="宋体"/>
          <w:color w:val="000000" w:themeColor="text1"/>
          <w:sz w:val="24"/>
          <w:szCs w:val="24"/>
          <w14:textFill>
            <w14:solidFill>
              <w14:schemeClr w14:val="tx1"/>
            </w14:solidFill>
          </w14:textFill>
        </w:rPr>
        <w:t>若因招标方自研控制器研发进度滞后导致调试中断，中标方须按招标方书面要求无条件调整排期，并在招标方确认自研控制</w:t>
      </w:r>
      <w:r>
        <w:rPr>
          <w:rFonts w:hint="eastAsia" w:ascii="宋体" w:hAnsi="宋体" w:eastAsia="宋体" w:cs="宋体"/>
          <w:color w:val="000000" w:themeColor="text1"/>
          <w:sz w:val="24"/>
          <w:szCs w:val="24"/>
          <w14:textFill>
            <w14:solidFill>
              <w14:schemeClr w14:val="tx1"/>
            </w14:solidFill>
          </w14:textFill>
        </w:rPr>
        <w:t>期</w:t>
      </w:r>
      <w:r>
        <w:rPr>
          <w:rFonts w:ascii="宋体" w:hAnsi="宋体" w:eastAsia="宋体" w:cs="宋体"/>
          <w:color w:val="000000" w:themeColor="text1"/>
          <w:sz w:val="24"/>
          <w:szCs w:val="24"/>
          <w14:textFill>
            <w14:solidFill>
              <w14:schemeClr w14:val="tx1"/>
            </w14:solidFill>
          </w14:textFill>
        </w:rPr>
        <w:t>具备测试条件之日起继续完成系统调试，且不得就此提出额外费用或工期索赔。</w:t>
      </w:r>
      <w:bookmarkEnd w:id="30"/>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365</w:t>
      </w:r>
      <w:r>
        <w:rPr>
          <w:rFonts w:hint="eastAsia" w:ascii="宋体" w:hAnsi="宋体" w:eastAsia="宋体" w:cs="宋体"/>
          <w:sz w:val="24"/>
          <w:szCs w:val="24"/>
        </w:rPr>
        <w:t>个日历日之内完成终验收。</w:t>
      </w:r>
    </w:p>
    <w:p>
      <w:pPr>
        <w:spacing w:line="360" w:lineRule="auto"/>
        <w:ind w:firstLine="480" w:firstLineChars="200"/>
        <w:outlineLvl w:val="3"/>
        <w:rPr>
          <w:rFonts w:hAnsi="宋体" w:eastAsia="宋体" w:cs="宋体"/>
          <w:color w:val="000000"/>
          <w:sz w:val="24"/>
          <w:szCs w:val="24"/>
        </w:rPr>
      </w:pPr>
      <w:r>
        <w:rPr>
          <w:rFonts w:hint="eastAsia" w:ascii="宋体" w:hAnsi="宋体" w:eastAsia="宋体" w:cs="宋体"/>
          <w:sz w:val="24"/>
          <w:szCs w:val="24"/>
        </w:rPr>
        <w:t>安装</w:t>
      </w:r>
      <w:bookmarkStart w:id="31" w:name="_Hlk215478628"/>
      <w:r>
        <w:rPr>
          <w:rFonts w:hint="eastAsia" w:ascii="宋体" w:hAnsi="宋体" w:eastAsia="宋体" w:cs="宋体"/>
          <w:sz w:val="24"/>
          <w:szCs w:val="24"/>
        </w:rPr>
        <w:t>调试时间或终验收时间超过规定时间</w:t>
      </w:r>
      <w:r>
        <w:rPr>
          <w:rFonts w:hint="eastAsia" w:hAnsi="宋体" w:eastAsia="宋体" w:cs="宋体"/>
          <w:color w:val="000000"/>
          <w:sz w:val="24"/>
          <w:szCs w:val="24"/>
        </w:rPr>
        <w:t>的，投标人应当随标书提供详细的工期计划。</w:t>
      </w:r>
    </w:p>
    <w:p>
      <w:pPr>
        <w:pStyle w:val="21"/>
      </w:pPr>
    </w:p>
    <w:tbl>
      <w:tblPr>
        <w:tblStyle w:val="1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207"/>
        <w:gridCol w:w="2693"/>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实施节点</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完成时间</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727" w:type="pct"/>
          </w:tcPr>
          <w:p>
            <w:pPr>
              <w:pStyle w:val="120"/>
              <w:numPr>
                <w:ilvl w:val="1"/>
                <w:numId w:val="0"/>
              </w:numPr>
              <w:spacing w:line="240" w:lineRule="atLeast"/>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立项后90日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项目启动</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合同签订后30日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基建满足设备进场安装</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基建满足设备调试</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设备到货</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合同签订后180日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1727"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安装调试</w:t>
            </w:r>
          </w:p>
        </w:tc>
        <w:tc>
          <w:tcPr>
            <w:tcW w:w="1450"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合同签订后210日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1727"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验收完成</w:t>
            </w:r>
          </w:p>
        </w:tc>
        <w:tc>
          <w:tcPr>
            <w:tcW w:w="1450"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合同签订后575日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p>
        </w:tc>
        <w:tc>
          <w:tcPr>
            <w:tcW w:w="1727"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质保期</w:t>
            </w:r>
          </w:p>
        </w:tc>
        <w:tc>
          <w:tcPr>
            <w:tcW w:w="1450"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合同签订后940日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p>
        </w:tc>
        <w:tc>
          <w:tcPr>
            <w:tcW w:w="1727"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投入使用</w:t>
            </w:r>
          </w:p>
        </w:tc>
        <w:tc>
          <w:tcPr>
            <w:tcW w:w="1450"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合同签订后240日</w:t>
            </w:r>
          </w:p>
        </w:tc>
        <w:tc>
          <w:tcPr>
            <w:tcW w:w="1278" w:type="pct"/>
          </w:tcPr>
          <w:p>
            <w:pPr>
              <w:pStyle w:val="120"/>
              <w:numPr>
                <w:ilvl w:val="1"/>
                <w:numId w:val="0"/>
              </w:numPr>
              <w:spacing w:line="240" w:lineRule="atLeast"/>
              <w:jc w:val="center"/>
              <w:rPr>
                <w:rFonts w:ascii="宋体" w:hAnsi="宋体" w:eastAsia="宋体" w:cs="宋体"/>
                <w:color w:val="000000" w:themeColor="text1"/>
                <w14:textFill>
                  <w14:solidFill>
                    <w14:schemeClr w14:val="tx1"/>
                  </w14:solidFill>
                </w14:textFill>
              </w:rPr>
            </w:pPr>
          </w:p>
        </w:tc>
      </w:tr>
    </w:tbl>
    <w:p>
      <w:pPr>
        <w:pStyle w:val="21"/>
      </w:pPr>
    </w:p>
    <w:bookmarkEnd w:id="31"/>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2"/>
    </w:p>
    <w:p>
      <w:pPr>
        <w:pStyle w:val="171"/>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u w:val="single"/>
        </w:rPr>
        <w:t>12</w:t>
      </w:r>
      <w:r>
        <w:rPr>
          <w:rFonts w:ascii="宋体" w:hAnsi="宋体" w:eastAsia="宋体" w:cs="宋体"/>
          <w:sz w:val="24"/>
          <w:szCs w:val="24"/>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jc w:val="left"/>
        <w:rPr>
          <w:rFonts w:ascii="宋体" w:hAnsi="宋体" w:eastAsia="宋体" w:cs="宋体"/>
          <w:sz w:val="24"/>
          <w:szCs w:val="24"/>
        </w:rPr>
      </w:pPr>
      <w:bookmarkStart w:id="33" w:name="_Hlk215479306"/>
      <w:r>
        <w:rPr>
          <w:rFonts w:hint="eastAsia" w:ascii="宋体" w:hAnsi="宋体" w:eastAsia="宋体" w:cs="宋体"/>
          <w:sz w:val="24"/>
          <w:szCs w:val="24"/>
        </w:rPr>
        <w:t>在质保期内，卖方需要完成的工作包括以下内容：</w:t>
      </w:r>
    </w:p>
    <w:p>
      <w:pPr>
        <w:numPr>
          <w:ilvl w:val="255"/>
          <w:numId w:val="0"/>
        </w:num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保证测试平台的正确运行；</w:t>
      </w:r>
    </w:p>
    <w:p>
      <w:pPr>
        <w:numPr>
          <w:ilvl w:val="255"/>
          <w:numId w:val="0"/>
        </w:num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定期维护和检查平台的正确性；</w:t>
      </w:r>
    </w:p>
    <w:p>
      <w:pPr>
        <w:numPr>
          <w:ilvl w:val="255"/>
          <w:numId w:val="0"/>
        </w:num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免费更换任何非人为的部件损坏；</w:t>
      </w:r>
    </w:p>
    <w:p>
      <w:pPr>
        <w:numPr>
          <w:ilvl w:val="255"/>
          <w:numId w:val="0"/>
        </w:num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对平台使用所发生的故障</w:t>
      </w:r>
      <w:r>
        <w:rPr>
          <w:rFonts w:ascii="宋体" w:hAnsi="宋体" w:eastAsia="宋体" w:cs="宋体"/>
          <w:sz w:val="24"/>
          <w:szCs w:val="24"/>
        </w:rPr>
        <w:t>24</w:t>
      </w:r>
      <w:r>
        <w:rPr>
          <w:rFonts w:hint="eastAsia" w:ascii="宋体" w:hAnsi="宋体" w:eastAsia="宋体" w:cs="宋体"/>
          <w:sz w:val="24"/>
          <w:szCs w:val="24"/>
        </w:rPr>
        <w:t>小时内进行响应，如有必要派专人到设备现场进行故障排除；</w:t>
      </w:r>
    </w:p>
    <w:p>
      <w:pPr>
        <w:adjustRightInd w:val="0"/>
        <w:snapToGrid w:val="0"/>
        <w:spacing w:line="360" w:lineRule="auto"/>
        <w:ind w:firstLine="480" w:firstLineChars="200"/>
        <w:rPr>
          <w:rFonts w:hAnsi="宋体" w:eastAsia="宋体" w:cs="宋体"/>
          <w:sz w:val="24"/>
          <w:szCs w:val="24"/>
        </w:rPr>
      </w:pPr>
      <w:r>
        <w:rPr>
          <w:rFonts w:hint="eastAsia" w:ascii="宋体" w:hAnsi="宋体" w:eastAsia="宋体" w:cs="宋体"/>
          <w:color w:val="000000"/>
          <w:sz w:val="24"/>
          <w:szCs w:val="24"/>
        </w:rPr>
        <w:t>质保期终止之日起一年内重复出现的质保期之内出现的故障，仍属质保范围而且应当免费。</w:t>
      </w:r>
    </w:p>
    <w:bookmarkEnd w:id="33"/>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rPr>
          <w:rFonts w:ascii="宋体" w:hAnsi="宋体" w:eastAsia="宋体" w:cs="宋体"/>
          <w:sz w:val="24"/>
          <w:szCs w:val="24"/>
        </w:rPr>
      </w:pPr>
      <w:bookmarkStart w:id="34" w:name="_Hlk215479320"/>
      <w:r>
        <w:rPr>
          <w:rFonts w:hint="eastAsia" w:ascii="宋体" w:hAnsi="宋体" w:eastAsia="宋体" w:cs="宋体"/>
          <w:sz w:val="24"/>
          <w:szCs w:val="24"/>
        </w:rPr>
        <w:t>5.质量保证期满后，投标方保证向招标方提供及时的、质优的、价格优惠的技术服务和备品备件供应。</w:t>
      </w:r>
    </w:p>
    <w:p>
      <w:pPr>
        <w:adjustRightInd w:val="0"/>
        <w:snapToGrid w:val="0"/>
        <w:spacing w:line="360" w:lineRule="auto"/>
        <w:ind w:firstLine="480" w:firstLineChars="200"/>
      </w:pPr>
      <w:r>
        <w:rPr>
          <w:rFonts w:hint="eastAsia" w:ascii="宋体" w:hAnsi="宋体" w:eastAsia="宋体" w:cs="宋体"/>
          <w:sz w:val="24"/>
          <w:szCs w:val="24"/>
        </w:rPr>
        <w:t>6.质量保证期满后，如出现质量问题，投标方也应及时修复和更换，且只收取成本费，费用由招标方承担，投标方对设备质量问题所负的责任直到设备使用寿命周期结束。</w:t>
      </w:r>
    </w:p>
    <w:bookmarkEnd w:id="34"/>
    <w:p>
      <w:pPr>
        <w:pStyle w:val="171"/>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bookmarkStart w:id="35" w:name="_Hlk215479355"/>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提供相应完善的培训计划，提供完整的设备说明书、软件使用说明书、技术参数说明书等资料。应负责在买方货物使用现场，对技术、维修和操作人员提供免费的理论、技术和操作、维修等方面的技术指导和培训，并接受买方有关人员的技术咨询。在项目实施过程中，卖方必须允许招标方派少数技术人员参与项目工作，并且在此过程中培训招标方工程师，使其可以达到二次开发能力。</w:t>
      </w:r>
    </w:p>
    <w:p>
      <w:pPr>
        <w:pStyle w:val="189"/>
        <w:ind w:firstLine="480"/>
        <w:rPr>
          <w:rFonts w:ascii="宋体" w:hAnsi="宋体" w:eastAsia="宋体" w:cs="宋体"/>
          <w:color w:val="000000"/>
        </w:rPr>
      </w:pPr>
      <w:r>
        <w:rPr>
          <w:rFonts w:hint="eastAsia" w:ascii="宋体" w:hAnsi="宋体" w:eastAsia="宋体" w:cs="宋体"/>
          <w:color w:val="000000"/>
        </w:rPr>
        <w:t>卖方应通过多次培训，确保招标方技术人员能理解和掌握系统各部分的原理和结构，达到正确使用和操作，并独立完成各项实验及维修工作。</w:t>
      </w:r>
    </w:p>
    <w:p>
      <w:pPr>
        <w:pStyle w:val="120"/>
        <w:numPr>
          <w:ilvl w:val="255"/>
          <w:numId w:val="0"/>
        </w:numPr>
        <w:ind w:firstLine="480" w:firstLineChars="200"/>
        <w:rPr>
          <w:rFonts w:ascii="宋体" w:hAnsi="宋体" w:eastAsia="宋体" w:cs="宋体"/>
          <w:color w:val="000000"/>
        </w:rPr>
      </w:pPr>
      <w:r>
        <w:rPr>
          <w:rFonts w:hint="eastAsia" w:ascii="宋体" w:hAnsi="宋体" w:eastAsia="宋体" w:cs="宋体"/>
          <w:color w:val="000000"/>
        </w:rPr>
        <w:t>预验收之前的培训要求：</w:t>
      </w:r>
    </w:p>
    <w:tbl>
      <w:tblPr>
        <w:tblStyle w:val="42"/>
        <w:tblW w:w="51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4285"/>
        <w:gridCol w:w="1460"/>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0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培训项目</w:t>
            </w:r>
          </w:p>
        </w:tc>
        <w:tc>
          <w:tcPr>
            <w:tcW w:w="225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内容</w:t>
            </w:r>
          </w:p>
        </w:tc>
        <w:tc>
          <w:tcPr>
            <w:tcW w:w="768"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人数</w:t>
            </w:r>
          </w:p>
        </w:tc>
        <w:tc>
          <w:tcPr>
            <w:tcW w:w="117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jc w:val="center"/>
        </w:trPr>
        <w:tc>
          <w:tcPr>
            <w:tcW w:w="80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硬件系统</w:t>
            </w:r>
          </w:p>
        </w:tc>
        <w:tc>
          <w:tcPr>
            <w:tcW w:w="2254" w:type="pct"/>
            <w:vAlign w:val="center"/>
          </w:tcPr>
          <w:p>
            <w:pPr>
              <w:pStyle w:val="189"/>
              <w:numPr>
                <w:ilvl w:val="0"/>
                <w:numId w:val="34"/>
              </w:numPr>
              <w:spacing w:line="240" w:lineRule="auto"/>
              <w:ind w:left="360" w:firstLineChars="0"/>
              <w:rPr>
                <w:rFonts w:ascii="宋体" w:hAnsi="宋体" w:eastAsia="宋体" w:cs="宋体"/>
                <w:color w:val="000000"/>
              </w:rPr>
            </w:pPr>
            <w:r>
              <w:rPr>
                <w:rFonts w:hint="eastAsia" w:ascii="宋体" w:hAnsi="宋体" w:eastAsia="宋体" w:cs="宋体"/>
                <w:color w:val="000000"/>
              </w:rPr>
              <w:t>系统框架及硬件组件；</w:t>
            </w:r>
          </w:p>
          <w:p>
            <w:pPr>
              <w:pStyle w:val="189"/>
              <w:numPr>
                <w:ilvl w:val="0"/>
                <w:numId w:val="34"/>
              </w:numPr>
              <w:spacing w:line="240" w:lineRule="auto"/>
              <w:ind w:left="360" w:firstLineChars="0"/>
              <w:rPr>
                <w:rFonts w:ascii="宋体" w:hAnsi="宋体" w:eastAsia="宋体" w:cs="宋体"/>
                <w:color w:val="000000"/>
              </w:rPr>
            </w:pPr>
            <w:r>
              <w:rPr>
                <w:rFonts w:hint="eastAsia" w:ascii="宋体" w:hAnsi="宋体" w:eastAsia="宋体" w:cs="宋体"/>
                <w:color w:val="000000"/>
              </w:rPr>
              <w:t>本项目设备详细结构；</w:t>
            </w:r>
          </w:p>
          <w:p>
            <w:pPr>
              <w:pStyle w:val="189"/>
              <w:numPr>
                <w:ilvl w:val="0"/>
                <w:numId w:val="34"/>
              </w:numPr>
              <w:spacing w:line="240" w:lineRule="auto"/>
              <w:ind w:left="360" w:firstLineChars="0"/>
              <w:rPr>
                <w:rFonts w:ascii="宋体" w:hAnsi="宋体" w:eastAsia="宋体" w:cs="宋体"/>
                <w:color w:val="000000"/>
              </w:rPr>
            </w:pPr>
            <w:r>
              <w:rPr>
                <w:rFonts w:hint="eastAsia" w:ascii="宋体" w:hAnsi="宋体" w:eastAsia="宋体" w:cs="宋体"/>
                <w:color w:val="000000"/>
              </w:rPr>
              <w:t>本项目设备改造方法；</w:t>
            </w:r>
          </w:p>
          <w:p>
            <w:pPr>
              <w:pStyle w:val="189"/>
              <w:numPr>
                <w:ilvl w:val="0"/>
                <w:numId w:val="34"/>
              </w:numPr>
              <w:spacing w:line="240" w:lineRule="auto"/>
              <w:ind w:left="360" w:firstLineChars="0"/>
              <w:rPr>
                <w:rFonts w:ascii="宋体" w:hAnsi="宋体" w:eastAsia="宋体" w:cs="宋体"/>
                <w:color w:val="000000"/>
              </w:rPr>
            </w:pPr>
            <w:r>
              <w:rPr>
                <w:rFonts w:hint="eastAsia" w:ascii="宋体" w:hAnsi="宋体" w:eastAsia="宋体" w:cs="宋体"/>
                <w:color w:val="000000"/>
              </w:rPr>
              <w:t>各控制器测试解决方案；</w:t>
            </w:r>
          </w:p>
          <w:p>
            <w:pPr>
              <w:pStyle w:val="189"/>
              <w:numPr>
                <w:ilvl w:val="0"/>
                <w:numId w:val="34"/>
              </w:numPr>
              <w:spacing w:line="240" w:lineRule="auto"/>
              <w:ind w:left="360" w:firstLineChars="0"/>
              <w:rPr>
                <w:rFonts w:ascii="宋体" w:hAnsi="宋体" w:eastAsia="宋体" w:cs="宋体"/>
                <w:color w:val="000000"/>
              </w:rPr>
            </w:pPr>
            <w:r>
              <w:rPr>
                <w:rFonts w:hint="eastAsia" w:ascii="宋体" w:hAnsi="宋体" w:eastAsia="宋体" w:cs="宋体"/>
                <w:color w:val="000000"/>
              </w:rPr>
              <w:t>信号列表培训。</w:t>
            </w:r>
          </w:p>
        </w:tc>
        <w:tc>
          <w:tcPr>
            <w:tcW w:w="768"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待定</w:t>
            </w:r>
          </w:p>
        </w:tc>
        <w:tc>
          <w:tcPr>
            <w:tcW w:w="117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不少于1</w:t>
            </w:r>
          </w:p>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jc w:val="center"/>
        </w:trPr>
        <w:tc>
          <w:tcPr>
            <w:tcW w:w="80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基础软件</w:t>
            </w:r>
          </w:p>
        </w:tc>
        <w:tc>
          <w:tcPr>
            <w:tcW w:w="2254" w:type="pct"/>
            <w:vAlign w:val="center"/>
          </w:tcPr>
          <w:p>
            <w:pPr>
              <w:pStyle w:val="189"/>
              <w:numPr>
                <w:ilvl w:val="0"/>
                <w:numId w:val="35"/>
              </w:numPr>
              <w:spacing w:line="240" w:lineRule="auto"/>
              <w:ind w:left="360" w:firstLineChars="0"/>
              <w:rPr>
                <w:rFonts w:ascii="宋体" w:hAnsi="宋体" w:eastAsia="宋体" w:cs="宋体"/>
                <w:color w:val="000000"/>
              </w:rPr>
            </w:pPr>
            <w:r>
              <w:rPr>
                <w:rFonts w:hint="eastAsia" w:ascii="宋体" w:hAnsi="宋体" w:eastAsia="宋体" w:cs="宋体"/>
                <w:color w:val="000000"/>
              </w:rPr>
              <w:t>实验管理软件使用方法；</w:t>
            </w:r>
          </w:p>
          <w:p>
            <w:pPr>
              <w:pStyle w:val="189"/>
              <w:numPr>
                <w:ilvl w:val="0"/>
                <w:numId w:val="35"/>
              </w:numPr>
              <w:spacing w:line="240" w:lineRule="auto"/>
              <w:ind w:left="360" w:firstLineChars="0"/>
              <w:rPr>
                <w:rFonts w:ascii="宋体" w:hAnsi="宋体" w:eastAsia="宋体" w:cs="宋体"/>
                <w:color w:val="000000"/>
              </w:rPr>
            </w:pPr>
            <w:r>
              <w:rPr>
                <w:rFonts w:hint="eastAsia" w:ascii="宋体" w:hAnsi="宋体" w:eastAsia="宋体" w:cs="宋体"/>
                <w:color w:val="000000"/>
              </w:rPr>
              <w:t>故障注入软件使用方法；</w:t>
            </w:r>
          </w:p>
          <w:p>
            <w:pPr>
              <w:pStyle w:val="189"/>
              <w:numPr>
                <w:ilvl w:val="0"/>
                <w:numId w:val="35"/>
              </w:numPr>
              <w:spacing w:line="240" w:lineRule="auto"/>
              <w:ind w:left="360" w:firstLineChars="0"/>
              <w:rPr>
                <w:rFonts w:ascii="宋体" w:hAnsi="宋体" w:eastAsia="宋体" w:cs="宋体"/>
                <w:color w:val="000000"/>
              </w:rPr>
            </w:pPr>
            <w:r>
              <w:rPr>
                <w:rFonts w:ascii="宋体" w:hAnsi="宋体" w:eastAsia="宋体" w:cs="宋体"/>
                <w:color w:val="000000"/>
              </w:rPr>
              <w:t>IO</w:t>
            </w:r>
            <w:r>
              <w:rPr>
                <w:rFonts w:hint="eastAsia" w:ascii="宋体" w:hAnsi="宋体" w:eastAsia="宋体" w:cs="宋体"/>
                <w:color w:val="000000"/>
              </w:rPr>
              <w:t>模型</w:t>
            </w:r>
            <w:r>
              <w:rPr>
                <w:rFonts w:ascii="宋体" w:hAnsi="宋体" w:eastAsia="宋体" w:cs="宋体"/>
                <w:color w:val="000000"/>
              </w:rPr>
              <w:t>生成工具</w:t>
            </w:r>
          </w:p>
          <w:p>
            <w:pPr>
              <w:pStyle w:val="189"/>
              <w:numPr>
                <w:ilvl w:val="0"/>
                <w:numId w:val="35"/>
              </w:numPr>
              <w:spacing w:line="240" w:lineRule="auto"/>
              <w:ind w:left="360" w:firstLineChars="0"/>
              <w:rPr>
                <w:rFonts w:ascii="宋体" w:hAnsi="宋体" w:eastAsia="宋体" w:cs="宋体"/>
                <w:color w:val="000000"/>
              </w:rPr>
            </w:pPr>
            <w:r>
              <w:rPr>
                <w:rFonts w:hint="eastAsia" w:ascii="宋体" w:hAnsi="宋体" w:eastAsia="宋体" w:cs="宋体"/>
                <w:color w:val="000000"/>
              </w:rPr>
              <w:t>总线数据监控分析工具</w:t>
            </w:r>
          </w:p>
        </w:tc>
        <w:tc>
          <w:tcPr>
            <w:tcW w:w="768"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待定</w:t>
            </w:r>
          </w:p>
        </w:tc>
        <w:tc>
          <w:tcPr>
            <w:tcW w:w="117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不少于</w:t>
            </w:r>
            <w:r>
              <w:rPr>
                <w:rFonts w:ascii="宋体" w:hAnsi="宋体" w:eastAsia="宋体" w:cs="宋体"/>
                <w:color w:val="000000"/>
              </w:rPr>
              <w:t>2</w:t>
            </w:r>
          </w:p>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jc w:val="center"/>
        </w:trPr>
        <w:tc>
          <w:tcPr>
            <w:tcW w:w="80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仿真模型</w:t>
            </w:r>
          </w:p>
        </w:tc>
        <w:tc>
          <w:tcPr>
            <w:tcW w:w="2254" w:type="pct"/>
            <w:vAlign w:val="center"/>
          </w:tcPr>
          <w:p>
            <w:pPr>
              <w:pStyle w:val="189"/>
              <w:numPr>
                <w:ilvl w:val="0"/>
                <w:numId w:val="36"/>
              </w:numPr>
              <w:spacing w:line="240" w:lineRule="auto"/>
              <w:ind w:left="360" w:firstLineChars="0"/>
              <w:rPr>
                <w:rFonts w:ascii="宋体" w:hAnsi="宋体" w:eastAsia="宋体" w:cs="宋体"/>
                <w:color w:val="000000"/>
              </w:rPr>
            </w:pPr>
            <w:r>
              <w:rPr>
                <w:rFonts w:hint="eastAsia" w:ascii="宋体" w:hAnsi="宋体" w:eastAsia="宋体" w:cs="宋体"/>
                <w:color w:val="000000"/>
              </w:rPr>
              <w:t>FPGA模型</w:t>
            </w:r>
          </w:p>
          <w:p>
            <w:pPr>
              <w:pStyle w:val="189"/>
              <w:numPr>
                <w:ilvl w:val="0"/>
                <w:numId w:val="36"/>
              </w:numPr>
              <w:spacing w:line="240" w:lineRule="auto"/>
              <w:ind w:left="360" w:firstLineChars="0"/>
              <w:rPr>
                <w:rFonts w:ascii="宋体" w:hAnsi="宋体" w:eastAsia="宋体" w:cs="宋体"/>
                <w:color w:val="000000"/>
              </w:rPr>
            </w:pPr>
            <w:r>
              <w:rPr>
                <w:rFonts w:hint="eastAsia" w:ascii="宋体" w:hAnsi="宋体" w:eastAsia="宋体" w:cs="宋体"/>
                <w:color w:val="000000"/>
              </w:rPr>
              <w:t>车辆动力学模型</w:t>
            </w:r>
          </w:p>
          <w:p>
            <w:pPr>
              <w:pStyle w:val="189"/>
              <w:numPr>
                <w:ilvl w:val="0"/>
                <w:numId w:val="36"/>
              </w:numPr>
              <w:spacing w:line="240" w:lineRule="auto"/>
              <w:ind w:left="360" w:firstLineChars="0"/>
              <w:rPr>
                <w:rFonts w:ascii="宋体" w:hAnsi="宋体" w:eastAsia="宋体" w:cs="宋体"/>
                <w:color w:val="000000"/>
              </w:rPr>
            </w:pPr>
            <w:r>
              <w:rPr>
                <w:rFonts w:hint="eastAsia" w:ascii="宋体" w:hAnsi="宋体" w:eastAsia="宋体" w:cs="宋体"/>
                <w:color w:val="000000"/>
              </w:rPr>
              <w:t>电池模型</w:t>
            </w:r>
          </w:p>
        </w:tc>
        <w:tc>
          <w:tcPr>
            <w:tcW w:w="768"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待定</w:t>
            </w:r>
          </w:p>
        </w:tc>
        <w:tc>
          <w:tcPr>
            <w:tcW w:w="1174" w:type="pct"/>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不少于</w:t>
            </w:r>
            <w:r>
              <w:rPr>
                <w:rFonts w:ascii="宋体" w:hAnsi="宋体" w:eastAsia="宋体" w:cs="宋体"/>
                <w:color w:val="000000"/>
              </w:rPr>
              <w:t>2</w:t>
            </w:r>
          </w:p>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个工作日</w:t>
            </w:r>
          </w:p>
        </w:tc>
      </w:tr>
    </w:tbl>
    <w:p>
      <w:pPr>
        <w:pStyle w:val="120"/>
        <w:numPr>
          <w:ilvl w:val="255"/>
          <w:numId w:val="0"/>
        </w:numPr>
        <w:ind w:left="480" w:firstLine="480" w:firstLineChars="200"/>
        <w:rPr>
          <w:rFonts w:ascii="宋体" w:hAnsi="宋体" w:eastAsia="宋体" w:cs="宋体"/>
          <w:color w:val="000000"/>
        </w:rPr>
      </w:pPr>
      <w:r>
        <w:rPr>
          <w:rFonts w:hint="eastAsia" w:ascii="宋体" w:hAnsi="宋体" w:eastAsia="宋体" w:cs="宋体"/>
          <w:color w:val="000000"/>
        </w:rPr>
        <w:t>终验收之前的培训要求:</w:t>
      </w:r>
    </w:p>
    <w:tbl>
      <w:tblPr>
        <w:tblStyle w:val="42"/>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4196"/>
        <w:gridCol w:w="1426"/>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494"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培训项目</w:t>
            </w:r>
          </w:p>
        </w:tc>
        <w:tc>
          <w:tcPr>
            <w:tcW w:w="4196"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内容</w:t>
            </w:r>
          </w:p>
        </w:tc>
        <w:tc>
          <w:tcPr>
            <w:tcW w:w="1426"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人数</w:t>
            </w:r>
          </w:p>
        </w:tc>
        <w:tc>
          <w:tcPr>
            <w:tcW w:w="2185"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1494"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综合操作培训</w:t>
            </w:r>
          </w:p>
        </w:tc>
        <w:tc>
          <w:tcPr>
            <w:tcW w:w="4196" w:type="dxa"/>
            <w:vAlign w:val="center"/>
          </w:tcPr>
          <w:p>
            <w:pPr>
              <w:pStyle w:val="189"/>
              <w:numPr>
                <w:ilvl w:val="0"/>
                <w:numId w:val="37"/>
              </w:numPr>
              <w:spacing w:line="240" w:lineRule="auto"/>
              <w:ind w:left="360" w:firstLineChars="0"/>
              <w:rPr>
                <w:rFonts w:ascii="宋体" w:hAnsi="宋体" w:eastAsia="宋体" w:cs="宋体"/>
                <w:color w:val="000000"/>
              </w:rPr>
            </w:pPr>
            <w:r>
              <w:rPr>
                <w:rFonts w:hint="eastAsia" w:ascii="宋体" w:hAnsi="宋体" w:eastAsia="宋体" w:cs="宋体"/>
                <w:color w:val="000000"/>
              </w:rPr>
              <w:t>设备正常工作流程培训；</w:t>
            </w:r>
          </w:p>
        </w:tc>
        <w:tc>
          <w:tcPr>
            <w:tcW w:w="1426"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待定</w:t>
            </w:r>
          </w:p>
        </w:tc>
        <w:tc>
          <w:tcPr>
            <w:tcW w:w="2185"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不少于</w:t>
            </w:r>
            <w:r>
              <w:rPr>
                <w:rFonts w:ascii="宋体" w:hAnsi="宋体" w:eastAsia="宋体" w:cs="宋体"/>
                <w:color w:val="000000"/>
              </w:rPr>
              <w:t>3</w:t>
            </w:r>
          </w:p>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94"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设备操作</w:t>
            </w:r>
          </w:p>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及维护</w:t>
            </w:r>
          </w:p>
        </w:tc>
        <w:tc>
          <w:tcPr>
            <w:tcW w:w="4196" w:type="dxa"/>
            <w:vAlign w:val="center"/>
          </w:tcPr>
          <w:p>
            <w:pPr>
              <w:pStyle w:val="189"/>
              <w:numPr>
                <w:ilvl w:val="0"/>
                <w:numId w:val="38"/>
              </w:numPr>
              <w:spacing w:line="240" w:lineRule="auto"/>
              <w:ind w:left="360" w:firstLineChars="0"/>
              <w:rPr>
                <w:rFonts w:ascii="宋体" w:hAnsi="宋体" w:eastAsia="宋体" w:cs="宋体"/>
                <w:color w:val="000000"/>
              </w:rPr>
            </w:pPr>
            <w:r>
              <w:rPr>
                <w:rFonts w:hint="eastAsia" w:ascii="宋体" w:hAnsi="宋体" w:eastAsia="宋体" w:cs="宋体"/>
                <w:color w:val="000000"/>
              </w:rPr>
              <w:t>设备使用操作、维护培训；</w:t>
            </w:r>
          </w:p>
          <w:p>
            <w:pPr>
              <w:pStyle w:val="189"/>
              <w:numPr>
                <w:ilvl w:val="0"/>
                <w:numId w:val="38"/>
              </w:numPr>
              <w:spacing w:line="240" w:lineRule="auto"/>
              <w:ind w:left="360" w:firstLineChars="0"/>
              <w:rPr>
                <w:rFonts w:ascii="宋体" w:hAnsi="宋体" w:eastAsia="宋体" w:cs="宋体"/>
                <w:color w:val="000000"/>
              </w:rPr>
            </w:pPr>
            <w:r>
              <w:rPr>
                <w:rFonts w:hint="eastAsia" w:ascii="宋体" w:hAnsi="宋体" w:eastAsia="宋体" w:cs="宋体"/>
                <w:color w:val="000000"/>
              </w:rPr>
              <w:t>机柜拆分操作练习</w:t>
            </w:r>
            <w:bookmarkStart w:id="36" w:name="OLE_LINK113"/>
            <w:r>
              <w:rPr>
                <w:rFonts w:hint="eastAsia" w:ascii="宋体" w:hAnsi="宋体" w:eastAsia="宋体" w:cs="宋体"/>
                <w:color w:val="000000"/>
              </w:rPr>
              <w:t>；</w:t>
            </w:r>
            <w:bookmarkEnd w:id="36"/>
          </w:p>
          <w:p>
            <w:pPr>
              <w:pStyle w:val="189"/>
              <w:numPr>
                <w:ilvl w:val="0"/>
                <w:numId w:val="38"/>
              </w:numPr>
              <w:spacing w:line="240" w:lineRule="auto"/>
              <w:ind w:left="360" w:firstLineChars="0"/>
              <w:rPr>
                <w:rFonts w:ascii="宋体" w:hAnsi="宋体" w:eastAsia="宋体" w:cs="宋体"/>
                <w:color w:val="000000"/>
              </w:rPr>
            </w:pPr>
            <w:r>
              <w:rPr>
                <w:rFonts w:hint="eastAsia" w:ascii="宋体" w:hAnsi="宋体" w:eastAsia="宋体" w:cs="宋体"/>
                <w:color w:val="000000"/>
              </w:rPr>
              <w:t>常见故障维护练习</w:t>
            </w:r>
          </w:p>
        </w:tc>
        <w:tc>
          <w:tcPr>
            <w:tcW w:w="1426"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待定</w:t>
            </w:r>
          </w:p>
        </w:tc>
        <w:tc>
          <w:tcPr>
            <w:tcW w:w="2185"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不少于</w:t>
            </w:r>
            <w:r>
              <w:rPr>
                <w:rFonts w:ascii="宋体" w:hAnsi="宋体" w:eastAsia="宋体" w:cs="宋体"/>
                <w:color w:val="000000"/>
              </w:rPr>
              <w:t>3</w:t>
            </w:r>
          </w:p>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94"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模型综合培训</w:t>
            </w:r>
          </w:p>
        </w:tc>
        <w:tc>
          <w:tcPr>
            <w:tcW w:w="4196" w:type="dxa"/>
            <w:vAlign w:val="center"/>
          </w:tcPr>
          <w:p>
            <w:pPr>
              <w:pStyle w:val="189"/>
              <w:numPr>
                <w:ilvl w:val="0"/>
                <w:numId w:val="39"/>
              </w:numPr>
              <w:spacing w:line="240" w:lineRule="auto"/>
              <w:ind w:left="360" w:firstLineChars="0"/>
              <w:rPr>
                <w:rFonts w:ascii="宋体" w:hAnsi="宋体" w:eastAsia="宋体" w:cs="宋体"/>
                <w:color w:val="000000"/>
              </w:rPr>
            </w:pPr>
            <w:r>
              <w:rPr>
                <w:rFonts w:hint="eastAsia" w:ascii="宋体" w:hAnsi="宋体" w:eastAsia="宋体" w:cs="宋体"/>
                <w:color w:val="000000"/>
              </w:rPr>
              <w:t>模型项目整体开发过程及结构培训</w:t>
            </w:r>
          </w:p>
          <w:p>
            <w:pPr>
              <w:pStyle w:val="189"/>
              <w:numPr>
                <w:ilvl w:val="0"/>
                <w:numId w:val="39"/>
              </w:numPr>
              <w:spacing w:line="240" w:lineRule="auto"/>
              <w:ind w:left="360" w:firstLineChars="0"/>
              <w:rPr>
                <w:rFonts w:ascii="宋体" w:hAnsi="宋体" w:eastAsia="宋体" w:cs="宋体"/>
                <w:color w:val="000000"/>
              </w:rPr>
            </w:pPr>
            <w:r>
              <w:rPr>
                <w:rFonts w:hint="eastAsia" w:ascii="宋体" w:hAnsi="宋体" w:eastAsia="宋体" w:cs="宋体"/>
                <w:color w:val="000000"/>
              </w:rPr>
              <w:t>模型更改及二次开发培训</w:t>
            </w:r>
          </w:p>
        </w:tc>
        <w:tc>
          <w:tcPr>
            <w:tcW w:w="1426"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待定</w:t>
            </w:r>
          </w:p>
        </w:tc>
        <w:tc>
          <w:tcPr>
            <w:tcW w:w="2185" w:type="dxa"/>
            <w:vAlign w:val="center"/>
          </w:tcPr>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不少于</w:t>
            </w:r>
            <w:r>
              <w:rPr>
                <w:rFonts w:ascii="宋体" w:hAnsi="宋体" w:eastAsia="宋体" w:cs="宋体"/>
                <w:color w:val="000000"/>
              </w:rPr>
              <w:t>3</w:t>
            </w:r>
          </w:p>
          <w:p>
            <w:pPr>
              <w:pStyle w:val="189"/>
              <w:spacing w:line="240" w:lineRule="auto"/>
              <w:ind w:firstLine="0" w:firstLineChars="0"/>
              <w:jc w:val="center"/>
              <w:rPr>
                <w:rFonts w:ascii="宋体" w:hAnsi="宋体" w:eastAsia="宋体" w:cs="宋体"/>
                <w:color w:val="000000"/>
              </w:rPr>
            </w:pPr>
            <w:r>
              <w:rPr>
                <w:rFonts w:hint="eastAsia" w:ascii="宋体" w:hAnsi="宋体" w:eastAsia="宋体" w:cs="宋体"/>
                <w:color w:val="000000"/>
              </w:rPr>
              <w:t>个工作日</w:t>
            </w:r>
          </w:p>
        </w:tc>
      </w:tr>
    </w:tbl>
    <w:p>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color w:val="000000"/>
          <w:sz w:val="24"/>
          <w:szCs w:val="24"/>
        </w:rPr>
        <w:t>售后服务支持：在设备完成终验收后，投标方应</w:t>
      </w:r>
      <w:r>
        <w:rPr>
          <w:rFonts w:hint="eastAsia" w:ascii="宋体" w:hAnsi="宋体" w:eastAsia="宋体" w:cs="宋体"/>
          <w:sz w:val="24"/>
          <w:szCs w:val="24"/>
        </w:rPr>
        <w:t>提供至少</w:t>
      </w:r>
      <w:r>
        <w:rPr>
          <w:rFonts w:ascii="宋体" w:hAnsi="宋体" w:eastAsia="宋体" w:cs="宋体"/>
          <w:sz w:val="24"/>
          <w:szCs w:val="24"/>
        </w:rPr>
        <w:t>50</w:t>
      </w:r>
      <w:r>
        <w:rPr>
          <w:rFonts w:hint="eastAsia" w:ascii="宋体" w:hAnsi="宋体" w:eastAsia="宋体" w:cs="宋体"/>
          <w:sz w:val="24"/>
          <w:szCs w:val="24"/>
        </w:rPr>
        <w:t>人天的驻场测试服务工作。</w:t>
      </w:r>
    </w:p>
    <w:p>
      <w:pPr>
        <w:pStyle w:val="21"/>
      </w:pP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6.若投标方提供货物涉及到外购外协货物、而且该货物的技术质量等较为关键时，投标方应能保证得到配套厂家的技术支持，并免费为招标方提供技术服务。</w:t>
      </w:r>
    </w:p>
    <w:bookmarkEnd w:id="35"/>
    <w:p>
      <w:pPr>
        <w:pStyle w:val="171"/>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71"/>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48</w:t>
      </w:r>
      <w:r>
        <w:rPr>
          <w:rFonts w:hint="eastAsia" w:ascii="宋体" w:hAnsi="宋体" w:eastAsia="宋体" w:cs="宋体"/>
          <w:color w:val="000000"/>
          <w:sz w:val="24"/>
          <w:szCs w:val="24"/>
        </w:rPr>
        <w:t>小时内提供免费技术支持（不限于电话、远程</w:t>
      </w:r>
      <w:r>
        <w:rPr>
          <w:rFonts w:ascii="宋体" w:hAnsi="宋体" w:eastAsia="宋体" w:cs="宋体"/>
          <w:color w:val="000000"/>
          <w:sz w:val="24"/>
          <w:szCs w:val="24"/>
        </w:rPr>
        <w:t xml:space="preserve"> 、邮件、视频等方式）</w:t>
      </w:r>
      <w:r>
        <w:rPr>
          <w:rFonts w:hint="eastAsia" w:ascii="宋体" w:hAnsi="宋体" w:eastAsia="宋体" w:cs="宋体"/>
          <w:color w:val="000000"/>
          <w:sz w:val="24"/>
          <w:szCs w:val="24"/>
        </w:rPr>
        <w:t>；在质保期之外，应在接到通知后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小时内内提供免费技术支持（不限于电话、远程</w:t>
      </w:r>
      <w:r>
        <w:rPr>
          <w:rFonts w:ascii="宋体" w:hAnsi="宋体" w:eastAsia="宋体" w:cs="宋体"/>
          <w:color w:val="000000"/>
          <w:sz w:val="24"/>
          <w:szCs w:val="24"/>
        </w:rPr>
        <w:t xml:space="preserve"> 、邮件、视频等方式）</w:t>
      </w:r>
      <w:r>
        <w:rPr>
          <w:rFonts w:hint="eastAsia" w:ascii="宋体" w:hAnsi="宋体" w:eastAsia="宋体" w:cs="宋体"/>
          <w:color w:val="000000"/>
          <w:sz w:val="24"/>
          <w:szCs w:val="24"/>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71"/>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bookmarkStart w:id="37" w:name="_Hlk215479420"/>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bookmarkEnd w:id="37"/>
    <w:p>
      <w:pPr>
        <w:pStyle w:val="21"/>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38" w:name="_Hlk215479460"/>
      <w:bookmarkStart w:id="39" w:name="_Toc465187647"/>
      <w:r>
        <w:rPr>
          <w:rFonts w:hint="eastAsia" w:ascii="Calibri" w:hAnsi="Calibri" w:eastAsia="宋体" w:cs="Times New Roman"/>
          <w:b/>
          <w:bCs/>
          <w:kern w:val="44"/>
          <w:sz w:val="28"/>
          <w:szCs w:val="28"/>
        </w:rPr>
        <w:t>第五章  预验收和终验收</w:t>
      </w:r>
    </w:p>
    <w:p>
      <w:pPr>
        <w:pStyle w:val="171"/>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pPr>
        <w:pStyle w:val="171"/>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pPr>
        <w:pStyle w:val="171"/>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中标人现场进行，终验收在安装调试完成及试运行后的招标人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中标人已经按照“供货范围”要求提供了预验收资料，并且资料齐全、完整和有效。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货物质量、技术性能等，达到签定的技术标书和合同规定的终验收标准，完成各控制器独立的闭环调试、子系统联合调试及整车系统联合调试。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 设备测量参数应满足招标书中的技术要求。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3.2.1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3.2.2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rPr>
        <w:t>3.2.3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bookmarkEnd w:id="38"/>
    <w:p>
      <w:pPr>
        <w:pStyle w:val="21"/>
        <w:rPr>
          <w:rFonts w:hAnsi="宋体" w:eastAsia="宋体" w:cs="宋体"/>
          <w:color w:val="000000"/>
          <w:sz w:val="24"/>
          <w:szCs w:val="24"/>
        </w:rPr>
      </w:pPr>
    </w:p>
    <w:p>
      <w:pPr>
        <w:pStyle w:val="21"/>
        <w:rPr>
          <w:rFonts w:hAnsi="宋体" w:eastAsia="宋体" w:cs="宋体"/>
          <w:color w:val="000000"/>
          <w:sz w:val="24"/>
          <w:szCs w:val="24"/>
        </w:rPr>
      </w:pPr>
    </w:p>
    <w:p>
      <w:pPr>
        <w:pStyle w:val="21"/>
        <w:rPr>
          <w:rFonts w:hAnsi="宋体" w:eastAsia="宋体" w:cs="宋体"/>
          <w:color w:val="000000"/>
          <w:sz w:val="24"/>
          <w:szCs w:val="24"/>
        </w:rPr>
      </w:pPr>
    </w:p>
    <w:p>
      <w:pPr>
        <w:pStyle w:val="180"/>
        <w:spacing w:line="360" w:lineRule="auto"/>
        <w:outlineLvl w:val="1"/>
        <w:rPr>
          <w:rFonts w:eastAsia="宋体"/>
          <w:b/>
          <w:bCs w:val="0"/>
          <w:iCs/>
          <w:color w:val="auto"/>
          <w:sz w:val="28"/>
        </w:rPr>
      </w:pPr>
      <w:r>
        <w:rPr>
          <w:rFonts w:eastAsia="宋体"/>
          <w:b/>
          <w:bCs w:val="0"/>
          <w:iCs/>
          <w:color w:val="auto"/>
          <w:sz w:val="28"/>
        </w:rPr>
        <w:t>第六章  投标技术文件一般要求</w:t>
      </w:r>
      <w:bookmarkEnd w:id="39"/>
    </w:p>
    <w:p>
      <w:pPr>
        <w:pStyle w:val="171"/>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2"/>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auto"/>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auto"/>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auto"/>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auto"/>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auto"/>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auto"/>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auto"/>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rPr>
            </w:pPr>
          </w:p>
        </w:tc>
        <w:tc>
          <w:tcPr>
            <w:tcW w:w="1924" w:type="dxa"/>
          </w:tcPr>
          <w:p>
            <w:pPr>
              <w:adjustRightInd w:val="0"/>
              <w:snapToGrid w:val="0"/>
              <w:spacing w:line="360" w:lineRule="auto"/>
              <w:rPr>
                <w:rFonts w:ascii="宋体" w:hAnsi="宋体" w:eastAsia="宋体" w:cs="宋体"/>
              </w:rPr>
            </w:pPr>
          </w:p>
        </w:tc>
        <w:tc>
          <w:tcPr>
            <w:tcW w:w="1236" w:type="dxa"/>
          </w:tcPr>
          <w:p>
            <w:pPr>
              <w:adjustRightInd w:val="0"/>
              <w:snapToGrid w:val="0"/>
              <w:spacing w:line="360" w:lineRule="auto"/>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2235" w:type="dxa"/>
          </w:tcPr>
          <w:p>
            <w:pPr>
              <w:adjustRightInd w:val="0"/>
              <w:snapToGrid w:val="0"/>
              <w:spacing w:line="36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rPr>
            </w:pPr>
          </w:p>
        </w:tc>
        <w:tc>
          <w:tcPr>
            <w:tcW w:w="1924" w:type="dxa"/>
          </w:tcPr>
          <w:p>
            <w:pPr>
              <w:adjustRightInd w:val="0"/>
              <w:snapToGrid w:val="0"/>
              <w:spacing w:line="360" w:lineRule="auto"/>
              <w:rPr>
                <w:rFonts w:ascii="宋体" w:hAnsi="宋体" w:eastAsia="宋体" w:cs="宋体"/>
              </w:rPr>
            </w:pPr>
          </w:p>
        </w:tc>
        <w:tc>
          <w:tcPr>
            <w:tcW w:w="1236" w:type="dxa"/>
          </w:tcPr>
          <w:p>
            <w:pPr>
              <w:adjustRightInd w:val="0"/>
              <w:snapToGrid w:val="0"/>
              <w:spacing w:line="360" w:lineRule="auto"/>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2235" w:type="dxa"/>
          </w:tcPr>
          <w:p>
            <w:pPr>
              <w:adjustRightInd w:val="0"/>
              <w:snapToGrid w:val="0"/>
              <w:spacing w:line="36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rPr>
            </w:pPr>
          </w:p>
        </w:tc>
        <w:tc>
          <w:tcPr>
            <w:tcW w:w="1924" w:type="dxa"/>
          </w:tcPr>
          <w:p>
            <w:pPr>
              <w:adjustRightInd w:val="0"/>
              <w:snapToGrid w:val="0"/>
              <w:spacing w:line="360" w:lineRule="auto"/>
              <w:rPr>
                <w:rFonts w:ascii="宋体" w:hAnsi="宋体" w:eastAsia="宋体" w:cs="宋体"/>
              </w:rPr>
            </w:pPr>
          </w:p>
        </w:tc>
        <w:tc>
          <w:tcPr>
            <w:tcW w:w="1236" w:type="dxa"/>
          </w:tcPr>
          <w:p>
            <w:pPr>
              <w:adjustRightInd w:val="0"/>
              <w:snapToGrid w:val="0"/>
              <w:spacing w:line="360" w:lineRule="auto"/>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2235" w:type="dxa"/>
          </w:tcPr>
          <w:p>
            <w:pPr>
              <w:adjustRightInd w:val="0"/>
              <w:snapToGrid w:val="0"/>
              <w:spacing w:line="36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rPr>
            </w:pPr>
          </w:p>
        </w:tc>
        <w:tc>
          <w:tcPr>
            <w:tcW w:w="1924" w:type="dxa"/>
          </w:tcPr>
          <w:p>
            <w:pPr>
              <w:adjustRightInd w:val="0"/>
              <w:snapToGrid w:val="0"/>
              <w:spacing w:line="360" w:lineRule="auto"/>
              <w:rPr>
                <w:rFonts w:ascii="宋体" w:hAnsi="宋体" w:eastAsia="宋体" w:cs="宋体"/>
              </w:rPr>
            </w:pPr>
          </w:p>
        </w:tc>
        <w:tc>
          <w:tcPr>
            <w:tcW w:w="1236" w:type="dxa"/>
          </w:tcPr>
          <w:p>
            <w:pPr>
              <w:adjustRightInd w:val="0"/>
              <w:snapToGrid w:val="0"/>
              <w:spacing w:line="360" w:lineRule="auto"/>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2235" w:type="dxa"/>
          </w:tcPr>
          <w:p>
            <w:pPr>
              <w:adjustRightInd w:val="0"/>
              <w:snapToGrid w:val="0"/>
              <w:spacing w:line="36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rPr>
            </w:pPr>
          </w:p>
        </w:tc>
        <w:tc>
          <w:tcPr>
            <w:tcW w:w="1924" w:type="dxa"/>
          </w:tcPr>
          <w:p>
            <w:pPr>
              <w:adjustRightInd w:val="0"/>
              <w:snapToGrid w:val="0"/>
              <w:spacing w:line="360" w:lineRule="auto"/>
              <w:rPr>
                <w:rFonts w:ascii="宋体" w:hAnsi="宋体" w:eastAsia="宋体" w:cs="宋体"/>
              </w:rPr>
            </w:pPr>
          </w:p>
        </w:tc>
        <w:tc>
          <w:tcPr>
            <w:tcW w:w="1236" w:type="dxa"/>
          </w:tcPr>
          <w:p>
            <w:pPr>
              <w:adjustRightInd w:val="0"/>
              <w:snapToGrid w:val="0"/>
              <w:spacing w:line="360" w:lineRule="auto"/>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2235" w:type="dxa"/>
          </w:tcPr>
          <w:p>
            <w:pPr>
              <w:adjustRightInd w:val="0"/>
              <w:snapToGrid w:val="0"/>
              <w:spacing w:line="36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rPr>
            </w:pPr>
          </w:p>
        </w:tc>
        <w:tc>
          <w:tcPr>
            <w:tcW w:w="1924" w:type="dxa"/>
          </w:tcPr>
          <w:p>
            <w:pPr>
              <w:adjustRightInd w:val="0"/>
              <w:snapToGrid w:val="0"/>
              <w:spacing w:line="360" w:lineRule="auto"/>
              <w:rPr>
                <w:rFonts w:ascii="宋体" w:hAnsi="宋体" w:eastAsia="宋体" w:cs="宋体"/>
              </w:rPr>
            </w:pPr>
          </w:p>
        </w:tc>
        <w:tc>
          <w:tcPr>
            <w:tcW w:w="1236" w:type="dxa"/>
          </w:tcPr>
          <w:p>
            <w:pPr>
              <w:adjustRightInd w:val="0"/>
              <w:snapToGrid w:val="0"/>
              <w:spacing w:line="360" w:lineRule="auto"/>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720" w:type="dxa"/>
          </w:tcPr>
          <w:p>
            <w:pPr>
              <w:adjustRightInd w:val="0"/>
              <w:snapToGrid w:val="0"/>
              <w:spacing w:line="360" w:lineRule="auto"/>
              <w:jc w:val="center"/>
              <w:rPr>
                <w:rFonts w:ascii="宋体" w:hAnsi="宋体" w:eastAsia="宋体" w:cs="宋体"/>
              </w:rPr>
            </w:pPr>
          </w:p>
        </w:tc>
        <w:tc>
          <w:tcPr>
            <w:tcW w:w="2235" w:type="dxa"/>
          </w:tcPr>
          <w:p>
            <w:pPr>
              <w:adjustRightInd w:val="0"/>
              <w:snapToGrid w:val="0"/>
              <w:spacing w:line="360" w:lineRule="auto"/>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71"/>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71"/>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76"/>
        <w:numPr>
          <w:ilvl w:val="0"/>
          <w:numId w:val="40"/>
        </w:numPr>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通信验收</w:t>
      </w:r>
    </w:p>
    <w:p>
      <w:pPr>
        <w:pStyle w:val="76"/>
        <w:numPr>
          <w:ilvl w:val="2"/>
          <w:numId w:val="41"/>
        </w:numPr>
        <w:adjustRightInd w:val="0"/>
        <w:snapToGrid w:val="0"/>
        <w:spacing w:line="360" w:lineRule="auto"/>
        <w:ind w:left="426" w:firstLine="0" w:firstLineChars="0"/>
        <w:rPr>
          <w:rFonts w:ascii="宋体" w:hAnsi="宋体" w:eastAsia="宋体" w:cs="宋体"/>
          <w:sz w:val="24"/>
          <w:szCs w:val="24"/>
        </w:rPr>
      </w:pPr>
      <w:r>
        <w:rPr>
          <w:rFonts w:ascii="宋体" w:hAnsi="宋体" w:eastAsia="宋体" w:cs="宋体"/>
          <w:sz w:val="24"/>
          <w:szCs w:val="24"/>
        </w:rPr>
        <w:t>CAN/LIN通讯功能验收</w:t>
      </w:r>
    </w:p>
    <w:p>
      <w:pPr>
        <w:pStyle w:val="76"/>
        <w:numPr>
          <w:ilvl w:val="2"/>
          <w:numId w:val="41"/>
        </w:numPr>
        <w:adjustRightInd w:val="0"/>
        <w:snapToGrid w:val="0"/>
        <w:spacing w:line="360" w:lineRule="auto"/>
        <w:ind w:left="426" w:firstLine="0" w:firstLineChars="0"/>
        <w:rPr>
          <w:rFonts w:ascii="宋体" w:hAnsi="宋体" w:eastAsia="宋体" w:cs="宋体"/>
          <w:color w:val="000000"/>
          <w:sz w:val="24"/>
          <w:szCs w:val="24"/>
        </w:rPr>
      </w:pPr>
      <w:r>
        <w:rPr>
          <w:rFonts w:hint="eastAsia" w:ascii="宋体" w:hAnsi="宋体" w:eastAsia="宋体" w:cs="宋体"/>
          <w:color w:val="000000"/>
          <w:sz w:val="24"/>
          <w:szCs w:val="24"/>
        </w:rPr>
        <w:t>使用虚拟节点对</w:t>
      </w:r>
      <w:r>
        <w:rPr>
          <w:rFonts w:ascii="宋体" w:hAnsi="宋体" w:eastAsia="宋体" w:cs="宋体"/>
          <w:color w:val="000000"/>
          <w:sz w:val="24"/>
          <w:szCs w:val="24"/>
        </w:rPr>
        <w:t>CAN/LIN</w:t>
      </w:r>
      <w:r>
        <w:rPr>
          <w:rFonts w:hint="eastAsia" w:ascii="宋体" w:hAnsi="宋体" w:eastAsia="宋体" w:cs="宋体"/>
          <w:color w:val="000000"/>
          <w:sz w:val="24"/>
          <w:szCs w:val="24"/>
        </w:rPr>
        <w:t>通信进行验收</w:t>
      </w:r>
    </w:p>
    <w:p>
      <w:pPr>
        <w:pStyle w:val="76"/>
        <w:numPr>
          <w:ilvl w:val="2"/>
          <w:numId w:val="41"/>
        </w:numPr>
        <w:adjustRightInd w:val="0"/>
        <w:snapToGrid w:val="0"/>
        <w:spacing w:line="360" w:lineRule="auto"/>
        <w:ind w:left="426" w:firstLine="0" w:firstLineChars="0"/>
        <w:rPr>
          <w:rFonts w:ascii="宋体" w:hAnsi="宋体" w:eastAsia="宋体" w:cs="宋体"/>
          <w:sz w:val="24"/>
          <w:szCs w:val="24"/>
        </w:rPr>
      </w:pPr>
      <w:r>
        <w:rPr>
          <w:rFonts w:hint="eastAsia" w:ascii="宋体" w:hAnsi="宋体" w:eastAsia="宋体" w:cs="宋体"/>
          <w:sz w:val="24"/>
          <w:szCs w:val="24"/>
        </w:rPr>
        <w:t>电源控制与同步验收</w:t>
      </w:r>
    </w:p>
    <w:p>
      <w:pPr>
        <w:pStyle w:val="76"/>
        <w:numPr>
          <w:ilvl w:val="2"/>
          <w:numId w:val="41"/>
        </w:numPr>
        <w:adjustRightInd w:val="0"/>
        <w:snapToGrid w:val="0"/>
        <w:spacing w:line="360" w:lineRule="auto"/>
        <w:ind w:left="426" w:firstLine="0" w:firstLineChars="0"/>
        <w:rPr>
          <w:rFonts w:ascii="宋体" w:hAnsi="宋体" w:eastAsia="宋体" w:cs="宋体"/>
          <w:color w:val="000000"/>
          <w:sz w:val="24"/>
          <w:szCs w:val="24"/>
        </w:rPr>
      </w:pPr>
      <w:r>
        <w:rPr>
          <w:rFonts w:hint="eastAsia" w:ascii="宋体" w:hAnsi="宋体" w:eastAsia="宋体" w:cs="宋体"/>
          <w:color w:val="000000"/>
          <w:sz w:val="24"/>
          <w:szCs w:val="24"/>
        </w:rPr>
        <w:t>确认各子系统电源控制功能正常，且对上电同步性进行确认</w:t>
      </w:r>
    </w:p>
    <w:p>
      <w:pPr>
        <w:pStyle w:val="76"/>
        <w:numPr>
          <w:ilvl w:val="2"/>
          <w:numId w:val="41"/>
        </w:numPr>
        <w:adjustRightInd w:val="0"/>
        <w:snapToGrid w:val="0"/>
        <w:spacing w:line="360" w:lineRule="auto"/>
        <w:ind w:left="426" w:firstLine="0" w:firstLineChars="0"/>
        <w:rPr>
          <w:rFonts w:ascii="宋体" w:hAnsi="宋体" w:eastAsia="宋体" w:cs="宋体"/>
          <w:sz w:val="24"/>
          <w:szCs w:val="24"/>
        </w:rPr>
      </w:pPr>
      <w:r>
        <w:rPr>
          <w:rFonts w:hint="eastAsia" w:ascii="宋体" w:hAnsi="宋体" w:eastAsia="宋体" w:cs="宋体"/>
          <w:sz w:val="24"/>
          <w:szCs w:val="24"/>
        </w:rPr>
        <w:t>系统开环测试验收</w:t>
      </w:r>
    </w:p>
    <w:p>
      <w:pPr>
        <w:pStyle w:val="76"/>
        <w:numPr>
          <w:ilvl w:val="2"/>
          <w:numId w:val="41"/>
        </w:numPr>
        <w:adjustRightInd w:val="0"/>
        <w:snapToGrid w:val="0"/>
        <w:spacing w:line="360" w:lineRule="auto"/>
        <w:ind w:left="426" w:firstLine="0" w:firstLineChars="0"/>
        <w:rPr>
          <w:rFonts w:ascii="宋体" w:hAnsi="宋体" w:eastAsia="宋体" w:cs="宋体"/>
          <w:color w:val="000000"/>
          <w:sz w:val="24"/>
          <w:szCs w:val="24"/>
        </w:rPr>
      </w:pPr>
      <w:r>
        <w:rPr>
          <w:rFonts w:hint="eastAsia" w:ascii="宋体" w:hAnsi="宋体" w:eastAsia="宋体" w:cs="宋体"/>
          <w:color w:val="000000"/>
          <w:sz w:val="24"/>
          <w:szCs w:val="24"/>
        </w:rPr>
        <w:t>对各个设备各控制器的开环功能进行确认</w:t>
      </w:r>
    </w:p>
    <w:p>
      <w:pPr>
        <w:pStyle w:val="76"/>
        <w:numPr>
          <w:ilvl w:val="0"/>
          <w:numId w:val="40"/>
        </w:numPr>
        <w:adjustRightInd w:val="0"/>
        <w:snapToGrid w:val="0"/>
        <w:spacing w:line="360" w:lineRule="auto"/>
        <w:ind w:firstLineChars="0"/>
        <w:rPr>
          <w:rFonts w:ascii="宋体" w:hAnsi="宋体" w:eastAsia="宋体" w:cs="宋体"/>
          <w:color w:val="000000"/>
          <w:sz w:val="24"/>
          <w:szCs w:val="24"/>
        </w:rPr>
      </w:pPr>
      <w:r>
        <w:rPr>
          <w:rFonts w:hint="eastAsia" w:ascii="宋体" w:hAnsi="宋体" w:eastAsia="宋体" w:cs="宋体"/>
          <w:color w:val="000000"/>
          <w:sz w:val="24"/>
          <w:szCs w:val="24"/>
        </w:rPr>
        <w:t>系统开环测试是指，接入客户提供的目标控制器，集成</w:t>
      </w:r>
      <w:r>
        <w:rPr>
          <w:rFonts w:ascii="宋体" w:hAnsi="宋体" w:eastAsia="宋体" w:cs="宋体"/>
          <w:color w:val="000000"/>
          <w:sz w:val="24"/>
          <w:szCs w:val="24"/>
        </w:rPr>
        <w:t>IO</w:t>
      </w:r>
      <w:r>
        <w:rPr>
          <w:rFonts w:hint="eastAsia" w:ascii="宋体" w:hAnsi="宋体" w:eastAsia="宋体" w:cs="宋体"/>
          <w:color w:val="000000"/>
          <w:sz w:val="24"/>
          <w:szCs w:val="24"/>
        </w:rPr>
        <w:t>模型以及实验工程，对所有模拟传感器信号进行在线标定，对所有执行器驱动信号进行在线采集，为后续的闭环调试做准备：</w:t>
      </w:r>
    </w:p>
    <w:p>
      <w:pPr>
        <w:numPr>
          <w:ilvl w:val="0"/>
          <w:numId w:val="42"/>
        </w:numPr>
        <w:adjustRightInd w:val="0"/>
        <w:snapToGrid w:val="0"/>
        <w:spacing w:line="360" w:lineRule="auto"/>
        <w:ind w:firstLine="6"/>
        <w:rPr>
          <w:rFonts w:ascii="宋体" w:hAnsi="宋体" w:eastAsia="宋体" w:cs="宋体"/>
          <w:color w:val="000000"/>
          <w:sz w:val="24"/>
          <w:szCs w:val="24"/>
        </w:rPr>
      </w:pPr>
      <w:r>
        <w:rPr>
          <w:rFonts w:hint="eastAsia" w:ascii="宋体" w:hAnsi="宋体" w:eastAsia="宋体" w:cs="宋体"/>
          <w:color w:val="000000"/>
          <w:sz w:val="24"/>
          <w:szCs w:val="24"/>
        </w:rPr>
        <w:t>传感器信号：通过</w:t>
      </w:r>
      <w:r>
        <w:rPr>
          <w:rFonts w:ascii="宋体" w:hAnsi="宋体" w:eastAsia="宋体" w:cs="宋体"/>
          <w:color w:val="000000"/>
          <w:sz w:val="24"/>
          <w:szCs w:val="24"/>
        </w:rPr>
        <w:t>系统上位机监控界面设置传感器信号值（如压力、温度、位置），用诊断/标定工具读取控制器采集到内部对应变量值，判断其与设定值的误差是否处于可接受范围；</w:t>
      </w:r>
    </w:p>
    <w:p>
      <w:pPr>
        <w:numPr>
          <w:ilvl w:val="0"/>
          <w:numId w:val="42"/>
        </w:numPr>
        <w:adjustRightInd w:val="0"/>
        <w:snapToGrid w:val="0"/>
        <w:spacing w:line="360" w:lineRule="auto"/>
        <w:ind w:firstLine="6"/>
        <w:rPr>
          <w:rFonts w:ascii="宋体" w:hAnsi="宋体" w:eastAsia="宋体" w:cs="宋体"/>
          <w:color w:val="000000"/>
          <w:sz w:val="24"/>
          <w:szCs w:val="24"/>
        </w:rPr>
      </w:pPr>
      <w:r>
        <w:rPr>
          <w:rFonts w:hint="eastAsia" w:ascii="宋体" w:hAnsi="宋体" w:eastAsia="宋体" w:cs="宋体"/>
          <w:color w:val="000000"/>
          <w:sz w:val="24"/>
          <w:szCs w:val="24"/>
        </w:rPr>
        <w:t>执行器信号：用诊断</w:t>
      </w:r>
      <w:r>
        <w:rPr>
          <w:rFonts w:ascii="宋体" w:hAnsi="宋体" w:eastAsia="宋体" w:cs="宋体"/>
          <w:color w:val="000000"/>
          <w:sz w:val="24"/>
          <w:szCs w:val="24"/>
        </w:rPr>
        <w:t>/标定工具设置控制器的输出(比如信号占空比等)，设备进行采集并在监控界面上显示信号值，判断其与控制器设定值的误差是否处于可接受范围。</w:t>
      </w:r>
    </w:p>
    <w:p>
      <w:pPr>
        <w:numPr>
          <w:ilvl w:val="0"/>
          <w:numId w:val="42"/>
        </w:numPr>
        <w:adjustRightInd w:val="0"/>
        <w:snapToGrid w:val="0"/>
        <w:spacing w:line="360" w:lineRule="auto"/>
        <w:ind w:firstLine="6"/>
        <w:rPr>
          <w:rFonts w:ascii="宋体" w:hAnsi="宋体" w:eastAsia="宋体" w:cs="宋体"/>
          <w:color w:val="000000"/>
          <w:sz w:val="24"/>
          <w:szCs w:val="24"/>
        </w:rPr>
      </w:pPr>
      <w:r>
        <w:rPr>
          <w:rFonts w:hint="eastAsia" w:ascii="宋体" w:hAnsi="宋体" w:eastAsia="宋体" w:cs="宋体"/>
          <w:color w:val="000000"/>
          <w:sz w:val="24"/>
          <w:szCs w:val="24"/>
        </w:rPr>
        <w:t>总线信号：逐一校验控制器发送信号与</w:t>
      </w:r>
      <w:r>
        <w:rPr>
          <w:rFonts w:ascii="宋体" w:hAnsi="宋体" w:eastAsia="宋体" w:cs="宋体"/>
          <w:color w:val="000000"/>
          <w:sz w:val="24"/>
          <w:szCs w:val="24"/>
        </w:rPr>
        <w:t>系统接收信号以及系统发送信号和控制器接收信号，两者应同步且完全相等。</w:t>
      </w:r>
    </w:p>
    <w:p>
      <w:pPr>
        <w:pStyle w:val="76"/>
        <w:numPr>
          <w:ilvl w:val="0"/>
          <w:numId w:val="40"/>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实车功能和性能测试</w:t>
      </w:r>
    </w:p>
    <w:p>
      <w:pPr>
        <w:pStyle w:val="21"/>
        <w:spacing w:line="360" w:lineRule="auto"/>
        <w:ind w:left="840"/>
        <w:rPr>
          <w:rFonts w:hAnsi="宋体" w:eastAsia="宋体"/>
          <w:sz w:val="24"/>
          <w:szCs w:val="24"/>
        </w:rPr>
      </w:pPr>
      <w:r>
        <w:rPr>
          <w:rFonts w:hint="eastAsia" w:hAnsi="宋体" w:eastAsia="宋体"/>
          <w:sz w:val="24"/>
          <w:szCs w:val="24"/>
        </w:rPr>
        <w:t>输入端：信号精度、稳定性、漂移、实施显示、同步性等；</w:t>
      </w:r>
    </w:p>
    <w:p>
      <w:pPr>
        <w:pStyle w:val="21"/>
        <w:spacing w:line="360" w:lineRule="auto"/>
        <w:ind w:left="840"/>
        <w:rPr>
          <w:rFonts w:hAnsi="宋体" w:eastAsia="宋体"/>
          <w:sz w:val="24"/>
          <w:szCs w:val="24"/>
        </w:rPr>
      </w:pPr>
      <w:r>
        <w:rPr>
          <w:rFonts w:hint="eastAsia" w:hAnsi="宋体" w:eastAsia="宋体"/>
          <w:sz w:val="24"/>
          <w:szCs w:val="24"/>
        </w:rPr>
        <w:t>使用环境适应性、环境稳定性、数据采集精度、采样率；</w:t>
      </w:r>
    </w:p>
    <w:p>
      <w:pPr>
        <w:pStyle w:val="21"/>
        <w:spacing w:line="360" w:lineRule="auto"/>
        <w:ind w:left="840"/>
        <w:rPr>
          <w:rFonts w:hAnsi="宋体" w:eastAsia="宋体"/>
          <w:sz w:val="24"/>
          <w:szCs w:val="24"/>
        </w:rPr>
      </w:pPr>
      <w:r>
        <w:rPr>
          <w:rFonts w:hint="eastAsia" w:hAnsi="宋体" w:eastAsia="宋体"/>
          <w:sz w:val="24"/>
          <w:szCs w:val="24"/>
        </w:rPr>
        <w:t>后处理：测试数据后处理方案、实用性等；</w:t>
      </w:r>
    </w:p>
    <w:p>
      <w:pPr>
        <w:pStyle w:val="76"/>
        <w:numPr>
          <w:ilvl w:val="0"/>
          <w:numId w:val="40"/>
        </w:numPr>
        <w:adjustRightInd w:val="0"/>
        <w:snapToGrid w:val="0"/>
        <w:spacing w:line="360" w:lineRule="auto"/>
        <w:ind w:firstLineChars="0"/>
        <w:rPr>
          <w:rFonts w:ascii="宋体" w:hAnsi="宋体" w:eastAsia="宋体" w:cs="宋体"/>
          <w:sz w:val="24"/>
          <w:szCs w:val="24"/>
        </w:rPr>
      </w:pPr>
      <w:bookmarkStart w:id="40" w:name="_Toc466562404"/>
      <w:r>
        <w:rPr>
          <w:rFonts w:hint="eastAsia" w:ascii="宋体" w:hAnsi="宋体" w:eastAsia="宋体"/>
          <w:sz w:val="24"/>
          <w:szCs w:val="24"/>
        </w:rPr>
        <w:t>技术</w:t>
      </w:r>
      <w:r>
        <w:rPr>
          <w:rFonts w:hint="eastAsia" w:ascii="宋体" w:hAnsi="宋体" w:eastAsia="宋体" w:cs="宋体"/>
          <w:sz w:val="24"/>
          <w:szCs w:val="24"/>
        </w:rPr>
        <w:t>资料提交与确认</w:t>
      </w:r>
      <w:bookmarkEnd w:id="40"/>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对提交的项目工程文件和文档资料进行确认。</w:t>
      </w:r>
    </w:p>
    <w:p>
      <w:pPr>
        <w:adjustRightInd w:val="0"/>
        <w:snapToGrid w:val="0"/>
        <w:spacing w:before="120" w:after="120" w:line="360" w:lineRule="auto"/>
        <w:ind w:firstLine="482" w:firstLineChars="200"/>
        <w:jc w:val="center"/>
        <w:rPr>
          <w:rFonts w:ascii="宋体" w:hAnsi="宋体" w:eastAsia="宋体" w:cs="宋体"/>
          <w:b/>
          <w:color w:val="000000"/>
          <w:sz w:val="24"/>
          <w:szCs w:val="24"/>
        </w:rPr>
        <w:sectPr>
          <w:footerReference r:id="rId10" w:type="first"/>
          <w:footerReference r:id="rId9" w:type="default"/>
          <w:pgSz w:w="11906" w:h="16838"/>
          <w:pgMar w:top="1588" w:right="1418" w:bottom="1134" w:left="1418" w:header="851" w:footer="992" w:gutter="0"/>
          <w:pgNumType w:fmt="numberInDash"/>
          <w:cols w:space="720" w:num="1"/>
          <w:titlePg/>
          <w:docGrid w:type="lines" w:linePitch="312" w:charSpace="0"/>
        </w:sectPr>
      </w:pPr>
    </w:p>
    <w:p>
      <w:pPr>
        <w:pStyle w:val="84"/>
        <w:numPr>
          <w:ilvl w:val="0"/>
          <w:numId w:val="43"/>
        </w:numPr>
      </w:pPr>
      <w:bookmarkStart w:id="41" w:name="_Toc216428603"/>
      <w:bookmarkStart w:id="42" w:name="_Toc47976609"/>
      <w:r>
        <w:rPr>
          <w:rFonts w:hint="eastAsia"/>
        </w:rPr>
        <w:t>合同主要条款</w:t>
      </w:r>
      <w:bookmarkEnd w:id="41"/>
      <w:bookmarkEnd w:id="42"/>
    </w:p>
    <w:p>
      <w:pPr>
        <w:wordWrap w:val="0"/>
        <w:adjustRightInd w:val="0"/>
        <w:snapToGrid w:val="0"/>
        <w:spacing w:line="360" w:lineRule="auto"/>
        <w:jc w:val="right"/>
        <w:rPr>
          <w:rFonts w:ascii="宋体" w:hAnsi="宋体"/>
          <w:b/>
          <w:sz w:val="28"/>
          <w:szCs w:val="28"/>
        </w:rPr>
      </w:pPr>
    </w:p>
    <w:p>
      <w:pPr>
        <w:pStyle w:val="85"/>
        <w:numPr>
          <w:ilvl w:val="0"/>
          <w:numId w:val="44"/>
        </w:numPr>
        <w:ind w:left="420"/>
      </w:pPr>
      <w:bookmarkStart w:id="43" w:name="_Toc47976610"/>
      <w:bookmarkStart w:id="44" w:name="_Toc47976615"/>
      <w:r>
        <w:rPr>
          <w:rFonts w:hint="eastAsia"/>
        </w:rPr>
        <w:t>标的、数量、交货期</w:t>
      </w:r>
      <w:bookmarkEnd w:id="43"/>
    </w:p>
    <w:p>
      <w:pPr>
        <w:pStyle w:val="85"/>
        <w:ind w:hanging="2972"/>
      </w:pPr>
      <w:bookmarkStart w:id="45" w:name="_Toc47976611"/>
      <w:r>
        <w:rPr>
          <w:rFonts w:hint="eastAsia"/>
        </w:rPr>
        <w:t>交货地点</w:t>
      </w:r>
      <w:bookmarkEnd w:id="45"/>
    </w:p>
    <w:p>
      <w:pPr>
        <w:pStyle w:val="85"/>
        <w:ind w:hanging="2972"/>
      </w:pPr>
      <w:bookmarkStart w:id="46" w:name="_Toc47976612"/>
      <w:r>
        <w:rPr>
          <w:rFonts w:hint="eastAsia"/>
        </w:rPr>
        <w:t>价款及付款方式</w:t>
      </w:r>
      <w:bookmarkEnd w:id="46"/>
    </w:p>
    <w:p>
      <w:pPr>
        <w:pStyle w:val="85"/>
        <w:ind w:hanging="2972"/>
      </w:pPr>
      <w:bookmarkStart w:id="47" w:name="_Toc47976613"/>
      <w:r>
        <w:rPr>
          <w:rFonts w:hint="eastAsia"/>
        </w:rPr>
        <w:t>质量要求、保修期及售后服务</w:t>
      </w:r>
      <w:bookmarkEnd w:id="47"/>
    </w:p>
    <w:p>
      <w:pPr>
        <w:pStyle w:val="85"/>
        <w:ind w:hanging="2972"/>
      </w:pPr>
      <w:bookmarkStart w:id="48" w:name="_Toc47976614"/>
      <w:r>
        <w:rPr>
          <w:rFonts w:hint="eastAsia"/>
        </w:rPr>
        <w:t>安装、调试及验收要求</w:t>
      </w:r>
      <w:bookmarkEnd w:id="48"/>
    </w:p>
    <w:p>
      <w:pPr>
        <w:pStyle w:val="85"/>
        <w:ind w:hanging="2972"/>
      </w:pPr>
      <w:r>
        <w:rPr>
          <w:rFonts w:hint="eastAsia"/>
        </w:rPr>
        <w:t>违约责任</w:t>
      </w:r>
    </w:p>
    <w:p>
      <w:pPr>
        <w:pStyle w:val="85"/>
        <w:ind w:hanging="2972"/>
      </w:pPr>
      <w:r>
        <w:rPr>
          <w:rFonts w:hint="eastAsia"/>
        </w:rPr>
        <w:t>争议解决方式</w:t>
      </w:r>
    </w:p>
    <w:p/>
    <w:p>
      <w:r>
        <w:rPr>
          <w:rFonts w:hint="eastAsia"/>
        </w:rPr>
        <w:br w:type="page"/>
      </w:r>
    </w:p>
    <w:p>
      <w:pPr>
        <w:pStyle w:val="84"/>
        <w:rPr>
          <w:rFonts w:hAnsi="Calibri"/>
          <w:color w:val="000000"/>
          <w:sz w:val="24"/>
          <w:szCs w:val="24"/>
        </w:rPr>
      </w:pPr>
      <w:bookmarkStart w:id="49" w:name="_Toc216428604"/>
      <w:r>
        <w:rPr>
          <w:rFonts w:hint="eastAsia"/>
        </w:rPr>
        <w:t>第四部分　</w:t>
      </w:r>
      <w:bookmarkEnd w:id="44"/>
      <w:r>
        <w:rPr>
          <w:rFonts w:hint="eastAsia"/>
        </w:rPr>
        <w:t>投标文件附件</w:t>
      </w:r>
      <w:bookmarkEnd w:id="49"/>
    </w:p>
    <w:p>
      <w:pPr>
        <w:rPr>
          <w:rFonts w:ascii="宋体"/>
          <w:b/>
          <w:color w:val="000000"/>
          <w:szCs w:val="24"/>
        </w:rPr>
      </w:pPr>
    </w:p>
    <w:p>
      <w:pPr>
        <w:pStyle w:val="21"/>
      </w:pPr>
    </w:p>
    <w:p>
      <w:pPr>
        <w:pStyle w:val="85"/>
        <w:numPr>
          <w:ilvl w:val="0"/>
          <w:numId w:val="0"/>
        </w:numPr>
        <w:rPr>
          <w:rFonts w:ascii="宋体" w:hAnsi="宋体" w:eastAsia="宋体" w:cs="宋体"/>
          <w:sz w:val="32"/>
          <w:szCs w:val="32"/>
        </w:rPr>
      </w:pPr>
      <w:bookmarkStart w:id="50" w:name="_Toc47976618"/>
      <w:bookmarkStart w:id="51" w:name="_Toc29366865"/>
      <w:bookmarkStart w:id="52" w:name="_Toc29366869"/>
      <w:r>
        <w:rPr>
          <w:rFonts w:hint="eastAsia" w:ascii="宋体" w:hAnsi="宋体" w:eastAsia="宋体" w:cs="宋体"/>
          <w:sz w:val="32"/>
          <w:szCs w:val="32"/>
        </w:rPr>
        <w:t>附件1 法定代表人授权委托书</w:t>
      </w:r>
    </w:p>
    <w:bookmarkEnd w:id="50"/>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b/>
          <w:bCs/>
          <w:color w:val="000000"/>
          <w:sz w:val="24"/>
          <w:szCs w:val="24"/>
          <w:u w:val="single"/>
          <w:lang w:eastAsia="zh-CN"/>
        </w:rPr>
        <w:t>汽车研究总院多通道便携式数据采集系统采购项目</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460" w:lineRule="exact"/>
        <w:ind w:firstLine="5520" w:firstLineChars="2300"/>
        <w:rPr>
          <w:rFonts w:ascii="宋体" w:hAnsi="Calibri"/>
          <w:sz w:val="24"/>
          <w:u w:val="single"/>
        </w:rPr>
      </w:pPr>
    </w:p>
    <w:p>
      <w:pPr>
        <w:rPr>
          <w:rFonts w:ascii="Calibri" w:hAnsi="Calibri" w:eastAsia="黑体"/>
          <w:b/>
          <w:bCs/>
          <w:color w:val="000000"/>
          <w:sz w:val="28"/>
        </w:rPr>
      </w:pPr>
    </w:p>
    <w:p>
      <w:pPr>
        <w:pStyle w:val="21"/>
        <w:rPr>
          <w:rFonts w:ascii="Calibri" w:hAnsi="Calibri" w:eastAsia="黑体"/>
          <w:b/>
          <w:bCs/>
          <w:color w:val="000000"/>
          <w:sz w:val="28"/>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pStyle w:val="85"/>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pPr>
        <w:spacing w:line="240" w:lineRule="exact"/>
        <w:jc w:val="center"/>
        <w:rPr>
          <w:rFonts w:ascii="宋体" w:hAnsi="Calibri"/>
          <w:b/>
          <w:bCs/>
          <w:sz w:val="36"/>
        </w:rPr>
      </w:pPr>
    </w:p>
    <w:p>
      <w:pPr>
        <w:spacing w:line="360" w:lineRule="auto"/>
        <w:rPr>
          <w:rFonts w:hint="eastAsia" w:ascii="宋体" w:hAnsi="宋体" w:eastAsia="宋体" w:cs="宋体"/>
          <w:b/>
          <w:bCs/>
          <w:sz w:val="24"/>
          <w:szCs w:val="24"/>
          <w:u w:val="single"/>
          <w:lang w:eastAsia="zh-CN"/>
        </w:rPr>
      </w:pPr>
      <w:r>
        <w:rPr>
          <w:rFonts w:hint="eastAsia" w:ascii="宋体" w:hAnsi="宋体"/>
          <w:sz w:val="24"/>
        </w:rPr>
        <w:t>项目名称：</w:t>
      </w:r>
      <w:r>
        <w:rPr>
          <w:rFonts w:hint="eastAsia" w:ascii="宋体" w:hAnsi="宋体" w:cs="宋体"/>
          <w:b/>
          <w:bCs/>
          <w:sz w:val="24"/>
          <w:szCs w:val="24"/>
          <w:u w:val="single"/>
          <w:lang w:eastAsia="zh-CN"/>
        </w:rPr>
        <w:t>汽车研究总院多通道便携式数据采集系统采购项目</w:t>
      </w:r>
    </w:p>
    <w:p>
      <w:pPr>
        <w:spacing w:line="360" w:lineRule="auto"/>
        <w:rPr>
          <w:rFonts w:ascii="宋体" w:hAnsi="Calibri"/>
          <w:b/>
          <w:bCs/>
          <w:sz w:val="24"/>
        </w:rPr>
      </w:pPr>
      <w:r>
        <w:rPr>
          <w:rFonts w:hint="eastAsia" w:ascii="宋体" w:hAnsi="宋体"/>
          <w:b/>
          <w:bCs/>
          <w:sz w:val="24"/>
        </w:rPr>
        <w:t>中国重汽集团济南动力有限公司：</w:t>
      </w:r>
    </w:p>
    <w:p>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51"/>
    <w:bookmarkEnd w:id="52"/>
    <w:p>
      <w:pPr>
        <w:pStyle w:val="85"/>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53" w:name="_Toc4225"/>
      <w:bookmarkStart w:id="54" w:name="_Toc47976616"/>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b/>
          <w:bCs/>
          <w:color w:val="000000"/>
          <w:sz w:val="24"/>
          <w:szCs w:val="24"/>
          <w:u w:val="single"/>
          <w:lang w:eastAsia="zh-CN"/>
        </w:rPr>
        <w:t>汽车研究总院多通道便携式数据采集系统采购项目</w:t>
      </w:r>
      <w:r>
        <w:rPr>
          <w:rFonts w:ascii="宋体" w:hAnsi="宋体"/>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b/>
                <w:szCs w:val="21"/>
              </w:rPr>
            </w:pPr>
            <w:r>
              <w:rPr>
                <w:rFonts w:hint="eastAsia" w:ascii="宋体" w:hAnsi="宋体"/>
                <w:b/>
                <w:szCs w:val="21"/>
              </w:rPr>
              <w:t>序号</w:t>
            </w:r>
          </w:p>
        </w:tc>
        <w:tc>
          <w:tcPr>
            <w:tcW w:w="2082" w:type="dxa"/>
            <w:vAlign w:val="center"/>
          </w:tcPr>
          <w:p>
            <w:pPr>
              <w:ind w:left="420" w:hanging="420"/>
              <w:jc w:val="center"/>
              <w:rPr>
                <w:rFonts w:ascii="宋体"/>
                <w:b/>
                <w:szCs w:val="21"/>
              </w:rPr>
            </w:pPr>
            <w:r>
              <w:rPr>
                <w:rFonts w:hint="eastAsia" w:ascii="宋体" w:hAnsi="宋体"/>
                <w:b/>
                <w:szCs w:val="21"/>
              </w:rPr>
              <w:t>采购单位</w:t>
            </w:r>
          </w:p>
        </w:tc>
        <w:tc>
          <w:tcPr>
            <w:tcW w:w="1355" w:type="dxa"/>
            <w:vAlign w:val="center"/>
          </w:tcPr>
          <w:p>
            <w:pPr>
              <w:ind w:left="420" w:hanging="420"/>
              <w:jc w:val="center"/>
              <w:rPr>
                <w:rFonts w:ascii="宋体"/>
                <w:b/>
                <w:szCs w:val="21"/>
              </w:rPr>
            </w:pPr>
            <w:r>
              <w:rPr>
                <w:rFonts w:hint="eastAsia" w:ascii="宋体" w:hAnsi="宋体"/>
                <w:b/>
                <w:szCs w:val="21"/>
              </w:rPr>
              <w:t>项目名称</w:t>
            </w:r>
          </w:p>
          <w:p>
            <w:pPr>
              <w:ind w:left="420" w:hanging="420"/>
              <w:jc w:val="center"/>
              <w:rPr>
                <w:rFonts w:ascii="宋体"/>
                <w:b/>
                <w:szCs w:val="21"/>
              </w:rPr>
            </w:pPr>
            <w:r>
              <w:rPr>
                <w:rFonts w:hint="eastAsia" w:ascii="宋体" w:hAnsi="宋体"/>
                <w:b/>
                <w:szCs w:val="21"/>
              </w:rPr>
              <w:t>（万元）</w:t>
            </w:r>
          </w:p>
        </w:tc>
        <w:tc>
          <w:tcPr>
            <w:tcW w:w="826" w:type="dxa"/>
            <w:vAlign w:val="center"/>
          </w:tcPr>
          <w:p>
            <w:pPr>
              <w:jc w:val="center"/>
              <w:rPr>
                <w:rFonts w:ascii="宋体"/>
                <w:b/>
                <w:szCs w:val="21"/>
              </w:rPr>
            </w:pPr>
            <w:r>
              <w:rPr>
                <w:rFonts w:hint="eastAsia" w:ascii="宋体" w:hAnsi="宋体"/>
                <w:b/>
                <w:szCs w:val="21"/>
              </w:rPr>
              <w:t>数量</w:t>
            </w:r>
          </w:p>
        </w:tc>
        <w:tc>
          <w:tcPr>
            <w:tcW w:w="1320" w:type="dxa"/>
            <w:vAlign w:val="center"/>
          </w:tcPr>
          <w:p>
            <w:pPr>
              <w:jc w:val="center"/>
              <w:rPr>
                <w:rFonts w:ascii="宋体"/>
                <w:b/>
                <w:szCs w:val="21"/>
              </w:rPr>
            </w:pPr>
            <w:r>
              <w:rPr>
                <w:rFonts w:hint="eastAsia" w:ascii="宋体" w:hAnsi="宋体"/>
                <w:b/>
                <w:szCs w:val="21"/>
              </w:rPr>
              <w:t>合同金额</w:t>
            </w:r>
          </w:p>
        </w:tc>
        <w:tc>
          <w:tcPr>
            <w:tcW w:w="1023" w:type="dxa"/>
            <w:vAlign w:val="center"/>
          </w:tcPr>
          <w:p>
            <w:pPr>
              <w:jc w:val="center"/>
              <w:rPr>
                <w:rFonts w:ascii="宋体"/>
                <w:b/>
                <w:szCs w:val="21"/>
              </w:rPr>
            </w:pPr>
            <w:r>
              <w:rPr>
                <w:rFonts w:hint="eastAsia" w:ascii="宋体" w:hAnsi="宋体"/>
                <w:b/>
                <w:szCs w:val="21"/>
              </w:rPr>
              <w:t>合同签订时间</w:t>
            </w:r>
          </w:p>
        </w:tc>
        <w:tc>
          <w:tcPr>
            <w:tcW w:w="1590" w:type="dxa"/>
            <w:vAlign w:val="center"/>
          </w:tcPr>
          <w:p>
            <w:pPr>
              <w:ind w:left="420" w:hanging="420"/>
              <w:jc w:val="center"/>
              <w:rPr>
                <w:rFonts w:ascii="宋体"/>
                <w:b/>
                <w:szCs w:val="21"/>
              </w:rPr>
            </w:pPr>
            <w:r>
              <w:rPr>
                <w:rFonts w:hint="eastAsia" w:ascii="宋体" w:hAnsi="宋体"/>
                <w:b/>
                <w:szCs w:val="21"/>
              </w:rPr>
              <w:t>联系人及</w:t>
            </w:r>
          </w:p>
          <w:p>
            <w:pPr>
              <w:ind w:left="420" w:hanging="420"/>
              <w:jc w:val="center"/>
              <w:rPr>
                <w:rFonts w:asci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bl>
    <w:p>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pPr>
        <w:tabs>
          <w:tab w:val="left" w:pos="1578"/>
          <w:tab w:val="left" w:pos="10083"/>
        </w:tabs>
        <w:spacing w:line="500" w:lineRule="exact"/>
        <w:rPr>
          <w:rFonts w:ascii="宋体" w:hAnsi="Calibri"/>
          <w:sz w:val="24"/>
        </w:rPr>
      </w:pPr>
    </w:p>
    <w:p>
      <w:pPr>
        <w:spacing w:line="660" w:lineRule="exact"/>
        <w:rPr>
          <w:rFonts w:ascii="宋体" w:hAnsi="Calibri"/>
          <w:sz w:val="24"/>
        </w:rPr>
      </w:pPr>
      <w:r>
        <w:rPr>
          <w:rFonts w:hint="eastAsia" w:ascii="宋体" w:hAnsi="宋体"/>
          <w:sz w:val="24"/>
        </w:rPr>
        <w:t>投标人：（盖章）</w:t>
      </w:r>
    </w:p>
    <w:p>
      <w:pPr>
        <w:spacing w:line="660" w:lineRule="exact"/>
        <w:rPr>
          <w:rFonts w:ascii="宋体" w:hAnsi="Calibri"/>
          <w:sz w:val="24"/>
        </w:rPr>
      </w:pPr>
      <w:r>
        <w:rPr>
          <w:rFonts w:hint="eastAsia" w:ascii="宋体" w:hAnsi="宋体"/>
          <w:sz w:val="24"/>
        </w:rPr>
        <w:t>法定代表人（委托代理人）：（签字）</w:t>
      </w:r>
    </w:p>
    <w:p>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rPr>
          <w:rFonts w:ascii="宋体" w:hAnsi="Calibri" w:cs="宋体"/>
          <w:b/>
          <w:bCs/>
          <w:color w:val="000000"/>
          <w:sz w:val="28"/>
        </w:rPr>
      </w:pPr>
    </w:p>
    <w:p>
      <w:pPr>
        <w:pStyle w:val="21"/>
      </w:pPr>
    </w:p>
    <w:p>
      <w:pPr>
        <w:pStyle w:val="85"/>
        <w:numPr>
          <w:ilvl w:val="0"/>
          <w:numId w:val="0"/>
        </w:numPr>
        <w:rPr>
          <w:rFonts w:hint="eastAsia" w:ascii="宋体" w:hAnsi="宋体" w:eastAsia="宋体" w:cs="宋体"/>
          <w:sz w:val="32"/>
          <w:szCs w:val="32"/>
        </w:rPr>
      </w:pPr>
      <w:r>
        <w:rPr>
          <w:rFonts w:hint="eastAsia" w:ascii="宋体" w:hAnsi="宋体" w:eastAsia="宋体" w:cs="宋体"/>
          <w:sz w:val="32"/>
          <w:szCs w:val="32"/>
        </w:rPr>
        <w:t>附件</w:t>
      </w:r>
      <w:r>
        <w:rPr>
          <w:rFonts w:hint="eastAsia" w:ascii="宋体" w:hAnsi="宋体" w:eastAsia="宋体" w:cs="宋体"/>
          <w:sz w:val="32"/>
          <w:szCs w:val="32"/>
          <w:lang w:val="en-US" w:eastAsia="zh-CN"/>
        </w:rPr>
        <w:t>4</w:t>
      </w:r>
      <w:r>
        <w:rPr>
          <w:rFonts w:hint="eastAsia" w:ascii="宋体" w:hAnsi="宋体" w:eastAsia="宋体" w:cs="宋体"/>
          <w:sz w:val="32"/>
          <w:szCs w:val="32"/>
        </w:rPr>
        <w:t xml:space="preserve"> 技术规格偏离表</w:t>
      </w:r>
    </w:p>
    <w:p>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lang w:eastAsia="zh-CN"/>
        </w:rPr>
        <w:t>汽车研究总院多通道便携式数据采集系统采购项目</w:t>
      </w:r>
      <w:r>
        <w:rPr>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671"/>
        <w:gridCol w:w="3417"/>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vAlign w:val="center"/>
          </w:tcPr>
          <w:p>
            <w:pPr>
              <w:jc w:val="center"/>
              <w:rPr>
                <w:rFonts w:ascii="宋体" w:hAnsi="宋体" w:eastAsia="宋体"/>
                <w:b/>
                <w:sz w:val="24"/>
                <w:szCs w:val="24"/>
              </w:rPr>
            </w:pPr>
            <w:r>
              <w:rPr>
                <w:rFonts w:hint="eastAsia" w:ascii="宋体" w:hAnsi="宋体" w:eastAsia="宋体" w:cs="宋体"/>
                <w:b/>
                <w:sz w:val="24"/>
                <w:szCs w:val="24"/>
              </w:rPr>
              <w:t>序号</w:t>
            </w:r>
          </w:p>
        </w:tc>
        <w:tc>
          <w:tcPr>
            <w:tcW w:w="3671" w:type="dxa"/>
            <w:vAlign w:val="center"/>
          </w:tcPr>
          <w:p>
            <w:pPr>
              <w:jc w:val="center"/>
              <w:rPr>
                <w:rFonts w:ascii="宋体" w:hAnsi="宋体" w:eastAsia="宋体"/>
                <w:b/>
                <w:sz w:val="24"/>
                <w:szCs w:val="24"/>
              </w:rPr>
            </w:pPr>
            <w:r>
              <w:rPr>
                <w:rFonts w:hint="eastAsia" w:ascii="宋体" w:hAnsi="宋体" w:eastAsia="宋体" w:cs="宋体"/>
                <w:b/>
                <w:sz w:val="24"/>
                <w:szCs w:val="24"/>
              </w:rPr>
              <w:t>招标要求</w:t>
            </w:r>
          </w:p>
        </w:tc>
        <w:tc>
          <w:tcPr>
            <w:tcW w:w="3417" w:type="dxa"/>
            <w:vAlign w:val="center"/>
          </w:tcPr>
          <w:p>
            <w:pPr>
              <w:jc w:val="center"/>
              <w:rPr>
                <w:rFonts w:ascii="宋体" w:hAnsi="宋体" w:eastAsia="宋体"/>
                <w:b/>
                <w:sz w:val="24"/>
                <w:szCs w:val="24"/>
              </w:rPr>
            </w:pPr>
            <w:r>
              <w:rPr>
                <w:rFonts w:hint="eastAsia" w:ascii="宋体" w:hAnsi="宋体" w:eastAsia="宋体" w:cs="宋体"/>
                <w:b/>
                <w:sz w:val="24"/>
                <w:szCs w:val="24"/>
              </w:rPr>
              <w:t>响应规格</w:t>
            </w:r>
          </w:p>
        </w:tc>
        <w:tc>
          <w:tcPr>
            <w:tcW w:w="1264" w:type="dxa"/>
            <w:vAlign w:val="center"/>
          </w:tcPr>
          <w:p>
            <w:pPr>
              <w:jc w:val="center"/>
              <w:rPr>
                <w:rFonts w:ascii="宋体" w:hAnsi="宋体" w:eastAsia="宋体"/>
                <w:b/>
                <w:sz w:val="24"/>
                <w:szCs w:val="24"/>
              </w:rPr>
            </w:pPr>
            <w:r>
              <w:rPr>
                <w:rFonts w:hint="eastAsia" w:ascii="宋体" w:hAnsi="宋体" w:eastAsia="宋体" w:cs="宋体"/>
                <w:b/>
                <w:sz w:val="24"/>
                <w:szCs w:val="24"/>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p>
        </w:tc>
        <w:tc>
          <w:tcPr>
            <w:tcW w:w="3671" w:type="dxa"/>
          </w:tcPr>
          <w:p>
            <w:pPr>
              <w:rPr>
                <w:rFonts w:ascii="宋体" w:hAnsi="宋体" w:eastAsia="宋体" w:cs="宋体"/>
                <w:color w:val="000000"/>
                <w:sz w:val="24"/>
                <w:szCs w:val="24"/>
              </w:rPr>
            </w:pPr>
            <w:r>
              <w:rPr>
                <w:rFonts w:hint="eastAsia" w:ascii="宋体" w:hAnsi="宋体" w:eastAsia="宋体" w:cs="宋体"/>
                <w:color w:val="000000" w:themeColor="text1"/>
                <w:sz w:val="24"/>
                <w:szCs w:val="24"/>
                <w14:textFill>
                  <w14:solidFill>
                    <w14:schemeClr w14:val="tx1"/>
                  </w14:solidFill>
                </w14:textFill>
              </w:rPr>
              <w:t>满足对整车动态性能测试，可进行整车动力、制动、操稳、转向等动态性能客观测试</w:t>
            </w:r>
          </w:p>
        </w:tc>
        <w:tc>
          <w:tcPr>
            <w:tcW w:w="3417" w:type="dxa"/>
          </w:tcPr>
          <w:p>
            <w:pPr>
              <w:jc w:val="center"/>
              <w:rPr>
                <w:rFonts w:ascii="宋体" w:hAnsi="宋体" w:eastAsia="宋体"/>
                <w:b/>
                <w:sz w:val="24"/>
                <w:szCs w:val="24"/>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tcPr>
          <w:p>
            <w:pPr>
              <w:jc w:val="center"/>
              <w:rPr>
                <w:rFonts w:ascii="宋体" w:hAnsi="宋体" w:eastAsia="宋体"/>
                <w:sz w:val="24"/>
                <w:szCs w:val="24"/>
              </w:rPr>
            </w:pPr>
            <w:r>
              <w:rPr>
                <w:rFonts w:hint="eastAsia" w:ascii="宋体" w:hAnsi="宋体" w:eastAsia="宋体"/>
                <w:sz w:val="24"/>
                <w:szCs w:val="24"/>
              </w:rPr>
              <w:t>2</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设备便携，可提高研发、售后服务、问题排查、市场反馈效率，对对标车进行评价和对发动机/整车标定给予辅助支持</w:t>
            </w:r>
          </w:p>
        </w:tc>
        <w:tc>
          <w:tcPr>
            <w:tcW w:w="3417" w:type="dxa"/>
          </w:tcPr>
          <w:p>
            <w:pPr>
              <w:jc w:val="cente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3</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包含GB\ISO\ASCII\EN\等标准体系规定的，制动性能、操稳性能、转向性能、NVH性能、平顺性能、ADAS等要求</w:t>
            </w:r>
          </w:p>
        </w:tc>
        <w:tc>
          <w:tcPr>
            <w:tcW w:w="3417" w:type="dxa"/>
          </w:tcPr>
          <w:p>
            <w:pPr>
              <w:jc w:val="cente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exact"/>
        </w:trPr>
        <w:tc>
          <w:tcPr>
            <w:tcW w:w="704" w:type="dxa"/>
          </w:tcPr>
          <w:p>
            <w:pPr>
              <w:jc w:val="center"/>
              <w:rPr>
                <w:rFonts w:ascii="宋体" w:hAnsi="宋体" w:eastAsia="宋体"/>
                <w:sz w:val="24"/>
                <w:szCs w:val="24"/>
              </w:rPr>
            </w:pPr>
            <w:r>
              <w:rPr>
                <w:rFonts w:hint="eastAsia" w:ascii="宋体" w:hAnsi="宋体" w:eastAsia="宋体"/>
                <w:sz w:val="24"/>
                <w:szCs w:val="24"/>
              </w:rPr>
              <w:t>4</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电脑：戴尔（DELL）Precision7780deepseek一体机4090显卡，I9,13950HX/64G/4T/RTX4000,4K （预算内市场主流配置）</w:t>
            </w:r>
          </w:p>
        </w:tc>
        <w:tc>
          <w:tcPr>
            <w:tcW w:w="3417" w:type="dxa"/>
          </w:tcPr>
          <w:p>
            <w:pPr>
              <w:jc w:val="cente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5</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小型陀螺仪：单天线陀螺仪+GPS系统</w:t>
            </w:r>
            <w:r>
              <w:rPr>
                <w:rFonts w:ascii="宋体" w:hAnsi="宋体" w:eastAsia="宋体" w:cs="宋体"/>
                <w:color w:val="000000" w:themeColor="text1"/>
                <w:sz w:val="24"/>
                <w:szCs w:val="24"/>
                <w14:textFill>
                  <w14:solidFill>
                    <w14:schemeClr w14:val="tx1"/>
                  </w14:solidFill>
                </w14:textFill>
              </w:rPr>
              <w:t>DS-IMU1</w:t>
            </w:r>
            <w:r>
              <w:rPr>
                <w:rFonts w:hint="eastAsia" w:ascii="宋体" w:hAnsi="宋体" w:eastAsia="宋体" w:cs="宋体"/>
                <w:color w:val="000000" w:themeColor="text1"/>
                <w:sz w:val="24"/>
                <w:szCs w:val="24"/>
                <w14:textFill>
                  <w14:solidFill>
                    <w14:schemeClr w14:val="tx1"/>
                  </w14:solidFill>
                </w14:textFill>
              </w:rPr>
              <w:t>，可测速度，距离，角速度，加速度等信号和精度，</w:t>
            </w:r>
          </w:p>
        </w:tc>
        <w:tc>
          <w:tcPr>
            <w:tcW w:w="3417" w:type="dxa"/>
          </w:tcPr>
          <w:p>
            <w:pP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tcPr>
          <w:p>
            <w:pPr>
              <w:jc w:val="center"/>
              <w:rPr>
                <w:rFonts w:ascii="宋体" w:hAnsi="宋体" w:eastAsia="宋体"/>
                <w:sz w:val="24"/>
                <w:szCs w:val="24"/>
              </w:rPr>
            </w:pPr>
            <w:r>
              <w:rPr>
                <w:rFonts w:hint="eastAsia" w:ascii="宋体" w:hAnsi="宋体" w:eastAsia="宋体"/>
                <w:sz w:val="24"/>
                <w:szCs w:val="24"/>
              </w:rPr>
              <w:t>6</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据采集主机：采用3个标准Dewe43A便携式数采模块（8通道模拟，8通道数字，2通道CAN）组合，包含PC处理单元、陀螺仪、力、位移、惯量、温度等传感器，自带采集软件，支持音视频采集播放；采样率2MHz数据采集，sigmadelta24位ADC，采样率高达200 kS/s/ch。</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采用模拟输入通道，高速CAN 2.0b通道，1 Mbit/sec的数据吞吐量，支持CCP，OBDII，J1939和CAN输出隔离CAN接口，</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24模拟通道+24数字通道：计数器/编码器/数字输入通道，隔离电源设计，传感器供电，每个通道（模拟，数字或CAN）都以微秒精度同步，完全同步。</w:t>
            </w:r>
          </w:p>
          <w:p>
            <w:pPr>
              <w:widowControl/>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具有实时动态差分系统（RTK）的高精度100Hz GPS接收器和惯性测量单元（IMU），惯性测量单位（IMU）除GPS接收器外，还集成了3轴加速度计和3轴陀螺仪，可改善航位推算并提供IP67防护等级，RTK 2厘米定位精度，所有GPS和IMU装置可选RTK升级，定位精度提高到2厘米。支持基于精确位置的测试与测量应用。</w:t>
            </w:r>
          </w:p>
        </w:tc>
        <w:tc>
          <w:tcPr>
            <w:tcW w:w="3417" w:type="dxa"/>
          </w:tcPr>
          <w:p>
            <w:pPr>
              <w:jc w:val="cente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7</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数据采集软件，含基本数据分析功能，如滤波，FFT等，含制动测试插件</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支持手机和平板电脑查看实时数据和状态，可读写编辑测试固件，实时监控测试过程、输出动态测试结果；</w:t>
            </w:r>
          </w:p>
        </w:tc>
        <w:tc>
          <w:tcPr>
            <w:tcW w:w="3417" w:type="dxa"/>
          </w:tcPr>
          <w:p>
            <w:pP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4" w:type="dxa"/>
          </w:tcPr>
          <w:p>
            <w:pPr>
              <w:jc w:val="center"/>
              <w:rPr>
                <w:rFonts w:ascii="宋体" w:hAnsi="宋体" w:eastAsia="宋体"/>
                <w:sz w:val="24"/>
                <w:szCs w:val="24"/>
              </w:rPr>
            </w:pPr>
            <w:r>
              <w:rPr>
                <w:rFonts w:hint="eastAsia" w:ascii="宋体" w:hAnsi="宋体" w:eastAsia="宋体"/>
                <w:sz w:val="24"/>
                <w:szCs w:val="24"/>
              </w:rPr>
              <w:t>8</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踏板力计量程：</w:t>
            </w:r>
            <w:r>
              <w:rPr>
                <w:rFonts w:ascii="宋体" w:hAnsi="宋体" w:eastAsia="宋体" w:cs="宋体"/>
                <w:color w:val="000000" w:themeColor="text1"/>
                <w:sz w:val="24"/>
                <w:szCs w:val="24"/>
                <w14:textFill>
                  <w14:solidFill>
                    <w14:schemeClr w14:val="tx1"/>
                  </w14:solidFill>
                </w14:textFill>
              </w:rPr>
              <w:t>1500N</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精度：</w:t>
            </w:r>
            <w:r>
              <w:rPr>
                <w:rFonts w:ascii="宋体" w:hAnsi="宋体" w:eastAsia="宋体" w:cs="宋体"/>
                <w:color w:val="000000" w:themeColor="text1"/>
                <w:sz w:val="24"/>
                <w:szCs w:val="24"/>
                <w14:textFill>
                  <w14:solidFill>
                    <w14:schemeClr w14:val="tx1"/>
                  </w14:solidFill>
                </w14:textFill>
              </w:rPr>
              <w:t>0.5% FS</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分辨率：</w:t>
            </w:r>
            <w:r>
              <w:rPr>
                <w:rFonts w:ascii="宋体" w:hAnsi="宋体" w:eastAsia="宋体" w:cs="宋体"/>
                <w:color w:val="000000" w:themeColor="text1"/>
                <w:sz w:val="24"/>
                <w:szCs w:val="24"/>
                <w14:textFill>
                  <w14:solidFill>
                    <w14:schemeClr w14:val="tx1"/>
                  </w14:solidFill>
                </w14:textFill>
              </w:rPr>
              <w:t xml:space="preserve">1N </w:t>
            </w:r>
          </w:p>
        </w:tc>
        <w:tc>
          <w:tcPr>
            <w:tcW w:w="3417" w:type="dxa"/>
          </w:tcPr>
          <w:p>
            <w:pP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9</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踏板行程传感器量程：500</w:t>
            </w:r>
            <w:r>
              <w:rPr>
                <w:rFonts w:ascii="宋体" w:hAnsi="宋体" w:eastAsia="宋体" w:cs="宋体"/>
                <w:color w:val="000000" w:themeColor="text1"/>
                <w:sz w:val="24"/>
                <w:szCs w:val="24"/>
                <w14:textFill>
                  <w14:solidFill>
                    <w14:schemeClr w14:val="tx1"/>
                  </w14:solidFill>
                </w14:textFill>
              </w:rPr>
              <w:t>mm</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精度：0.1%精度</w:t>
            </w:r>
            <w:r>
              <w:rPr>
                <w:rFonts w:ascii="宋体" w:hAnsi="宋体" w:eastAsia="宋体" w:cs="宋体"/>
                <w:color w:val="000000" w:themeColor="text1"/>
                <w:sz w:val="24"/>
                <w:szCs w:val="24"/>
                <w14:textFill>
                  <w14:solidFill>
                    <w14:schemeClr w14:val="tx1"/>
                  </w14:solidFill>
                </w14:textFill>
              </w:rPr>
              <w:t>FS</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分辨率：无限小信号</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使用温度范围：</w:t>
            </w:r>
            <w:r>
              <w:rPr>
                <w:rFonts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20</w:t>
            </w:r>
            <w:r>
              <w:rPr>
                <w:rFonts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85</w:t>
            </w:r>
            <w:r>
              <w:rPr>
                <w:rFonts w:ascii="宋体" w:hAnsi="宋体" w:eastAsia="宋体" w:cs="宋体"/>
                <w:color w:val="000000" w:themeColor="text1"/>
                <w:sz w:val="24"/>
                <w:szCs w:val="24"/>
                <w14:textFill>
                  <w14:solidFill>
                    <w14:schemeClr w14:val="tx1"/>
                  </w14:solidFill>
                </w14:textFill>
              </w:rPr>
              <w:t>°C</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供电：12</w:t>
            </w:r>
            <w:r>
              <w:rPr>
                <w:rFonts w:ascii="宋体" w:hAnsi="宋体" w:eastAsia="宋体" w:cs="宋体"/>
                <w:color w:val="000000" w:themeColor="text1"/>
                <w:sz w:val="24"/>
                <w:szCs w:val="24"/>
                <w14:textFill>
                  <w14:solidFill>
                    <w14:schemeClr w14:val="tx1"/>
                  </w14:solidFill>
                </w14:textFill>
              </w:rPr>
              <w:t>—30VDC</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输出：</w:t>
            </w:r>
            <w:r>
              <w:rPr>
                <w:rFonts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10</w:t>
            </w:r>
            <w:r>
              <w:rPr>
                <w:rFonts w:ascii="宋体" w:hAnsi="宋体" w:eastAsia="宋体" w:cs="宋体"/>
                <w:color w:val="000000" w:themeColor="text1"/>
                <w:sz w:val="24"/>
                <w:szCs w:val="24"/>
                <w14:textFill>
                  <w14:solidFill>
                    <w14:schemeClr w14:val="tx1"/>
                  </w14:solidFill>
                </w14:textFill>
              </w:rPr>
              <w:t>V</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内置</w:t>
            </w:r>
            <w:r>
              <w:rPr>
                <w:rFonts w:ascii="宋体" w:hAnsi="宋体" w:eastAsia="宋体" w:cs="宋体"/>
                <w:color w:val="000000" w:themeColor="text1"/>
                <w:sz w:val="24"/>
                <w:szCs w:val="24"/>
                <w14:textFill>
                  <w14:solidFill>
                    <w14:schemeClr w14:val="tx1"/>
                  </w14:solidFill>
                </w14:textFill>
              </w:rPr>
              <w:t>5V精密电源，无需外部稳压电源</w:t>
            </w:r>
          </w:p>
        </w:tc>
        <w:tc>
          <w:tcPr>
            <w:tcW w:w="3417" w:type="dxa"/>
          </w:tcPr>
          <w:p>
            <w:pP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0</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压力传感器，0-200bar，0.25%精度</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供电电源：9.5—27V dc</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过压/瞬压：150%FS/&gt;300%FS</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额定输出：4.5V</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组合非线性度+磁滞：±0.25%FS 最大值</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长期稳定性：±0.1% FS/年</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能耗：&lt;10mA</w:t>
            </w:r>
            <w:r>
              <w:rPr>
                <w:rFonts w:ascii="宋体" w:hAnsi="宋体" w:eastAsia="宋体" w:cs="宋体"/>
                <w:color w:val="000000" w:themeColor="text1"/>
                <w:sz w:val="24"/>
                <w:szCs w:val="24"/>
                <w14:textFill>
                  <w14:solidFill>
                    <w14:schemeClr w14:val="tx1"/>
                  </w14:solidFill>
                </w14:textFill>
              </w:rPr>
              <w:t xml:space="preserve"> </w:t>
            </w:r>
          </w:p>
        </w:tc>
        <w:tc>
          <w:tcPr>
            <w:tcW w:w="3417" w:type="dxa"/>
          </w:tcPr>
          <w:p>
            <w:pP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1</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压力传感器，-1-2bar，0.25%精度</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供电电源：9.5—27V dc</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过压/瞬压：150%FS/&gt;300%FS</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额定输出：4.5V</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组合非线性度+磁滞：±0.25%FS 最大值</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长期稳定性：±0.1% FS/年</w:t>
            </w:r>
          </w:p>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能耗：&lt;10mA满足招标方要求</w:t>
            </w:r>
          </w:p>
        </w:tc>
        <w:tc>
          <w:tcPr>
            <w:tcW w:w="3417" w:type="dxa"/>
          </w:tcPr>
          <w:p>
            <w:pP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2</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8通道K型温度模块</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通道数≥8，支持K、T型热电偶</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通道间隔离：1500V</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每个通道含独立的冷端补偿电路，模块每通道均有故障指示灯</w:t>
            </w:r>
          </w:p>
          <w:p>
            <w:pPr>
              <w:pStyle w:val="21"/>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防护等级：IP65数据输出：CAN总线满足招标方要求</w:t>
            </w:r>
          </w:p>
        </w:tc>
        <w:tc>
          <w:tcPr>
            <w:tcW w:w="3417" w:type="dxa"/>
          </w:tcPr>
          <w:p>
            <w:pPr>
              <w:pStyle w:val="21"/>
              <w:rPr>
                <w:rFonts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IEPE接头模块，实现模数和振动、噪声信号转换</w:t>
            </w:r>
          </w:p>
        </w:tc>
        <w:tc>
          <w:tcPr>
            <w:tcW w:w="3417" w:type="dxa"/>
          </w:tcPr>
          <w:p>
            <w:pPr>
              <w:jc w:val="cente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14</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扩展：可根据需要实现DEWE43A与SIRSUS-SBOX 主机串联，并可以与DEWE其他主机实现串联功能，通道无限扩展；可与现有三轴加速度、三向坐垫、麦克风、测力方向盘等设备扩展兼容使用；</w:t>
            </w:r>
            <w:r>
              <w:rPr>
                <w:rFonts w:ascii="宋体" w:hAnsi="宋体" w:eastAsia="宋体" w:cs="宋体"/>
                <w:color w:val="000000" w:themeColor="text1"/>
                <w:sz w:val="24"/>
                <w:szCs w:val="24"/>
                <w14:textFill>
                  <w14:solidFill>
                    <w14:schemeClr w14:val="tx1"/>
                  </w14:solidFill>
                </w14:textFill>
              </w:rPr>
              <w:t xml:space="preserve"> </w:t>
            </w:r>
          </w:p>
        </w:tc>
        <w:tc>
          <w:tcPr>
            <w:tcW w:w="3417" w:type="dxa"/>
          </w:tcPr>
          <w:p>
            <w:pPr>
              <w:jc w:val="cente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5</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采样精度及稳定性：采集模块热稳定性好，采样率高，精度高，漂移小，数据一致性稳定性高</w:t>
            </w:r>
          </w:p>
        </w:tc>
        <w:tc>
          <w:tcPr>
            <w:tcW w:w="3417" w:type="dxa"/>
          </w:tcPr>
          <w:p>
            <w:pPr>
              <w:jc w:val="cente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6</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其他满足招标方要求</w:t>
            </w:r>
          </w:p>
        </w:tc>
        <w:tc>
          <w:tcPr>
            <w:tcW w:w="3417" w:type="dxa"/>
          </w:tcPr>
          <w:p>
            <w:pPr>
              <w:rPr>
                <w:rFonts w:ascii="宋体" w:hAnsi="宋体" w:eastAsia="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04" w:type="dxa"/>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7</w:t>
            </w:r>
          </w:p>
        </w:tc>
        <w:tc>
          <w:tcPr>
            <w:tcW w:w="3671" w:type="dxa"/>
          </w:tcPr>
          <w:p>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工作时间满足招标方要求</w:t>
            </w:r>
          </w:p>
        </w:tc>
        <w:tc>
          <w:tcPr>
            <w:tcW w:w="3417" w:type="dxa"/>
          </w:tcPr>
          <w:p>
            <w:pPr>
              <w:pStyle w:val="17"/>
              <w:adjustRightInd w:val="0"/>
              <w:spacing w:after="0"/>
              <w:ind w:left="0" w:leftChars="0"/>
              <w:textAlignment w:val="baseline"/>
              <w:rPr>
                <w:rFonts w:ascii="宋体" w:hAnsi="宋体" w:cs="宋体"/>
                <w:color w:val="000000" w:themeColor="text1"/>
                <w:sz w:val="24"/>
                <w:szCs w:val="24"/>
                <w14:textFill>
                  <w14:solidFill>
                    <w14:schemeClr w14:val="tx1"/>
                  </w14:solidFill>
                </w14:textFill>
              </w:rPr>
            </w:pPr>
          </w:p>
        </w:tc>
        <w:tc>
          <w:tcPr>
            <w:tcW w:w="1264" w:type="dxa"/>
          </w:tcPr>
          <w:p>
            <w:pPr>
              <w:jc w:val="center"/>
              <w:rPr>
                <w:rFonts w:ascii="宋体" w:hAnsi="宋体" w:eastAsia="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pPr>
              <w:jc w:val="center"/>
              <w:rPr>
                <w:rFonts w:hint="eastAsia" w:ascii="宋体" w:hAnsi="宋体" w:eastAsia="宋体"/>
                <w:sz w:val="24"/>
                <w:szCs w:val="24"/>
              </w:rPr>
            </w:pPr>
            <w:r>
              <w:rPr>
                <w:rFonts w:hint="eastAsia" w:ascii="宋体" w:hAnsi="宋体" w:eastAsia="宋体"/>
                <w:sz w:val="24"/>
                <w:szCs w:val="24"/>
              </w:rPr>
              <w:t>18</w:t>
            </w:r>
          </w:p>
        </w:tc>
        <w:tc>
          <w:tcPr>
            <w:tcW w:w="3671" w:type="dxa"/>
          </w:tcPr>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DEWESOFT X集成了多种功能，同时开放了接口，方便用户进行扩展，以满足各种测试应用需求。</w:t>
            </w:r>
          </w:p>
        </w:tc>
        <w:tc>
          <w:tcPr>
            <w:tcW w:w="3417" w:type="dxa"/>
          </w:tcPr>
          <w:p>
            <w:pPr>
              <w:rPr>
                <w:rFonts w:hint="eastAsia" w:ascii="宋体" w:hAnsi="宋体" w:eastAsia="宋体" w:cs="宋体"/>
                <w:color w:val="000000" w:themeColor="text1"/>
                <w:sz w:val="24"/>
                <w:szCs w:val="24"/>
                <w14:textFill>
                  <w14:solidFill>
                    <w14:schemeClr w14:val="tx1"/>
                  </w14:solidFill>
                </w14:textFill>
              </w:rPr>
            </w:pPr>
          </w:p>
        </w:tc>
        <w:tc>
          <w:tcPr>
            <w:tcW w:w="1264" w:type="dxa"/>
          </w:tcPr>
          <w:p>
            <w:pPr>
              <w:jc w:val="center"/>
              <w:rPr>
                <w:rFonts w:hint="eastAsia" w:ascii="宋体" w:hAnsi="宋体" w:eastAsia="宋体" w:cs="宋体"/>
                <w:color w:val="000000"/>
                <w:sz w:val="24"/>
                <w:szCs w:val="24"/>
              </w:rPr>
            </w:pPr>
          </w:p>
        </w:tc>
      </w:tr>
    </w:tbl>
    <w:p>
      <w:pPr>
        <w:spacing w:line="660" w:lineRule="exact"/>
        <w:rPr>
          <w:sz w:val="24"/>
        </w:rPr>
      </w:pPr>
      <w:r>
        <w:rPr>
          <w:sz w:val="24"/>
        </w:rPr>
        <w:t>投标人：（盖章）</w:t>
      </w:r>
    </w:p>
    <w:p>
      <w:pPr>
        <w:rPr>
          <w:rFonts w:ascii="宋体" w:hAnsi="宋体" w:cs="宋体"/>
          <w:sz w:val="32"/>
          <w:szCs w:val="32"/>
        </w:rPr>
      </w:pPr>
      <w:r>
        <w:rPr>
          <w:sz w:val="24"/>
        </w:rPr>
        <w:t>法定代表人（委托代理人）：（签字）</w:t>
      </w:r>
      <w:r>
        <w:rPr>
          <w:rFonts w:ascii="宋体" w:hAnsi="宋体" w:cs="宋体"/>
          <w:sz w:val="32"/>
          <w:szCs w:val="32"/>
        </w:rPr>
        <w:br w:type="page"/>
      </w:r>
    </w:p>
    <w:bookmarkEnd w:id="53"/>
    <w:bookmarkEnd w:id="54"/>
    <w:p>
      <w:pPr>
        <w:pStyle w:val="85"/>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pPr>
        <w:spacing w:line="240" w:lineRule="exact"/>
        <w:rPr>
          <w:rFonts w:ascii="宋体" w:hAnsi="宋体"/>
        </w:rPr>
      </w:pPr>
      <w:r>
        <w:rPr>
          <w:rFonts w:ascii="宋体" w:hAnsi="宋体"/>
        </w:rPr>
        <w:t xml:space="preserve">                                               </w:t>
      </w:r>
    </w:p>
    <w:p>
      <w:pPr>
        <w:spacing w:line="360" w:lineRule="auto"/>
        <w:rPr>
          <w:rFonts w:hint="eastAsia" w:ascii="宋体" w:hAnsi="宋体"/>
          <w:b/>
          <w:bCs/>
          <w:color w:val="000000"/>
          <w:sz w:val="24"/>
          <w:szCs w:val="24"/>
          <w:u w:val="single"/>
          <w:lang w:eastAsia="zh-CN"/>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lang w:eastAsia="zh-CN"/>
        </w:rPr>
        <w:t>汽车研究总院多通道便携式数据采集系统采购项目</w:t>
      </w:r>
    </w:p>
    <w:p>
      <w:pPr>
        <w:spacing w:line="360" w:lineRule="auto"/>
        <w:rPr>
          <w:rFonts w:ascii="宋体" w:hAnsi="Calibri"/>
          <w:b/>
          <w:bCs/>
          <w:sz w:val="24"/>
        </w:rPr>
      </w:pPr>
      <w:r>
        <w:rPr>
          <w:rFonts w:hint="eastAsia" w:ascii="宋体" w:hAnsi="宋体"/>
          <w:b/>
          <w:bCs/>
          <w:sz w:val="24"/>
        </w:rPr>
        <w:t>中国重汽集团济南动力有限公司：</w:t>
      </w:r>
    </w:p>
    <w:p>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left="480"/>
        <w:rPr>
          <w:rFonts w:ascii="宋体" w:hAnsi="宋体"/>
          <w:sz w:val="24"/>
        </w:rPr>
      </w:pPr>
      <w:r>
        <w:rPr>
          <w:rFonts w:ascii="宋体" w:hAnsi="宋体"/>
          <w:sz w:val="24"/>
        </w:rPr>
        <w:t xml:space="preserve">                           </w:t>
      </w:r>
    </w:p>
    <w:p>
      <w:pPr>
        <w:spacing w:line="660" w:lineRule="exact"/>
        <w:rPr>
          <w:rFonts w:ascii="宋体" w:hAnsi="Calibri"/>
          <w:sz w:val="24"/>
        </w:rPr>
      </w:pPr>
      <w:r>
        <w:rPr>
          <w:rFonts w:hint="eastAsia" w:ascii="宋体" w:hAnsi="宋体"/>
          <w:sz w:val="24"/>
        </w:rPr>
        <w:t>投标人：（盖章）</w:t>
      </w:r>
    </w:p>
    <w:p>
      <w:pPr>
        <w:spacing w:line="660" w:lineRule="exact"/>
        <w:rPr>
          <w:rFonts w:ascii="宋体" w:hAnsi="Calibri"/>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pStyle w:val="21"/>
      </w:pPr>
    </w:p>
    <w:p>
      <w:pPr>
        <w:pStyle w:val="21"/>
      </w:pPr>
    </w:p>
    <w:p>
      <w:pPr>
        <w:pStyle w:val="85"/>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lang w:eastAsia="zh-CN"/>
        </w:rPr>
        <w:t>汽车研究总院多通道便携式数据采集系统采购项目</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pPr>
              <w:jc w:val="center"/>
              <w:rPr>
                <w:b/>
              </w:rPr>
            </w:pPr>
            <w:r>
              <w:rPr>
                <w:rFonts w:hint="eastAsia"/>
                <w:b/>
              </w:rPr>
              <w:t>序号</w:t>
            </w:r>
          </w:p>
        </w:tc>
        <w:tc>
          <w:tcPr>
            <w:tcW w:w="1229" w:type="dxa"/>
            <w:vAlign w:val="center"/>
          </w:tcPr>
          <w:p>
            <w:pPr>
              <w:jc w:val="center"/>
              <w:rPr>
                <w:b/>
              </w:rPr>
            </w:pPr>
            <w:r>
              <w:rPr>
                <w:rFonts w:hint="eastAsia"/>
                <w:b/>
              </w:rPr>
              <w:t>货物名称</w:t>
            </w:r>
          </w:p>
        </w:tc>
        <w:tc>
          <w:tcPr>
            <w:tcW w:w="853" w:type="dxa"/>
            <w:vAlign w:val="center"/>
          </w:tcPr>
          <w:p>
            <w:pPr>
              <w:jc w:val="center"/>
              <w:rPr>
                <w:b/>
              </w:rPr>
            </w:pPr>
            <w:r>
              <w:rPr>
                <w:rFonts w:hint="eastAsia"/>
                <w:b/>
              </w:rPr>
              <w:t>数量</w:t>
            </w:r>
          </w:p>
        </w:tc>
        <w:tc>
          <w:tcPr>
            <w:tcW w:w="2454" w:type="dxa"/>
            <w:vAlign w:val="center"/>
          </w:tcPr>
          <w:p>
            <w:pPr>
              <w:jc w:val="center"/>
              <w:rPr>
                <w:b/>
              </w:rPr>
            </w:pPr>
            <w:r>
              <w:rPr>
                <w:rFonts w:hint="eastAsia"/>
                <w:b/>
              </w:rPr>
              <w:t>投标总价</w:t>
            </w:r>
            <w:r>
              <w:rPr>
                <w:rFonts w:hint="eastAsia" w:ascii="等线" w:hAnsi="等线" w:eastAsia="等线"/>
                <w:b/>
              </w:rPr>
              <w:t>（元）</w:t>
            </w:r>
          </w:p>
        </w:tc>
        <w:tc>
          <w:tcPr>
            <w:tcW w:w="0" w:type="auto"/>
            <w:vAlign w:val="center"/>
          </w:tcPr>
          <w:p>
            <w:pPr>
              <w:jc w:val="center"/>
              <w:rPr>
                <w:b/>
              </w:rPr>
            </w:pPr>
            <w:r>
              <w:rPr>
                <w:rFonts w:hint="eastAsia"/>
                <w:b/>
              </w:rPr>
              <w:t>付款方式及比例如何响应</w:t>
            </w:r>
          </w:p>
        </w:tc>
        <w:tc>
          <w:tcPr>
            <w:tcW w:w="0" w:type="auto"/>
            <w:vAlign w:val="center"/>
          </w:tcPr>
          <w:p>
            <w:pPr>
              <w:jc w:val="center"/>
              <w:rPr>
                <w:rFonts w:ascii="等线" w:hAnsi="等线" w:eastAsia="等线"/>
                <w:b/>
              </w:rPr>
            </w:pPr>
            <w:r>
              <w:rPr>
                <w:rFonts w:hint="eastAsia"/>
                <w:b/>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pPr>
              <w:jc w:val="center"/>
              <w:rPr>
                <w:b/>
              </w:rPr>
            </w:pPr>
            <w:r>
              <w:rPr>
                <w:rFonts w:hint="eastAsia"/>
                <w:b/>
              </w:rPr>
              <w:t>1</w:t>
            </w:r>
          </w:p>
        </w:tc>
        <w:tc>
          <w:tcPr>
            <w:tcW w:w="1229" w:type="dxa"/>
            <w:vAlign w:val="center"/>
          </w:tcPr>
          <w:p>
            <w:pPr>
              <w:jc w:val="center"/>
              <w:rPr>
                <w:b/>
              </w:rPr>
            </w:pPr>
          </w:p>
        </w:tc>
        <w:tc>
          <w:tcPr>
            <w:tcW w:w="853" w:type="dxa"/>
            <w:vAlign w:val="center"/>
          </w:tcPr>
          <w:p>
            <w:pPr>
              <w:jc w:val="center"/>
              <w:rPr>
                <w:b/>
              </w:rPr>
            </w:pPr>
            <w:r>
              <w:rPr>
                <w:rFonts w:hint="eastAsia"/>
                <w:b/>
              </w:rPr>
              <w:t>1</w:t>
            </w:r>
          </w:p>
        </w:tc>
        <w:tc>
          <w:tcPr>
            <w:tcW w:w="2454" w:type="dxa"/>
            <w:vAlign w:val="center"/>
          </w:tcPr>
          <w:p>
            <w:pPr>
              <w:jc w:val="left"/>
              <w:rPr>
                <w:rFonts w:ascii="等线" w:hAnsi="等线" w:eastAsia="等线"/>
                <w:b/>
              </w:rPr>
            </w:pPr>
            <w:r>
              <w:rPr>
                <w:rFonts w:hint="eastAsia" w:ascii="等线" w:hAnsi="等线" w:eastAsia="等线"/>
                <w:b/>
              </w:rPr>
              <w:t>不含税价：</w:t>
            </w:r>
          </w:p>
          <w:p>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pPr>
              <w:jc w:val="left"/>
              <w:rPr>
                <w:b/>
              </w:rPr>
            </w:pPr>
            <w:r>
              <w:rPr>
                <w:rFonts w:hint="eastAsia" w:ascii="等线" w:hAnsi="等线" w:eastAsia="等线"/>
                <w:b/>
              </w:rPr>
              <w:t>税率：</w:t>
            </w:r>
          </w:p>
        </w:tc>
        <w:tc>
          <w:tcPr>
            <w:tcW w:w="0" w:type="auto"/>
            <w:vAlign w:val="center"/>
          </w:tcPr>
          <w:p>
            <w:pPr>
              <w:jc w:val="center"/>
              <w:rPr>
                <w:b/>
              </w:rPr>
            </w:pPr>
          </w:p>
        </w:tc>
        <w:tc>
          <w:tcPr>
            <w:tcW w:w="0" w:type="auto"/>
            <w:vAlign w:val="center"/>
          </w:tcPr>
          <w:p>
            <w:pPr>
              <w:jc w:val="center"/>
              <w:rPr>
                <w:b/>
              </w:rPr>
            </w:pPr>
          </w:p>
        </w:tc>
      </w:tr>
    </w:tbl>
    <w:p>
      <w:pPr>
        <w:rPr>
          <w:rFonts w:ascii="宋体" w:hAnsi="Arial"/>
          <w:sz w:val="24"/>
          <w:szCs w:val="24"/>
        </w:rPr>
      </w:pPr>
    </w:p>
    <w:p>
      <w:pPr>
        <w:spacing w:line="400" w:lineRule="exact"/>
        <w:rPr>
          <w:rFonts w:ascii="宋体" w:hAnsi="Calibri"/>
          <w:szCs w:val="21"/>
        </w:rPr>
      </w:pPr>
      <w:r>
        <w:rPr>
          <w:rFonts w:hint="eastAsia" w:ascii="宋体" w:hAnsi="宋体"/>
          <w:b/>
          <w:bCs/>
          <w:szCs w:val="21"/>
        </w:rPr>
        <w:t>注：</w:t>
      </w:r>
    </w:p>
    <w:p>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pPr>
        <w:spacing w:line="300" w:lineRule="auto"/>
        <w:rPr>
          <w:rFonts w:ascii="宋体" w:hAnsi="宋体" w:cs="宋体"/>
          <w:b/>
        </w:rPr>
      </w:pPr>
      <w:r>
        <w:rPr>
          <w:rFonts w:hint="eastAsia" w:ascii="宋体" w:hAnsi="宋体" w:cs="宋体"/>
          <w:b/>
        </w:rPr>
        <w:t>2.需写明含税价、不含税价格、税率。</w:t>
      </w:r>
    </w:p>
    <w:p>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pPr>
        <w:pStyle w:val="21"/>
        <w:rPr>
          <w:rFonts w:hAnsi="宋体"/>
          <w:b/>
          <w:bCs/>
          <w:szCs w:val="21"/>
        </w:rPr>
      </w:pPr>
    </w:p>
    <w:p>
      <w:pPr>
        <w:pStyle w:val="21"/>
        <w:rPr>
          <w:rFonts w:hAnsi="宋体"/>
          <w:b/>
          <w:bCs/>
          <w:szCs w:val="21"/>
        </w:rPr>
      </w:pPr>
    </w:p>
    <w:p>
      <w:pPr>
        <w:spacing w:line="660" w:lineRule="exact"/>
        <w:jc w:val="center"/>
        <w:rPr>
          <w:rFonts w:ascii="宋体" w:hAnsi="Calibri"/>
          <w:sz w:val="24"/>
        </w:rPr>
      </w:pPr>
      <w:r>
        <w:rPr>
          <w:rFonts w:hint="eastAsia" w:ascii="宋体" w:hAnsi="宋体"/>
          <w:sz w:val="24"/>
        </w:rPr>
        <w:t xml:space="preserve">                        投标人：（盖章）</w:t>
      </w:r>
    </w:p>
    <w:p>
      <w:pPr>
        <w:spacing w:line="660" w:lineRule="exact"/>
        <w:jc w:val="right"/>
        <w:rPr>
          <w:rFonts w:ascii="宋体" w:hAnsi="Calibri"/>
          <w:sz w:val="24"/>
        </w:rPr>
      </w:pPr>
      <w:r>
        <w:rPr>
          <w:rFonts w:hint="eastAsia" w:ascii="宋体" w:hAnsi="宋体"/>
          <w:sz w:val="24"/>
        </w:rPr>
        <w:t>法定代表人（委托代理人）：（签字）</w:t>
      </w:r>
    </w:p>
    <w:p>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pStyle w:val="89"/>
      </w:pPr>
      <w:r>
        <w:t xml:space="preserve"> </w:t>
      </w:r>
    </w:p>
    <w:p>
      <w:pPr>
        <w:pStyle w:val="89"/>
      </w:pPr>
    </w:p>
    <w:p>
      <w:pPr>
        <w:pStyle w:val="89"/>
      </w:pPr>
    </w:p>
    <w:p>
      <w:pPr>
        <w:pStyle w:val="89"/>
      </w:pPr>
    </w:p>
    <w:p>
      <w:pPr>
        <w:pStyle w:val="89"/>
      </w:pPr>
    </w:p>
    <w:p>
      <w:pPr>
        <w:pStyle w:val="89"/>
      </w:pPr>
    </w:p>
    <w:p>
      <w:pPr>
        <w:pStyle w:val="89"/>
      </w:pPr>
    </w:p>
    <w:p>
      <w:pPr>
        <w:pStyle w:val="89"/>
      </w:pPr>
    </w:p>
    <w:p>
      <w:pPr>
        <w:pStyle w:val="89"/>
      </w:pPr>
    </w:p>
    <w:p>
      <w:pPr>
        <w:pStyle w:val="85"/>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eastAsia="宋体"/>
                <w:b/>
                <w:lang w:eastAsia="zh-CN"/>
              </w:rPr>
            </w:pPr>
            <w:r>
              <w:rPr>
                <w:rFonts w:hint="eastAsia" w:ascii="宋体" w:hAnsi="宋体" w:cs="宋体"/>
                <w:b/>
                <w:bCs/>
                <w:sz w:val="24"/>
                <w:szCs w:val="24"/>
                <w:lang w:eastAsia="zh-CN"/>
              </w:rPr>
              <w:t>汽车研究总院多通道便携式数据采集系统采购项目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pPr>
              <w:jc w:val="center"/>
              <w:rPr>
                <w:b/>
              </w:rPr>
            </w:pPr>
            <w:r>
              <w:rPr>
                <w:rFonts w:hint="eastAsia" w:ascii="宋体" w:hAnsi="宋体" w:cs="宋体"/>
                <w:b/>
              </w:rPr>
              <w:t>是否偏离</w:t>
            </w:r>
          </w:p>
          <w:p>
            <w:pPr>
              <w:jc w:val="center"/>
              <w:rPr>
                <w:b/>
              </w:rPr>
            </w:pPr>
            <w:r>
              <w:rPr>
                <w:rFonts w:hint="eastAsia" w:ascii="宋体" w:hAnsi="宋体" w:cs="宋体"/>
                <w:b/>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rPr>
            </w:pP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pPr>
        <w:pStyle w:val="16"/>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9"/>
        <w:rPr>
          <w:rFonts w:hAnsi="宋体"/>
          <w:sz w:val="24"/>
        </w:rPr>
      </w:pPr>
    </w:p>
    <w:p>
      <w:pPr>
        <w:pStyle w:val="85"/>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126"/>
        <w:tblW w:w="505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6"/>
        <w:gridCol w:w="1731"/>
        <w:gridCol w:w="1544"/>
        <w:gridCol w:w="622"/>
        <w:gridCol w:w="1356"/>
        <w:gridCol w:w="1333"/>
        <w:gridCol w:w="1729"/>
        <w:gridCol w:w="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232" w:type="pct"/>
          </w:tcPr>
          <w:p>
            <w:pPr>
              <w:ind w:left="129"/>
              <w:rPr>
                <w:rFonts w:ascii="宋体" w:hAnsi="宋体" w:eastAsia="宋体" w:cs="宋体"/>
                <w:kern w:val="0"/>
                <w:sz w:val="21"/>
                <w:szCs w:val="21"/>
              </w:rPr>
            </w:pPr>
            <w:r>
              <w:rPr>
                <w:rFonts w:ascii="宋体" w:hAnsi="宋体" w:eastAsia="宋体" w:cs="宋体"/>
                <w:spacing w:val="-2"/>
                <w:kern w:val="0"/>
                <w:sz w:val="21"/>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1"/>
                <w:szCs w:val="21"/>
                <w14:textOutline w14:w="3835" w14:cap="flat" w14:cmpd="sng" w14:algn="ctr">
                  <w14:solidFill>
                    <w14:srgbClr w14:val="000000"/>
                  </w14:solidFill>
                  <w14:prstDash w14:val="solid"/>
                  <w14:miter w14:val="0"/>
                </w14:textOutline>
              </w:rPr>
              <w:t>号</w:t>
            </w:r>
          </w:p>
        </w:tc>
        <w:tc>
          <w:tcPr>
            <w:tcW w:w="943" w:type="pct"/>
          </w:tcPr>
          <w:p>
            <w:pPr>
              <w:ind w:left="707"/>
              <w:rPr>
                <w:rFonts w:ascii="宋体" w:hAnsi="宋体" w:eastAsia="宋体" w:cs="宋体"/>
                <w:kern w:val="0"/>
                <w:sz w:val="21"/>
                <w:szCs w:val="21"/>
              </w:rPr>
            </w:pPr>
            <w:r>
              <w:rPr>
                <w:rFonts w:ascii="宋体" w:hAnsi="宋体" w:eastAsia="宋体" w:cs="宋体"/>
                <w:spacing w:val="-2"/>
                <w:kern w:val="0"/>
                <w:sz w:val="21"/>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1"/>
                <w:szCs w:val="21"/>
                <w14:textOutline w14:w="3835" w14:cap="flat" w14:cmpd="sng" w14:algn="ctr">
                  <w14:solidFill>
                    <w14:srgbClr w14:val="000000"/>
                  </w14:solidFill>
                  <w14:prstDash w14:val="solid"/>
                  <w14:miter w14:val="0"/>
                </w14:textOutline>
              </w:rPr>
              <w:t>称</w:t>
            </w:r>
          </w:p>
        </w:tc>
        <w:tc>
          <w:tcPr>
            <w:tcW w:w="841" w:type="pct"/>
          </w:tcPr>
          <w:p>
            <w:pPr>
              <w:rPr>
                <w:rFonts w:ascii="宋体" w:hAnsi="宋体" w:eastAsia="宋体" w:cs="宋体"/>
                <w:kern w:val="0"/>
                <w:sz w:val="21"/>
                <w:szCs w:val="21"/>
              </w:rPr>
            </w:pPr>
            <w:r>
              <w:rPr>
                <w:rFonts w:ascii="宋体" w:hAnsi="宋体" w:eastAsia="宋体" w:cs="宋体"/>
                <w:spacing w:val="-2"/>
                <w:kern w:val="0"/>
                <w:sz w:val="2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1"/>
                <w:szCs w:val="21"/>
                <w14:textOutline w14:w="3835" w14:cap="flat" w14:cmpd="sng" w14:algn="ctr">
                  <w14:solidFill>
                    <w14:srgbClr w14:val="000000"/>
                  </w14:solidFill>
                  <w14:prstDash w14:val="solid"/>
                  <w14:miter w14:val="0"/>
                </w14:textOutline>
              </w:rPr>
              <w:t>规格</w:t>
            </w:r>
          </w:p>
        </w:tc>
        <w:tc>
          <w:tcPr>
            <w:tcW w:w="339" w:type="pct"/>
          </w:tcPr>
          <w:p>
            <w:pPr>
              <w:rPr>
                <w:rFonts w:ascii="宋体" w:hAnsi="宋体" w:eastAsia="宋体" w:cs="宋体"/>
                <w:kern w:val="0"/>
                <w:sz w:val="21"/>
                <w:szCs w:val="21"/>
              </w:rPr>
            </w:pPr>
            <w:r>
              <w:rPr>
                <w:rFonts w:ascii="宋体" w:hAnsi="宋体" w:eastAsia="宋体" w:cs="宋体"/>
                <w:spacing w:val="-2"/>
                <w:kern w:val="0"/>
                <w:sz w:val="21"/>
                <w:szCs w:val="21"/>
                <w14:textOutline w14:w="3835" w14:cap="flat" w14:cmpd="sng" w14:algn="ctr">
                  <w14:solidFill>
                    <w14:srgbClr w14:val="000000"/>
                  </w14:solidFill>
                  <w14:prstDash w14:val="solid"/>
                  <w14:miter w14:val="0"/>
                </w14:textOutline>
              </w:rPr>
              <w:t>数量</w:t>
            </w:r>
          </w:p>
        </w:tc>
        <w:tc>
          <w:tcPr>
            <w:tcW w:w="739" w:type="pct"/>
          </w:tcPr>
          <w:p>
            <w:pPr>
              <w:rPr>
                <w:rFonts w:ascii="宋体" w:hAnsi="宋体" w:eastAsia="宋体" w:cs="宋体"/>
                <w:spacing w:val="-2"/>
                <w:kern w:val="0"/>
                <w:sz w:val="21"/>
                <w:szCs w:val="21"/>
                <w14:textOutline w14:w="3835" w14:cap="flat" w14:cmpd="sng" w14:algn="ctr">
                  <w14:solidFill>
                    <w14:srgbClr w14:val="000000"/>
                  </w14:solidFill>
                  <w14:prstDash w14:val="solid"/>
                  <w14:miter w14:val="0"/>
                </w14:textOutline>
              </w:rPr>
            </w:pPr>
            <w:r>
              <w:rPr>
                <w:rFonts w:ascii="宋体" w:hAnsi="宋体" w:eastAsia="宋体" w:cs="宋体"/>
                <w:spacing w:val="-2"/>
                <w:kern w:val="0"/>
                <w:sz w:val="21"/>
                <w:szCs w:val="21"/>
                <w14:textOutline w14:w="3835" w14:cap="flat" w14:cmpd="sng" w14:algn="ctr">
                  <w14:solidFill>
                    <w14:srgbClr w14:val="000000"/>
                  </w14:solidFill>
                  <w14:prstDash w14:val="solid"/>
                  <w14:miter w14:val="0"/>
                </w14:textOutline>
              </w:rPr>
              <w:t>原产地和制造商名称</w:t>
            </w:r>
          </w:p>
        </w:tc>
        <w:tc>
          <w:tcPr>
            <w:tcW w:w="726" w:type="pct"/>
            <w:tcBorders>
              <w:right w:val="single" w:color="000000" w:sz="4" w:space="0"/>
            </w:tcBorders>
          </w:tcPr>
          <w:p>
            <w:pPr>
              <w:rPr>
                <w:rFonts w:ascii="宋体" w:hAnsi="宋体" w:eastAsia="宋体" w:cs="宋体"/>
                <w:kern w:val="0"/>
                <w:sz w:val="21"/>
                <w:szCs w:val="21"/>
              </w:rPr>
            </w:pPr>
            <w:r>
              <w:rPr>
                <w:rFonts w:ascii="宋体" w:hAnsi="宋体" w:eastAsia="宋体" w:cs="宋体"/>
                <w:spacing w:val="1"/>
                <w:kern w:val="0"/>
                <w:sz w:val="21"/>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1"/>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1"/>
                <w:szCs w:val="21"/>
                <w14:textOutline w14:w="3835" w14:cap="flat" w14:cmpd="sng" w14:algn="ctr">
                  <w14:solidFill>
                    <w14:srgbClr w14:val="000000"/>
                  </w14:solidFill>
                  <w14:prstDash w14:val="solid"/>
                  <w14:miter w14:val="0"/>
                </w14:textOutline>
              </w:rPr>
              <w:t>（不含税）</w:t>
            </w:r>
            <w:r>
              <w:rPr>
                <w:rFonts w:ascii="宋体" w:hAnsi="宋体" w:eastAsia="宋体" w:cs="宋体"/>
                <w:spacing w:val="-16"/>
                <w:kern w:val="0"/>
                <w:sz w:val="21"/>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1"/>
                <w:szCs w:val="21"/>
                <w14:textOutline w14:w="3835" w14:cap="flat" w14:cmpd="sng" w14:algn="ctr">
                  <w14:solidFill>
                    <w14:srgbClr w14:val="000000"/>
                  </w14:solidFill>
                  <w14:prstDash w14:val="solid"/>
                  <w14:miter w14:val="0"/>
                </w14:textOutline>
              </w:rPr>
              <w:t>元)</w:t>
            </w:r>
          </w:p>
        </w:tc>
        <w:tc>
          <w:tcPr>
            <w:tcW w:w="942" w:type="pct"/>
            <w:tcBorders>
              <w:left w:val="single" w:color="000000" w:sz="4" w:space="0"/>
            </w:tcBorders>
          </w:tcPr>
          <w:p>
            <w:pPr>
              <w:rPr>
                <w:rFonts w:ascii="宋体" w:hAnsi="宋体" w:eastAsia="宋体" w:cs="宋体"/>
                <w:kern w:val="0"/>
                <w:sz w:val="21"/>
                <w:szCs w:val="21"/>
              </w:rPr>
            </w:pPr>
            <w:r>
              <w:rPr>
                <w:rFonts w:ascii="宋体" w:hAnsi="宋体" w:eastAsia="宋体" w:cs="宋体"/>
                <w:spacing w:val="-1"/>
                <w:kern w:val="0"/>
                <w:sz w:val="21"/>
                <w:szCs w:val="21"/>
                <w14:textOutline w14:w="3835" w14:cap="flat" w14:cmpd="sng" w14:algn="ctr">
                  <w14:solidFill>
                    <w14:srgbClr w14:val="000000"/>
                  </w14:solidFill>
                  <w14:prstDash w14:val="solid"/>
                  <w14:miter w14:val="0"/>
                </w14:textOutline>
              </w:rPr>
              <w:t>总价[4</w:t>
            </w:r>
            <w:r>
              <w:rPr>
                <w:rFonts w:ascii="宋体" w:hAnsi="宋体" w:eastAsia="宋体" w:cs="宋体"/>
                <w:kern w:val="0"/>
                <w:sz w:val="21"/>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kern w:val="0"/>
                <w:sz w:val="21"/>
                <w:szCs w:val="21"/>
                <w14:textOutline w14:w="3835" w14:cap="flat" w14:cmpd="sng" w14:algn="ctr">
                  <w14:solidFill>
                    <w14:srgbClr w14:val="000000"/>
                  </w14:solidFill>
                  <w14:prstDash w14:val="solid"/>
                  <w14:miter w14:val="0"/>
                </w14:textOutline>
              </w:rPr>
              <w:t>（不含税）</w:t>
            </w:r>
            <w:r>
              <w:rPr>
                <w:rFonts w:ascii="宋体" w:hAnsi="宋体" w:eastAsia="宋体" w:cs="宋体"/>
                <w:spacing w:val="27"/>
                <w:kern w:val="0"/>
                <w:sz w:val="21"/>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1"/>
                <w:szCs w:val="21"/>
                <w14:textOutline w14:w="3835" w14:cap="flat" w14:cmpd="sng" w14:algn="ctr">
                  <w14:solidFill>
                    <w14:srgbClr w14:val="000000"/>
                  </w14:solidFill>
                  <w14:prstDash w14:val="solid"/>
                  <w14:miter w14:val="0"/>
                </w14:textOutline>
              </w:rPr>
              <w:t>元)</w:t>
            </w:r>
          </w:p>
        </w:tc>
        <w:tc>
          <w:tcPr>
            <w:tcW w:w="234" w:type="pct"/>
          </w:tcPr>
          <w:p>
            <w:pPr>
              <w:rPr>
                <w:rFonts w:ascii="宋体" w:hAnsi="宋体" w:eastAsia="宋体" w:cs="宋体"/>
                <w:kern w:val="0"/>
                <w:sz w:val="21"/>
                <w:szCs w:val="21"/>
              </w:rPr>
            </w:pPr>
            <w:r>
              <w:rPr>
                <w:rFonts w:ascii="宋体" w:hAnsi="宋体" w:eastAsia="宋体" w:cs="宋体"/>
                <w:spacing w:val="-1"/>
                <w:kern w:val="0"/>
                <w:sz w:val="21"/>
                <w:szCs w:val="21"/>
                <w14:textOutline w14:w="3835" w14:cap="flat" w14:cmpd="sng" w14:algn="ctr">
                  <w14:solidFill>
                    <w14:srgbClr w14:val="000000"/>
                  </w14:solidFill>
                  <w14:prstDash w14:val="solid"/>
                  <w14:miter w14:val="0"/>
                </w14:textOutline>
              </w:rPr>
              <w:t>备</w:t>
            </w:r>
            <w:r>
              <w:rPr>
                <w:rFonts w:ascii="宋体" w:hAnsi="宋体" w:eastAsia="宋体" w:cs="宋体"/>
                <w:kern w:val="0"/>
                <w:sz w:val="21"/>
                <w:szCs w:val="21"/>
              </w:rPr>
              <w:t xml:space="preserve">  </w:t>
            </w:r>
            <w:r>
              <w:rPr>
                <w:rFonts w:ascii="宋体" w:hAnsi="宋体" w:eastAsia="宋体" w:cs="宋体"/>
                <w:kern w:val="0"/>
                <w:sz w:val="21"/>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32" w:type="pct"/>
            <w:vAlign w:val="center"/>
          </w:tcPr>
          <w:p>
            <w:pPr>
              <w:pStyle w:val="177"/>
              <w:spacing w:beforeLines="0" w:afterLines="0" w:line="240" w:lineRule="auto"/>
              <w:rPr>
                <w:rFonts w:ascii="宋体" w:hAnsi="宋体" w:eastAsia="宋体" w:cs="宋体"/>
                <w:b/>
                <w:bCs/>
                <w:kern w:val="2"/>
                <w:sz w:val="21"/>
                <w:szCs w:val="21"/>
              </w:rPr>
            </w:pPr>
            <w:r>
              <w:rPr>
                <w:rFonts w:ascii="宋体" w:hAnsi="宋体" w:eastAsia="宋体" w:cs="宋体"/>
                <w:b/>
                <w:bCs/>
                <w:kern w:val="2"/>
                <w:sz w:val="21"/>
                <w:szCs w:val="21"/>
              </w:rPr>
              <w:t>1</w:t>
            </w:r>
          </w:p>
        </w:tc>
        <w:tc>
          <w:tcPr>
            <w:tcW w:w="943" w:type="pct"/>
            <w:vAlign w:val="center"/>
          </w:tcPr>
          <w:p>
            <w:pPr>
              <w:pStyle w:val="177"/>
              <w:spacing w:beforeLines="0" w:afterLines="0" w:line="240" w:lineRule="auto"/>
              <w:rPr>
                <w:rFonts w:ascii="宋体" w:hAnsi="宋体" w:eastAsia="宋体" w:cs="宋体"/>
                <w:b/>
                <w:bCs/>
                <w:kern w:val="2"/>
                <w:sz w:val="21"/>
                <w:szCs w:val="21"/>
              </w:rPr>
            </w:pPr>
            <w:r>
              <w:rPr>
                <w:rFonts w:hint="eastAsia" w:ascii="宋体" w:hAnsi="宋体" w:eastAsia="宋体" w:cs="宋体"/>
                <w:b/>
                <w:bCs/>
                <w:kern w:val="2"/>
                <w:sz w:val="21"/>
                <w:szCs w:val="21"/>
              </w:rPr>
              <w:t>多通道便携式数据采集系统</w:t>
            </w:r>
          </w:p>
        </w:tc>
        <w:tc>
          <w:tcPr>
            <w:tcW w:w="841" w:type="pct"/>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tcPr>
          <w:p>
            <w:pPr>
              <w:widowControl/>
              <w:rPr>
                <w:rFonts w:ascii="宋体" w:hAnsi="宋体" w:eastAsia="宋体" w:cs="Times New Roman"/>
                <w:color w:val="000000"/>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1.1</w:t>
            </w:r>
          </w:p>
        </w:tc>
        <w:tc>
          <w:tcPr>
            <w:tcW w:w="943" w:type="pct"/>
            <w:vAlign w:val="center"/>
          </w:tcPr>
          <w:p>
            <w:pPr>
              <w:rPr>
                <w:rFonts w:ascii="宋体" w:hAnsi="宋体" w:eastAsia="宋体" w:cs="宋体"/>
                <w:kern w:val="2"/>
                <w:sz w:val="21"/>
                <w:szCs w:val="21"/>
              </w:rPr>
            </w:pPr>
            <w:r>
              <w:rPr>
                <w:rFonts w:hint="eastAsia" w:ascii="宋体" w:hAnsi="宋体" w:eastAsia="宋体" w:cs="Times New Roman"/>
                <w:color w:val="000000"/>
                <w:kern w:val="0"/>
                <w:sz w:val="21"/>
                <w:szCs w:val="21"/>
              </w:rPr>
              <w:t>电脑</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1.2</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小型陀螺仪（DS-IMU1）</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1.3</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多通道便携数采dewesoft</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1.4</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软件</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1.5</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踏板力</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w:t>
            </w:r>
            <w:r>
              <w:rPr>
                <w:rFonts w:hint="eastAsia" w:ascii="宋体" w:hAnsi="宋体" w:eastAsia="宋体" w:cs="宋体"/>
                <w:kern w:val="2"/>
                <w:sz w:val="21"/>
                <w:szCs w:val="21"/>
              </w:rPr>
              <w:t>6</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踏板行程</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w:t>
            </w:r>
            <w:r>
              <w:rPr>
                <w:rFonts w:hint="eastAsia" w:ascii="宋体" w:hAnsi="宋体" w:eastAsia="宋体" w:cs="宋体"/>
                <w:kern w:val="2"/>
                <w:sz w:val="21"/>
                <w:szCs w:val="21"/>
              </w:rPr>
              <w:t>7</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压力传感器</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ascii="宋体" w:hAnsi="宋体" w:eastAsia="宋体" w:cs="宋体"/>
                <w:kern w:val="2"/>
                <w:sz w:val="21"/>
                <w:szCs w:val="21"/>
              </w:rPr>
              <w:t>1.</w:t>
            </w:r>
            <w:r>
              <w:rPr>
                <w:rFonts w:hint="eastAsia" w:ascii="宋体" w:hAnsi="宋体" w:eastAsia="宋体" w:cs="宋体"/>
                <w:kern w:val="2"/>
                <w:sz w:val="21"/>
                <w:szCs w:val="21"/>
              </w:rPr>
              <w:t>8</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真空压力传感器</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宋体"/>
                <w:kern w:val="2"/>
                <w:sz w:val="21"/>
                <w:szCs w:val="21"/>
              </w:rPr>
              <w:t>1.9</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温度模块</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宋体"/>
                <w:kern w:val="2"/>
                <w:sz w:val="21"/>
                <w:szCs w:val="21"/>
              </w:rPr>
              <w:t>1</w:t>
            </w:r>
            <w:r>
              <w:rPr>
                <w:rFonts w:ascii="宋体" w:hAnsi="宋体" w:eastAsia="宋体" w:cs="宋体"/>
                <w:kern w:val="2"/>
                <w:sz w:val="21"/>
                <w:szCs w:val="21"/>
              </w:rPr>
              <w:t>.10</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IEPE适配器</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宋体"/>
                <w:kern w:val="2"/>
                <w:sz w:val="21"/>
                <w:szCs w:val="21"/>
              </w:rPr>
              <w:t>1</w:t>
            </w:r>
            <w:r>
              <w:rPr>
                <w:rFonts w:ascii="宋体" w:hAnsi="宋体" w:eastAsia="宋体" w:cs="宋体"/>
                <w:kern w:val="2"/>
                <w:sz w:val="21"/>
                <w:szCs w:val="21"/>
              </w:rPr>
              <w:t>.11</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连接线束</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32"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宋体"/>
                <w:kern w:val="2"/>
                <w:sz w:val="21"/>
                <w:szCs w:val="21"/>
              </w:rPr>
              <w:t>1</w:t>
            </w:r>
            <w:r>
              <w:rPr>
                <w:rFonts w:ascii="宋体" w:hAnsi="宋体" w:eastAsia="宋体" w:cs="宋体"/>
                <w:kern w:val="2"/>
                <w:sz w:val="21"/>
                <w:szCs w:val="21"/>
              </w:rPr>
              <w:t>.12</w:t>
            </w:r>
          </w:p>
        </w:tc>
        <w:tc>
          <w:tcPr>
            <w:tcW w:w="943" w:type="pct"/>
            <w:vAlign w:val="center"/>
          </w:tcPr>
          <w:p>
            <w:pPr>
              <w:pStyle w:val="177"/>
              <w:spacing w:beforeLines="0" w:afterLines="0" w:line="240" w:lineRule="auto"/>
              <w:rPr>
                <w:rFonts w:ascii="宋体" w:hAnsi="宋体" w:eastAsia="宋体" w:cs="宋体"/>
                <w:kern w:val="2"/>
                <w:sz w:val="21"/>
                <w:szCs w:val="21"/>
              </w:rPr>
            </w:pPr>
            <w:r>
              <w:rPr>
                <w:rFonts w:hint="eastAsia" w:ascii="宋体" w:hAnsi="宋体" w:eastAsia="宋体" w:cs="Times New Roman"/>
                <w:color w:val="000000"/>
                <w:kern w:val="0"/>
                <w:sz w:val="21"/>
                <w:szCs w:val="21"/>
              </w:rPr>
              <w:t>其他易损配件</w:t>
            </w:r>
          </w:p>
        </w:tc>
        <w:tc>
          <w:tcPr>
            <w:tcW w:w="841" w:type="pct"/>
            <w:vAlign w:val="center"/>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vAlign w:val="center"/>
          </w:tcPr>
          <w:p>
            <w:pPr>
              <w:rPr>
                <w:rFonts w:ascii="宋体" w:hAnsi="宋体" w:eastAsia="宋体" w:cs="Times New Roman"/>
                <w:kern w:val="0"/>
                <w:sz w:val="21"/>
                <w:szCs w:val="21"/>
              </w:rPr>
            </w:pPr>
          </w:p>
        </w:tc>
        <w:tc>
          <w:tcPr>
            <w:tcW w:w="726" w:type="pct"/>
            <w:tcBorders>
              <w:right w:val="single" w:color="000000" w:sz="4" w:space="0"/>
            </w:tcBorders>
            <w:vAlign w:val="center"/>
          </w:tcPr>
          <w:p>
            <w:pPr>
              <w:rPr>
                <w:rFonts w:ascii="宋体" w:hAnsi="宋体" w:eastAsia="宋体" w:cs="Times New Roman"/>
                <w:kern w:val="0"/>
                <w:sz w:val="21"/>
                <w:szCs w:val="21"/>
              </w:rPr>
            </w:pPr>
          </w:p>
        </w:tc>
        <w:tc>
          <w:tcPr>
            <w:tcW w:w="942" w:type="pct"/>
            <w:tcBorders>
              <w:left w:val="single" w:color="000000" w:sz="4" w:space="0"/>
            </w:tcBorders>
            <w:vAlign w:val="center"/>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175" w:type="pct"/>
            <w:gridSpan w:val="2"/>
            <w:vAlign w:val="center"/>
          </w:tcPr>
          <w:p>
            <w:pPr>
              <w:pStyle w:val="177"/>
              <w:spacing w:beforeLines="0" w:afterLines="0" w:line="240" w:lineRule="auto"/>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val="en-US" w:eastAsia="zh-CN"/>
              </w:rPr>
              <w:t>总价</w:t>
            </w:r>
          </w:p>
        </w:tc>
        <w:tc>
          <w:tcPr>
            <w:tcW w:w="841" w:type="pct"/>
          </w:tcPr>
          <w:p>
            <w:pPr>
              <w:rPr>
                <w:rFonts w:ascii="宋体" w:hAnsi="宋体" w:eastAsia="宋体" w:cs="Times New Roman"/>
                <w:kern w:val="0"/>
                <w:sz w:val="21"/>
                <w:szCs w:val="21"/>
              </w:rPr>
            </w:pPr>
          </w:p>
        </w:tc>
        <w:tc>
          <w:tcPr>
            <w:tcW w:w="339" w:type="pct"/>
            <w:vAlign w:val="center"/>
          </w:tcPr>
          <w:p>
            <w:pPr>
              <w:jc w:val="center"/>
              <w:rPr>
                <w:rFonts w:ascii="宋体" w:hAnsi="宋体" w:eastAsia="宋体" w:cs="宋体"/>
                <w:kern w:val="0"/>
                <w:sz w:val="21"/>
                <w:szCs w:val="21"/>
              </w:rPr>
            </w:pPr>
          </w:p>
        </w:tc>
        <w:tc>
          <w:tcPr>
            <w:tcW w:w="739" w:type="pct"/>
          </w:tcPr>
          <w:p>
            <w:pPr>
              <w:rPr>
                <w:rFonts w:ascii="宋体" w:hAnsi="宋体" w:eastAsia="宋体" w:cs="Times New Roman"/>
                <w:kern w:val="0"/>
                <w:sz w:val="21"/>
                <w:szCs w:val="21"/>
              </w:rPr>
            </w:pPr>
          </w:p>
        </w:tc>
        <w:tc>
          <w:tcPr>
            <w:tcW w:w="726" w:type="pct"/>
            <w:tcBorders>
              <w:right w:val="single" w:color="000000" w:sz="4" w:space="0"/>
            </w:tcBorders>
          </w:tcPr>
          <w:p>
            <w:pPr>
              <w:rPr>
                <w:rFonts w:ascii="宋体" w:hAnsi="宋体" w:eastAsia="宋体" w:cs="Times New Roman"/>
                <w:kern w:val="0"/>
                <w:sz w:val="21"/>
                <w:szCs w:val="21"/>
              </w:rPr>
            </w:pPr>
          </w:p>
        </w:tc>
        <w:tc>
          <w:tcPr>
            <w:tcW w:w="942" w:type="pct"/>
            <w:tcBorders>
              <w:left w:val="single" w:color="000000" w:sz="4" w:space="0"/>
            </w:tcBorders>
          </w:tcPr>
          <w:p>
            <w:pPr>
              <w:rPr>
                <w:rFonts w:ascii="宋体" w:hAnsi="宋体" w:eastAsia="宋体" w:cs="Times New Roman"/>
                <w:kern w:val="0"/>
                <w:sz w:val="21"/>
                <w:szCs w:val="21"/>
              </w:rPr>
            </w:pPr>
          </w:p>
        </w:tc>
        <w:tc>
          <w:tcPr>
            <w:tcW w:w="234" w:type="pct"/>
          </w:tcPr>
          <w:p>
            <w:pPr>
              <w:rPr>
                <w:rFonts w:ascii="宋体" w:hAnsi="宋体" w:eastAsia="宋体" w:cs="Times New Roman"/>
                <w:kern w:val="0"/>
                <w:sz w:val="21"/>
                <w:szCs w:val="21"/>
              </w:rPr>
            </w:pPr>
          </w:p>
        </w:tc>
      </w:tr>
    </w:tbl>
    <w:p>
      <w:pPr>
        <w:rPr>
          <w:rFonts w:hAnsi="宋体"/>
          <w:sz w:val="24"/>
        </w:rPr>
      </w:pPr>
    </w:p>
    <w:p>
      <w:pPr>
        <w:rPr>
          <w:rFonts w:ascii="宋体" w:hAnsi="宋体" w:cs="宋体"/>
          <w:sz w:val="32"/>
          <w:szCs w:val="32"/>
        </w:rPr>
      </w:pPr>
      <w:r>
        <w:rPr>
          <w:rFonts w:hint="eastAsia" w:ascii="宋体" w:hAnsi="宋体" w:cs="宋体"/>
          <w:sz w:val="32"/>
          <w:szCs w:val="32"/>
        </w:rPr>
        <w:br w:type="page"/>
      </w:r>
    </w:p>
    <w:p>
      <w:pPr>
        <w:pStyle w:val="85"/>
        <w:numPr>
          <w:ilvl w:val="0"/>
          <w:numId w:val="0"/>
        </w:numPr>
        <w:rPr>
          <w:rFonts w:ascii="宋体" w:hAnsi="宋体" w:eastAsia="宋体" w:cs="宋体"/>
          <w:sz w:val="32"/>
          <w:szCs w:val="32"/>
        </w:rPr>
      </w:pPr>
      <w:r>
        <w:rPr>
          <w:rFonts w:hint="eastAsia" w:ascii="宋体" w:hAnsi="宋体" w:eastAsia="宋体" w:cs="宋体"/>
          <w:sz w:val="32"/>
          <w:szCs w:val="32"/>
        </w:rPr>
        <w:t>附件9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758815" cy="2764790"/>
                    </a:xfrm>
                    <a:prstGeom prst="rect">
                      <a:avLst/>
                    </a:prstGeom>
                    <a:noFill/>
                    <a:ln>
                      <a:noFill/>
                    </a:ln>
                  </pic:spPr>
                </pic:pic>
              </a:graphicData>
            </a:graphic>
          </wp:inline>
        </w:drawing>
      </w:r>
    </w:p>
    <w:p>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2"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3"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4"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5" cstate="print"/>
                    <a:srcRect/>
                    <a:stretch>
                      <a:fillRect/>
                    </a:stretch>
                  </pic:blipFill>
                  <pic:spPr>
                    <a:xfrm>
                      <a:off x="0" y="0"/>
                      <a:ext cx="5760085" cy="2853055"/>
                    </a:xfrm>
                    <a:prstGeom prst="rect">
                      <a:avLst/>
                    </a:prstGeom>
                  </pic:spPr>
                </pic:pic>
              </a:graphicData>
            </a:graphic>
          </wp:inline>
        </w:drawing>
      </w:r>
    </w:p>
    <w:p>
      <w:pPr>
        <w:numPr>
          <w:ilvl w:val="0"/>
          <w:numId w:val="45"/>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pPr>
        <w:pStyle w:val="21"/>
      </w:pPr>
    </w:p>
    <w:p>
      <w:pPr>
        <w:rPr>
          <w:rFonts w:ascii="宋体" w:hAnsi="宋体" w:cs="宋体"/>
          <w:b/>
          <w:bCs/>
          <w:color w:val="000000"/>
          <w:sz w:val="24"/>
          <w:szCs w:val="28"/>
        </w:rPr>
      </w:pPr>
      <w:r>
        <w:rPr>
          <w:rFonts w:hint="eastAsia" w:ascii="宋体" w:hAnsi="宋体" w:cs="宋体"/>
          <w:b/>
          <w:bCs/>
          <w:color w:val="000000"/>
          <w:sz w:val="24"/>
          <w:szCs w:val="28"/>
        </w:rPr>
        <w:t>注：</w:t>
      </w:r>
    </w:p>
    <w:p>
      <w:pPr>
        <w:numPr>
          <w:ilvl w:val="0"/>
          <w:numId w:val="46"/>
        </w:numPr>
        <w:rPr>
          <w:rFonts w:ascii="宋体" w:hAnsi="Courier New"/>
          <w:b/>
          <w:bCs/>
        </w:rPr>
      </w:pPr>
      <w:r>
        <w:rPr>
          <w:rFonts w:hint="eastAsia" w:ascii="宋体" w:hAnsi="Courier New"/>
          <w:b/>
          <w:bCs/>
        </w:rPr>
        <w:t>“项目名称”和“采购形式编号”见第一部分的“项目介绍”；</w:t>
      </w:r>
    </w:p>
    <w:p>
      <w:pPr>
        <w:numPr>
          <w:ilvl w:val="0"/>
          <w:numId w:val="46"/>
        </w:numPr>
      </w:pPr>
      <w:r>
        <w:rPr>
          <w:rFonts w:hint="eastAsia" w:ascii="宋体" w:hAnsi="Courier New"/>
          <w:b/>
          <w:bCs/>
        </w:rPr>
        <w:t>基本信息完整填写，原则上要求供应商必须填写近三年财务指标情况；</w:t>
      </w:r>
    </w:p>
    <w:p>
      <w:pPr>
        <w:pStyle w:val="21"/>
        <w:numPr>
          <w:ilvl w:val="0"/>
          <w:numId w:val="46"/>
        </w:numPr>
        <w:rPr>
          <w:b/>
          <w:bCs/>
        </w:rPr>
      </w:pPr>
      <w:r>
        <w:rPr>
          <w:rFonts w:hint="eastAsia"/>
          <w:b/>
          <w:bCs/>
        </w:rPr>
        <w:t>管理单位选择【直管单位】、意向配套单位选择【直管单位】，配套能力“供货类别”填“直管单位非生产招标 /  服务 / 环保”，业务主管部门选择“安全环保部”。</w:t>
      </w:r>
    </w:p>
    <w:p>
      <w:pPr>
        <w:pStyle w:val="21"/>
        <w:rPr>
          <w:b/>
          <w:bCs/>
        </w:rPr>
      </w:pPr>
    </w:p>
    <w:p>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pPr>
        <w:rPr>
          <w:rFonts w:ascii="宋体" w:hAnsi="宋体" w:cs="宋体"/>
          <w:sz w:val="32"/>
          <w:szCs w:val="32"/>
        </w:rPr>
      </w:pPr>
      <w:r>
        <w:rPr>
          <w:rFonts w:hint="eastAsia" w:ascii="宋体" w:hAnsi="宋体" w:cs="宋体"/>
          <w:sz w:val="32"/>
          <w:szCs w:val="32"/>
        </w:rPr>
        <w:br w:type="page"/>
      </w:r>
    </w:p>
    <w:p>
      <w:pPr>
        <w:pStyle w:val="85"/>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pPr>
        <w:spacing w:line="360" w:lineRule="auto"/>
        <w:rPr>
          <w:rStyle w:val="50"/>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cs="宋体"/>
          <w:sz w:val="24"/>
          <w:szCs w:val="24"/>
        </w:rPr>
        <w:t>https://ecaitong.sinotruk.com:8012/</w:t>
      </w:r>
      <w:r>
        <w:rPr>
          <w:rStyle w:val="50"/>
          <w:rFonts w:hint="eastAsia" w:ascii="宋体" w:hAnsi="宋体" w:cs="宋体"/>
          <w:sz w:val="24"/>
          <w:szCs w:val="24"/>
        </w:rPr>
        <w:fldChar w:fldCharType="end"/>
      </w:r>
    </w:p>
    <w:p>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pPr>
        <w:pStyle w:val="16"/>
      </w:pPr>
      <w:r>
        <w:rPr>
          <w:rFonts w:hint="eastAsia"/>
          <w:sz w:val="24"/>
        </w:rPr>
        <w:t>初始密码为scm@2022或@2023</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8"/>
                    <a:stretch>
                      <a:fillRect/>
                    </a:stretch>
                  </pic:blipFill>
                  <pic:spPr>
                    <a:xfrm>
                      <a:off x="0" y="0"/>
                      <a:ext cx="5760085" cy="2269864"/>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21"/>
        <w:rPr>
          <w:b/>
          <w:bCs/>
        </w:rPr>
      </w:pPr>
      <w:r>
        <w:rPr>
          <w:rFonts w:hint="eastAsia" w:hAnsi="宋体" w:cs="宋体"/>
          <w:b/>
          <w:bCs/>
          <w:color w:val="000000"/>
          <w:sz w:val="24"/>
          <w:szCs w:val="28"/>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3"/>
                    <a:stretch>
                      <a:fillRect/>
                    </a:stretch>
                  </pic:blipFill>
                  <pic:spPr>
                    <a:xfrm>
                      <a:off x="0" y="0"/>
                      <a:ext cx="5760085" cy="1956600"/>
                    </a:xfrm>
                    <a:prstGeom prst="rect">
                      <a:avLst/>
                    </a:prstGeom>
                  </pic:spPr>
                </pic:pic>
              </a:graphicData>
            </a:graphic>
          </wp:inline>
        </w:drawing>
      </w:r>
    </w:p>
    <w:p>
      <w:pPr>
        <w:pStyle w:val="89"/>
        <w:rPr>
          <w:rFonts w:hAnsi="宋体"/>
          <w:sz w:val="24"/>
        </w:rPr>
      </w:pPr>
    </w:p>
    <w:sectPr>
      <w:headerReference r:id="rId15" w:type="first"/>
      <w:footerReference r:id="rId17" w:type="first"/>
      <w:headerReference r:id="rId14" w:type="default"/>
      <w:footerReference r:id="rId16"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MiSans Demibold">
    <w:altName w:val="宋体"/>
    <w:panose1 w:val="00000000000000000000"/>
    <w:charset w:val="86"/>
    <w:family w:val="auto"/>
    <w:pitch w:val="default"/>
    <w:sig w:usb0="00000000" w:usb1="00000000" w:usb2="00000016" w:usb3="00000000" w:csb0="00040001" w:csb1="00000000"/>
  </w:font>
  <w:font w:name="经典综艺体简">
    <w:altName w:val="宋体"/>
    <w:panose1 w:val="00000000000000000000"/>
    <w:charset w:val="86"/>
    <w:family w:val="modern"/>
    <w:pitch w:val="default"/>
    <w:sig w:usb0="00000000" w:usb1="00000000" w:usb2="0000001E"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6"/>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1</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26"/>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53</w:t>
            </w:r>
            <w:r>
              <w:rPr>
                <w:lang w:val="zh-CN"/>
              </w:rPr>
              <w:fldChar w:fldCharType="end"/>
            </w:r>
            <w:r>
              <w:rPr>
                <w:rFonts w:hint="eastAsia"/>
                <w:lang w:val="zh-CN"/>
              </w:rPr>
              <w:t>页</w:t>
            </w:r>
          </w:p>
        </w:sdtContent>
      </w:sdt>
    </w:sdtContent>
  </w:sdt>
  <w:p>
    <w:pPr>
      <w:pStyle w:val="26"/>
      <w:jc w:val="center"/>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6"/>
      </w:rPr>
    </w:pPr>
    <w:r>
      <w:fldChar w:fldCharType="begin"/>
    </w:r>
    <w:r>
      <w:rPr>
        <w:rStyle w:val="46"/>
      </w:rPr>
      <w:instrText xml:space="preserve">PAGE  </w:instrText>
    </w:r>
    <w:r>
      <w:fldChar w:fldCharType="end"/>
    </w: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hAB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GEAFywCAABX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w:t>
    </w:r>
    <w:r>
      <w:t xml:space="preserve"> 54 -</w:t>
    </w:r>
    <w:r>
      <w:fldChar w:fldCharType="end"/>
    </w:r>
  </w:p>
  <w:p>
    <w:pPr>
      <w:pStyle w:val="2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w:t>
    </w:r>
    <w:r>
      <w:t xml:space="preserve"> 44 -</w:t>
    </w:r>
    <w:r>
      <w:fldChar w:fldCharType="end"/>
    </w:r>
  </w:p>
  <w:p>
    <w:pPr>
      <w:pStyle w:val="26"/>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6"/>
                          </w:pPr>
                          <w:r>
                            <w:fldChar w:fldCharType="begin"/>
                          </w:r>
                          <w:r>
                            <w:instrText xml:space="preserve"> PAGE  \* MERGEFORMAT </w:instrText>
                          </w:r>
                          <w:r>
                            <w:fldChar w:fldCharType="separate"/>
                          </w:r>
                          <w:r>
                            <w:t>36</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36</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6"/>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2</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000000E"/>
    <w:multiLevelType w:val="multilevel"/>
    <w:tmpl w:val="0000000E"/>
    <w:lvl w:ilvl="0" w:tentative="0">
      <w:start w:val="1"/>
      <w:numFmt w:val="decimal"/>
      <w:lvlText w:val="%1"/>
      <w:lvlJc w:val="left"/>
      <w:pPr>
        <w:tabs>
          <w:tab w:val="left" w:pos="284"/>
        </w:tabs>
        <w:ind w:left="0" w:firstLine="0"/>
      </w:pPr>
      <w:rPr>
        <w:rFonts w:hint="eastAsia"/>
        <w:b w:val="0"/>
        <w:lang w:eastAsia="zh-CN"/>
      </w:rPr>
    </w:lvl>
    <w:lvl w:ilvl="1" w:tentative="0">
      <w:start w:val="1"/>
      <w:numFmt w:val="decimal"/>
      <w:lvlText w:val="%1.%2"/>
      <w:lvlJc w:val="left"/>
      <w:pPr>
        <w:tabs>
          <w:tab w:val="left" w:pos="454"/>
        </w:tabs>
        <w:ind w:left="0" w:firstLine="0"/>
      </w:pPr>
      <w:rPr>
        <w:rFonts w:hint="eastAsia"/>
        <w:color w:val="auto"/>
      </w:rPr>
    </w:lvl>
    <w:lvl w:ilvl="2" w:tentative="0">
      <w:start w:val="1"/>
      <w:numFmt w:val="decimal"/>
      <w:lvlText w:val="%1.%2.%3"/>
      <w:lvlJc w:val="left"/>
      <w:pPr>
        <w:tabs>
          <w:tab w:val="left" w:pos="624"/>
        </w:tabs>
        <w:ind w:left="0" w:firstLine="0"/>
      </w:pPr>
      <w:rPr>
        <w:rFonts w:hint="eastAsia" w:ascii="宋体" w:hAnsi="宋体" w:eastAsia="宋体"/>
        <w:b w:val="0"/>
      </w:rPr>
    </w:lvl>
    <w:lvl w:ilvl="3" w:tentative="0">
      <w:start w:val="1"/>
      <w:numFmt w:val="decimal"/>
      <w:lvlText w:val="%1.%2.%3.%4"/>
      <w:lvlJc w:val="left"/>
      <w:pPr>
        <w:tabs>
          <w:tab w:val="left" w:pos="974"/>
        </w:tabs>
        <w:ind w:left="180" w:firstLine="0"/>
      </w:pPr>
      <w:rPr>
        <w:rFonts w:hint="eastAsia"/>
      </w:rPr>
    </w:lvl>
    <w:lvl w:ilvl="4" w:tentative="0">
      <w:start w:val="1"/>
      <w:numFmt w:val="decimal"/>
      <w:lvlText w:val="%1.%2.%3.%4.%5"/>
      <w:lvlJc w:val="left"/>
      <w:pPr>
        <w:tabs>
          <w:tab w:val="left" w:pos="1504"/>
        </w:tabs>
        <w:ind w:left="540" w:firstLine="0"/>
      </w:pPr>
      <w:rPr>
        <w:rFonts w:hint="eastAsia" w:ascii="Calibri" w:hAnsi="Calibri" w:eastAsia="楷体_GB2312"/>
        <w:b w:val="0"/>
        <w:bCs w:val="0"/>
        <w:i w:val="0"/>
        <w:iCs w:val="0"/>
        <w:caps w:val="0"/>
        <w:smallCaps w:val="0"/>
        <w:strike w:val="0"/>
        <w:dstrike w:val="0"/>
        <w:color w:val="auto"/>
        <w:spacing w:val="0"/>
        <w:w w:val="100"/>
        <w:kern w:val="2"/>
        <w:position w:val="0"/>
        <w:sz w:val="21"/>
        <w:u w:val="none"/>
        <w:shd w:val="clear" w:color="auto" w:fill="auto"/>
      </w:rPr>
    </w:lvl>
    <w:lvl w:ilvl="5" w:tentative="0">
      <w:start w:val="1"/>
      <w:numFmt w:val="decimal"/>
      <w:lvlText w:val="%1.%2.%3.%4.%5.%6"/>
      <w:lvlJc w:val="left"/>
      <w:pPr>
        <w:tabs>
          <w:tab w:val="left" w:pos="1134"/>
        </w:tabs>
        <w:ind w:left="0" w:firstLine="0"/>
      </w:pPr>
      <w:rPr>
        <w:rFonts w:hint="eastAsia"/>
      </w:rPr>
    </w:lvl>
    <w:lvl w:ilvl="6" w:tentative="0">
      <w:start w:val="1"/>
      <w:numFmt w:val="decimal"/>
      <w:lvlText w:val="%1.%2.%3.%4.%5.%6.%7"/>
      <w:lvlJc w:val="left"/>
      <w:pPr>
        <w:tabs>
          <w:tab w:val="left" w:pos="1332"/>
        </w:tabs>
        <w:ind w:left="0" w:firstLine="0"/>
      </w:pPr>
      <w:rPr>
        <w:rFonts w:hint="eastAsia"/>
      </w:rPr>
    </w:lvl>
    <w:lvl w:ilvl="7" w:tentative="0">
      <w:start w:val="1"/>
      <w:numFmt w:val="decimal"/>
      <w:lvlText w:val="%1.%2.%3.%4.%5.%6.%7.%8"/>
      <w:lvlJc w:val="left"/>
      <w:pPr>
        <w:tabs>
          <w:tab w:val="left" w:pos="1531"/>
        </w:tabs>
        <w:ind w:left="0" w:firstLine="0"/>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4"/>
      <w:lvlText w:val="%1.%2.%3."/>
      <w:lvlJc w:val="left"/>
      <w:pPr>
        <w:ind w:left="709" w:hanging="709"/>
      </w:pPr>
    </w:lvl>
    <w:lvl w:ilvl="3" w:tentative="0">
      <w:start w:val="1"/>
      <w:numFmt w:val="decimal"/>
      <w:pStyle w:val="193"/>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6882CE3"/>
    <w:multiLevelType w:val="multilevel"/>
    <w:tmpl w:val="06882CE3"/>
    <w:lvl w:ilvl="0" w:tentative="0">
      <w:start w:val="1"/>
      <w:numFmt w:val="decimal"/>
      <w:pStyle w:val="8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0C9239C"/>
    <w:multiLevelType w:val="multilevel"/>
    <w:tmpl w:val="10C9239C"/>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5">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6">
    <w:nsid w:val="12D9A626"/>
    <w:multiLevelType w:val="singleLevel"/>
    <w:tmpl w:val="12D9A626"/>
    <w:lvl w:ilvl="0" w:tentative="0">
      <w:start w:val="3"/>
      <w:numFmt w:val="chineseCounting"/>
      <w:suff w:val="nothing"/>
      <w:lvlText w:val="第%1部分　"/>
      <w:lvlJc w:val="left"/>
      <w:rPr>
        <w:rFonts w:hint="eastAsia"/>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8">
    <w:nsid w:val="178D3D0E"/>
    <w:multiLevelType w:val="multilevel"/>
    <w:tmpl w:val="178D3D0E"/>
    <w:lvl w:ilvl="0" w:tentative="0">
      <w:start w:val="1"/>
      <w:numFmt w:val="bullet"/>
      <w:pStyle w:val="10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10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2"/>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2CB016D2"/>
    <w:multiLevelType w:val="multilevel"/>
    <w:tmpl w:val="2CB016D2"/>
    <w:lvl w:ilvl="0" w:tentative="0">
      <w:start w:val="1"/>
      <w:numFmt w:val="decimal"/>
      <w:lvlText w:val="%1）"/>
      <w:lvlJc w:val="left"/>
      <w:pPr>
        <w:ind w:left="-120" w:hanging="360"/>
      </w:pPr>
      <w:rPr>
        <w:rFonts w:hint="default" w:cs="Calibri"/>
      </w:rPr>
    </w:lvl>
    <w:lvl w:ilvl="1" w:tentative="0">
      <w:start w:val="1"/>
      <w:numFmt w:val="lowerLetter"/>
      <w:lvlText w:val="%2)"/>
      <w:lvlJc w:val="left"/>
      <w:pPr>
        <w:tabs>
          <w:tab w:val="left" w:pos="840"/>
        </w:tabs>
        <w:ind w:left="360" w:hanging="420"/>
      </w:pPr>
      <w:rPr>
        <w:rFonts w:cs="Calibri"/>
      </w:rPr>
    </w:lvl>
    <w:lvl w:ilvl="2" w:tentative="0">
      <w:start w:val="1"/>
      <w:numFmt w:val="lowerRoman"/>
      <w:lvlText w:val="%3."/>
      <w:lvlJc w:val="right"/>
      <w:pPr>
        <w:tabs>
          <w:tab w:val="left" w:pos="1260"/>
        </w:tabs>
        <w:ind w:left="780" w:hanging="420"/>
      </w:pPr>
      <w:rPr>
        <w:rFonts w:cs="Calibri"/>
      </w:rPr>
    </w:lvl>
    <w:lvl w:ilvl="3" w:tentative="0">
      <w:start w:val="1"/>
      <w:numFmt w:val="decimal"/>
      <w:lvlText w:val="%4."/>
      <w:lvlJc w:val="left"/>
      <w:pPr>
        <w:tabs>
          <w:tab w:val="left" w:pos="1680"/>
        </w:tabs>
        <w:ind w:left="1200" w:hanging="420"/>
      </w:pPr>
      <w:rPr>
        <w:rFonts w:cs="Calibri"/>
      </w:rPr>
    </w:lvl>
    <w:lvl w:ilvl="4" w:tentative="0">
      <w:start w:val="1"/>
      <w:numFmt w:val="lowerLetter"/>
      <w:lvlText w:val="%5)"/>
      <w:lvlJc w:val="left"/>
      <w:pPr>
        <w:tabs>
          <w:tab w:val="left" w:pos="2100"/>
        </w:tabs>
        <w:ind w:left="1620" w:hanging="420"/>
      </w:pPr>
      <w:rPr>
        <w:rFonts w:cs="Calibri"/>
      </w:rPr>
    </w:lvl>
    <w:lvl w:ilvl="5" w:tentative="0">
      <w:start w:val="1"/>
      <w:numFmt w:val="lowerRoman"/>
      <w:lvlText w:val="%6."/>
      <w:lvlJc w:val="right"/>
      <w:pPr>
        <w:tabs>
          <w:tab w:val="left" w:pos="2520"/>
        </w:tabs>
        <w:ind w:left="2040" w:hanging="420"/>
      </w:pPr>
      <w:rPr>
        <w:rFonts w:cs="Calibri"/>
      </w:rPr>
    </w:lvl>
    <w:lvl w:ilvl="6" w:tentative="0">
      <w:start w:val="1"/>
      <w:numFmt w:val="decimal"/>
      <w:lvlText w:val="%7."/>
      <w:lvlJc w:val="left"/>
      <w:pPr>
        <w:tabs>
          <w:tab w:val="left" w:pos="2940"/>
        </w:tabs>
        <w:ind w:left="2460" w:hanging="420"/>
      </w:pPr>
      <w:rPr>
        <w:rFonts w:cs="Calibri"/>
      </w:rPr>
    </w:lvl>
    <w:lvl w:ilvl="7" w:tentative="0">
      <w:start w:val="1"/>
      <w:numFmt w:val="lowerLetter"/>
      <w:lvlText w:val="%8)"/>
      <w:lvlJc w:val="left"/>
      <w:pPr>
        <w:tabs>
          <w:tab w:val="left" w:pos="3360"/>
        </w:tabs>
        <w:ind w:left="2880" w:hanging="420"/>
      </w:pPr>
      <w:rPr>
        <w:rFonts w:cs="Calibri"/>
      </w:rPr>
    </w:lvl>
    <w:lvl w:ilvl="8" w:tentative="0">
      <w:start w:val="1"/>
      <w:numFmt w:val="lowerRoman"/>
      <w:lvlText w:val="%9."/>
      <w:lvlJc w:val="right"/>
      <w:pPr>
        <w:tabs>
          <w:tab w:val="left" w:pos="3780"/>
        </w:tabs>
        <w:ind w:left="3300" w:hanging="420"/>
      </w:pPr>
      <w:rPr>
        <w:rFonts w:cs="Calibri"/>
      </w:rPr>
    </w:lvl>
  </w:abstractNum>
  <w:abstractNum w:abstractNumId="24">
    <w:nsid w:val="39A6508B"/>
    <w:multiLevelType w:val="multilevel"/>
    <w:tmpl w:val="39A6508B"/>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Letter"/>
      <w:lvlText w:val="%3)"/>
      <w:lvlJc w:val="lef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3B6B2617"/>
    <w:multiLevelType w:val="multilevel"/>
    <w:tmpl w:val="3B6B2617"/>
    <w:lvl w:ilvl="0" w:tentative="0">
      <w:start w:val="1"/>
      <w:numFmt w:val="decimal"/>
      <w:lvlText w:val="%1）"/>
      <w:lvlJc w:val="left"/>
      <w:pPr>
        <w:ind w:left="-120" w:hanging="360"/>
      </w:pPr>
      <w:rPr>
        <w:rFonts w:hint="default"/>
      </w:rPr>
    </w:lvl>
    <w:lvl w:ilvl="1" w:tentative="0">
      <w:start w:val="1"/>
      <w:numFmt w:val="lowerLetter"/>
      <w:lvlText w:val="%2)"/>
      <w:lvlJc w:val="left"/>
      <w:pPr>
        <w:ind w:left="360" w:hanging="420"/>
      </w:pPr>
    </w:lvl>
    <w:lvl w:ilvl="2" w:tentative="0">
      <w:start w:val="1"/>
      <w:numFmt w:val="lowerRoman"/>
      <w:lvlText w:val="%3."/>
      <w:lvlJc w:val="right"/>
      <w:pPr>
        <w:ind w:left="780" w:hanging="420"/>
      </w:pPr>
    </w:lvl>
    <w:lvl w:ilvl="3" w:tentative="0">
      <w:start w:val="1"/>
      <w:numFmt w:val="decimal"/>
      <w:lvlText w:val="%4."/>
      <w:lvlJc w:val="left"/>
      <w:pPr>
        <w:ind w:left="1200" w:hanging="420"/>
      </w:pPr>
    </w:lvl>
    <w:lvl w:ilvl="4" w:tentative="0">
      <w:start w:val="1"/>
      <w:numFmt w:val="lowerLetter"/>
      <w:lvlText w:val="%5)"/>
      <w:lvlJc w:val="left"/>
      <w:pPr>
        <w:ind w:left="1620" w:hanging="420"/>
      </w:pPr>
    </w:lvl>
    <w:lvl w:ilvl="5" w:tentative="0">
      <w:start w:val="1"/>
      <w:numFmt w:val="lowerRoman"/>
      <w:lvlText w:val="%6."/>
      <w:lvlJc w:val="right"/>
      <w:pPr>
        <w:ind w:left="2040" w:hanging="420"/>
      </w:pPr>
    </w:lvl>
    <w:lvl w:ilvl="6" w:tentative="0">
      <w:start w:val="1"/>
      <w:numFmt w:val="decimal"/>
      <w:lvlText w:val="%7."/>
      <w:lvlJc w:val="left"/>
      <w:pPr>
        <w:ind w:left="2460" w:hanging="420"/>
      </w:pPr>
    </w:lvl>
    <w:lvl w:ilvl="7" w:tentative="0">
      <w:start w:val="1"/>
      <w:numFmt w:val="lowerLetter"/>
      <w:lvlText w:val="%8)"/>
      <w:lvlJc w:val="left"/>
      <w:pPr>
        <w:ind w:left="2880" w:hanging="420"/>
      </w:pPr>
    </w:lvl>
    <w:lvl w:ilvl="8" w:tentative="0">
      <w:start w:val="1"/>
      <w:numFmt w:val="lowerRoman"/>
      <w:lvlText w:val="%9."/>
      <w:lvlJc w:val="right"/>
      <w:pPr>
        <w:ind w:left="3300" w:hanging="420"/>
      </w:pPr>
    </w:lvl>
  </w:abstractNum>
  <w:abstractNum w:abstractNumId="26">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7">
    <w:nsid w:val="4B9C685B"/>
    <w:multiLevelType w:val="multilevel"/>
    <w:tmpl w:val="4B9C685B"/>
    <w:lvl w:ilvl="0" w:tentative="0">
      <w:start w:val="1"/>
      <w:numFmt w:val="decimal"/>
      <w:lvlText w:val="%1）"/>
      <w:lvlJc w:val="left"/>
      <w:pPr>
        <w:ind w:left="-120" w:hanging="360"/>
      </w:pPr>
      <w:rPr>
        <w:rFonts w:hint="default" w:cs="Calibri"/>
      </w:rPr>
    </w:lvl>
    <w:lvl w:ilvl="1" w:tentative="0">
      <w:start w:val="1"/>
      <w:numFmt w:val="lowerLetter"/>
      <w:lvlText w:val="%2)"/>
      <w:lvlJc w:val="left"/>
      <w:pPr>
        <w:ind w:left="360" w:hanging="420"/>
      </w:pPr>
      <w:rPr>
        <w:rFonts w:cs="Calibri"/>
      </w:rPr>
    </w:lvl>
    <w:lvl w:ilvl="2" w:tentative="0">
      <w:start w:val="1"/>
      <w:numFmt w:val="lowerRoman"/>
      <w:lvlText w:val="%3."/>
      <w:lvlJc w:val="right"/>
      <w:pPr>
        <w:ind w:left="780" w:hanging="420"/>
      </w:pPr>
      <w:rPr>
        <w:rFonts w:cs="Calibri"/>
      </w:rPr>
    </w:lvl>
    <w:lvl w:ilvl="3" w:tentative="0">
      <w:start w:val="1"/>
      <w:numFmt w:val="decimal"/>
      <w:lvlText w:val="%4."/>
      <w:lvlJc w:val="left"/>
      <w:pPr>
        <w:ind w:left="1200" w:hanging="420"/>
      </w:pPr>
      <w:rPr>
        <w:rFonts w:cs="Calibri"/>
      </w:rPr>
    </w:lvl>
    <w:lvl w:ilvl="4" w:tentative="0">
      <w:start w:val="1"/>
      <w:numFmt w:val="lowerLetter"/>
      <w:lvlText w:val="%5)"/>
      <w:lvlJc w:val="left"/>
      <w:pPr>
        <w:ind w:left="1620" w:hanging="420"/>
      </w:pPr>
      <w:rPr>
        <w:rFonts w:cs="Calibri"/>
      </w:rPr>
    </w:lvl>
    <w:lvl w:ilvl="5" w:tentative="0">
      <w:start w:val="1"/>
      <w:numFmt w:val="lowerRoman"/>
      <w:lvlText w:val="%6."/>
      <w:lvlJc w:val="right"/>
      <w:pPr>
        <w:ind w:left="2040" w:hanging="420"/>
      </w:pPr>
      <w:rPr>
        <w:rFonts w:cs="Calibri"/>
      </w:rPr>
    </w:lvl>
    <w:lvl w:ilvl="6" w:tentative="0">
      <w:start w:val="1"/>
      <w:numFmt w:val="decimal"/>
      <w:lvlText w:val="%7."/>
      <w:lvlJc w:val="left"/>
      <w:pPr>
        <w:ind w:left="2460" w:hanging="420"/>
      </w:pPr>
      <w:rPr>
        <w:rFonts w:cs="Calibri"/>
      </w:rPr>
    </w:lvl>
    <w:lvl w:ilvl="7" w:tentative="0">
      <w:start w:val="1"/>
      <w:numFmt w:val="lowerLetter"/>
      <w:lvlText w:val="%8)"/>
      <w:lvlJc w:val="left"/>
      <w:pPr>
        <w:ind w:left="2880" w:hanging="420"/>
      </w:pPr>
      <w:rPr>
        <w:rFonts w:cs="Calibri"/>
      </w:rPr>
    </w:lvl>
    <w:lvl w:ilvl="8" w:tentative="0">
      <w:start w:val="1"/>
      <w:numFmt w:val="lowerRoman"/>
      <w:lvlText w:val="%9."/>
      <w:lvlJc w:val="right"/>
      <w:pPr>
        <w:ind w:left="3300" w:hanging="420"/>
      </w:pPr>
      <w:rPr>
        <w:rFonts w:cs="Calibri"/>
      </w:rPr>
    </w:lvl>
  </w:abstractNum>
  <w:abstractNum w:abstractNumId="28">
    <w:nsid w:val="4C495F7C"/>
    <w:multiLevelType w:val="multilevel"/>
    <w:tmpl w:val="4C495F7C"/>
    <w:lvl w:ilvl="0" w:tentative="0">
      <w:start w:val="1"/>
      <w:numFmt w:val="decimal"/>
      <w:lvlText w:val="%1）"/>
      <w:lvlJc w:val="left"/>
      <w:pPr>
        <w:ind w:left="-120" w:hanging="360"/>
      </w:pPr>
      <w:rPr>
        <w:rFonts w:hint="default" w:cs="Calibri"/>
      </w:rPr>
    </w:lvl>
    <w:lvl w:ilvl="1" w:tentative="0">
      <w:start w:val="1"/>
      <w:numFmt w:val="bullet"/>
      <w:lvlText w:val=""/>
      <w:lvlJc w:val="left"/>
      <w:pPr>
        <w:tabs>
          <w:tab w:val="left" w:pos="840"/>
        </w:tabs>
        <w:ind w:left="360" w:hanging="420"/>
      </w:pPr>
      <w:rPr>
        <w:rFonts w:hint="default" w:ascii="经典综艺体简" w:hAnsi="经典综艺体简"/>
      </w:rPr>
    </w:lvl>
    <w:lvl w:ilvl="2" w:tentative="0">
      <w:start w:val="1"/>
      <w:numFmt w:val="lowerRoman"/>
      <w:lvlText w:val="%3."/>
      <w:lvlJc w:val="right"/>
      <w:pPr>
        <w:ind w:left="780" w:hanging="420"/>
      </w:pPr>
      <w:rPr>
        <w:rFonts w:cs="Calibri"/>
      </w:rPr>
    </w:lvl>
    <w:lvl w:ilvl="3" w:tentative="0">
      <w:start w:val="1"/>
      <w:numFmt w:val="decimal"/>
      <w:lvlText w:val="%4."/>
      <w:lvlJc w:val="left"/>
      <w:pPr>
        <w:ind w:left="1200" w:hanging="420"/>
      </w:pPr>
      <w:rPr>
        <w:rFonts w:cs="Calibri"/>
      </w:rPr>
    </w:lvl>
    <w:lvl w:ilvl="4" w:tentative="0">
      <w:start w:val="1"/>
      <w:numFmt w:val="lowerLetter"/>
      <w:lvlText w:val="%5)"/>
      <w:lvlJc w:val="left"/>
      <w:pPr>
        <w:ind w:left="1620" w:hanging="420"/>
      </w:pPr>
      <w:rPr>
        <w:rFonts w:cs="Calibri"/>
      </w:rPr>
    </w:lvl>
    <w:lvl w:ilvl="5" w:tentative="0">
      <w:start w:val="1"/>
      <w:numFmt w:val="lowerRoman"/>
      <w:lvlText w:val="%6."/>
      <w:lvlJc w:val="right"/>
      <w:pPr>
        <w:ind w:left="2040" w:hanging="420"/>
      </w:pPr>
      <w:rPr>
        <w:rFonts w:cs="Calibri"/>
      </w:rPr>
    </w:lvl>
    <w:lvl w:ilvl="6" w:tentative="0">
      <w:start w:val="1"/>
      <w:numFmt w:val="decimal"/>
      <w:lvlText w:val="%7."/>
      <w:lvlJc w:val="left"/>
      <w:pPr>
        <w:ind w:left="2460" w:hanging="420"/>
      </w:pPr>
      <w:rPr>
        <w:rFonts w:cs="Calibri"/>
      </w:rPr>
    </w:lvl>
    <w:lvl w:ilvl="7" w:tentative="0">
      <w:start w:val="1"/>
      <w:numFmt w:val="lowerLetter"/>
      <w:lvlText w:val="%8)"/>
      <w:lvlJc w:val="left"/>
      <w:pPr>
        <w:ind w:left="2880" w:hanging="420"/>
      </w:pPr>
      <w:rPr>
        <w:rFonts w:cs="Calibri"/>
      </w:rPr>
    </w:lvl>
    <w:lvl w:ilvl="8" w:tentative="0">
      <w:start w:val="1"/>
      <w:numFmt w:val="lowerRoman"/>
      <w:lvlText w:val="%9."/>
      <w:lvlJc w:val="right"/>
      <w:pPr>
        <w:ind w:left="3300" w:hanging="420"/>
      </w:pPr>
      <w:rPr>
        <w:rFonts w:cs="Calibri"/>
      </w:rPr>
    </w:lvl>
  </w:abstractNum>
  <w:abstractNum w:abstractNumId="2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4D450F66"/>
    <w:multiLevelType w:val="multilevel"/>
    <w:tmpl w:val="4D450F66"/>
    <w:lvl w:ilvl="0" w:tentative="0">
      <w:start w:val="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520018B0"/>
    <w:multiLevelType w:val="multilevel"/>
    <w:tmpl w:val="520018B0"/>
    <w:lvl w:ilvl="0" w:tentative="0">
      <w:start w:val="1"/>
      <w:numFmt w:val="decimal"/>
      <w:pStyle w:val="8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2">
    <w:nsid w:val="55C37496"/>
    <w:multiLevelType w:val="multilevel"/>
    <w:tmpl w:val="55C37496"/>
    <w:lvl w:ilvl="0" w:tentative="0">
      <w:start w:val="1"/>
      <w:numFmt w:val="decimal"/>
      <w:lvlText w:val="%1）"/>
      <w:lvlJc w:val="left"/>
      <w:pPr>
        <w:ind w:left="-120" w:hanging="360"/>
      </w:pPr>
      <w:rPr>
        <w:rFonts w:hint="default" w:cs="Calibri"/>
      </w:rPr>
    </w:lvl>
    <w:lvl w:ilvl="1" w:tentative="0">
      <w:start w:val="1"/>
      <w:numFmt w:val="lowerLetter"/>
      <w:lvlText w:val="%2)"/>
      <w:lvlJc w:val="left"/>
      <w:pPr>
        <w:ind w:left="360" w:hanging="420"/>
      </w:pPr>
      <w:rPr>
        <w:rFonts w:cs="Calibri"/>
      </w:rPr>
    </w:lvl>
    <w:lvl w:ilvl="2" w:tentative="0">
      <w:start w:val="1"/>
      <w:numFmt w:val="lowerRoman"/>
      <w:lvlText w:val="%3."/>
      <w:lvlJc w:val="right"/>
      <w:pPr>
        <w:ind w:left="780" w:hanging="420"/>
      </w:pPr>
      <w:rPr>
        <w:rFonts w:cs="Calibri"/>
      </w:rPr>
    </w:lvl>
    <w:lvl w:ilvl="3" w:tentative="0">
      <w:start w:val="1"/>
      <w:numFmt w:val="decimal"/>
      <w:lvlText w:val="%4."/>
      <w:lvlJc w:val="left"/>
      <w:pPr>
        <w:ind w:left="1200" w:hanging="420"/>
      </w:pPr>
      <w:rPr>
        <w:rFonts w:cs="Calibri"/>
      </w:rPr>
    </w:lvl>
    <w:lvl w:ilvl="4" w:tentative="0">
      <w:start w:val="1"/>
      <w:numFmt w:val="lowerLetter"/>
      <w:lvlText w:val="%5)"/>
      <w:lvlJc w:val="left"/>
      <w:pPr>
        <w:ind w:left="1620" w:hanging="420"/>
      </w:pPr>
      <w:rPr>
        <w:rFonts w:cs="Calibri"/>
      </w:rPr>
    </w:lvl>
    <w:lvl w:ilvl="5" w:tentative="0">
      <w:start w:val="1"/>
      <w:numFmt w:val="lowerRoman"/>
      <w:lvlText w:val="%6."/>
      <w:lvlJc w:val="right"/>
      <w:pPr>
        <w:ind w:left="2040" w:hanging="420"/>
      </w:pPr>
      <w:rPr>
        <w:rFonts w:cs="Calibri"/>
      </w:rPr>
    </w:lvl>
    <w:lvl w:ilvl="6" w:tentative="0">
      <w:start w:val="1"/>
      <w:numFmt w:val="decimal"/>
      <w:lvlText w:val="%7."/>
      <w:lvlJc w:val="left"/>
      <w:pPr>
        <w:ind w:left="2460" w:hanging="420"/>
      </w:pPr>
      <w:rPr>
        <w:rFonts w:cs="Calibri"/>
      </w:rPr>
    </w:lvl>
    <w:lvl w:ilvl="7" w:tentative="0">
      <w:start w:val="1"/>
      <w:numFmt w:val="lowerLetter"/>
      <w:lvlText w:val="%8)"/>
      <w:lvlJc w:val="left"/>
      <w:pPr>
        <w:ind w:left="2880" w:hanging="420"/>
      </w:pPr>
      <w:rPr>
        <w:rFonts w:cs="Calibri"/>
      </w:rPr>
    </w:lvl>
    <w:lvl w:ilvl="8" w:tentative="0">
      <w:start w:val="1"/>
      <w:numFmt w:val="lowerRoman"/>
      <w:lvlText w:val="%9."/>
      <w:lvlJc w:val="right"/>
      <w:pPr>
        <w:ind w:left="3300" w:hanging="420"/>
      </w:pPr>
      <w:rPr>
        <w:rFonts w:cs="Calibri"/>
      </w:rPr>
    </w:lvl>
  </w:abstractNum>
  <w:abstractNum w:abstractNumId="33">
    <w:nsid w:val="560F40FB"/>
    <w:multiLevelType w:val="multilevel"/>
    <w:tmpl w:val="560F40FB"/>
    <w:lvl w:ilvl="0" w:tentative="0">
      <w:start w:val="1"/>
      <w:numFmt w:val="lowerLetter"/>
      <w:pStyle w:val="11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4">
    <w:nsid w:val="56D20133"/>
    <w:multiLevelType w:val="multilevel"/>
    <w:tmpl w:val="56D20133"/>
    <w:lvl w:ilvl="0" w:tentative="0">
      <w:start w:val="1"/>
      <w:numFmt w:val="chineseCountingThousand"/>
      <w:pStyle w:val="8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5">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36">
    <w:nsid w:val="5A6836EF"/>
    <w:multiLevelType w:val="singleLevel"/>
    <w:tmpl w:val="5A6836EF"/>
    <w:lvl w:ilvl="0" w:tentative="0">
      <w:start w:val="1"/>
      <w:numFmt w:val="decimal"/>
      <w:suff w:val="nothing"/>
      <w:lvlText w:val="%1."/>
      <w:lvlJc w:val="left"/>
      <w:pPr>
        <w:ind w:left="0" w:firstLine="0"/>
      </w:pPr>
    </w:lvl>
  </w:abstractNum>
  <w:abstractNum w:abstractNumId="37">
    <w:nsid w:val="5AEA1E49"/>
    <w:multiLevelType w:val="multilevel"/>
    <w:tmpl w:val="5AEA1E4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9">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40">
    <w:nsid w:val="646260FA"/>
    <w:multiLevelType w:val="multilevel"/>
    <w:tmpl w:val="646260FA"/>
    <w:lvl w:ilvl="0" w:tentative="0">
      <w:start w:val="1"/>
      <w:numFmt w:val="decimal"/>
      <w:pStyle w:val="184"/>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1">
    <w:nsid w:val="656A6EAE"/>
    <w:multiLevelType w:val="multilevel"/>
    <w:tmpl w:val="656A6EAE"/>
    <w:lvl w:ilvl="0" w:tentative="0">
      <w:start w:val="1"/>
      <w:numFmt w:val="chineseCountingThousand"/>
      <w:pStyle w:val="8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2">
    <w:nsid w:val="66400438"/>
    <w:multiLevelType w:val="multilevel"/>
    <w:tmpl w:val="66400438"/>
    <w:lvl w:ilvl="0" w:tentative="0">
      <w:start w:val="1"/>
      <w:numFmt w:val="lowerLetter"/>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44">
    <w:nsid w:val="72777D2B"/>
    <w:multiLevelType w:val="multilevel"/>
    <w:tmpl w:val="72777D2B"/>
    <w:lvl w:ilvl="0" w:tentative="0">
      <w:start w:val="1"/>
      <w:numFmt w:val="decimal"/>
      <w:lvlText w:val="%1）"/>
      <w:lvlJc w:val="left"/>
      <w:pPr>
        <w:ind w:left="-120" w:hanging="360"/>
      </w:pPr>
      <w:rPr>
        <w:rFonts w:hint="default" w:cs="Calibri"/>
      </w:rPr>
    </w:lvl>
    <w:lvl w:ilvl="1" w:tentative="0">
      <w:start w:val="1"/>
      <w:numFmt w:val="lowerLetter"/>
      <w:lvlText w:val="%2)"/>
      <w:lvlJc w:val="left"/>
      <w:pPr>
        <w:tabs>
          <w:tab w:val="left" w:pos="840"/>
        </w:tabs>
        <w:ind w:left="360" w:hanging="420"/>
      </w:pPr>
      <w:rPr>
        <w:rFonts w:cs="Calibri"/>
      </w:rPr>
    </w:lvl>
    <w:lvl w:ilvl="2" w:tentative="0">
      <w:start w:val="1"/>
      <w:numFmt w:val="lowerRoman"/>
      <w:lvlText w:val="%3."/>
      <w:lvlJc w:val="right"/>
      <w:pPr>
        <w:tabs>
          <w:tab w:val="left" w:pos="1260"/>
        </w:tabs>
        <w:ind w:left="780" w:hanging="420"/>
      </w:pPr>
      <w:rPr>
        <w:rFonts w:cs="Calibri"/>
      </w:rPr>
    </w:lvl>
    <w:lvl w:ilvl="3" w:tentative="0">
      <w:start w:val="1"/>
      <w:numFmt w:val="decimal"/>
      <w:lvlText w:val="%4."/>
      <w:lvlJc w:val="left"/>
      <w:pPr>
        <w:tabs>
          <w:tab w:val="left" w:pos="1680"/>
        </w:tabs>
        <w:ind w:left="1200" w:hanging="420"/>
      </w:pPr>
      <w:rPr>
        <w:rFonts w:cs="Calibri"/>
      </w:rPr>
    </w:lvl>
    <w:lvl w:ilvl="4" w:tentative="0">
      <w:start w:val="1"/>
      <w:numFmt w:val="lowerLetter"/>
      <w:lvlText w:val="%5)"/>
      <w:lvlJc w:val="left"/>
      <w:pPr>
        <w:tabs>
          <w:tab w:val="left" w:pos="2100"/>
        </w:tabs>
        <w:ind w:left="1620" w:hanging="420"/>
      </w:pPr>
      <w:rPr>
        <w:rFonts w:cs="Calibri"/>
      </w:rPr>
    </w:lvl>
    <w:lvl w:ilvl="5" w:tentative="0">
      <w:start w:val="1"/>
      <w:numFmt w:val="lowerRoman"/>
      <w:lvlText w:val="%6."/>
      <w:lvlJc w:val="right"/>
      <w:pPr>
        <w:tabs>
          <w:tab w:val="left" w:pos="2520"/>
        </w:tabs>
        <w:ind w:left="2040" w:hanging="420"/>
      </w:pPr>
      <w:rPr>
        <w:rFonts w:cs="Calibri"/>
      </w:rPr>
    </w:lvl>
    <w:lvl w:ilvl="6" w:tentative="0">
      <w:start w:val="1"/>
      <w:numFmt w:val="decimal"/>
      <w:lvlText w:val="%7."/>
      <w:lvlJc w:val="left"/>
      <w:pPr>
        <w:tabs>
          <w:tab w:val="left" w:pos="2940"/>
        </w:tabs>
        <w:ind w:left="2460" w:hanging="420"/>
      </w:pPr>
      <w:rPr>
        <w:rFonts w:cs="Calibri"/>
      </w:rPr>
    </w:lvl>
    <w:lvl w:ilvl="7" w:tentative="0">
      <w:start w:val="1"/>
      <w:numFmt w:val="lowerLetter"/>
      <w:lvlText w:val="%8)"/>
      <w:lvlJc w:val="left"/>
      <w:pPr>
        <w:tabs>
          <w:tab w:val="left" w:pos="3360"/>
        </w:tabs>
        <w:ind w:left="2880" w:hanging="420"/>
      </w:pPr>
      <w:rPr>
        <w:rFonts w:cs="Calibri"/>
      </w:rPr>
    </w:lvl>
    <w:lvl w:ilvl="8" w:tentative="0">
      <w:start w:val="1"/>
      <w:numFmt w:val="lowerRoman"/>
      <w:lvlText w:val="%9."/>
      <w:lvlJc w:val="right"/>
      <w:pPr>
        <w:tabs>
          <w:tab w:val="left" w:pos="3780"/>
        </w:tabs>
        <w:ind w:left="3300" w:hanging="420"/>
      </w:pPr>
      <w:rPr>
        <w:rFonts w:cs="Calibri"/>
      </w:rPr>
    </w:lvl>
  </w:abstractNum>
  <w:num w:numId="1">
    <w:abstractNumId w:val="29"/>
  </w:num>
  <w:num w:numId="2">
    <w:abstractNumId w:val="41"/>
  </w:num>
  <w:num w:numId="3">
    <w:abstractNumId w:val="34"/>
  </w:num>
  <w:num w:numId="4">
    <w:abstractNumId w:val="31"/>
  </w:num>
  <w:num w:numId="5">
    <w:abstractNumId w:val="12"/>
  </w:num>
  <w:num w:numId="6">
    <w:abstractNumId w:val="18"/>
  </w:num>
  <w:num w:numId="7">
    <w:abstractNumId w:val="20"/>
  </w:num>
  <w:num w:numId="8">
    <w:abstractNumId w:val="33"/>
  </w:num>
  <w:num w:numId="9">
    <w:abstractNumId w:val="40"/>
  </w:num>
  <w:num w:numId="10">
    <w:abstractNumId w:val="21"/>
  </w:num>
  <w:num w:numId="11">
    <w:abstractNumId w:val="11"/>
  </w:num>
  <w:num w:numId="12">
    <w:abstractNumId w:val="35"/>
  </w:num>
  <w:num w:numId="13">
    <w:abstractNumId w:val="17"/>
  </w:num>
  <w:num w:numId="14">
    <w:abstractNumId w:val="15"/>
  </w:num>
  <w:num w:numId="15">
    <w:abstractNumId w:val="7"/>
  </w:num>
  <w:num w:numId="16">
    <w:abstractNumId w:val="43"/>
  </w:num>
  <w:num w:numId="17">
    <w:abstractNumId w:val="0"/>
  </w:num>
  <w:num w:numId="18">
    <w:abstractNumId w:val="4"/>
  </w:num>
  <w:num w:numId="19">
    <w:abstractNumId w:val="5"/>
  </w:num>
  <w:num w:numId="20">
    <w:abstractNumId w:val="3"/>
  </w:num>
  <w:num w:numId="21">
    <w:abstractNumId w:val="13"/>
  </w:num>
  <w:num w:numId="22">
    <w:abstractNumId w:val="19"/>
  </w:num>
  <w:num w:numId="23">
    <w:abstractNumId w:val="2"/>
  </w:num>
  <w:num w:numId="24">
    <w:abstractNumId w:val="39"/>
  </w:num>
  <w:num w:numId="25">
    <w:abstractNumId w:val="6"/>
  </w:num>
  <w:num w:numId="26">
    <w:abstractNumId w:val="38"/>
  </w:num>
  <w:num w:numId="27">
    <w:abstractNumId w:val="1"/>
  </w:num>
  <w:num w:numId="28">
    <w:abstractNumId w:val="26"/>
  </w:num>
  <w:num w:numId="29">
    <w:abstractNumId w:val="36"/>
  </w:num>
  <w:num w:numId="30">
    <w:abstractNumId w:val="22"/>
  </w:num>
  <w:num w:numId="31">
    <w:abstractNumId w:val="10"/>
  </w:num>
  <w:num w:numId="32">
    <w:abstractNumId w:val="37"/>
  </w:num>
  <w:num w:numId="33">
    <w:abstractNumId w:val="30"/>
  </w:num>
  <w:num w:numId="34">
    <w:abstractNumId w:val="27"/>
  </w:num>
  <w:num w:numId="35">
    <w:abstractNumId w:val="23"/>
  </w:num>
  <w:num w:numId="36">
    <w:abstractNumId w:val="44"/>
  </w:num>
  <w:num w:numId="37">
    <w:abstractNumId w:val="28"/>
  </w:num>
  <w:num w:numId="38">
    <w:abstractNumId w:val="32"/>
  </w:num>
  <w:num w:numId="39">
    <w:abstractNumId w:val="25"/>
  </w:num>
  <w:num w:numId="40">
    <w:abstractNumId w:val="14"/>
  </w:num>
  <w:num w:numId="41">
    <w:abstractNumId w:val="24"/>
  </w:num>
  <w:num w:numId="42">
    <w:abstractNumId w:val="42"/>
  </w:num>
  <w:num w:numId="43">
    <w:abstractNumId w:val="16"/>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wZjM1NGJmNTRkNGViNDg5MTM1NWZkZmExYzc1NzM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5FDE"/>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57C1D39"/>
    <w:rsid w:val="05891259"/>
    <w:rsid w:val="05D554DB"/>
    <w:rsid w:val="0654565B"/>
    <w:rsid w:val="07253DF6"/>
    <w:rsid w:val="07613623"/>
    <w:rsid w:val="08406399"/>
    <w:rsid w:val="08633479"/>
    <w:rsid w:val="09630A6C"/>
    <w:rsid w:val="0A63147A"/>
    <w:rsid w:val="0ADB2EF0"/>
    <w:rsid w:val="0ADD4CBE"/>
    <w:rsid w:val="0B415BB4"/>
    <w:rsid w:val="0C83309C"/>
    <w:rsid w:val="0CB51572"/>
    <w:rsid w:val="0D01045C"/>
    <w:rsid w:val="0DE73E36"/>
    <w:rsid w:val="0E4D31E3"/>
    <w:rsid w:val="0E530E38"/>
    <w:rsid w:val="0F0D7CC0"/>
    <w:rsid w:val="10DC2AA3"/>
    <w:rsid w:val="10FA7C8C"/>
    <w:rsid w:val="12174CE2"/>
    <w:rsid w:val="121D1E44"/>
    <w:rsid w:val="12F64B6E"/>
    <w:rsid w:val="130B198F"/>
    <w:rsid w:val="13FA68E0"/>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804CBC"/>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73F1165"/>
    <w:rsid w:val="39322FCA"/>
    <w:rsid w:val="3A503E1E"/>
    <w:rsid w:val="3AB90991"/>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60027C70"/>
    <w:rsid w:val="60651FB9"/>
    <w:rsid w:val="614E12EC"/>
    <w:rsid w:val="616D6769"/>
    <w:rsid w:val="619C78C6"/>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0"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8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94"/>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24"/>
    <w:qFormat/>
    <w:uiPriority w:val="9"/>
    <w:pPr>
      <w:keepNext/>
      <w:keepLines/>
      <w:spacing w:line="416" w:lineRule="auto"/>
      <w:outlineLvl w:val="2"/>
    </w:pPr>
    <w:rPr>
      <w:b/>
      <w:bCs/>
      <w:sz w:val="32"/>
      <w:szCs w:val="32"/>
    </w:rPr>
  </w:style>
  <w:style w:type="paragraph" w:styleId="5">
    <w:name w:val="heading 4"/>
    <w:basedOn w:val="1"/>
    <w:next w:val="1"/>
    <w:link w:val="90"/>
    <w:qFormat/>
    <w:uiPriority w:val="9"/>
    <w:pPr>
      <w:keepNext/>
      <w:keepLines/>
      <w:spacing w:line="360" w:lineRule="auto"/>
      <w:outlineLvl w:val="3"/>
    </w:pPr>
    <w:rPr>
      <w:rFonts w:ascii="Arial" w:hAnsi="Arial"/>
      <w:b/>
      <w:bCs/>
      <w:szCs w:val="28"/>
    </w:rPr>
  </w:style>
  <w:style w:type="paragraph" w:styleId="6">
    <w:name w:val="heading 5"/>
    <w:basedOn w:val="1"/>
    <w:next w:val="1"/>
    <w:link w:val="91"/>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1"/>
    <w:link w:val="129"/>
    <w:unhideWhenUsed/>
    <w:qFormat/>
    <w:uiPriority w:val="0"/>
    <w:pPr>
      <w:keepNext/>
      <w:keepLines/>
      <w:spacing w:before="240" w:after="64" w:line="320" w:lineRule="auto"/>
      <w:outlineLvl w:val="5"/>
    </w:pPr>
    <w:rPr>
      <w:rFonts w:ascii="等线 Light" w:hAnsi="等线 Light" w:eastAsia="等线 Light"/>
      <w:b/>
      <w:bCs/>
      <w:sz w:val="24"/>
      <w:szCs w:val="24"/>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sz w:val="18"/>
      <w:szCs w:val="18"/>
    </w:rPr>
  </w:style>
  <w:style w:type="paragraph" w:styleId="9">
    <w:name w:val="E-mail Signature"/>
    <w:basedOn w:val="1"/>
    <w:link w:val="117"/>
    <w:semiHidden/>
    <w:qFormat/>
    <w:uiPriority w:val="99"/>
    <w:pPr>
      <w:spacing w:after="200" w:line="276" w:lineRule="auto"/>
      <w:jc w:val="left"/>
    </w:pPr>
    <w:rPr>
      <w:rFonts w:ascii="Calibri" w:hAnsi="Calibri"/>
      <w:kern w:val="0"/>
      <w:szCs w:val="21"/>
    </w:rPr>
  </w:style>
  <w:style w:type="paragraph" w:styleId="10">
    <w:name w:val="Normal Indent"/>
    <w:basedOn w:val="1"/>
    <w:link w:val="195"/>
    <w:qFormat/>
    <w:uiPriority w:val="99"/>
    <w:pPr>
      <w:ind w:firstLine="420"/>
    </w:pPr>
    <w:rPr>
      <w:rFonts w:eastAsiaTheme="minorEastAsia" w:cstheme="minorBidi"/>
      <w:kern w:val="0"/>
      <w:sz w:val="20"/>
    </w:rPr>
  </w:style>
  <w:style w:type="paragraph" w:styleId="11">
    <w:name w:val="caption"/>
    <w:basedOn w:val="1"/>
    <w:next w:val="1"/>
    <w:qFormat/>
    <w:uiPriority w:val="35"/>
    <w:pPr>
      <w:spacing w:before="152" w:after="160"/>
    </w:pPr>
    <w:rPr>
      <w:rFonts w:ascii="Arial" w:hAnsi="Arial" w:eastAsia="黑体" w:cs="Arial"/>
      <w:sz w:val="20"/>
    </w:rPr>
  </w:style>
  <w:style w:type="paragraph" w:styleId="12">
    <w:name w:val="Document Map"/>
    <w:basedOn w:val="1"/>
    <w:link w:val="106"/>
    <w:qFormat/>
    <w:uiPriority w:val="0"/>
    <w:pPr>
      <w:adjustRightInd w:val="0"/>
      <w:spacing w:line="312" w:lineRule="atLeast"/>
      <w:textAlignment w:val="baseline"/>
    </w:pPr>
    <w:rPr>
      <w:rFonts w:ascii="宋体"/>
      <w:kern w:val="0"/>
      <w:sz w:val="18"/>
      <w:szCs w:val="18"/>
    </w:rPr>
  </w:style>
  <w:style w:type="paragraph" w:styleId="13">
    <w:name w:val="toa heading"/>
    <w:basedOn w:val="1"/>
    <w:next w:val="1"/>
    <w:qFormat/>
    <w:uiPriority w:val="99"/>
    <w:pPr>
      <w:spacing w:before="120"/>
    </w:pPr>
    <w:rPr>
      <w:rFonts w:ascii="Arial" w:hAnsi="Arial" w:cs="Arial"/>
      <w:sz w:val="24"/>
      <w:szCs w:val="24"/>
    </w:rPr>
  </w:style>
  <w:style w:type="paragraph" w:styleId="14">
    <w:name w:val="annotation text"/>
    <w:basedOn w:val="1"/>
    <w:link w:val="59"/>
    <w:qFormat/>
    <w:uiPriority w:val="0"/>
    <w:pPr>
      <w:jc w:val="left"/>
    </w:pPr>
  </w:style>
  <w:style w:type="paragraph" w:styleId="15">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16">
    <w:name w:val="Body Text"/>
    <w:basedOn w:val="1"/>
    <w:link w:val="55"/>
    <w:qFormat/>
    <w:uiPriority w:val="99"/>
    <w:rPr>
      <w:rFonts w:ascii="仿宋_GB2312" w:eastAsia="仿宋_GB2312"/>
      <w:sz w:val="32"/>
    </w:rPr>
  </w:style>
  <w:style w:type="paragraph" w:styleId="17">
    <w:name w:val="Body Text Indent"/>
    <w:basedOn w:val="1"/>
    <w:link w:val="62"/>
    <w:qFormat/>
    <w:uiPriority w:val="99"/>
    <w:pPr>
      <w:spacing w:after="120"/>
      <w:ind w:left="420" w:leftChars="200"/>
    </w:pPr>
    <w:rPr>
      <w:rFonts w:ascii="Calibri" w:hAnsi="Calibri"/>
      <w:szCs w:val="22"/>
    </w:rPr>
  </w:style>
  <w:style w:type="paragraph" w:styleId="18">
    <w:name w:val="index 4"/>
    <w:basedOn w:val="1"/>
    <w:next w:val="1"/>
    <w:qFormat/>
    <w:uiPriority w:val="0"/>
    <w:pPr>
      <w:ind w:left="600" w:leftChars="600"/>
    </w:pPr>
    <w:rPr>
      <w:rFonts w:asciiTheme="minorHAnsi" w:hAnsiTheme="minorHAnsi" w:eastAsiaTheme="minorEastAsia" w:cstheme="minorBidi"/>
      <w:szCs w:val="22"/>
    </w:rPr>
  </w:style>
  <w:style w:type="paragraph" w:styleId="19">
    <w:name w:val="toc 5"/>
    <w:basedOn w:val="1"/>
    <w:next w:val="1"/>
    <w:qFormat/>
    <w:uiPriority w:val="39"/>
    <w:pPr>
      <w:ind w:left="960"/>
      <w:jc w:val="left"/>
    </w:pPr>
    <w:rPr>
      <w:rFonts w:ascii="Calibri" w:hAnsi="Calibri"/>
      <w:sz w:val="18"/>
      <w:szCs w:val="18"/>
    </w:rPr>
  </w:style>
  <w:style w:type="paragraph" w:styleId="20">
    <w:name w:val="toc 3"/>
    <w:basedOn w:val="1"/>
    <w:next w:val="1"/>
    <w:qFormat/>
    <w:uiPriority w:val="39"/>
    <w:pPr>
      <w:adjustRightInd w:val="0"/>
      <w:spacing w:line="312" w:lineRule="atLeast"/>
      <w:ind w:left="840" w:leftChars="400"/>
      <w:textAlignment w:val="baseline"/>
    </w:pPr>
    <w:rPr>
      <w:kern w:val="0"/>
      <w:sz w:val="24"/>
    </w:rPr>
  </w:style>
  <w:style w:type="paragraph" w:styleId="21">
    <w:name w:val="Plain Text"/>
    <w:basedOn w:val="1"/>
    <w:link w:val="64"/>
    <w:qFormat/>
    <w:uiPriority w:val="0"/>
    <w:rPr>
      <w:rFonts w:ascii="宋体" w:hAnsi="Courier New"/>
    </w:rPr>
  </w:style>
  <w:style w:type="paragraph" w:styleId="22">
    <w:name w:val="toc 8"/>
    <w:basedOn w:val="1"/>
    <w:next w:val="1"/>
    <w:qFormat/>
    <w:uiPriority w:val="39"/>
    <w:pPr>
      <w:ind w:left="1680"/>
      <w:jc w:val="left"/>
    </w:pPr>
    <w:rPr>
      <w:rFonts w:ascii="Calibri" w:hAnsi="Calibri"/>
      <w:sz w:val="18"/>
      <w:szCs w:val="18"/>
    </w:rPr>
  </w:style>
  <w:style w:type="paragraph" w:styleId="23">
    <w:name w:val="Date"/>
    <w:basedOn w:val="1"/>
    <w:next w:val="1"/>
    <w:link w:val="100"/>
    <w:qFormat/>
    <w:uiPriority w:val="0"/>
    <w:pPr>
      <w:adjustRightInd w:val="0"/>
      <w:spacing w:line="312" w:lineRule="atLeast"/>
      <w:ind w:left="100" w:leftChars="2500"/>
      <w:textAlignment w:val="baseline"/>
    </w:pPr>
    <w:rPr>
      <w:kern w:val="0"/>
      <w:sz w:val="24"/>
    </w:rPr>
  </w:style>
  <w:style w:type="paragraph" w:styleId="24">
    <w:name w:val="Body Text Indent 2"/>
    <w:basedOn w:val="1"/>
    <w:link w:val="99"/>
    <w:qFormat/>
    <w:uiPriority w:val="0"/>
    <w:pPr>
      <w:adjustRightInd w:val="0"/>
      <w:spacing w:after="120" w:line="480" w:lineRule="auto"/>
      <w:ind w:left="420" w:leftChars="200"/>
      <w:textAlignment w:val="baseline"/>
    </w:pPr>
    <w:rPr>
      <w:kern w:val="0"/>
      <w:sz w:val="24"/>
    </w:rPr>
  </w:style>
  <w:style w:type="paragraph" w:styleId="25">
    <w:name w:val="Balloon Text"/>
    <w:basedOn w:val="1"/>
    <w:link w:val="61"/>
    <w:qFormat/>
    <w:uiPriority w:val="0"/>
    <w:rPr>
      <w:sz w:val="18"/>
      <w:szCs w:val="18"/>
    </w:rPr>
  </w:style>
  <w:style w:type="paragraph" w:styleId="26">
    <w:name w:val="footer"/>
    <w:basedOn w:val="1"/>
    <w:link w:val="56"/>
    <w:qFormat/>
    <w:uiPriority w:val="99"/>
    <w:pPr>
      <w:tabs>
        <w:tab w:val="center" w:pos="4153"/>
        <w:tab w:val="right" w:pos="8306"/>
      </w:tabs>
      <w:snapToGrid w:val="0"/>
      <w:jc w:val="left"/>
    </w:pPr>
    <w:rPr>
      <w:sz w:val="18"/>
      <w:szCs w:val="18"/>
    </w:rPr>
  </w:style>
  <w:style w:type="paragraph" w:styleId="27">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9">
    <w:name w:val="toc 4"/>
    <w:basedOn w:val="1"/>
    <w:next w:val="1"/>
    <w:qFormat/>
    <w:uiPriority w:val="39"/>
    <w:pPr>
      <w:ind w:left="720"/>
      <w:jc w:val="left"/>
    </w:pPr>
    <w:rPr>
      <w:rFonts w:ascii="Calibri" w:hAnsi="Calibri"/>
      <w:sz w:val="18"/>
      <w:szCs w:val="18"/>
    </w:rPr>
  </w:style>
  <w:style w:type="paragraph" w:styleId="30">
    <w:name w:val="List"/>
    <w:basedOn w:val="1"/>
    <w:qFormat/>
    <w:uiPriority w:val="99"/>
    <w:pPr>
      <w:ind w:left="200" w:hanging="200" w:hangingChars="200"/>
    </w:pPr>
    <w:rPr>
      <w:szCs w:val="21"/>
    </w:rPr>
  </w:style>
  <w:style w:type="paragraph" w:styleId="31">
    <w:name w:val="toc 6"/>
    <w:basedOn w:val="1"/>
    <w:next w:val="1"/>
    <w:qFormat/>
    <w:uiPriority w:val="39"/>
    <w:pPr>
      <w:ind w:left="1200"/>
      <w:jc w:val="left"/>
    </w:pPr>
    <w:rPr>
      <w:rFonts w:ascii="Calibri" w:hAnsi="Calibri"/>
      <w:sz w:val="18"/>
      <w:szCs w:val="18"/>
    </w:rPr>
  </w:style>
  <w:style w:type="paragraph" w:styleId="32">
    <w:name w:val="Body Text Indent 3"/>
    <w:basedOn w:val="1"/>
    <w:link w:val="96"/>
    <w:qFormat/>
    <w:uiPriority w:val="0"/>
    <w:pPr>
      <w:spacing w:line="360" w:lineRule="auto"/>
      <w:ind w:left="1347" w:leftChars="413" w:hanging="480" w:hangingChars="200"/>
    </w:pPr>
    <w:rPr>
      <w:rFonts w:ascii="宋体" w:hAnsi="宋体"/>
      <w:color w:val="FF0000"/>
      <w:sz w:val="24"/>
      <w:szCs w:val="24"/>
    </w:rPr>
  </w:style>
  <w:style w:type="paragraph" w:styleId="33">
    <w:name w:val="index 9"/>
    <w:basedOn w:val="1"/>
    <w:next w:val="1"/>
    <w:semiHidden/>
    <w:qFormat/>
    <w:uiPriority w:val="98"/>
    <w:pPr>
      <w:ind w:left="1600" w:leftChars="1600"/>
    </w:pPr>
  </w:style>
  <w:style w:type="paragraph" w:styleId="34">
    <w:name w:val="toc 2"/>
    <w:basedOn w:val="1"/>
    <w:next w:val="1"/>
    <w:qFormat/>
    <w:uiPriority w:val="39"/>
    <w:pPr>
      <w:ind w:left="420" w:leftChars="200"/>
    </w:pPr>
  </w:style>
  <w:style w:type="paragraph" w:styleId="35">
    <w:name w:val="toc 9"/>
    <w:basedOn w:val="1"/>
    <w:next w:val="1"/>
    <w:qFormat/>
    <w:uiPriority w:val="39"/>
    <w:pPr>
      <w:ind w:left="1920"/>
      <w:jc w:val="left"/>
    </w:pPr>
    <w:rPr>
      <w:rFonts w:ascii="Calibri" w:hAnsi="Calibri"/>
      <w:sz w:val="18"/>
      <w:szCs w:val="18"/>
    </w:rPr>
  </w:style>
  <w:style w:type="paragraph" w:styleId="36">
    <w:name w:val="Message Header"/>
    <w:basedOn w:val="1"/>
    <w:link w:val="12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37">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8">
    <w:name w:val="index 1"/>
    <w:basedOn w:val="1"/>
    <w:next w:val="1"/>
    <w:qFormat/>
    <w:uiPriority w:val="99"/>
    <w:rPr>
      <w:rFonts w:ascii="Calibri" w:hAnsi="Calibri"/>
      <w:sz w:val="24"/>
      <w:szCs w:val="24"/>
    </w:rPr>
  </w:style>
  <w:style w:type="paragraph" w:styleId="39">
    <w:name w:val="Title"/>
    <w:basedOn w:val="1"/>
    <w:next w:val="1"/>
    <w:link w:val="83"/>
    <w:qFormat/>
    <w:uiPriority w:val="0"/>
    <w:pPr>
      <w:spacing w:before="240" w:after="60"/>
      <w:jc w:val="center"/>
      <w:outlineLvl w:val="0"/>
    </w:pPr>
    <w:rPr>
      <w:rFonts w:eastAsia="黑体" w:asciiTheme="majorHAnsi" w:hAnsiTheme="majorHAnsi" w:cstheme="majorBidi"/>
      <w:b/>
      <w:bCs/>
      <w:sz w:val="36"/>
      <w:szCs w:val="32"/>
    </w:rPr>
  </w:style>
  <w:style w:type="paragraph" w:styleId="40">
    <w:name w:val="annotation subject"/>
    <w:basedOn w:val="14"/>
    <w:next w:val="14"/>
    <w:link w:val="67"/>
    <w:qFormat/>
    <w:uiPriority w:val="0"/>
    <w:rPr>
      <w:b/>
      <w:bCs/>
    </w:rPr>
  </w:style>
  <w:style w:type="paragraph" w:styleId="41">
    <w:name w:val="Body Text First Indent 2"/>
    <w:basedOn w:val="17"/>
    <w:qFormat/>
    <w:uiPriority w:val="99"/>
    <w:pPr>
      <w:spacing w:line="276" w:lineRule="auto"/>
      <w:ind w:left="200" w:firstLine="20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b/>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99"/>
    <w:rPr>
      <w:i/>
      <w:iCs/>
    </w:rPr>
  </w:style>
  <w:style w:type="character" w:styleId="49">
    <w:name w:val="HTML Acronym"/>
    <w:basedOn w:val="44"/>
    <w:qFormat/>
    <w:uiPriority w:val="99"/>
  </w:style>
  <w:style w:type="character" w:styleId="50">
    <w:name w:val="Hyperlink"/>
    <w:basedOn w:val="44"/>
    <w:qFormat/>
    <w:uiPriority w:val="99"/>
    <w:rPr>
      <w:rFonts w:cs="Times New Roman"/>
      <w:color w:val="1F4F88"/>
      <w:u w:val="none"/>
    </w:rPr>
  </w:style>
  <w:style w:type="character" w:styleId="51">
    <w:name w:val="annotation reference"/>
    <w:qFormat/>
    <w:uiPriority w:val="99"/>
    <w:rPr>
      <w:sz w:val="21"/>
      <w:szCs w:val="21"/>
    </w:rPr>
  </w:style>
  <w:style w:type="paragraph" w:customStyle="1" w:styleId="52">
    <w:name w:val="Default"/>
    <w:link w:val="136"/>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3">
    <w:name w:val="Char Char3"/>
    <w:qFormat/>
    <w:uiPriority w:val="0"/>
    <w:rPr>
      <w:rFonts w:ascii="宋体" w:hAnsi="Courier New" w:eastAsia="宋体"/>
      <w:kern w:val="2"/>
      <w:sz w:val="21"/>
      <w:lang w:val="en-US" w:eastAsia="zh-CN" w:bidi="ar-SA"/>
    </w:rPr>
  </w:style>
  <w:style w:type="character" w:customStyle="1" w:styleId="54">
    <w:name w:val="纯文本 Char"/>
    <w:qFormat/>
    <w:uiPriority w:val="0"/>
    <w:rPr>
      <w:rFonts w:ascii="宋体" w:hAnsi="Courier New" w:eastAsia="宋体"/>
      <w:kern w:val="2"/>
      <w:sz w:val="21"/>
      <w:lang w:val="en-US" w:eastAsia="zh-CN" w:bidi="ar-SA"/>
    </w:rPr>
  </w:style>
  <w:style w:type="character" w:customStyle="1" w:styleId="55">
    <w:name w:val="正文文本 字符"/>
    <w:link w:val="16"/>
    <w:qFormat/>
    <w:uiPriority w:val="99"/>
    <w:rPr>
      <w:rFonts w:ascii="仿宋_GB2312" w:eastAsia="仿宋_GB2312"/>
      <w:kern w:val="2"/>
      <w:sz w:val="32"/>
    </w:rPr>
  </w:style>
  <w:style w:type="character" w:customStyle="1" w:styleId="56">
    <w:name w:val="页脚 字符"/>
    <w:link w:val="26"/>
    <w:qFormat/>
    <w:uiPriority w:val="99"/>
    <w:rPr>
      <w:kern w:val="2"/>
      <w:sz w:val="18"/>
      <w:szCs w:val="18"/>
    </w:rPr>
  </w:style>
  <w:style w:type="character" w:customStyle="1" w:styleId="57">
    <w:name w:val="标题 3 字符"/>
    <w:semiHidden/>
    <w:qFormat/>
    <w:uiPriority w:val="9"/>
    <w:rPr>
      <w:b/>
      <w:bCs/>
      <w:kern w:val="2"/>
      <w:sz w:val="32"/>
      <w:szCs w:val="32"/>
    </w:rPr>
  </w:style>
  <w:style w:type="character" w:customStyle="1" w:styleId="58">
    <w:name w:val="正文文本 Char"/>
    <w:semiHidden/>
    <w:qFormat/>
    <w:uiPriority w:val="98"/>
    <w:rPr>
      <w:rFonts w:ascii="仿宋_GB2312" w:eastAsia="仿宋_GB2312"/>
      <w:kern w:val="2"/>
      <w:sz w:val="32"/>
    </w:rPr>
  </w:style>
  <w:style w:type="character" w:customStyle="1" w:styleId="59">
    <w:name w:val="批注文字 字符"/>
    <w:link w:val="14"/>
    <w:qFormat/>
    <w:uiPriority w:val="0"/>
    <w:rPr>
      <w:kern w:val="2"/>
      <w:sz w:val="21"/>
    </w:rPr>
  </w:style>
  <w:style w:type="character" w:customStyle="1" w:styleId="60">
    <w:name w:val="apple-converted-space"/>
    <w:basedOn w:val="44"/>
    <w:qFormat/>
    <w:uiPriority w:val="0"/>
  </w:style>
  <w:style w:type="character" w:customStyle="1" w:styleId="61">
    <w:name w:val="批注框文本 字符"/>
    <w:link w:val="25"/>
    <w:qFormat/>
    <w:uiPriority w:val="0"/>
    <w:rPr>
      <w:kern w:val="2"/>
      <w:sz w:val="18"/>
      <w:szCs w:val="18"/>
    </w:rPr>
  </w:style>
  <w:style w:type="character" w:customStyle="1" w:styleId="62">
    <w:name w:val="正文文本缩进 字符"/>
    <w:link w:val="17"/>
    <w:qFormat/>
    <w:uiPriority w:val="99"/>
    <w:rPr>
      <w:rFonts w:ascii="Calibri" w:hAnsi="Calibri"/>
      <w:kern w:val="2"/>
      <w:sz w:val="21"/>
      <w:szCs w:val="22"/>
    </w:rPr>
  </w:style>
  <w:style w:type="character" w:customStyle="1" w:styleId="63">
    <w:name w:val="Char Char5"/>
    <w:qFormat/>
    <w:uiPriority w:val="0"/>
    <w:rPr>
      <w:rFonts w:ascii="宋体" w:hAnsi="Courier New" w:eastAsia="宋体"/>
      <w:kern w:val="2"/>
      <w:sz w:val="21"/>
      <w:lang w:val="en-US" w:eastAsia="zh-CN" w:bidi="ar-SA"/>
    </w:rPr>
  </w:style>
  <w:style w:type="character" w:customStyle="1" w:styleId="64">
    <w:name w:val="纯文本 字符1"/>
    <w:link w:val="21"/>
    <w:semiHidden/>
    <w:qFormat/>
    <w:uiPriority w:val="99"/>
    <w:rPr>
      <w:rFonts w:ascii="宋体" w:hAnsi="Courier New"/>
      <w:kern w:val="2"/>
      <w:sz w:val="21"/>
    </w:rPr>
  </w:style>
  <w:style w:type="character" w:customStyle="1" w:styleId="65">
    <w:name w:val="纯文本 字符"/>
    <w:qFormat/>
    <w:uiPriority w:val="0"/>
    <w:rPr>
      <w:rFonts w:ascii="宋体" w:hAnsi="Courier New" w:eastAsia="宋体"/>
    </w:rPr>
  </w:style>
  <w:style w:type="character" w:customStyle="1" w:styleId="66">
    <w:name w:val="页眉 字符"/>
    <w:link w:val="27"/>
    <w:qFormat/>
    <w:uiPriority w:val="0"/>
    <w:rPr>
      <w:kern w:val="2"/>
      <w:sz w:val="18"/>
      <w:szCs w:val="18"/>
    </w:rPr>
  </w:style>
  <w:style w:type="character" w:customStyle="1" w:styleId="67">
    <w:name w:val="批注主题 字符"/>
    <w:link w:val="40"/>
    <w:qFormat/>
    <w:uiPriority w:val="0"/>
    <w:rPr>
      <w:b/>
      <w:bCs/>
      <w:kern w:val="2"/>
      <w:sz w:val="21"/>
    </w:rPr>
  </w:style>
  <w:style w:type="character" w:customStyle="1" w:styleId="68">
    <w:name w:val="Char Char2"/>
    <w:qFormat/>
    <w:uiPriority w:val="0"/>
    <w:rPr>
      <w:rFonts w:ascii="宋体" w:hAnsi="Courier New" w:cs="宋体"/>
      <w:kern w:val="2"/>
      <w:sz w:val="21"/>
      <w:szCs w:val="21"/>
    </w:rPr>
  </w:style>
  <w:style w:type="character" w:customStyle="1" w:styleId="69">
    <w:name w:val="HTML Markup"/>
    <w:qFormat/>
    <w:uiPriority w:val="0"/>
    <w:rPr>
      <w:vanish/>
      <w:color w:val="FF0000"/>
    </w:rPr>
  </w:style>
  <w:style w:type="character" w:customStyle="1" w:styleId="70">
    <w:name w:val="纯文本 Char3"/>
    <w:semiHidden/>
    <w:qFormat/>
    <w:uiPriority w:val="98"/>
    <w:rPr>
      <w:rFonts w:ascii="宋体" w:hAnsi="Courier New" w:eastAsia="宋体"/>
      <w:kern w:val="2"/>
      <w:sz w:val="21"/>
      <w:lang w:val="en-US" w:eastAsia="zh-CN" w:bidi="ar-SA"/>
    </w:rPr>
  </w:style>
  <w:style w:type="character" w:customStyle="1" w:styleId="71">
    <w:name w:val="正文文本缩进 Char"/>
    <w:link w:val="72"/>
    <w:semiHidden/>
    <w:qFormat/>
    <w:uiPriority w:val="98"/>
    <w:rPr>
      <w:kern w:val="2"/>
      <w:sz w:val="21"/>
    </w:rPr>
  </w:style>
  <w:style w:type="paragraph" w:customStyle="1" w:styleId="72">
    <w:name w:val="正文文本缩进1"/>
    <w:basedOn w:val="1"/>
    <w:link w:val="71"/>
    <w:semiHidden/>
    <w:qFormat/>
    <w:uiPriority w:val="98"/>
    <w:pPr>
      <w:spacing w:after="120"/>
      <w:ind w:left="420" w:leftChars="200"/>
    </w:pPr>
  </w:style>
  <w:style w:type="paragraph" w:customStyle="1" w:styleId="7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7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7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76">
    <w:name w:val="List Paragraph"/>
    <w:basedOn w:val="1"/>
    <w:qFormat/>
    <w:uiPriority w:val="34"/>
    <w:pPr>
      <w:ind w:firstLine="420" w:firstLineChars="200"/>
    </w:pPr>
    <w:rPr>
      <w:rFonts w:ascii="Calibri" w:hAnsi="Calibri"/>
      <w:szCs w:val="22"/>
    </w:rPr>
  </w:style>
  <w:style w:type="paragraph" w:customStyle="1" w:styleId="77">
    <w:name w:val="列出段落1"/>
    <w:basedOn w:val="1"/>
    <w:link w:val="130"/>
    <w:qFormat/>
    <w:uiPriority w:val="34"/>
    <w:pPr>
      <w:ind w:firstLine="420" w:firstLineChars="200"/>
    </w:pPr>
    <w:rPr>
      <w:rFonts w:ascii="Calibri" w:hAnsi="Calibri"/>
      <w:szCs w:val="22"/>
    </w:rPr>
  </w:style>
  <w:style w:type="paragraph" w:customStyle="1" w:styleId="78">
    <w:name w:val="二级列表 Char"/>
    <w:basedOn w:val="1"/>
    <w:qFormat/>
    <w:uiPriority w:val="0"/>
    <w:rPr>
      <w:rFonts w:ascii="Calibri" w:hAnsi="Calibri"/>
    </w:rPr>
  </w:style>
  <w:style w:type="character" w:customStyle="1" w:styleId="79">
    <w:name w:val="style61"/>
    <w:semiHidden/>
    <w:qFormat/>
    <w:uiPriority w:val="98"/>
  </w:style>
  <w:style w:type="character" w:customStyle="1" w:styleId="80">
    <w:name w:val="标题 1 字符"/>
    <w:basedOn w:val="44"/>
    <w:link w:val="2"/>
    <w:qFormat/>
    <w:uiPriority w:val="9"/>
    <w:rPr>
      <w:b/>
      <w:bCs/>
      <w:kern w:val="44"/>
      <w:sz w:val="44"/>
      <w:szCs w:val="44"/>
    </w:rPr>
  </w:style>
  <w:style w:type="paragraph" w:customStyle="1" w:styleId="81">
    <w:name w:val="TOC 标题1"/>
    <w:basedOn w:val="2"/>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82">
    <w:name w:val="标题 2 字符"/>
    <w:basedOn w:val="44"/>
    <w:qFormat/>
    <w:uiPriority w:val="9"/>
    <w:rPr>
      <w:rFonts w:asciiTheme="majorHAnsi" w:hAnsiTheme="majorHAnsi" w:eastAsiaTheme="majorEastAsia" w:cstheme="majorBidi"/>
      <w:b/>
      <w:bCs/>
      <w:kern w:val="2"/>
      <w:sz w:val="32"/>
      <w:szCs w:val="32"/>
    </w:rPr>
  </w:style>
  <w:style w:type="character" w:customStyle="1" w:styleId="83">
    <w:name w:val="标题 字符"/>
    <w:basedOn w:val="44"/>
    <w:link w:val="39"/>
    <w:qFormat/>
    <w:uiPriority w:val="0"/>
    <w:rPr>
      <w:rFonts w:eastAsia="黑体" w:asciiTheme="majorHAnsi" w:hAnsiTheme="majorHAnsi" w:cstheme="majorBidi"/>
      <w:b/>
      <w:bCs/>
      <w:kern w:val="2"/>
      <w:sz w:val="36"/>
      <w:szCs w:val="32"/>
    </w:rPr>
  </w:style>
  <w:style w:type="paragraph" w:customStyle="1" w:styleId="84">
    <w:name w:val="章节"/>
    <w:basedOn w:val="21"/>
    <w:qFormat/>
    <w:uiPriority w:val="0"/>
    <w:pPr>
      <w:spacing w:line="360" w:lineRule="auto"/>
      <w:jc w:val="center"/>
      <w:outlineLvl w:val="0"/>
    </w:pPr>
    <w:rPr>
      <w:rFonts w:ascii="黑体" w:eastAsia="黑体"/>
      <w:b/>
      <w:bCs/>
      <w:sz w:val="36"/>
      <w:szCs w:val="36"/>
    </w:rPr>
  </w:style>
  <w:style w:type="paragraph" w:customStyle="1" w:styleId="85">
    <w:name w:val="一级标题"/>
    <w:basedOn w:val="21"/>
    <w:qFormat/>
    <w:uiPriority w:val="0"/>
    <w:pPr>
      <w:numPr>
        <w:ilvl w:val="0"/>
        <w:numId w:val="2"/>
      </w:numPr>
      <w:spacing w:line="360" w:lineRule="auto"/>
      <w:outlineLvl w:val="1"/>
    </w:pPr>
    <w:rPr>
      <w:rFonts w:ascii="黑体" w:eastAsia="黑体"/>
      <w:b/>
      <w:bCs/>
      <w:sz w:val="28"/>
    </w:rPr>
  </w:style>
  <w:style w:type="paragraph" w:customStyle="1" w:styleId="86">
    <w:name w:val="（二）级标题"/>
    <w:basedOn w:val="21"/>
    <w:qFormat/>
    <w:uiPriority w:val="2"/>
    <w:pPr>
      <w:numPr>
        <w:ilvl w:val="0"/>
        <w:numId w:val="3"/>
      </w:numPr>
      <w:spacing w:line="360" w:lineRule="auto"/>
      <w:outlineLvl w:val="2"/>
    </w:pPr>
    <w:rPr>
      <w:b/>
    </w:rPr>
  </w:style>
  <w:style w:type="paragraph" w:customStyle="1" w:styleId="87">
    <w:name w:val="3级标题"/>
    <w:basedOn w:val="21"/>
    <w:link w:val="115"/>
    <w:qFormat/>
    <w:uiPriority w:val="3"/>
    <w:pPr>
      <w:numPr>
        <w:ilvl w:val="0"/>
        <w:numId w:val="4"/>
      </w:numPr>
      <w:spacing w:line="360" w:lineRule="auto"/>
      <w:outlineLvl w:val="3"/>
    </w:pPr>
    <w:rPr>
      <w:b/>
    </w:rPr>
  </w:style>
  <w:style w:type="paragraph" w:customStyle="1" w:styleId="88">
    <w:name w:val="（4）级标题"/>
    <w:basedOn w:val="21"/>
    <w:qFormat/>
    <w:uiPriority w:val="8"/>
    <w:pPr>
      <w:numPr>
        <w:ilvl w:val="0"/>
        <w:numId w:val="5"/>
      </w:numPr>
      <w:spacing w:line="360" w:lineRule="auto"/>
      <w:outlineLvl w:val="4"/>
    </w:pPr>
  </w:style>
  <w:style w:type="paragraph" w:customStyle="1" w:styleId="89">
    <w:name w:val="标书正文"/>
    <w:basedOn w:val="21"/>
    <w:link w:val="110"/>
    <w:qFormat/>
    <w:uiPriority w:val="9"/>
    <w:pPr>
      <w:spacing w:line="360" w:lineRule="auto"/>
      <w:jc w:val="left"/>
    </w:pPr>
  </w:style>
  <w:style w:type="character" w:customStyle="1" w:styleId="90">
    <w:name w:val="标题 4 字符"/>
    <w:basedOn w:val="44"/>
    <w:link w:val="5"/>
    <w:semiHidden/>
    <w:qFormat/>
    <w:uiPriority w:val="0"/>
    <w:rPr>
      <w:rFonts w:ascii="Arial" w:hAnsi="Arial"/>
      <w:b/>
      <w:bCs/>
      <w:kern w:val="2"/>
      <w:sz w:val="21"/>
      <w:szCs w:val="28"/>
    </w:rPr>
  </w:style>
  <w:style w:type="character" w:customStyle="1" w:styleId="91">
    <w:name w:val="标题 5 字符"/>
    <w:basedOn w:val="44"/>
    <w:link w:val="6"/>
    <w:qFormat/>
    <w:uiPriority w:val="0"/>
    <w:rPr>
      <w:rFonts w:ascii="宋体" w:hAnsi="宋体"/>
      <w:bCs/>
      <w:iCs/>
      <w:color w:val="000000"/>
      <w:sz w:val="28"/>
      <w:szCs w:val="28"/>
    </w:rPr>
  </w:style>
  <w:style w:type="paragraph" w:customStyle="1" w:styleId="9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3">
    <w:name w:val="case31"/>
    <w:qFormat/>
    <w:uiPriority w:val="0"/>
    <w:rPr>
      <w:rFonts w:hint="default" w:ascii="ˎ̥" w:hAnsi="ˎ̥"/>
      <w:sz w:val="21"/>
      <w:szCs w:val="21"/>
    </w:rPr>
  </w:style>
  <w:style w:type="character" w:customStyle="1" w:styleId="94">
    <w:name w:val="标题 2 字符1"/>
    <w:link w:val="3"/>
    <w:qFormat/>
    <w:uiPriority w:val="0"/>
    <w:rPr>
      <w:rFonts w:ascii="宋体" w:hAnsi="宋体"/>
      <w:bCs/>
      <w:sz w:val="24"/>
      <w:szCs w:val="32"/>
    </w:rPr>
  </w:style>
  <w:style w:type="character" w:customStyle="1" w:styleId="95">
    <w:name w:val="标题 Char"/>
    <w:qFormat/>
    <w:uiPriority w:val="0"/>
    <w:rPr>
      <w:rFonts w:ascii="宋体" w:hAnsi="宋体" w:cs="Times New Roman"/>
      <w:b/>
      <w:bCs/>
      <w:sz w:val="24"/>
      <w:szCs w:val="32"/>
    </w:rPr>
  </w:style>
  <w:style w:type="character" w:customStyle="1" w:styleId="96">
    <w:name w:val="正文文本缩进 3 字符"/>
    <w:basedOn w:val="44"/>
    <w:link w:val="32"/>
    <w:qFormat/>
    <w:uiPriority w:val="0"/>
    <w:rPr>
      <w:rFonts w:ascii="宋体" w:hAnsi="宋体"/>
      <w:color w:val="FF0000"/>
      <w:kern w:val="2"/>
      <w:sz w:val="24"/>
      <w:szCs w:val="24"/>
    </w:rPr>
  </w:style>
  <w:style w:type="paragraph" w:customStyle="1" w:styleId="97">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9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99">
    <w:name w:val="正文文本缩进 2 字符"/>
    <w:basedOn w:val="44"/>
    <w:link w:val="24"/>
    <w:qFormat/>
    <w:uiPriority w:val="0"/>
    <w:rPr>
      <w:sz w:val="24"/>
    </w:rPr>
  </w:style>
  <w:style w:type="character" w:customStyle="1" w:styleId="100">
    <w:name w:val="日期 字符"/>
    <w:basedOn w:val="44"/>
    <w:link w:val="23"/>
    <w:qFormat/>
    <w:uiPriority w:val="0"/>
    <w:rPr>
      <w:sz w:val="24"/>
    </w:rPr>
  </w:style>
  <w:style w:type="paragraph" w:customStyle="1" w:styleId="101">
    <w:name w:val="Char1 Char Char Char Char Char Char"/>
    <w:basedOn w:val="1"/>
    <w:qFormat/>
    <w:uiPriority w:val="0"/>
    <w:rPr>
      <w:rFonts w:ascii="Tahoma" w:hAnsi="Tahoma"/>
      <w:sz w:val="24"/>
    </w:rPr>
  </w:style>
  <w:style w:type="paragraph" w:customStyle="1" w:styleId="102">
    <w:name w:val="样式1"/>
    <w:basedOn w:val="1"/>
    <w:qFormat/>
    <w:uiPriority w:val="0"/>
    <w:pPr>
      <w:adjustRightInd w:val="0"/>
      <w:spacing w:line="420" w:lineRule="auto"/>
      <w:jc w:val="center"/>
      <w:textAlignment w:val="baseline"/>
    </w:pPr>
    <w:rPr>
      <w:rFonts w:ascii="宋体"/>
      <w:kern w:val="0"/>
      <w:sz w:val="24"/>
    </w:rPr>
  </w:style>
  <w:style w:type="paragraph" w:customStyle="1" w:styleId="10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04">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05">
    <w:name w:val="文档结构图 字符"/>
    <w:basedOn w:val="44"/>
    <w:qFormat/>
    <w:uiPriority w:val="0"/>
    <w:rPr>
      <w:rFonts w:ascii="Microsoft YaHei UI" w:eastAsia="Microsoft YaHei UI"/>
      <w:kern w:val="2"/>
      <w:sz w:val="18"/>
      <w:szCs w:val="18"/>
    </w:rPr>
  </w:style>
  <w:style w:type="character" w:customStyle="1" w:styleId="106">
    <w:name w:val="文档结构图 字符1"/>
    <w:basedOn w:val="44"/>
    <w:link w:val="12"/>
    <w:semiHidden/>
    <w:qFormat/>
    <w:uiPriority w:val="99"/>
    <w:rPr>
      <w:rFonts w:ascii="宋体"/>
      <w:sz w:val="18"/>
      <w:szCs w:val="18"/>
    </w:rPr>
  </w:style>
  <w:style w:type="paragraph" w:customStyle="1" w:styleId="107">
    <w:name w:val="表格"/>
    <w:basedOn w:val="1"/>
    <w:link w:val="108"/>
    <w:qFormat/>
    <w:uiPriority w:val="0"/>
    <w:rPr>
      <w:rFonts w:ascii="宋体" w:hAnsi="宋体"/>
      <w:szCs w:val="30"/>
    </w:rPr>
  </w:style>
  <w:style w:type="character" w:customStyle="1" w:styleId="108">
    <w:name w:val="表格 字符"/>
    <w:basedOn w:val="44"/>
    <w:link w:val="107"/>
    <w:qFormat/>
    <w:uiPriority w:val="10"/>
    <w:rPr>
      <w:rFonts w:ascii="宋体" w:hAnsi="宋体"/>
      <w:kern w:val="2"/>
      <w:sz w:val="21"/>
      <w:szCs w:val="30"/>
    </w:rPr>
  </w:style>
  <w:style w:type="paragraph" w:customStyle="1" w:styleId="109">
    <w:name w:val="5）级标题"/>
    <w:basedOn w:val="89"/>
    <w:link w:val="111"/>
    <w:qFormat/>
    <w:uiPriority w:val="11"/>
    <w:pPr>
      <w:numPr>
        <w:ilvl w:val="0"/>
        <w:numId w:val="7"/>
      </w:numPr>
      <w:ind w:firstLine="0"/>
    </w:pPr>
  </w:style>
  <w:style w:type="character" w:customStyle="1" w:styleId="110">
    <w:name w:val="标书正文 字符"/>
    <w:basedOn w:val="64"/>
    <w:link w:val="89"/>
    <w:qFormat/>
    <w:uiPriority w:val="9"/>
    <w:rPr>
      <w:rFonts w:ascii="宋体" w:hAnsi="Courier New"/>
      <w:kern w:val="2"/>
      <w:sz w:val="21"/>
    </w:rPr>
  </w:style>
  <w:style w:type="character" w:customStyle="1" w:styleId="111">
    <w:name w:val="5）级标题 字符"/>
    <w:basedOn w:val="110"/>
    <w:link w:val="109"/>
    <w:qFormat/>
    <w:uiPriority w:val="11"/>
    <w:rPr>
      <w:rFonts w:ascii="宋体" w:hAnsi="Courier New"/>
      <w:kern w:val="2"/>
      <w:sz w:val="21"/>
    </w:rPr>
  </w:style>
  <w:style w:type="paragraph" w:customStyle="1" w:styleId="112">
    <w:name w:val="样式 标题 4 + 段前: 5 磅 段后: 5 磅 行距: 单倍行距"/>
    <w:next w:val="3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13">
    <w:name w:val="不明显强调1"/>
    <w:basedOn w:val="44"/>
    <w:qFormat/>
    <w:uiPriority w:val="19"/>
    <w:rPr>
      <w:rFonts w:eastAsia="宋体"/>
      <w:i/>
      <w:iCs/>
      <w:color w:val="auto"/>
      <w:sz w:val="21"/>
    </w:rPr>
  </w:style>
  <w:style w:type="paragraph" w:customStyle="1" w:styleId="114">
    <w:name w:val="⑥级标题"/>
    <w:basedOn w:val="87"/>
    <w:link w:val="116"/>
    <w:qFormat/>
    <w:uiPriority w:val="12"/>
    <w:pPr>
      <w:numPr>
        <w:numId w:val="8"/>
      </w:numPr>
    </w:pPr>
  </w:style>
  <w:style w:type="character" w:customStyle="1" w:styleId="115">
    <w:name w:val="3级标题 字符"/>
    <w:basedOn w:val="64"/>
    <w:link w:val="87"/>
    <w:qFormat/>
    <w:uiPriority w:val="3"/>
    <w:rPr>
      <w:rFonts w:ascii="宋体" w:hAnsi="Courier New"/>
      <w:b/>
      <w:kern w:val="2"/>
      <w:sz w:val="21"/>
    </w:rPr>
  </w:style>
  <w:style w:type="character" w:customStyle="1" w:styleId="116">
    <w:name w:val="⑥级标题 字符"/>
    <w:basedOn w:val="115"/>
    <w:link w:val="114"/>
    <w:qFormat/>
    <w:uiPriority w:val="12"/>
    <w:rPr>
      <w:rFonts w:ascii="宋体" w:hAnsi="Courier New"/>
      <w:kern w:val="2"/>
      <w:sz w:val="21"/>
    </w:rPr>
  </w:style>
  <w:style w:type="character" w:customStyle="1" w:styleId="117">
    <w:name w:val="电子邮件签名 字符"/>
    <w:link w:val="9"/>
    <w:semiHidden/>
    <w:qFormat/>
    <w:locked/>
    <w:uiPriority w:val="99"/>
    <w:rPr>
      <w:sz w:val="21"/>
      <w:szCs w:val="21"/>
    </w:rPr>
  </w:style>
  <w:style w:type="character" w:customStyle="1" w:styleId="118">
    <w:name w:val="电子邮件签名 字符1"/>
    <w:basedOn w:val="44"/>
    <w:semiHidden/>
    <w:qFormat/>
    <w:uiPriority w:val="98"/>
    <w:rPr>
      <w:rFonts w:ascii="Times New Roman" w:hAnsi="Times New Roman"/>
      <w:kern w:val="2"/>
      <w:sz w:val="21"/>
    </w:rPr>
  </w:style>
  <w:style w:type="character" w:customStyle="1" w:styleId="119">
    <w:name w:val="HR正文 Char"/>
    <w:link w:val="120"/>
    <w:qFormat/>
    <w:uiPriority w:val="0"/>
    <w:rPr>
      <w:kern w:val="2"/>
      <w:sz w:val="24"/>
      <w:szCs w:val="24"/>
    </w:rPr>
  </w:style>
  <w:style w:type="paragraph" w:customStyle="1" w:styleId="120">
    <w:name w:val="HR正文"/>
    <w:basedOn w:val="1"/>
    <w:link w:val="119"/>
    <w:qFormat/>
    <w:uiPriority w:val="0"/>
    <w:pPr>
      <w:spacing w:line="300" w:lineRule="auto"/>
      <w:ind w:firstLine="200" w:firstLineChars="200"/>
    </w:pPr>
    <w:rPr>
      <w:rFonts w:ascii="Calibri" w:hAnsi="Calibri"/>
      <w:sz w:val="24"/>
      <w:szCs w:val="24"/>
    </w:rPr>
  </w:style>
  <w:style w:type="character" w:customStyle="1" w:styleId="121">
    <w:name w:val="信息标题 字符"/>
    <w:link w:val="36"/>
    <w:semiHidden/>
    <w:qFormat/>
    <w:locked/>
    <w:uiPriority w:val="99"/>
    <w:rPr>
      <w:rFonts w:ascii="Cambria" w:hAnsi="Cambria" w:cs="Cambria"/>
      <w:sz w:val="24"/>
      <w:szCs w:val="24"/>
      <w:shd w:val="pct20" w:color="auto" w:fill="auto"/>
    </w:rPr>
  </w:style>
  <w:style w:type="character" w:customStyle="1" w:styleId="122">
    <w:name w:val="信息标题 字符1"/>
    <w:basedOn w:val="44"/>
    <w:semiHidden/>
    <w:qFormat/>
    <w:uiPriority w:val="98"/>
    <w:rPr>
      <w:rFonts w:asciiTheme="majorHAnsi" w:hAnsiTheme="majorHAnsi" w:eastAsiaTheme="majorEastAsia" w:cstheme="majorBidi"/>
      <w:kern w:val="2"/>
      <w:sz w:val="24"/>
      <w:szCs w:val="24"/>
      <w:shd w:val="pct20" w:color="auto" w:fill="auto"/>
    </w:rPr>
  </w:style>
  <w:style w:type="character" w:customStyle="1" w:styleId="123">
    <w:name w:val="页眉 Char1"/>
    <w:semiHidden/>
    <w:qFormat/>
    <w:locked/>
    <w:uiPriority w:val="0"/>
    <w:rPr>
      <w:rFonts w:ascii="Calibri" w:hAnsi="Calibri"/>
      <w:sz w:val="18"/>
      <w:szCs w:val="18"/>
    </w:rPr>
  </w:style>
  <w:style w:type="character" w:customStyle="1" w:styleId="124">
    <w:name w:val="标题 3 字符1"/>
    <w:link w:val="4"/>
    <w:qFormat/>
    <w:uiPriority w:val="0"/>
    <w:rPr>
      <w:b/>
      <w:sz w:val="32"/>
    </w:rPr>
  </w:style>
  <w:style w:type="paragraph" w:customStyle="1" w:styleId="125">
    <w:name w:val="Table Paragraph"/>
    <w:basedOn w:val="1"/>
    <w:qFormat/>
    <w:uiPriority w:val="1"/>
    <w:rPr>
      <w:rFonts w:ascii="宋体" w:hAnsi="宋体" w:cs="宋体"/>
    </w:rPr>
  </w:style>
  <w:style w:type="table" w:customStyle="1" w:styleId="126">
    <w:name w:val="Table Normal"/>
    <w:qFormat/>
    <w:uiPriority w:val="0"/>
    <w:tblPr>
      <w:tblCellMar>
        <w:top w:w="0" w:type="dxa"/>
        <w:left w:w="0" w:type="dxa"/>
        <w:bottom w:w="0" w:type="dxa"/>
        <w:right w:w="0" w:type="dxa"/>
      </w:tblCellMar>
    </w:tblPr>
  </w:style>
  <w:style w:type="character" w:customStyle="1" w:styleId="127">
    <w:name w:val="font31"/>
    <w:basedOn w:val="44"/>
    <w:qFormat/>
    <w:uiPriority w:val="0"/>
    <w:rPr>
      <w:rFonts w:ascii="宋体" w:hAnsi="宋体" w:eastAsia="宋体" w:cs="宋体"/>
      <w:b/>
      <w:bCs/>
      <w:color w:val="000000"/>
      <w:sz w:val="22"/>
      <w:szCs w:val="22"/>
      <w:u w:val="none"/>
    </w:rPr>
  </w:style>
  <w:style w:type="character" w:customStyle="1" w:styleId="128">
    <w:name w:val="font51"/>
    <w:basedOn w:val="44"/>
    <w:qFormat/>
    <w:uiPriority w:val="0"/>
    <w:rPr>
      <w:rFonts w:ascii="宋体" w:hAnsi="宋体" w:eastAsia="宋体" w:cs="宋体"/>
      <w:color w:val="000000"/>
      <w:sz w:val="22"/>
      <w:szCs w:val="22"/>
      <w:u w:val="none"/>
    </w:rPr>
  </w:style>
  <w:style w:type="character" w:customStyle="1" w:styleId="129">
    <w:name w:val="标题 6 字符"/>
    <w:basedOn w:val="44"/>
    <w:link w:val="7"/>
    <w:qFormat/>
    <w:uiPriority w:val="0"/>
    <w:rPr>
      <w:rFonts w:ascii="等线 Light" w:hAnsi="等线 Light" w:eastAsia="等线 Light"/>
      <w:b/>
      <w:bCs/>
      <w:kern w:val="2"/>
      <w:sz w:val="24"/>
      <w:szCs w:val="24"/>
    </w:rPr>
  </w:style>
  <w:style w:type="character" w:customStyle="1" w:styleId="130">
    <w:name w:val="列出段落 字符"/>
    <w:link w:val="77"/>
    <w:qFormat/>
    <w:locked/>
    <w:uiPriority w:val="34"/>
    <w:rPr>
      <w:rFonts w:ascii="Calibri" w:hAnsi="Calibri"/>
      <w:kern w:val="2"/>
      <w:sz w:val="21"/>
      <w:szCs w:val="22"/>
    </w:rPr>
  </w:style>
  <w:style w:type="character" w:customStyle="1" w:styleId="131">
    <w:name w:val="BODY TEXT Char"/>
    <w:qFormat/>
    <w:locked/>
    <w:uiPriority w:val="0"/>
    <w:rPr>
      <w:rFonts w:eastAsia="新宋体"/>
      <w:kern w:val="2"/>
      <w:sz w:val="21"/>
    </w:rPr>
  </w:style>
  <w:style w:type="character" w:customStyle="1" w:styleId="132">
    <w:name w:val="ATXT_Bullets Zchn"/>
    <w:link w:val="133"/>
    <w:qFormat/>
    <w:locked/>
    <w:uiPriority w:val="99"/>
    <w:rPr>
      <w:rFonts w:ascii="Arial" w:hAnsi="Arial"/>
    </w:rPr>
  </w:style>
  <w:style w:type="paragraph" w:customStyle="1" w:styleId="133">
    <w:name w:val="ATXT_Bullets"/>
    <w:link w:val="132"/>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34">
    <w:name w:val="批注文字 Char"/>
    <w:qFormat/>
    <w:uiPriority w:val="0"/>
    <w:rPr>
      <w:kern w:val="2"/>
    </w:rPr>
  </w:style>
  <w:style w:type="character" w:customStyle="1" w:styleId="135">
    <w:name w:val="批注主题 Char"/>
    <w:qFormat/>
    <w:uiPriority w:val="0"/>
    <w:rPr>
      <w:b/>
      <w:kern w:val="2"/>
    </w:rPr>
  </w:style>
  <w:style w:type="character" w:customStyle="1" w:styleId="136">
    <w:name w:val="Default Char"/>
    <w:link w:val="52"/>
    <w:qFormat/>
    <w:locked/>
    <w:uiPriority w:val="0"/>
    <w:rPr>
      <w:rFonts w:ascii="仿宋_GB2312" w:hAnsi="Calibri" w:eastAsia="仿宋_GB2312" w:cs="仿宋_GB2312"/>
      <w:color w:val="000000"/>
      <w:sz w:val="24"/>
      <w:szCs w:val="24"/>
    </w:rPr>
  </w:style>
  <w:style w:type="character" w:customStyle="1" w:styleId="137">
    <w:name w:val="页脚 Char"/>
    <w:qFormat/>
    <w:locked/>
    <w:uiPriority w:val="99"/>
    <w:rPr>
      <w:sz w:val="18"/>
    </w:rPr>
  </w:style>
  <w:style w:type="character" w:customStyle="1" w:styleId="138">
    <w:name w:val="批注文字 字符1"/>
    <w:basedOn w:val="44"/>
    <w:semiHidden/>
    <w:qFormat/>
    <w:uiPriority w:val="99"/>
  </w:style>
  <w:style w:type="character" w:customStyle="1" w:styleId="139">
    <w:name w:val="批注文字 字符11"/>
    <w:basedOn w:val="44"/>
    <w:qFormat/>
    <w:uiPriority w:val="0"/>
    <w:rPr>
      <w:rFonts w:cs="Times New Roman"/>
      <w:kern w:val="2"/>
      <w:sz w:val="21"/>
    </w:rPr>
  </w:style>
  <w:style w:type="character" w:customStyle="1" w:styleId="140">
    <w:name w:val="文档结构图 字符11"/>
    <w:basedOn w:val="44"/>
    <w:semiHidden/>
    <w:qFormat/>
    <w:uiPriority w:val="99"/>
    <w:rPr>
      <w:rFonts w:ascii="Microsoft YaHei UI" w:eastAsia="Microsoft YaHei UI" w:cs="Times New Roman"/>
      <w:kern w:val="2"/>
      <w:sz w:val="18"/>
      <w:szCs w:val="18"/>
    </w:rPr>
  </w:style>
  <w:style w:type="character" w:customStyle="1" w:styleId="141">
    <w:name w:val="纯文本 字符11"/>
    <w:basedOn w:val="44"/>
    <w:qFormat/>
    <w:uiPriority w:val="0"/>
    <w:rPr>
      <w:rFonts w:hAnsi="Courier New" w:cs="Courier New" w:asciiTheme="minorEastAsia" w:eastAsiaTheme="minorEastAsia"/>
      <w:kern w:val="2"/>
      <w:sz w:val="21"/>
    </w:rPr>
  </w:style>
  <w:style w:type="character" w:customStyle="1" w:styleId="142">
    <w:name w:val="页眉 字符1"/>
    <w:basedOn w:val="44"/>
    <w:semiHidden/>
    <w:qFormat/>
    <w:uiPriority w:val="99"/>
    <w:rPr>
      <w:sz w:val="18"/>
      <w:szCs w:val="18"/>
    </w:rPr>
  </w:style>
  <w:style w:type="character" w:customStyle="1" w:styleId="143">
    <w:name w:val="页眉 字符11"/>
    <w:basedOn w:val="44"/>
    <w:semiHidden/>
    <w:qFormat/>
    <w:uiPriority w:val="99"/>
    <w:rPr>
      <w:rFonts w:cs="Times New Roman"/>
      <w:kern w:val="2"/>
      <w:sz w:val="18"/>
      <w:szCs w:val="18"/>
    </w:rPr>
  </w:style>
  <w:style w:type="character" w:customStyle="1" w:styleId="144">
    <w:name w:val="批注框文本 字符1"/>
    <w:basedOn w:val="44"/>
    <w:semiHidden/>
    <w:qFormat/>
    <w:uiPriority w:val="99"/>
    <w:rPr>
      <w:sz w:val="18"/>
      <w:szCs w:val="18"/>
    </w:rPr>
  </w:style>
  <w:style w:type="character" w:customStyle="1" w:styleId="145">
    <w:name w:val="批注框文本 字符11"/>
    <w:basedOn w:val="44"/>
    <w:semiHidden/>
    <w:qFormat/>
    <w:uiPriority w:val="99"/>
    <w:rPr>
      <w:rFonts w:cs="Times New Roman"/>
      <w:kern w:val="2"/>
      <w:sz w:val="18"/>
      <w:szCs w:val="18"/>
    </w:rPr>
  </w:style>
  <w:style w:type="character" w:customStyle="1" w:styleId="146">
    <w:name w:val="日期 字符1"/>
    <w:basedOn w:val="44"/>
    <w:semiHidden/>
    <w:qFormat/>
    <w:uiPriority w:val="99"/>
  </w:style>
  <w:style w:type="character" w:customStyle="1" w:styleId="147">
    <w:name w:val="日期 字符11"/>
    <w:basedOn w:val="44"/>
    <w:semiHidden/>
    <w:qFormat/>
    <w:uiPriority w:val="99"/>
    <w:rPr>
      <w:rFonts w:cs="Times New Roman"/>
      <w:kern w:val="2"/>
      <w:sz w:val="21"/>
    </w:rPr>
  </w:style>
  <w:style w:type="character" w:customStyle="1" w:styleId="148">
    <w:name w:val="页脚 字符1"/>
    <w:basedOn w:val="44"/>
    <w:semiHidden/>
    <w:qFormat/>
    <w:uiPriority w:val="99"/>
    <w:rPr>
      <w:sz w:val="18"/>
      <w:szCs w:val="18"/>
    </w:rPr>
  </w:style>
  <w:style w:type="character" w:customStyle="1" w:styleId="149">
    <w:name w:val="页脚 字符11"/>
    <w:basedOn w:val="44"/>
    <w:semiHidden/>
    <w:qFormat/>
    <w:uiPriority w:val="99"/>
    <w:rPr>
      <w:rFonts w:cs="Times New Roman"/>
      <w:kern w:val="2"/>
      <w:sz w:val="18"/>
      <w:szCs w:val="18"/>
    </w:rPr>
  </w:style>
  <w:style w:type="character" w:customStyle="1" w:styleId="150">
    <w:name w:val="正文文本缩进 2 字符1"/>
    <w:basedOn w:val="44"/>
    <w:semiHidden/>
    <w:qFormat/>
    <w:uiPriority w:val="99"/>
  </w:style>
  <w:style w:type="character" w:customStyle="1" w:styleId="151">
    <w:name w:val="正文文本缩进 2 字符11"/>
    <w:basedOn w:val="44"/>
    <w:semiHidden/>
    <w:qFormat/>
    <w:uiPriority w:val="99"/>
    <w:rPr>
      <w:rFonts w:cs="Times New Roman"/>
      <w:kern w:val="2"/>
      <w:sz w:val="21"/>
    </w:rPr>
  </w:style>
  <w:style w:type="character" w:customStyle="1" w:styleId="152">
    <w:name w:val="正文文本缩进 3 字符1"/>
    <w:basedOn w:val="44"/>
    <w:semiHidden/>
    <w:qFormat/>
    <w:uiPriority w:val="99"/>
    <w:rPr>
      <w:sz w:val="16"/>
      <w:szCs w:val="16"/>
    </w:rPr>
  </w:style>
  <w:style w:type="character" w:customStyle="1" w:styleId="153">
    <w:name w:val="正文文本缩进 3 字符11"/>
    <w:basedOn w:val="44"/>
    <w:semiHidden/>
    <w:qFormat/>
    <w:uiPriority w:val="99"/>
    <w:rPr>
      <w:rFonts w:cs="Times New Roman"/>
      <w:kern w:val="2"/>
      <w:sz w:val="16"/>
      <w:szCs w:val="16"/>
    </w:rPr>
  </w:style>
  <w:style w:type="character" w:customStyle="1" w:styleId="154">
    <w:name w:val="批注主题 字符1"/>
    <w:basedOn w:val="138"/>
    <w:semiHidden/>
    <w:qFormat/>
    <w:uiPriority w:val="99"/>
    <w:rPr>
      <w:b/>
      <w:bCs/>
    </w:rPr>
  </w:style>
  <w:style w:type="character" w:customStyle="1" w:styleId="155">
    <w:name w:val="批注主题 字符11"/>
    <w:basedOn w:val="139"/>
    <w:semiHidden/>
    <w:qFormat/>
    <w:uiPriority w:val="99"/>
    <w:rPr>
      <w:rFonts w:cs="Times New Roman"/>
      <w:b/>
      <w:bCs/>
      <w:kern w:val="2"/>
      <w:sz w:val="21"/>
    </w:rPr>
  </w:style>
  <w:style w:type="character" w:customStyle="1" w:styleId="156">
    <w:name w:val="标题 字符1"/>
    <w:basedOn w:val="44"/>
    <w:qFormat/>
    <w:uiPriority w:val="10"/>
    <w:rPr>
      <w:rFonts w:asciiTheme="majorHAnsi" w:hAnsiTheme="majorHAnsi" w:eastAsiaTheme="majorEastAsia" w:cstheme="majorBidi"/>
      <w:b/>
      <w:bCs/>
      <w:sz w:val="32"/>
      <w:szCs w:val="32"/>
    </w:rPr>
  </w:style>
  <w:style w:type="character" w:customStyle="1" w:styleId="157">
    <w:name w:val="标题 字符11"/>
    <w:basedOn w:val="44"/>
    <w:qFormat/>
    <w:uiPriority w:val="10"/>
    <w:rPr>
      <w:rFonts w:cs="Times New Roman" w:asciiTheme="majorHAnsi" w:hAnsiTheme="majorHAnsi" w:eastAsiaTheme="majorEastAsia"/>
      <w:b/>
      <w:bCs/>
      <w:kern w:val="2"/>
      <w:sz w:val="32"/>
      <w:szCs w:val="32"/>
    </w:rPr>
  </w:style>
  <w:style w:type="paragraph" w:customStyle="1" w:styleId="158">
    <w:name w:val="ATXT_Table"/>
    <w:basedOn w:val="1"/>
    <w:qFormat/>
    <w:uiPriority w:val="0"/>
    <w:pPr>
      <w:widowControl/>
    </w:pPr>
    <w:rPr>
      <w:rFonts w:ascii="Arial" w:hAnsi="Arial"/>
      <w:kern w:val="0"/>
      <w:sz w:val="20"/>
    </w:rPr>
  </w:style>
  <w:style w:type="paragraph" w:customStyle="1" w:styleId="159">
    <w:name w:val="1列"/>
    <w:basedOn w:val="1"/>
    <w:qFormat/>
    <w:uiPriority w:val="0"/>
    <w:pPr>
      <w:spacing w:line="360" w:lineRule="auto"/>
      <w:ind w:left="401" w:hanging="401" w:hangingChars="191"/>
    </w:pPr>
    <w:rPr>
      <w:rFonts w:ascii="Calibri" w:hAnsi="Calibri"/>
      <w:szCs w:val="24"/>
    </w:rPr>
  </w:style>
  <w:style w:type="paragraph" w:customStyle="1" w:styleId="16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2">
    <w:name w:val="正文1"/>
    <w:basedOn w:val="1"/>
    <w:qFormat/>
    <w:uiPriority w:val="0"/>
    <w:pPr>
      <w:adjustRightInd w:val="0"/>
      <w:spacing w:line="312" w:lineRule="atLeast"/>
    </w:pPr>
    <w:rPr>
      <w:rFonts w:ascii="楷体_GB2312" w:hAnsi="Calibri" w:eastAsia="楷体_GB2312"/>
      <w:kern w:val="0"/>
      <w:sz w:val="24"/>
    </w:rPr>
  </w:style>
  <w:style w:type="paragraph" w:customStyle="1" w:styleId="163">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65">
    <w:name w:val="标书正文格式"/>
    <w:basedOn w:val="21"/>
    <w:link w:val="167"/>
    <w:qFormat/>
    <w:uiPriority w:val="0"/>
    <w:pPr>
      <w:spacing w:line="360" w:lineRule="auto"/>
      <w:ind w:firstLine="200" w:firstLineChars="200"/>
    </w:pPr>
    <w:rPr>
      <w:rFonts w:hAnsi="宋体" w:eastAsiaTheme="minorEastAsia" w:cstheme="minorBidi"/>
      <w:color w:val="000000"/>
      <w:sz w:val="24"/>
      <w:szCs w:val="24"/>
    </w:rPr>
  </w:style>
  <w:style w:type="paragraph" w:customStyle="1" w:styleId="166">
    <w:name w:val="标书二级标题"/>
    <w:basedOn w:val="3"/>
    <w:link w:val="169"/>
    <w:qFormat/>
    <w:uiPriority w:val="0"/>
    <w:pPr>
      <w:spacing w:before="0" w:after="0" w:line="240" w:lineRule="auto"/>
      <w:jc w:val="left"/>
    </w:pPr>
    <w:rPr>
      <w:rFonts w:ascii="宋体" w:hAnsi="宋体" w:eastAsia="黑体" w:cs="Times New Roman"/>
      <w:b w:val="0"/>
      <w:sz w:val="28"/>
      <w:szCs w:val="30"/>
    </w:rPr>
  </w:style>
  <w:style w:type="character" w:customStyle="1" w:styleId="167">
    <w:name w:val="标书正文格式 字符"/>
    <w:link w:val="165"/>
    <w:qFormat/>
    <w:locked/>
    <w:uiPriority w:val="0"/>
    <w:rPr>
      <w:rFonts w:ascii="宋体" w:hAnsi="宋体" w:eastAsiaTheme="minorEastAsia" w:cstheme="minorBidi"/>
      <w:color w:val="000000"/>
      <w:kern w:val="2"/>
      <w:sz w:val="24"/>
      <w:szCs w:val="24"/>
    </w:rPr>
  </w:style>
  <w:style w:type="paragraph" w:customStyle="1" w:styleId="168">
    <w:name w:val="标书表格"/>
    <w:basedOn w:val="1"/>
    <w:link w:val="170"/>
    <w:qFormat/>
    <w:uiPriority w:val="0"/>
    <w:pPr>
      <w:jc w:val="center"/>
    </w:pPr>
    <w:rPr>
      <w:b/>
    </w:rPr>
  </w:style>
  <w:style w:type="character" w:customStyle="1" w:styleId="169">
    <w:name w:val="标书二级标题 字符"/>
    <w:link w:val="166"/>
    <w:qFormat/>
    <w:locked/>
    <w:uiPriority w:val="0"/>
    <w:rPr>
      <w:rFonts w:ascii="宋体" w:hAnsi="宋体" w:eastAsia="黑体"/>
      <w:bCs/>
      <w:kern w:val="2"/>
      <w:sz w:val="28"/>
      <w:szCs w:val="30"/>
    </w:rPr>
  </w:style>
  <w:style w:type="character" w:customStyle="1" w:styleId="170">
    <w:name w:val="标书表格 字符"/>
    <w:link w:val="168"/>
    <w:qFormat/>
    <w:locked/>
    <w:uiPriority w:val="0"/>
    <w:rPr>
      <w:b/>
      <w:kern w:val="2"/>
      <w:sz w:val="21"/>
    </w:rPr>
  </w:style>
  <w:style w:type="paragraph" w:customStyle="1" w:styleId="171">
    <w:name w:val="标书三级标题"/>
    <w:basedOn w:val="4"/>
    <w:next w:val="165"/>
    <w:link w:val="172"/>
    <w:qFormat/>
    <w:uiPriority w:val="0"/>
    <w:pPr>
      <w:spacing w:line="240" w:lineRule="auto"/>
      <w:ind w:firstLine="482" w:firstLineChars="200"/>
    </w:pPr>
    <w:rPr>
      <w:color w:val="000000"/>
      <w:sz w:val="24"/>
      <w:szCs w:val="24"/>
    </w:rPr>
  </w:style>
  <w:style w:type="character" w:customStyle="1" w:styleId="172">
    <w:name w:val="标书三级标题 字符"/>
    <w:link w:val="171"/>
    <w:qFormat/>
    <w:locked/>
    <w:uiPriority w:val="0"/>
    <w:rPr>
      <w:b/>
      <w:bCs/>
      <w:color w:val="000000"/>
      <w:kern w:val="2"/>
      <w:sz w:val="24"/>
      <w:szCs w:val="24"/>
    </w:rPr>
  </w:style>
  <w:style w:type="character" w:customStyle="1" w:styleId="173">
    <w:name w:val="标三级标题 字符"/>
    <w:link w:val="174"/>
    <w:qFormat/>
    <w:locked/>
    <w:uiPriority w:val="0"/>
    <w:rPr>
      <w:b/>
      <w:color w:val="000000"/>
      <w:sz w:val="24"/>
    </w:rPr>
  </w:style>
  <w:style w:type="paragraph" w:customStyle="1" w:styleId="174">
    <w:name w:val="标三级标题"/>
    <w:basedOn w:val="171"/>
    <w:link w:val="173"/>
    <w:qFormat/>
    <w:uiPriority w:val="0"/>
    <w:rPr>
      <w:bCs w:val="0"/>
      <w:kern w:val="0"/>
      <w:szCs w:val="20"/>
    </w:rPr>
  </w:style>
  <w:style w:type="character" w:customStyle="1" w:styleId="175">
    <w:name w:val="标正文 字符"/>
    <w:link w:val="176"/>
    <w:qFormat/>
    <w:locked/>
    <w:uiPriority w:val="0"/>
    <w:rPr>
      <w:rFonts w:ascii="宋体"/>
      <w:color w:val="000000"/>
      <w:sz w:val="24"/>
    </w:rPr>
  </w:style>
  <w:style w:type="paragraph" w:customStyle="1" w:styleId="176">
    <w:name w:val="标正文"/>
    <w:basedOn w:val="165"/>
    <w:link w:val="175"/>
    <w:qFormat/>
    <w:uiPriority w:val="0"/>
    <w:pPr>
      <w:ind w:firstLine="480"/>
    </w:pPr>
    <w:rPr>
      <w:rFonts w:hAnsi="Times New Roman" w:eastAsia="宋体" w:cs="Times New Roman"/>
      <w:kern w:val="0"/>
      <w:szCs w:val="20"/>
    </w:rPr>
  </w:style>
  <w:style w:type="paragraph" w:customStyle="1" w:styleId="177">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78">
    <w:name w:val="WPSOffice手动目录 1"/>
    <w:qFormat/>
    <w:uiPriority w:val="0"/>
    <w:rPr>
      <w:rFonts w:ascii="Times New Roman" w:hAnsi="Times New Roman" w:eastAsia="宋体" w:cs="Times New Roman"/>
      <w:lang w:val="en-US" w:eastAsia="zh-CN" w:bidi="ar-SA"/>
    </w:rPr>
  </w:style>
  <w:style w:type="character" w:customStyle="1" w:styleId="179">
    <w:name w:val="NormalCharacter"/>
    <w:qFormat/>
    <w:uiPriority w:val="0"/>
  </w:style>
  <w:style w:type="paragraph" w:customStyle="1" w:styleId="180">
    <w:name w:val="标书一级标题"/>
    <w:basedOn w:val="2"/>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1">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2">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3">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4">
    <w:name w:val="正文表标题"/>
    <w:next w:val="183"/>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85">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86">
    <w:name w:val="K2-A4"/>
    <w:basedOn w:val="5"/>
    <w:qFormat/>
    <w:uiPriority w:val="0"/>
    <w:rPr>
      <w:rFonts w:ascii="Times New Roman" w:hAnsi="Times New Roman"/>
    </w:rPr>
  </w:style>
  <w:style w:type="paragraph" w:customStyle="1" w:styleId="187">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88">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89">
    <w:name w:val="FAW正文"/>
    <w:basedOn w:val="1"/>
    <w:qFormat/>
    <w:uiPriority w:val="0"/>
    <w:pPr>
      <w:spacing w:line="300" w:lineRule="auto"/>
      <w:ind w:firstLine="200" w:firstLineChars="200"/>
    </w:pPr>
    <w:rPr>
      <w:sz w:val="24"/>
      <w:szCs w:val="24"/>
    </w:rPr>
  </w:style>
  <w:style w:type="paragraph" w:customStyle="1" w:styleId="190">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1">
    <w:name w:val="网格型1"/>
    <w:basedOn w:val="4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2">
    <w:name w:val="HR数字分点"/>
    <w:basedOn w:val="120"/>
    <w:qFormat/>
    <w:uiPriority w:val="0"/>
    <w:pPr>
      <w:numPr>
        <w:ilvl w:val="1"/>
        <w:numId w:val="10"/>
      </w:numPr>
      <w:ind w:firstLine="0" w:firstLineChars="0"/>
    </w:pPr>
    <w:rPr>
      <w:rFonts w:ascii="Times New Roman" w:hAnsi="Times New Roman"/>
    </w:rPr>
  </w:style>
  <w:style w:type="paragraph" w:customStyle="1" w:styleId="193">
    <w:name w:val="HR标题4"/>
    <w:basedOn w:val="1"/>
    <w:next w:val="120"/>
    <w:qFormat/>
    <w:uiPriority w:val="0"/>
    <w:pPr>
      <w:numPr>
        <w:ilvl w:val="3"/>
        <w:numId w:val="11"/>
      </w:numPr>
      <w:tabs>
        <w:tab w:val="left" w:pos="794"/>
      </w:tabs>
      <w:spacing w:line="360" w:lineRule="auto"/>
      <w:outlineLvl w:val="3"/>
    </w:pPr>
    <w:rPr>
      <w:sz w:val="24"/>
      <w:szCs w:val="24"/>
    </w:rPr>
  </w:style>
  <w:style w:type="paragraph" w:customStyle="1" w:styleId="194">
    <w:name w:val="HR标题3"/>
    <w:basedOn w:val="1"/>
    <w:next w:val="120"/>
    <w:qFormat/>
    <w:uiPriority w:val="0"/>
    <w:pPr>
      <w:numPr>
        <w:ilvl w:val="2"/>
        <w:numId w:val="11"/>
      </w:numPr>
      <w:tabs>
        <w:tab w:val="left" w:pos="984"/>
      </w:tabs>
      <w:spacing w:line="360" w:lineRule="auto"/>
      <w:outlineLvl w:val="2"/>
    </w:pPr>
    <w:rPr>
      <w:sz w:val="24"/>
      <w:szCs w:val="24"/>
    </w:rPr>
  </w:style>
  <w:style w:type="character" w:customStyle="1" w:styleId="195">
    <w:name w:val="正文缩进 字符"/>
    <w:link w:val="10"/>
    <w:qFormat/>
    <w:uiPriority w:val="99"/>
    <w:rPr>
      <w:rFonts w:eastAsiaTheme="minorEastAsia" w:cstheme="minorBidi"/>
    </w:rPr>
  </w:style>
  <w:style w:type="paragraph" w:customStyle="1" w:styleId="196">
    <w:name w:val="_Style 153"/>
    <w:basedOn w:val="1"/>
    <w:next w:val="76"/>
    <w:link w:val="197"/>
    <w:qFormat/>
    <w:uiPriority w:val="34"/>
    <w:pPr>
      <w:spacing w:line="340" w:lineRule="atLeast"/>
      <w:ind w:firstLine="420" w:firstLineChars="200"/>
    </w:pPr>
  </w:style>
  <w:style w:type="character" w:customStyle="1" w:styleId="197">
    <w:name w:val="列出段落 Char"/>
    <w:link w:val="196"/>
    <w:qFormat/>
    <w:locked/>
    <w:uiPriority w:val="34"/>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53</Pages>
  <Words>4524</Words>
  <Characters>25787</Characters>
  <Lines>214</Lines>
  <Paragraphs>60</Paragraphs>
  <TotalTime>1</TotalTime>
  <ScaleCrop>false</ScaleCrop>
  <LinksUpToDate>false</LinksUpToDate>
  <CharactersWithSpaces>30251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2025-12-12T02:35:00Z</dcterms:created>
  <dc:creator>微软用户</dc:creator>
  <cp:lastModifiedBy>宁静致远</cp:lastModifiedBy>
  <cp:lastPrinted>2020-06-28T02:28:00Z</cp:lastPrinted>
  <dcterms:modified xsi:type="dcterms:W3CDTF">2025-12-31T06:25:13Z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6ED8483590B54650A6ECC58FA391CFDF_13</vt:lpwstr>
  </property>
  <property fmtid="{D5CDD505-2E9C-101B-9397-08002B2CF9AE}" pid="4" name="KSOTemplateDocerSaveRecord">
    <vt:lpwstr>eyJoZGlkIjoiMWJmNDk2YTMyZTM3ZjA0M2I0Mjk2MzFhMmM3YmRjYzYiLCJ1c2VySWQiOiIxNzQ3MDQyODM0In0=</vt:lpwstr>
  </property>
</Properties>
</file>