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pPr>
        <w:autoSpaceDE w:val="0"/>
        <w:autoSpaceDN w:val="0"/>
        <w:adjustRightInd w:val="0"/>
        <w:snapToGrid w:val="0"/>
        <w:spacing w:line="360" w:lineRule="auto"/>
        <w:jc w:val="center"/>
        <w:rPr>
          <w:rFonts w:hint="eastAsia" w:asciiTheme="minorEastAsia" w:hAnsiTheme="minorEastAsia" w:eastAsiaTheme="minorEastAsia" w:cstheme="minorEastAsia"/>
          <w:b/>
          <w:sz w:val="72"/>
          <w:szCs w:val="72"/>
        </w:rPr>
      </w:pPr>
      <w:r>
        <w:rPr>
          <w:rFonts w:hint="eastAsia" w:asciiTheme="minorEastAsia" w:hAnsiTheme="minorEastAsia" w:eastAsiaTheme="minorEastAsia" w:cstheme="minorEastAsia"/>
          <w:b/>
          <w:sz w:val="52"/>
          <w:szCs w:val="52"/>
        </w:rPr>
        <w:t>在线监测设备运维项目</w:t>
      </w:r>
    </w:p>
    <w:p>
      <w:pPr>
        <w:autoSpaceDE w:val="0"/>
        <w:autoSpaceDN w:val="0"/>
        <w:adjustRightInd w:val="0"/>
        <w:snapToGrid w:val="0"/>
        <w:spacing w:line="360" w:lineRule="auto"/>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sz w:val="30"/>
          <w:szCs w:val="30"/>
          <w:u w:val="single"/>
        </w:rPr>
      </w:pPr>
      <w:r>
        <w:rPr>
          <w:rFonts w:hint="eastAsia" w:asciiTheme="minorEastAsia" w:hAnsiTheme="minorEastAsia" w:eastAsiaTheme="minorEastAsia" w:cstheme="minorEastAsia"/>
          <w:b/>
          <w:w w:val="99"/>
          <w:sz w:val="30"/>
          <w:szCs w:val="30"/>
        </w:rPr>
        <w:t>招   标  人：中国重汽集团大同齿轮有限公司</w:t>
      </w:r>
    </w:p>
    <w:p>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2025年12月</w:t>
      </w: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bookmarkEnd w:id="0"/>
    <w:bookmarkEnd w:id="1"/>
    <w:p>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pPr>
        <w:pStyle w:val="4"/>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sz w:val="24"/>
          <w:szCs w:val="24"/>
          <w:u w:val="single"/>
        </w:rPr>
        <w:t>在线监测设备运维项目</w:t>
      </w:r>
      <w:r>
        <w:rPr>
          <w:rFonts w:hint="eastAsia" w:asciiTheme="minorEastAsia" w:hAnsiTheme="minorEastAsia" w:eastAsiaTheme="minorEastAsia" w:cstheme="minorEastAsia"/>
          <w:kern w:val="0"/>
          <w:sz w:val="24"/>
          <w:szCs w:val="24"/>
          <w:lang w:bidi="en-US"/>
        </w:rPr>
        <w:t>，以公开招标的方式进行采购。本项目业主为</w:t>
      </w:r>
      <w:r>
        <w:rPr>
          <w:rFonts w:hint="eastAsia" w:asciiTheme="minorEastAsia" w:hAnsiTheme="minorEastAsia" w:eastAsiaTheme="minorEastAsia" w:cstheme="minorEastAsia"/>
          <w:sz w:val="24"/>
          <w:szCs w:val="24"/>
          <w:u w:val="single"/>
        </w:rPr>
        <w:t>中国重汽集团大同齿轮有限公司</w:t>
      </w:r>
      <w:r>
        <w:rPr>
          <w:rFonts w:hint="eastAsia" w:asciiTheme="minorEastAsia" w:hAnsiTheme="minorEastAsia" w:eastAsiaTheme="minorEastAsia" w:cstheme="minorEastAsia"/>
          <w:kern w:val="0"/>
          <w:sz w:val="24"/>
          <w:szCs w:val="24"/>
          <w:lang w:bidi="en-US"/>
        </w:rPr>
        <w:t>，项目资金来自</w:t>
      </w:r>
      <w:r>
        <w:rPr>
          <w:rFonts w:hint="eastAsia" w:asciiTheme="minorEastAsia" w:hAnsiTheme="minorEastAsia" w:eastAsiaTheme="minorEastAsia" w:cstheme="minorEastAsia"/>
          <w:kern w:val="0"/>
          <w:sz w:val="24"/>
          <w:szCs w:val="24"/>
          <w:u w:val="single"/>
          <w:lang w:bidi="en-US"/>
        </w:rPr>
        <w:t xml:space="preserve"> 企业自筹 </w:t>
      </w:r>
      <w:r>
        <w:rPr>
          <w:rFonts w:hint="eastAsia" w:asciiTheme="minorEastAsia" w:hAnsiTheme="minorEastAsia" w:eastAsiaTheme="minorEastAsia" w:cstheme="minorEastAsia"/>
          <w:kern w:val="0"/>
          <w:sz w:val="24"/>
          <w:szCs w:val="24"/>
          <w:lang w:bidi="en-US"/>
        </w:rPr>
        <w:t>，出资比例为</w:t>
      </w:r>
      <w:r>
        <w:rPr>
          <w:rFonts w:hint="eastAsia" w:asciiTheme="minorEastAsia" w:hAnsiTheme="minorEastAsia" w:eastAsiaTheme="minorEastAsia" w:cstheme="minorEastAsia"/>
          <w:kern w:val="0"/>
          <w:sz w:val="24"/>
          <w:szCs w:val="24"/>
          <w:u w:val="single"/>
          <w:lang w:bidi="en-US"/>
        </w:rPr>
        <w:t xml:space="preserve"> 100% </w:t>
      </w:r>
      <w:r>
        <w:rPr>
          <w:rFonts w:hint="eastAsia" w:asciiTheme="minorEastAsia" w:hAnsiTheme="minorEastAsia" w:eastAsiaTheme="minorEastAsia" w:cstheme="minorEastAsia"/>
          <w:kern w:val="0"/>
          <w:sz w:val="24"/>
          <w:szCs w:val="24"/>
          <w:lang w:bidi="en-US"/>
        </w:rPr>
        <w:t>。该项目现已具备招标条件，欢迎具备条件的潜在投标人参加投标。</w:t>
      </w:r>
    </w:p>
    <w:p>
      <w:pPr>
        <w:widowControl/>
        <w:snapToGrid w:val="0"/>
        <w:spacing w:line="360" w:lineRule="auto"/>
        <w:jc w:val="left"/>
        <w:rPr>
          <w:rFonts w:hint="eastAsia"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b/>
          <w:bCs/>
          <w:kern w:val="0"/>
          <w:sz w:val="24"/>
          <w:szCs w:val="24"/>
          <w:lang w:bidi="en-US"/>
        </w:rPr>
        <w:t>二、项目概况与招标范围</w:t>
      </w:r>
    </w:p>
    <w:p>
      <w:pPr>
        <w:pStyle w:val="151"/>
        <w:widowControl/>
        <w:adjustRightInd w:val="0"/>
        <w:snapToGrid w:val="0"/>
        <w:spacing w:line="360" w:lineRule="auto"/>
        <w:ind w:firstLine="0" w:firstLineChars="0"/>
        <w:jc w:val="left"/>
        <w:rPr>
          <w:rFonts w:hint="eastAsia" w:asciiTheme="minorEastAsia" w:hAnsiTheme="minorEastAsia" w:eastAsiaTheme="minorEastAsia" w:cstheme="minorEastAsia"/>
          <w:kern w:val="0"/>
          <w:sz w:val="24"/>
          <w:szCs w:val="24"/>
          <w:lang w:bidi="en-US"/>
        </w:rPr>
      </w:pPr>
      <w:bookmarkStart w:id="5" w:name="_Toc179632530"/>
      <w:bookmarkEnd w:id="5"/>
      <w:bookmarkStart w:id="6" w:name="_Toc152045514"/>
      <w:bookmarkEnd w:id="6"/>
      <w:bookmarkStart w:id="7" w:name="_Toc285809451"/>
      <w:bookmarkEnd w:id="7"/>
      <w:bookmarkStart w:id="8" w:name="_Toc144974482"/>
      <w:bookmarkEnd w:id="8"/>
      <w:bookmarkStart w:id="9" w:name="_Toc152042290"/>
      <w:bookmarkEnd w:id="9"/>
      <w:r>
        <w:rPr>
          <w:rFonts w:asciiTheme="minorEastAsia" w:hAnsiTheme="minorEastAsia" w:eastAsiaTheme="minorEastAsia" w:cstheme="minorEastAsia"/>
          <w:kern w:val="0"/>
          <w:sz w:val="24"/>
          <w:szCs w:val="24"/>
          <w:lang w:bidi="en-US"/>
        </w:rPr>
        <w:t>1．</w:t>
      </w:r>
      <w:r>
        <w:rPr>
          <w:rFonts w:hint="eastAsia" w:asciiTheme="minorEastAsia" w:hAnsiTheme="minorEastAsia" w:eastAsiaTheme="minorEastAsia" w:cstheme="minorEastAsia"/>
          <w:kern w:val="0"/>
          <w:sz w:val="24"/>
          <w:szCs w:val="24"/>
          <w:lang w:bidi="en-US"/>
        </w:rPr>
        <w:t>项目名称：</w:t>
      </w:r>
      <w:r>
        <w:rPr>
          <w:rFonts w:hint="eastAsia" w:asciiTheme="minorEastAsia" w:hAnsiTheme="minorEastAsia" w:eastAsiaTheme="minorEastAsia" w:cstheme="minorEastAsia"/>
          <w:kern w:val="0"/>
          <w:sz w:val="24"/>
          <w:szCs w:val="24"/>
          <w:u w:val="single"/>
          <w:lang w:bidi="en-US"/>
        </w:rPr>
        <w:t xml:space="preserve"> 在线监测设备运维项目  </w:t>
      </w:r>
    </w:p>
    <w:p>
      <w:pPr>
        <w:pStyle w:val="151"/>
        <w:widowControl/>
        <w:adjustRightInd w:val="0"/>
        <w:snapToGrid w:val="0"/>
        <w:spacing w:line="360" w:lineRule="auto"/>
        <w:ind w:firstLine="0" w:firstLineChars="0"/>
        <w:jc w:val="left"/>
        <w:rPr>
          <w:rFonts w:hint="eastAsia" w:asciiTheme="minorEastAsia" w:hAnsiTheme="minorEastAsia" w:eastAsiaTheme="minorEastAsia" w:cstheme="minorEastAsia"/>
          <w:kern w:val="0"/>
          <w:sz w:val="24"/>
          <w:szCs w:val="24"/>
        </w:rPr>
      </w:pPr>
      <w:r>
        <w:rPr>
          <w:rFonts w:asciiTheme="minorEastAsia" w:hAnsiTheme="minorEastAsia" w:eastAsiaTheme="minorEastAsia" w:cstheme="minorEastAsia"/>
          <w:kern w:val="0"/>
          <w:sz w:val="24"/>
          <w:szCs w:val="24"/>
        </w:rPr>
        <w:t>2．</w:t>
      </w:r>
      <w:r>
        <w:rPr>
          <w:rFonts w:hint="eastAsia" w:asciiTheme="minorEastAsia" w:hAnsiTheme="minorEastAsia" w:eastAsiaTheme="minorEastAsia" w:cstheme="minorEastAsia"/>
          <w:kern w:val="0"/>
          <w:sz w:val="24"/>
          <w:szCs w:val="24"/>
          <w:lang w:bidi="en-US"/>
        </w:rPr>
        <w:t>采购形式编号：</w:t>
      </w:r>
      <w:r>
        <w:rPr>
          <w:rFonts w:hint="eastAsia" w:asciiTheme="minorEastAsia" w:hAnsiTheme="minorEastAsia" w:eastAsiaTheme="minorEastAsia" w:cstheme="minorEastAsia"/>
          <w:kern w:val="0"/>
          <w:sz w:val="24"/>
          <w:szCs w:val="24"/>
          <w:u w:val="single"/>
          <w:lang w:bidi="en-US"/>
        </w:rPr>
        <w:t>FSCZB2025120164</w:t>
      </w:r>
      <w:r>
        <w:rPr>
          <w:rFonts w:hint="eastAsia" w:asciiTheme="minorEastAsia" w:hAnsiTheme="minorEastAsia" w:eastAsiaTheme="minorEastAsia" w:cstheme="minorEastAsia"/>
          <w:kern w:val="0"/>
          <w:sz w:val="24"/>
          <w:szCs w:val="24"/>
          <w:lang w:bidi="en-US"/>
        </w:rPr>
        <w:t>；</w:t>
      </w:r>
    </w:p>
    <w:p>
      <w:pPr>
        <w:pStyle w:val="151"/>
        <w:widowControl/>
        <w:adjustRightInd w:val="0"/>
        <w:snapToGrid w:val="0"/>
        <w:spacing w:line="360" w:lineRule="auto"/>
        <w:ind w:firstLine="0" w:firstLineChars="0"/>
        <w:jc w:val="left"/>
        <w:rPr>
          <w:color w:val="000000"/>
        </w:rPr>
      </w:pPr>
      <w:r>
        <w:rPr>
          <w:color w:val="000000"/>
        </w:rPr>
        <w:t>3．</w:t>
      </w:r>
      <w:r>
        <w:rPr>
          <w:rFonts w:hint="eastAsia" w:asciiTheme="minorEastAsia" w:hAnsiTheme="minorEastAsia" w:eastAsiaTheme="minorEastAsia" w:cstheme="minorEastAsia"/>
          <w:kern w:val="0"/>
          <w:sz w:val="24"/>
          <w:szCs w:val="24"/>
          <w:lang w:bidi="en-US"/>
        </w:rPr>
        <w:t>项目地点：</w:t>
      </w:r>
      <w:r>
        <w:rPr>
          <w:rFonts w:hint="eastAsia" w:asciiTheme="minorEastAsia" w:hAnsiTheme="minorEastAsia" w:eastAsiaTheme="minorEastAsia" w:cstheme="minorEastAsia"/>
          <w:kern w:val="0"/>
          <w:sz w:val="24"/>
          <w:szCs w:val="24"/>
          <w:highlight w:val="green"/>
          <w:u w:val="single"/>
          <w:lang w:bidi="en-US"/>
        </w:rPr>
        <w:t>中国重汽集团大同齿轮有限公司，山西省大同市云州街99号</w:t>
      </w:r>
      <w:r>
        <w:rPr>
          <w:rFonts w:hint="eastAsia" w:asciiTheme="minorEastAsia" w:hAnsiTheme="minorEastAsia" w:eastAsiaTheme="minorEastAsia" w:cstheme="minorEastAsia"/>
          <w:kern w:val="0"/>
          <w:sz w:val="24"/>
          <w:szCs w:val="24"/>
          <w:u w:val="single"/>
          <w:lang w:bidi="en-US"/>
        </w:rPr>
        <w:t>；</w:t>
      </w:r>
    </w:p>
    <w:p>
      <w:pPr>
        <w:pStyle w:val="151"/>
        <w:widowControl/>
        <w:adjustRightInd w:val="0"/>
        <w:snapToGrid w:val="0"/>
        <w:spacing w:line="360" w:lineRule="auto"/>
        <w:ind w:firstLine="0" w:firstLineChars="0"/>
        <w:jc w:val="left"/>
        <w:rPr>
          <w:rFonts w:hint="eastAsia" w:asciiTheme="minorEastAsia" w:hAnsiTheme="minorEastAsia" w:eastAsiaTheme="minorEastAsia" w:cstheme="minorEastAsia"/>
          <w:kern w:val="0"/>
          <w:sz w:val="24"/>
          <w:szCs w:val="24"/>
          <w:lang w:bidi="en-US"/>
        </w:rPr>
      </w:pPr>
      <w:r>
        <w:rPr>
          <w:rFonts w:ascii="宋体" w:hAnsi="宋体"/>
          <w:color w:val="000000"/>
          <w:sz w:val="24"/>
          <w:szCs w:val="24"/>
          <w:lang w:bidi="zh-CN"/>
        </w:rPr>
        <w:t>4．</w:t>
      </w:r>
      <w:r>
        <w:rPr>
          <w:rFonts w:hint="eastAsia" w:asciiTheme="minorEastAsia" w:hAnsiTheme="minorEastAsia" w:eastAsiaTheme="minorEastAsia" w:cstheme="minorEastAsia"/>
          <w:kern w:val="0"/>
          <w:sz w:val="24"/>
          <w:szCs w:val="24"/>
          <w:lang w:bidi="en-US"/>
        </w:rPr>
        <w:t>项目内容：</w:t>
      </w:r>
    </w:p>
    <w:p>
      <w:pPr>
        <w:pStyle w:val="2"/>
        <w:rPr>
          <w:rFonts w:hint="eastAsia" w:hAnsi="宋体" w:eastAsia="宋体" w:cs="宋体"/>
          <w:szCs w:val="24"/>
          <w:lang w:val="en-US"/>
        </w:rPr>
      </w:pPr>
      <w:r>
        <w:rPr>
          <w:rFonts w:hint="eastAsia" w:hAnsi="宋体" w:eastAsia="宋体" w:cs="宋体"/>
          <w:szCs w:val="24"/>
          <w:lang w:val="en-US"/>
        </w:rPr>
        <w:t>①VOC</w:t>
      </w:r>
      <w:r>
        <w:rPr>
          <w:rFonts w:hint="eastAsia" w:hAnsi="宋体" w:eastAsia="宋体" w:cs="宋体"/>
          <w:szCs w:val="24"/>
        </w:rPr>
        <w:t>在线监测设备运维</w:t>
      </w:r>
    </w:p>
    <w:tbl>
      <w:tblPr>
        <w:tblStyle w:val="48"/>
        <w:tblW w:w="1052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1530"/>
        <w:gridCol w:w="1200"/>
        <w:gridCol w:w="2436"/>
        <w:gridCol w:w="1545"/>
        <w:gridCol w:w="1350"/>
        <w:gridCol w:w="1485"/>
        <w:gridCol w:w="9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10" w:hRule="atLeast"/>
          <w:jc w:val="center"/>
        </w:trPr>
        <w:tc>
          <w:tcPr>
            <w:tcW w:w="1530" w:type="dxa"/>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项目名称</w:t>
            </w:r>
          </w:p>
        </w:tc>
        <w:tc>
          <w:tcPr>
            <w:tcW w:w="1200" w:type="dxa"/>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类别</w:t>
            </w:r>
          </w:p>
        </w:tc>
        <w:tc>
          <w:tcPr>
            <w:tcW w:w="2436"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设备名称</w:t>
            </w:r>
          </w:p>
        </w:tc>
        <w:tc>
          <w:tcPr>
            <w:tcW w:w="1545"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监测因子</w:t>
            </w:r>
          </w:p>
        </w:tc>
        <w:tc>
          <w:tcPr>
            <w:tcW w:w="1350"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生产厂商</w:t>
            </w:r>
          </w:p>
        </w:tc>
        <w:tc>
          <w:tcPr>
            <w:tcW w:w="1485"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型号</w:t>
            </w:r>
          </w:p>
        </w:tc>
        <w:tc>
          <w:tcPr>
            <w:tcW w:w="979"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93" w:hRule="atLeast"/>
          <w:jc w:val="center"/>
        </w:trPr>
        <w:tc>
          <w:tcPr>
            <w:tcW w:w="1530" w:type="dxa"/>
            <w:vMerge w:val="restart"/>
            <w:vAlign w:val="center"/>
          </w:tcPr>
          <w:p>
            <w:pPr>
              <w:widowControl/>
              <w:jc w:val="center"/>
              <w:textAlignment w:val="center"/>
              <w:rPr>
                <w:rFonts w:hint="eastAsia" w:ascii="宋体" w:hAnsi="宋体" w:cs="宋体"/>
                <w:b/>
                <w:bCs/>
                <w:color w:val="000000"/>
                <w:kern w:val="0"/>
                <w:sz w:val="24"/>
                <w:lang w:bidi="ar"/>
              </w:rPr>
            </w:pPr>
            <w:r>
              <w:rPr>
                <w:rFonts w:hint="eastAsia" w:ascii="宋体" w:hAnsi="宋体" w:cs="宋体"/>
                <w:color w:val="000000"/>
                <w:kern w:val="0"/>
                <w:sz w:val="24"/>
                <w:lang w:bidi="ar"/>
              </w:rPr>
              <w:t>VOC在线监测系统设备运维技术服务</w:t>
            </w:r>
          </w:p>
        </w:tc>
        <w:tc>
          <w:tcPr>
            <w:tcW w:w="1200" w:type="dxa"/>
            <w:vMerge w:val="restart"/>
            <w:vAlign w:val="center"/>
          </w:tcPr>
          <w:p>
            <w:pPr>
              <w:widowControl/>
              <w:jc w:val="center"/>
              <w:textAlignment w:val="center"/>
              <w:rPr>
                <w:rFonts w:hint="eastAsia" w:ascii="宋体" w:hAnsi="宋体" w:cs="宋体"/>
                <w:b/>
                <w:bCs/>
                <w:color w:val="000000"/>
                <w:kern w:val="0"/>
                <w:sz w:val="24"/>
                <w:lang w:bidi="ar"/>
              </w:rPr>
            </w:pPr>
            <w:r>
              <w:rPr>
                <w:rFonts w:hint="eastAsia" w:ascii="宋体" w:hAnsi="宋体" w:cs="宋体"/>
                <w:color w:val="000000"/>
                <w:kern w:val="0"/>
                <w:sz w:val="24"/>
                <w:lang w:bidi="ar"/>
              </w:rPr>
              <w:t>挥发性有机物在线监测系统</w:t>
            </w:r>
          </w:p>
        </w:tc>
        <w:tc>
          <w:tcPr>
            <w:tcW w:w="2436" w:type="dxa"/>
            <w:vAlign w:val="center"/>
          </w:tcPr>
          <w:p>
            <w:pPr>
              <w:pStyle w:val="151"/>
              <w:spacing w:line="280" w:lineRule="exact"/>
              <w:ind w:firstLine="0" w:firstLineChars="0"/>
              <w:jc w:val="center"/>
              <w:rPr>
                <w:rFonts w:hint="eastAsia" w:ascii="宋体" w:hAnsi="宋体" w:cs="宋体"/>
                <w:color w:val="000000"/>
                <w:kern w:val="0"/>
                <w:sz w:val="24"/>
                <w:lang w:bidi="ar"/>
              </w:rPr>
            </w:pPr>
            <w:r>
              <w:rPr>
                <w:rFonts w:hint="eastAsia" w:ascii="宋体" w:hAnsi="宋体" w:cs="宋体"/>
                <w:color w:val="000000"/>
                <w:kern w:val="0"/>
                <w:sz w:val="24"/>
                <w:lang w:bidi="ar"/>
              </w:rPr>
              <w:t>挥发性有机物VOCs在线监测系统</w:t>
            </w:r>
          </w:p>
        </w:tc>
        <w:tc>
          <w:tcPr>
            <w:tcW w:w="1545" w:type="dxa"/>
            <w:vAlign w:val="center"/>
          </w:tcPr>
          <w:p>
            <w:pPr>
              <w:adjustRightInd w:val="0"/>
              <w:snapToGrid w:val="0"/>
              <w:spacing w:line="276" w:lineRule="auto"/>
              <w:jc w:val="center"/>
              <w:rPr>
                <w:rFonts w:hint="eastAsia" w:ascii="宋体" w:hAnsi="宋体" w:cs="宋体"/>
                <w:color w:val="000000"/>
                <w:kern w:val="0"/>
                <w:sz w:val="24"/>
                <w:lang w:bidi="ar"/>
              </w:rPr>
            </w:pPr>
            <w:r>
              <w:rPr>
                <w:rFonts w:hint="eastAsia" w:ascii="宋体" w:hAnsi="宋体" w:cs="宋体"/>
                <w:color w:val="000000"/>
                <w:kern w:val="0"/>
                <w:sz w:val="24"/>
                <w:lang w:bidi="ar"/>
              </w:rPr>
              <w:t>非甲烷总烃</w:t>
            </w:r>
          </w:p>
        </w:tc>
        <w:tc>
          <w:tcPr>
            <w:tcW w:w="1350"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万维盈创</w:t>
            </w:r>
          </w:p>
        </w:tc>
        <w:tc>
          <w:tcPr>
            <w:tcW w:w="1485"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SmartEM4000</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19" w:hRule="atLeast"/>
          <w:jc w:val="center"/>
        </w:trPr>
        <w:tc>
          <w:tcPr>
            <w:tcW w:w="153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120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2436"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数采仪</w:t>
            </w:r>
          </w:p>
        </w:tc>
        <w:tc>
          <w:tcPr>
            <w:tcW w:w="154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w:t>
            </w:r>
          </w:p>
        </w:tc>
        <w:tc>
          <w:tcPr>
            <w:tcW w:w="1350"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万维盈创</w:t>
            </w:r>
          </w:p>
        </w:tc>
        <w:tc>
          <w:tcPr>
            <w:tcW w:w="148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W5100HB-Ⅲ</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bl>
    <w:p>
      <w:pPr>
        <w:pStyle w:val="2"/>
        <w:rPr>
          <w:rFonts w:hint="eastAsia" w:hAnsi="宋体" w:eastAsia="宋体" w:cs="宋体"/>
          <w:sz w:val="10"/>
          <w:szCs w:val="10"/>
          <w:lang w:val="en-US"/>
        </w:rPr>
      </w:pPr>
    </w:p>
    <w:tbl>
      <w:tblPr>
        <w:tblStyle w:val="48"/>
        <w:tblW w:w="9209" w:type="dxa"/>
        <w:jc w:val="center"/>
        <w:tblLayout w:type="fixed"/>
        <w:tblCellMar>
          <w:top w:w="0" w:type="dxa"/>
          <w:left w:w="108" w:type="dxa"/>
          <w:bottom w:w="0" w:type="dxa"/>
          <w:right w:w="108" w:type="dxa"/>
        </w:tblCellMar>
      </w:tblPr>
      <w:tblGrid>
        <w:gridCol w:w="1190"/>
        <w:gridCol w:w="1273"/>
        <w:gridCol w:w="2271"/>
        <w:gridCol w:w="1817"/>
        <w:gridCol w:w="2658"/>
      </w:tblGrid>
      <w:tr>
        <w:tblPrEx>
          <w:tblCellMar>
            <w:top w:w="0" w:type="dxa"/>
            <w:left w:w="108" w:type="dxa"/>
            <w:bottom w:w="0" w:type="dxa"/>
            <w:right w:w="108" w:type="dxa"/>
          </w:tblCellMar>
        </w:tblPrEx>
        <w:trPr>
          <w:trHeight w:val="293"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sz w:val="24"/>
              </w:rPr>
            </w:pPr>
            <w:r>
              <w:rPr>
                <w:rFonts w:hint="eastAsia" w:ascii="黑体" w:hAnsi="宋体" w:eastAsia="黑体" w:cs="黑体"/>
                <w:kern w:val="0"/>
                <w:sz w:val="24"/>
                <w:lang w:bidi="ar"/>
              </w:rPr>
              <w:t>序号</w:t>
            </w:r>
          </w:p>
        </w:tc>
        <w:tc>
          <w:tcPr>
            <w:tcW w:w="35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项目名称</w:t>
            </w:r>
          </w:p>
        </w:tc>
        <w:tc>
          <w:tcPr>
            <w:tcW w:w="18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计量单位</w:t>
            </w:r>
          </w:p>
        </w:tc>
        <w:tc>
          <w:tcPr>
            <w:tcW w:w="2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备注</w:t>
            </w:r>
          </w:p>
        </w:tc>
      </w:tr>
      <w:tr>
        <w:tblPrEx>
          <w:tblCellMar>
            <w:top w:w="0" w:type="dxa"/>
            <w:left w:w="108" w:type="dxa"/>
            <w:bottom w:w="0" w:type="dxa"/>
            <w:right w:w="108" w:type="dxa"/>
          </w:tblCellMar>
        </w:tblPrEx>
        <w:trPr>
          <w:trHeight w:val="255"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b/>
                <w:bCs/>
                <w:sz w:val="24"/>
              </w:rPr>
            </w:pPr>
            <w:r>
              <w:rPr>
                <w:rFonts w:hint="eastAsia" w:ascii="宋体" w:hAnsi="宋体" w:cs="宋体"/>
                <w:b/>
                <w:bCs/>
                <w:kern w:val="0"/>
                <w:sz w:val="24"/>
                <w:lang w:bidi="ar"/>
              </w:rPr>
              <w:t>一</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b/>
                <w:bCs/>
                <w:kern w:val="0"/>
                <w:sz w:val="24"/>
                <w:lang w:bidi="ar"/>
              </w:rPr>
              <w:t>验收</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217"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1.1</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kern w:val="0"/>
                <w:sz w:val="24"/>
                <w:lang w:bidi="ar"/>
              </w:rPr>
              <w:t>调试</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sz w:val="24"/>
                <w:szCs w:val="24"/>
              </w:rPr>
              <w:t>次</w:t>
            </w:r>
          </w:p>
        </w:tc>
        <w:tc>
          <w:tcPr>
            <w:tcW w:w="2658"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sz w:val="24"/>
                <w:szCs w:val="24"/>
              </w:rPr>
              <w:t>按实际情况足量直到验收</w:t>
            </w:r>
          </w:p>
        </w:tc>
      </w:tr>
      <w:tr>
        <w:tblPrEx>
          <w:tblCellMar>
            <w:top w:w="0" w:type="dxa"/>
            <w:left w:w="108" w:type="dxa"/>
            <w:bottom w:w="0" w:type="dxa"/>
            <w:right w:w="108" w:type="dxa"/>
          </w:tblCellMar>
        </w:tblPrEx>
        <w:trPr>
          <w:trHeight w:val="122"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1.2</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比对</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次</w:t>
            </w:r>
          </w:p>
        </w:tc>
        <w:tc>
          <w:tcPr>
            <w:tcW w:w="2658"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299"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1.3</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kern w:val="0"/>
                <w:sz w:val="24"/>
                <w:lang w:bidi="ar"/>
              </w:rPr>
              <w:t>专家费</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sz w:val="24"/>
                <w:szCs w:val="24"/>
              </w:rPr>
              <w:t>人</w:t>
            </w: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sz w:val="24"/>
                <w:szCs w:val="24"/>
              </w:rPr>
              <w:t>3-5</w:t>
            </w:r>
          </w:p>
        </w:tc>
      </w:tr>
      <w:tr>
        <w:tblPrEx>
          <w:tblCellMar>
            <w:top w:w="0" w:type="dxa"/>
            <w:left w:w="108" w:type="dxa"/>
            <w:bottom w:w="0" w:type="dxa"/>
            <w:right w:w="108" w:type="dxa"/>
          </w:tblCellMar>
        </w:tblPrEx>
        <w:trPr>
          <w:trHeight w:val="102"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b/>
                <w:bCs/>
                <w:sz w:val="24"/>
              </w:rPr>
            </w:pPr>
            <w:r>
              <w:rPr>
                <w:rFonts w:hint="eastAsia" w:ascii="宋体" w:hAnsi="宋体" w:cs="宋体"/>
                <w:b/>
                <w:bCs/>
                <w:kern w:val="0"/>
                <w:sz w:val="24"/>
                <w:lang w:bidi="ar"/>
              </w:rPr>
              <w:t>二</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b/>
                <w:bCs/>
                <w:kern w:val="0"/>
                <w:sz w:val="24"/>
                <w:lang w:bidi="ar"/>
              </w:rPr>
              <w:t>运维</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3" w:hRule="atLeast"/>
          <w:jc w:val="center"/>
        </w:trPr>
        <w:tc>
          <w:tcPr>
            <w:tcW w:w="1190" w:type="dxa"/>
            <w:vMerge w:val="restart"/>
            <w:tcBorders>
              <w:top w:val="single" w:color="000000" w:sz="4" w:space="0"/>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2.1</w:t>
            </w:r>
          </w:p>
        </w:tc>
        <w:tc>
          <w:tcPr>
            <w:tcW w:w="1273"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耗材</w:t>
            </w: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纯净水</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2658"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全年足量使用</w:t>
            </w:r>
          </w:p>
        </w:tc>
      </w:tr>
      <w:tr>
        <w:tblPrEx>
          <w:tblCellMar>
            <w:top w:w="0" w:type="dxa"/>
            <w:left w:w="108" w:type="dxa"/>
            <w:bottom w:w="0" w:type="dxa"/>
            <w:right w:w="108" w:type="dxa"/>
          </w:tblCellMar>
        </w:tblPrEx>
        <w:trPr>
          <w:trHeight w:val="83" w:hRule="atLeast"/>
          <w:jc w:val="center"/>
        </w:trPr>
        <w:tc>
          <w:tcPr>
            <w:tcW w:w="1190"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1273" w:type="dxa"/>
            <w:vMerge w:val="continue"/>
            <w:tcBorders>
              <w:left w:val="single" w:color="000000" w:sz="4" w:space="0"/>
              <w:right w:val="single" w:color="000000" w:sz="4" w:space="0"/>
            </w:tcBorders>
            <w:noWrap/>
            <w:vAlign w:val="center"/>
          </w:tcPr>
          <w:p>
            <w:pPr>
              <w:widowControl/>
              <w:jc w:val="center"/>
              <w:textAlignment w:val="center"/>
            </w:pP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变色硅胶</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2658"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3" w:hRule="atLeast"/>
          <w:jc w:val="center"/>
        </w:trPr>
        <w:tc>
          <w:tcPr>
            <w:tcW w:w="1190"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273"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氢氧化钾</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2658"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3" w:hRule="atLeast"/>
          <w:jc w:val="center"/>
        </w:trPr>
        <w:tc>
          <w:tcPr>
            <w:tcW w:w="1190"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273"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标气（非甲烷）</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2658"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3" w:hRule="atLeast"/>
          <w:jc w:val="center"/>
        </w:trPr>
        <w:tc>
          <w:tcPr>
            <w:tcW w:w="1190"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273"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标气（苯系物）</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2658"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3" w:hRule="atLeast"/>
          <w:jc w:val="center"/>
        </w:trPr>
        <w:tc>
          <w:tcPr>
            <w:tcW w:w="1190"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273"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氮气</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2658"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279"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2.2</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运维</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人/次</w:t>
            </w: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2人/52次</w:t>
            </w:r>
          </w:p>
        </w:tc>
      </w:tr>
      <w:tr>
        <w:tblPrEx>
          <w:tblCellMar>
            <w:top w:w="0" w:type="dxa"/>
            <w:left w:w="108" w:type="dxa"/>
            <w:bottom w:w="0" w:type="dxa"/>
            <w:right w:w="108" w:type="dxa"/>
          </w:tblCellMar>
        </w:tblPrEx>
        <w:trPr>
          <w:trHeight w:val="215"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2.3</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车辆</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r>
      <w:tr>
        <w:tblPrEx>
          <w:tblCellMar>
            <w:top w:w="0" w:type="dxa"/>
            <w:left w:w="108" w:type="dxa"/>
            <w:bottom w:w="0" w:type="dxa"/>
            <w:right w:w="108" w:type="dxa"/>
          </w:tblCellMar>
        </w:tblPrEx>
        <w:trPr>
          <w:trHeight w:val="247"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2.4</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办公</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r>
      <w:tr>
        <w:tblPrEx>
          <w:tblCellMar>
            <w:top w:w="0" w:type="dxa"/>
            <w:left w:w="108" w:type="dxa"/>
            <w:bottom w:w="0" w:type="dxa"/>
            <w:right w:w="108" w:type="dxa"/>
          </w:tblCellMar>
        </w:tblPrEx>
        <w:trPr>
          <w:trHeight w:val="247"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2.5</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标识</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r>
      <w:tr>
        <w:tblPrEx>
          <w:tblCellMar>
            <w:top w:w="0" w:type="dxa"/>
            <w:left w:w="108" w:type="dxa"/>
            <w:bottom w:w="0" w:type="dxa"/>
            <w:right w:w="108" w:type="dxa"/>
          </w:tblCellMar>
        </w:tblPrEx>
        <w:trPr>
          <w:trHeight w:val="269"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2.6</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专线</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条</w:t>
            </w: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1</w:t>
            </w:r>
          </w:p>
        </w:tc>
      </w:tr>
      <w:tr>
        <w:tblPrEx>
          <w:tblCellMar>
            <w:top w:w="0" w:type="dxa"/>
            <w:left w:w="108" w:type="dxa"/>
            <w:bottom w:w="0" w:type="dxa"/>
            <w:right w:w="108" w:type="dxa"/>
          </w:tblCellMar>
        </w:tblPrEx>
        <w:trPr>
          <w:trHeight w:val="430"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2.7</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维修费</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658" w:type="dxa"/>
            <w:tcBorders>
              <w:top w:val="single" w:color="000000" w:sz="4" w:space="0"/>
              <w:left w:val="single" w:color="000000" w:sz="4" w:space="0"/>
              <w:bottom w:val="single" w:color="000000" w:sz="4" w:space="0"/>
              <w:right w:val="single" w:color="000000" w:sz="4" w:space="0"/>
            </w:tcBorders>
            <w:noWrap/>
            <w:vAlign w:val="center"/>
          </w:tcPr>
          <w:p>
            <w:pPr>
              <w:pStyle w:val="2"/>
              <w:spacing w:line="240" w:lineRule="auto"/>
              <w:rPr>
                <w:rFonts w:hint="eastAsia" w:hAnsi="宋体" w:eastAsia="宋体" w:cs="宋体"/>
                <w:kern w:val="0"/>
                <w:lang w:val="en-US" w:bidi="ar"/>
              </w:rPr>
            </w:pPr>
            <w:r>
              <w:rPr>
                <w:rFonts w:hint="eastAsia" w:hAnsi="宋体" w:eastAsia="宋体" w:cs="宋体"/>
                <w:kern w:val="0"/>
                <w:lang w:val="en-US" w:bidi="ar"/>
              </w:rPr>
              <w:t>含单次2000元及2000以下耗材和配件费</w:t>
            </w:r>
          </w:p>
        </w:tc>
      </w:tr>
      <w:tr>
        <w:tblPrEx>
          <w:tblCellMar>
            <w:top w:w="0" w:type="dxa"/>
            <w:left w:w="108" w:type="dxa"/>
            <w:bottom w:w="0" w:type="dxa"/>
            <w:right w:w="108" w:type="dxa"/>
          </w:tblCellMar>
        </w:tblPrEx>
        <w:trPr>
          <w:trHeight w:val="132"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2.8</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流量卡</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r>
    </w:tbl>
    <w:p>
      <w:pPr>
        <w:pStyle w:val="2"/>
        <w:rPr>
          <w:rFonts w:hint="eastAsia" w:hAnsi="宋体"/>
          <w:sz w:val="28"/>
          <w:lang w:val="en-US"/>
        </w:rPr>
      </w:pPr>
      <w:r>
        <w:rPr>
          <w:rFonts w:hint="eastAsia" w:hAnsi="宋体" w:eastAsia="宋体" w:cs="宋体"/>
          <w:szCs w:val="22"/>
          <w:lang w:val="en-US"/>
        </w:rPr>
        <w:t>②废水</w:t>
      </w:r>
      <w:r>
        <w:rPr>
          <w:rFonts w:hint="eastAsia" w:hAnsi="宋体" w:eastAsia="宋体" w:cs="宋体"/>
          <w:szCs w:val="24"/>
        </w:rPr>
        <w:t>在线监测设备运维</w:t>
      </w:r>
    </w:p>
    <w:tbl>
      <w:tblPr>
        <w:tblStyle w:val="48"/>
        <w:tblW w:w="1052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1530"/>
        <w:gridCol w:w="1200"/>
        <w:gridCol w:w="2436"/>
        <w:gridCol w:w="1545"/>
        <w:gridCol w:w="1350"/>
        <w:gridCol w:w="1485"/>
        <w:gridCol w:w="9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10" w:hRule="atLeast"/>
          <w:jc w:val="center"/>
        </w:trPr>
        <w:tc>
          <w:tcPr>
            <w:tcW w:w="1530" w:type="dxa"/>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项目名称</w:t>
            </w:r>
          </w:p>
        </w:tc>
        <w:tc>
          <w:tcPr>
            <w:tcW w:w="1200" w:type="dxa"/>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类别</w:t>
            </w:r>
          </w:p>
        </w:tc>
        <w:tc>
          <w:tcPr>
            <w:tcW w:w="2436"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设备名称</w:t>
            </w:r>
          </w:p>
        </w:tc>
        <w:tc>
          <w:tcPr>
            <w:tcW w:w="1545"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监测因子</w:t>
            </w:r>
          </w:p>
        </w:tc>
        <w:tc>
          <w:tcPr>
            <w:tcW w:w="1350"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生产厂商</w:t>
            </w:r>
          </w:p>
        </w:tc>
        <w:tc>
          <w:tcPr>
            <w:tcW w:w="1485"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型号</w:t>
            </w:r>
          </w:p>
        </w:tc>
        <w:tc>
          <w:tcPr>
            <w:tcW w:w="979"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55" w:hRule="atLeast"/>
          <w:jc w:val="center"/>
        </w:trPr>
        <w:tc>
          <w:tcPr>
            <w:tcW w:w="1530" w:type="dxa"/>
            <w:vMerge w:val="restart"/>
            <w:vAlign w:val="center"/>
          </w:tcPr>
          <w:p>
            <w:pPr>
              <w:widowControl/>
              <w:jc w:val="center"/>
              <w:textAlignment w:val="center"/>
              <w:rPr>
                <w:rFonts w:hint="eastAsia" w:ascii="宋体" w:hAnsi="宋体" w:cs="宋体"/>
                <w:b/>
                <w:bCs/>
                <w:color w:val="000000"/>
                <w:kern w:val="0"/>
                <w:sz w:val="24"/>
                <w:lang w:bidi="ar"/>
              </w:rPr>
            </w:pPr>
            <w:r>
              <w:rPr>
                <w:rFonts w:hint="eastAsia" w:ascii="宋体" w:hAnsi="宋体" w:cs="宋体"/>
                <w:color w:val="000000"/>
                <w:kern w:val="0"/>
                <w:sz w:val="24"/>
                <w:lang w:bidi="ar"/>
              </w:rPr>
              <w:t>废水在线监测系统设备运维技术服务</w:t>
            </w:r>
          </w:p>
        </w:tc>
        <w:tc>
          <w:tcPr>
            <w:tcW w:w="1200" w:type="dxa"/>
            <w:vMerge w:val="restart"/>
            <w:vAlign w:val="center"/>
          </w:tcPr>
          <w:p>
            <w:pPr>
              <w:widowControl/>
              <w:jc w:val="center"/>
              <w:textAlignment w:val="center"/>
              <w:rPr>
                <w:rFonts w:hint="eastAsia" w:ascii="宋体" w:hAnsi="宋体" w:cs="宋体"/>
                <w:b/>
                <w:bCs/>
                <w:color w:val="000000"/>
                <w:kern w:val="0"/>
                <w:sz w:val="24"/>
                <w:lang w:bidi="ar"/>
              </w:rPr>
            </w:pPr>
            <w:r>
              <w:rPr>
                <w:rFonts w:hint="eastAsia" w:ascii="宋体" w:hAnsi="宋体" w:cs="宋体"/>
                <w:color w:val="000000"/>
                <w:kern w:val="0"/>
                <w:sz w:val="24"/>
                <w:lang w:bidi="ar"/>
              </w:rPr>
              <w:t>废水在线监测系统</w:t>
            </w:r>
          </w:p>
        </w:tc>
        <w:tc>
          <w:tcPr>
            <w:tcW w:w="2436" w:type="dxa"/>
            <w:vAlign w:val="center"/>
          </w:tcPr>
          <w:p>
            <w:pPr>
              <w:pStyle w:val="151"/>
              <w:spacing w:line="280" w:lineRule="exact"/>
              <w:ind w:firstLine="0" w:firstLineChars="0"/>
              <w:jc w:val="center"/>
              <w:rPr>
                <w:rFonts w:hint="eastAsia" w:ascii="宋体" w:hAnsi="宋体" w:cs="宋体"/>
                <w:color w:val="000000"/>
                <w:kern w:val="0"/>
                <w:sz w:val="24"/>
                <w:lang w:bidi="ar"/>
              </w:rPr>
            </w:pPr>
            <w:r>
              <w:rPr>
                <w:rFonts w:hint="eastAsia" w:ascii="宋体" w:hAnsi="宋体" w:cs="宋体"/>
                <w:color w:val="000000"/>
                <w:kern w:val="0"/>
                <w:sz w:val="24"/>
                <w:lang w:bidi="ar"/>
              </w:rPr>
              <w:t>COD在线监测仪</w:t>
            </w:r>
          </w:p>
        </w:tc>
        <w:tc>
          <w:tcPr>
            <w:tcW w:w="1545" w:type="dxa"/>
            <w:vAlign w:val="center"/>
          </w:tcPr>
          <w:p>
            <w:pPr>
              <w:adjustRightInd w:val="0"/>
              <w:snapToGrid w:val="0"/>
              <w:spacing w:line="276" w:lineRule="auto"/>
              <w:jc w:val="center"/>
              <w:rPr>
                <w:rFonts w:hint="eastAsia" w:ascii="宋体" w:hAnsi="宋体" w:cs="宋体"/>
                <w:color w:val="000000"/>
                <w:kern w:val="0"/>
                <w:sz w:val="24"/>
                <w:lang w:bidi="ar"/>
              </w:rPr>
            </w:pPr>
            <w:r>
              <w:rPr>
                <w:rFonts w:hint="eastAsia" w:ascii="宋体" w:hAnsi="宋体" w:cs="宋体"/>
                <w:color w:val="000000"/>
                <w:kern w:val="0"/>
                <w:sz w:val="24"/>
                <w:lang w:bidi="ar"/>
              </w:rPr>
              <w:t>COD</w:t>
            </w:r>
          </w:p>
        </w:tc>
        <w:tc>
          <w:tcPr>
            <w:tcW w:w="1350"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微兰</w:t>
            </w:r>
          </w:p>
        </w:tc>
        <w:tc>
          <w:tcPr>
            <w:tcW w:w="1485"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VL-COD-1007</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737" w:hRule="atLeast"/>
          <w:jc w:val="center"/>
        </w:trPr>
        <w:tc>
          <w:tcPr>
            <w:tcW w:w="153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120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2436"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氨氮在线监测仪</w:t>
            </w:r>
          </w:p>
        </w:tc>
        <w:tc>
          <w:tcPr>
            <w:tcW w:w="154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氨氮</w:t>
            </w:r>
          </w:p>
        </w:tc>
        <w:tc>
          <w:tcPr>
            <w:tcW w:w="1350"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微兰</w:t>
            </w:r>
          </w:p>
        </w:tc>
        <w:tc>
          <w:tcPr>
            <w:tcW w:w="148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VL-AN-201-X</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00" w:hRule="atLeast"/>
          <w:jc w:val="center"/>
        </w:trPr>
        <w:tc>
          <w:tcPr>
            <w:tcW w:w="153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120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2436"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kern w:val="0"/>
                <w:sz w:val="24"/>
                <w:szCs w:val="24"/>
              </w:rPr>
              <w:t>磷酸盐在线监测仪</w:t>
            </w:r>
          </w:p>
        </w:tc>
        <w:tc>
          <w:tcPr>
            <w:tcW w:w="154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kern w:val="0"/>
                <w:sz w:val="24"/>
                <w:szCs w:val="24"/>
              </w:rPr>
              <w:t>磷酸盐</w:t>
            </w:r>
          </w:p>
        </w:tc>
        <w:tc>
          <w:tcPr>
            <w:tcW w:w="1350"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微兰</w:t>
            </w:r>
          </w:p>
        </w:tc>
        <w:tc>
          <w:tcPr>
            <w:tcW w:w="148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kern w:val="0"/>
                <w:sz w:val="24"/>
                <w:szCs w:val="24"/>
              </w:rPr>
              <w:t>VL-PO-101</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737" w:hRule="atLeast"/>
          <w:jc w:val="center"/>
        </w:trPr>
        <w:tc>
          <w:tcPr>
            <w:tcW w:w="153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120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2436"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kern w:val="0"/>
                <w:sz w:val="24"/>
                <w:szCs w:val="24"/>
              </w:rPr>
              <w:t>巴歇尔槽取水泵</w:t>
            </w:r>
          </w:p>
        </w:tc>
        <w:tc>
          <w:tcPr>
            <w:tcW w:w="154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szCs w:val="24"/>
              </w:rPr>
              <w:t>抽取巴歇尔槽内出水水样</w:t>
            </w:r>
          </w:p>
        </w:tc>
        <w:tc>
          <w:tcPr>
            <w:tcW w:w="1350"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w:t>
            </w:r>
          </w:p>
        </w:tc>
        <w:tc>
          <w:tcPr>
            <w:tcW w:w="148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74" w:hRule="atLeast"/>
          <w:jc w:val="center"/>
        </w:trPr>
        <w:tc>
          <w:tcPr>
            <w:tcW w:w="153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120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2436"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PH计</w:t>
            </w:r>
          </w:p>
        </w:tc>
        <w:tc>
          <w:tcPr>
            <w:tcW w:w="154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PH</w:t>
            </w:r>
          </w:p>
        </w:tc>
        <w:tc>
          <w:tcPr>
            <w:tcW w:w="1350"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博克斯</w:t>
            </w:r>
          </w:p>
        </w:tc>
        <w:tc>
          <w:tcPr>
            <w:tcW w:w="148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ASP660M1-SP200</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4" w:hRule="atLeast"/>
          <w:jc w:val="center"/>
        </w:trPr>
        <w:tc>
          <w:tcPr>
            <w:tcW w:w="153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120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2436"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kern w:val="0"/>
                <w:sz w:val="24"/>
                <w:szCs w:val="24"/>
              </w:rPr>
              <w:t>智能水质采样器</w:t>
            </w:r>
          </w:p>
        </w:tc>
        <w:tc>
          <w:tcPr>
            <w:tcW w:w="154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流量</w:t>
            </w:r>
          </w:p>
        </w:tc>
        <w:tc>
          <w:tcPr>
            <w:tcW w:w="1350"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万维盈创</w:t>
            </w:r>
          </w:p>
        </w:tc>
        <w:tc>
          <w:tcPr>
            <w:tcW w:w="148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kern w:val="0"/>
                <w:sz w:val="24"/>
                <w:szCs w:val="24"/>
              </w:rPr>
              <w:t>Smart wQ82000</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08" w:hRule="atLeast"/>
          <w:jc w:val="center"/>
        </w:trPr>
        <w:tc>
          <w:tcPr>
            <w:tcW w:w="153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120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2436"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环保数采仪</w:t>
            </w:r>
          </w:p>
        </w:tc>
        <w:tc>
          <w:tcPr>
            <w:tcW w:w="154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w:t>
            </w:r>
          </w:p>
        </w:tc>
        <w:tc>
          <w:tcPr>
            <w:tcW w:w="1350"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万维盈创</w:t>
            </w:r>
          </w:p>
        </w:tc>
        <w:tc>
          <w:tcPr>
            <w:tcW w:w="148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W5100HB-III</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bl>
    <w:p>
      <w:pPr>
        <w:pStyle w:val="2"/>
        <w:rPr>
          <w:rFonts w:hint="eastAsia" w:hAnsi="宋体" w:eastAsia="宋体" w:cs="宋体"/>
          <w:szCs w:val="24"/>
          <w:lang w:val="en-US"/>
        </w:rPr>
      </w:pPr>
    </w:p>
    <w:tbl>
      <w:tblPr>
        <w:tblStyle w:val="48"/>
        <w:tblW w:w="10683" w:type="dxa"/>
        <w:jc w:val="center"/>
        <w:tblLayout w:type="fixed"/>
        <w:tblCellMar>
          <w:top w:w="0" w:type="dxa"/>
          <w:left w:w="108" w:type="dxa"/>
          <w:bottom w:w="0" w:type="dxa"/>
          <w:right w:w="108" w:type="dxa"/>
        </w:tblCellMar>
      </w:tblPr>
      <w:tblGrid>
        <w:gridCol w:w="828"/>
        <w:gridCol w:w="1009"/>
        <w:gridCol w:w="955"/>
        <w:gridCol w:w="2448"/>
        <w:gridCol w:w="2126"/>
        <w:gridCol w:w="1276"/>
        <w:gridCol w:w="2041"/>
      </w:tblGrid>
      <w:tr>
        <w:tblPrEx>
          <w:tblCellMar>
            <w:top w:w="0" w:type="dxa"/>
            <w:left w:w="108" w:type="dxa"/>
            <w:bottom w:w="0" w:type="dxa"/>
            <w:right w:w="108" w:type="dxa"/>
          </w:tblCellMar>
        </w:tblPrEx>
        <w:trPr>
          <w:trHeight w:val="173"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sz w:val="24"/>
              </w:rPr>
            </w:pPr>
            <w:r>
              <w:rPr>
                <w:rFonts w:hint="eastAsia" w:ascii="黑体" w:hAnsi="宋体" w:eastAsia="黑体" w:cs="黑体"/>
                <w:kern w:val="0"/>
                <w:sz w:val="24"/>
                <w:lang w:bidi="ar"/>
              </w:rPr>
              <w:t>序号</w:t>
            </w:r>
          </w:p>
        </w:tc>
        <w:tc>
          <w:tcPr>
            <w:tcW w:w="44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项目名称</w:t>
            </w:r>
          </w:p>
        </w:tc>
        <w:tc>
          <w:tcPr>
            <w:tcW w:w="21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试剂</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计量单位</w:t>
            </w:r>
          </w:p>
        </w:tc>
        <w:tc>
          <w:tcPr>
            <w:tcW w:w="20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备注</w:t>
            </w:r>
          </w:p>
        </w:tc>
      </w:tr>
      <w:tr>
        <w:tblPrEx>
          <w:tblCellMar>
            <w:top w:w="0" w:type="dxa"/>
            <w:left w:w="108" w:type="dxa"/>
            <w:bottom w:w="0" w:type="dxa"/>
            <w:right w:w="108" w:type="dxa"/>
          </w:tblCellMar>
        </w:tblPrEx>
        <w:trPr>
          <w:trHeight w:val="277"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b/>
                <w:bCs/>
                <w:sz w:val="24"/>
              </w:rPr>
            </w:pPr>
            <w:r>
              <w:rPr>
                <w:rFonts w:hint="eastAsia" w:ascii="宋体" w:hAnsi="宋体" w:cs="宋体"/>
                <w:b/>
                <w:bCs/>
                <w:kern w:val="0"/>
                <w:sz w:val="24"/>
                <w:lang w:bidi="ar"/>
              </w:rPr>
              <w:t>一</w:t>
            </w:r>
          </w:p>
        </w:tc>
        <w:tc>
          <w:tcPr>
            <w:tcW w:w="441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运维</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次/人</w:t>
            </w:r>
          </w:p>
        </w:tc>
        <w:tc>
          <w:tcPr>
            <w:tcW w:w="2041"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2人/52次</w:t>
            </w:r>
          </w:p>
        </w:tc>
      </w:tr>
      <w:tr>
        <w:tblPrEx>
          <w:tblCellMar>
            <w:top w:w="0" w:type="dxa"/>
            <w:left w:w="108" w:type="dxa"/>
            <w:bottom w:w="0" w:type="dxa"/>
            <w:right w:w="108" w:type="dxa"/>
          </w:tblCellMar>
        </w:tblPrEx>
        <w:trPr>
          <w:trHeight w:val="98" w:hRule="atLeast"/>
          <w:jc w:val="center"/>
        </w:trPr>
        <w:tc>
          <w:tcPr>
            <w:tcW w:w="828" w:type="dxa"/>
            <w:vMerge w:val="restart"/>
            <w:tcBorders>
              <w:top w:val="single" w:color="000000" w:sz="4" w:space="0"/>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b/>
                <w:bCs/>
                <w:kern w:val="0"/>
                <w:sz w:val="24"/>
                <w:lang w:bidi="ar"/>
              </w:rPr>
              <w:t>二</w:t>
            </w:r>
          </w:p>
        </w:tc>
        <w:tc>
          <w:tcPr>
            <w:tcW w:w="1009"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耗材</w:t>
            </w:r>
          </w:p>
        </w:tc>
        <w:tc>
          <w:tcPr>
            <w:tcW w:w="3403"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纯净水</w:t>
            </w:r>
          </w:p>
        </w:tc>
        <w:tc>
          <w:tcPr>
            <w:tcW w:w="2126"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w:t>
            </w:r>
          </w:p>
        </w:tc>
        <w:tc>
          <w:tcPr>
            <w:tcW w:w="1276" w:type="dxa"/>
            <w:tcBorders>
              <w:top w:val="single" w:color="000000" w:sz="4" w:space="0"/>
              <w:left w:val="single" w:color="000000"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restart"/>
            <w:tcBorders>
              <w:top w:val="single" w:color="auto" w:sz="4" w:space="0"/>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全年足量提供</w:t>
            </w:r>
          </w:p>
        </w:tc>
      </w:tr>
      <w:tr>
        <w:tblPrEx>
          <w:tblCellMar>
            <w:top w:w="0" w:type="dxa"/>
            <w:left w:w="108" w:type="dxa"/>
            <w:bottom w:w="0" w:type="dxa"/>
            <w:right w:w="108" w:type="dxa"/>
          </w:tblCellMar>
        </w:tblPrEx>
        <w:trPr>
          <w:trHeight w:val="161"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1009" w:type="dxa"/>
            <w:vMerge w:val="continue"/>
            <w:tcBorders>
              <w:left w:val="single" w:color="000000" w:sz="4" w:space="0"/>
              <w:right w:val="single" w:color="000000" w:sz="4" w:space="0"/>
            </w:tcBorders>
            <w:noWrap/>
            <w:vAlign w:val="center"/>
          </w:tcPr>
          <w:p>
            <w:pPr>
              <w:widowControl/>
              <w:jc w:val="center"/>
              <w:textAlignment w:val="center"/>
            </w:pPr>
          </w:p>
        </w:tc>
        <w:tc>
          <w:tcPr>
            <w:tcW w:w="955"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试剂</w:t>
            </w:r>
          </w:p>
        </w:tc>
        <w:tc>
          <w:tcPr>
            <w:tcW w:w="2448" w:type="dxa"/>
            <w:vMerge w:val="restart"/>
            <w:tcBorders>
              <w:top w:val="single" w:color="000000" w:sz="4" w:space="0"/>
              <w:left w:val="single" w:color="000000"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COD试剂</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重铬酸钾</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61"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1009" w:type="dxa"/>
            <w:vMerge w:val="continue"/>
            <w:tcBorders>
              <w:left w:val="single" w:color="000000" w:sz="4" w:space="0"/>
              <w:right w:val="single" w:color="000000" w:sz="4" w:space="0"/>
            </w:tcBorders>
            <w:noWrap/>
            <w:vAlign w:val="center"/>
          </w:tcPr>
          <w:p>
            <w:pPr>
              <w:widowControl/>
              <w:jc w:val="center"/>
              <w:textAlignment w:val="center"/>
            </w:pPr>
          </w:p>
        </w:tc>
        <w:tc>
          <w:tcPr>
            <w:tcW w:w="955" w:type="dxa"/>
            <w:vMerge w:val="continue"/>
            <w:tcBorders>
              <w:left w:val="single" w:color="000000" w:sz="4" w:space="0"/>
              <w:right w:val="single" w:color="000000" w:sz="4" w:space="0"/>
            </w:tcBorders>
            <w:noWrap/>
            <w:vAlign w:val="center"/>
          </w:tcPr>
          <w:p>
            <w:pPr>
              <w:widowControl/>
              <w:jc w:val="center"/>
              <w:textAlignment w:val="center"/>
            </w:pPr>
          </w:p>
        </w:tc>
        <w:tc>
          <w:tcPr>
            <w:tcW w:w="2448" w:type="dxa"/>
            <w:vMerge w:val="continue"/>
            <w:tcBorders>
              <w:left w:val="single" w:color="000000" w:sz="4" w:space="0"/>
              <w:bottom w:val="single" w:color="000000" w:sz="4" w:space="0"/>
              <w:right w:val="single" w:color="auto" w:sz="4" w:space="0"/>
            </w:tcBorders>
            <w:noWrap/>
            <w:vAlign w:val="center"/>
          </w:tcPr>
          <w:p>
            <w:pPr>
              <w:widowControl/>
              <w:jc w:val="center"/>
              <w:textAlignment w:val="center"/>
            </w:pP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硫酸银</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0"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1009" w:type="dxa"/>
            <w:vMerge w:val="continue"/>
            <w:tcBorders>
              <w:left w:val="single" w:color="000000" w:sz="4" w:space="0"/>
              <w:right w:val="single" w:color="000000" w:sz="4" w:space="0"/>
            </w:tcBorders>
            <w:noWrap/>
            <w:vAlign w:val="center"/>
          </w:tcPr>
          <w:p>
            <w:pPr>
              <w:widowControl/>
              <w:jc w:val="center"/>
              <w:textAlignment w:val="center"/>
            </w:pPr>
          </w:p>
        </w:tc>
        <w:tc>
          <w:tcPr>
            <w:tcW w:w="955" w:type="dxa"/>
            <w:vMerge w:val="continue"/>
            <w:tcBorders>
              <w:left w:val="single" w:color="000000" w:sz="4" w:space="0"/>
              <w:right w:val="single" w:color="000000" w:sz="4" w:space="0"/>
            </w:tcBorders>
            <w:noWrap/>
            <w:vAlign w:val="center"/>
          </w:tcPr>
          <w:p>
            <w:pPr>
              <w:widowControl/>
              <w:jc w:val="center"/>
              <w:textAlignment w:val="center"/>
            </w:pPr>
          </w:p>
        </w:tc>
        <w:tc>
          <w:tcPr>
            <w:tcW w:w="2448" w:type="dxa"/>
            <w:vMerge w:val="restart"/>
            <w:tcBorders>
              <w:top w:val="single" w:color="000000" w:sz="4" w:space="0"/>
              <w:left w:val="single" w:color="000000"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氨氮试剂</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水杨酸</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0"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1009" w:type="dxa"/>
            <w:vMerge w:val="continue"/>
            <w:tcBorders>
              <w:left w:val="single" w:color="000000" w:sz="4" w:space="0"/>
              <w:right w:val="single" w:color="000000" w:sz="4" w:space="0"/>
            </w:tcBorders>
            <w:noWrap/>
            <w:vAlign w:val="center"/>
          </w:tcPr>
          <w:p>
            <w:pPr>
              <w:widowControl/>
              <w:jc w:val="center"/>
              <w:textAlignment w:val="center"/>
            </w:pPr>
          </w:p>
        </w:tc>
        <w:tc>
          <w:tcPr>
            <w:tcW w:w="955" w:type="dxa"/>
            <w:vMerge w:val="continue"/>
            <w:tcBorders>
              <w:left w:val="single" w:color="000000" w:sz="4" w:space="0"/>
              <w:right w:val="single" w:color="000000" w:sz="4" w:space="0"/>
            </w:tcBorders>
            <w:noWrap/>
            <w:vAlign w:val="center"/>
          </w:tcPr>
          <w:p>
            <w:pPr>
              <w:widowControl/>
              <w:jc w:val="center"/>
              <w:textAlignment w:val="center"/>
            </w:pPr>
          </w:p>
        </w:tc>
        <w:tc>
          <w:tcPr>
            <w:tcW w:w="2448" w:type="dxa"/>
            <w:vMerge w:val="continue"/>
            <w:tcBorders>
              <w:left w:val="single" w:color="000000" w:sz="4" w:space="0"/>
              <w:right w:val="single" w:color="auto" w:sz="4" w:space="0"/>
            </w:tcBorders>
            <w:noWrap/>
            <w:vAlign w:val="center"/>
          </w:tcPr>
          <w:p>
            <w:pPr>
              <w:widowControl/>
              <w:jc w:val="center"/>
              <w:textAlignment w:val="center"/>
            </w:pP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ascii="宋体" w:hAnsi="宋体" w:cs="宋体"/>
                <w:color w:val="000000"/>
                <w:sz w:val="23"/>
                <w:szCs w:val="23"/>
              </w:rPr>
              <w:t>亚硝基</w:t>
            </w:r>
            <w:r>
              <w:rPr>
                <w:rFonts w:hint="eastAsia" w:ascii="宋体" w:hAnsi="宋体" w:cs="宋体"/>
                <w:color w:val="000000"/>
                <w:sz w:val="23"/>
                <w:szCs w:val="23"/>
              </w:rPr>
              <w:t>亚</w:t>
            </w:r>
            <w:r>
              <w:rPr>
                <w:rFonts w:ascii="宋体" w:hAnsi="宋体" w:cs="宋体"/>
                <w:color w:val="000000"/>
                <w:sz w:val="23"/>
                <w:szCs w:val="23"/>
              </w:rPr>
              <w:t>铁</w:t>
            </w:r>
            <w:r>
              <w:rPr>
                <w:rFonts w:hint="eastAsia" w:ascii="宋体" w:hAnsi="宋体" w:cs="宋体"/>
                <w:color w:val="000000"/>
                <w:sz w:val="23"/>
                <w:szCs w:val="23"/>
              </w:rPr>
              <w:t>氰</w:t>
            </w:r>
            <w:r>
              <w:rPr>
                <w:rFonts w:ascii="宋体" w:hAnsi="宋体" w:cs="宋体"/>
                <w:color w:val="000000"/>
                <w:sz w:val="23"/>
                <w:szCs w:val="23"/>
              </w:rPr>
              <w:t>化钠</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0"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009"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955"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448" w:type="dxa"/>
            <w:vMerge w:val="continue"/>
            <w:tcBorders>
              <w:left w:val="single" w:color="000000"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ascii="宋体" w:hAnsi="宋体" w:cs="宋体"/>
                <w:color w:val="000000"/>
                <w:sz w:val="23"/>
                <w:szCs w:val="23"/>
              </w:rPr>
              <w:t>柠檬酸三钠</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0"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009"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955"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448" w:type="dxa"/>
            <w:vMerge w:val="continue"/>
            <w:tcBorders>
              <w:left w:val="single" w:color="000000" w:sz="4" w:space="0"/>
              <w:bottom w:val="single" w:color="000000"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盐酸</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1009" w:type="dxa"/>
            <w:vMerge w:val="continue"/>
            <w:tcBorders>
              <w:left w:val="single" w:color="000000" w:sz="4" w:space="0"/>
              <w:right w:val="single" w:color="000000" w:sz="4" w:space="0"/>
            </w:tcBorders>
            <w:noWrap/>
            <w:vAlign w:val="center"/>
          </w:tcPr>
          <w:p>
            <w:pPr>
              <w:widowControl/>
              <w:jc w:val="center"/>
              <w:textAlignment w:val="center"/>
            </w:pPr>
          </w:p>
        </w:tc>
        <w:tc>
          <w:tcPr>
            <w:tcW w:w="955"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pPr>
          </w:p>
        </w:tc>
        <w:tc>
          <w:tcPr>
            <w:tcW w:w="2448" w:type="dxa"/>
            <w:vMerge w:val="restart"/>
            <w:tcBorders>
              <w:left w:val="single" w:color="000000" w:sz="4" w:space="0"/>
              <w:right w:val="single" w:color="auto" w:sz="4" w:space="0"/>
            </w:tcBorders>
            <w:noWrap/>
            <w:vAlign w:val="center"/>
          </w:tcPr>
          <w:p>
            <w:pPr>
              <w:widowControl/>
              <w:jc w:val="center"/>
              <w:textAlignment w:val="center"/>
            </w:pPr>
            <w:r>
              <w:rPr>
                <w:rFonts w:hint="eastAsia" w:ascii="宋体" w:hAnsi="宋体" w:cs="宋体"/>
                <w:kern w:val="0"/>
                <w:sz w:val="24"/>
                <w:lang w:bidi="ar"/>
              </w:rPr>
              <w:t>磷酸盐试剂</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ascii="宋体" w:hAnsi="宋体" w:cs="宋体"/>
                <w:color w:val="000000"/>
                <w:sz w:val="23"/>
                <w:szCs w:val="23"/>
              </w:rPr>
              <w:t>硫酸钾</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1009" w:type="dxa"/>
            <w:vMerge w:val="continue"/>
            <w:tcBorders>
              <w:left w:val="single" w:color="000000" w:sz="4" w:space="0"/>
              <w:right w:val="single" w:color="000000" w:sz="4" w:space="0"/>
            </w:tcBorders>
            <w:noWrap/>
            <w:vAlign w:val="center"/>
          </w:tcPr>
          <w:p>
            <w:pPr>
              <w:widowControl/>
              <w:jc w:val="center"/>
              <w:textAlignment w:val="center"/>
            </w:pPr>
          </w:p>
        </w:tc>
        <w:tc>
          <w:tcPr>
            <w:tcW w:w="955"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pPr>
          </w:p>
        </w:tc>
        <w:tc>
          <w:tcPr>
            <w:tcW w:w="2448" w:type="dxa"/>
            <w:vMerge w:val="continue"/>
            <w:tcBorders>
              <w:left w:val="single" w:color="000000" w:sz="4" w:space="0"/>
              <w:right w:val="single" w:color="auto" w:sz="4" w:space="0"/>
            </w:tcBorders>
            <w:noWrap/>
            <w:vAlign w:val="center"/>
          </w:tcPr>
          <w:p>
            <w:pPr>
              <w:widowControl/>
              <w:jc w:val="center"/>
              <w:textAlignment w:val="center"/>
            </w:pP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钼酸胺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009"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955"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448" w:type="dxa"/>
            <w:vMerge w:val="continue"/>
            <w:tcBorders>
              <w:left w:val="single" w:color="000000" w:sz="4" w:space="0"/>
              <w:bottom w:val="single" w:color="000000"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抗坏血酸</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009"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955"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标准溶液</w:t>
            </w:r>
          </w:p>
        </w:tc>
        <w:tc>
          <w:tcPr>
            <w:tcW w:w="244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COD量程液、核查液</w:t>
            </w:r>
          </w:p>
        </w:tc>
        <w:tc>
          <w:tcPr>
            <w:tcW w:w="2126"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w:t>
            </w:r>
          </w:p>
        </w:tc>
        <w:tc>
          <w:tcPr>
            <w:tcW w:w="1276" w:type="dxa"/>
            <w:tcBorders>
              <w:top w:val="single" w:color="auto" w:sz="4" w:space="0"/>
              <w:left w:val="single" w:color="000000"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1009" w:type="dxa"/>
            <w:vMerge w:val="continue"/>
            <w:tcBorders>
              <w:left w:val="single" w:color="000000" w:sz="4" w:space="0"/>
              <w:right w:val="single" w:color="000000" w:sz="4" w:space="0"/>
            </w:tcBorders>
            <w:noWrap/>
            <w:vAlign w:val="center"/>
          </w:tcPr>
          <w:p>
            <w:pPr>
              <w:widowControl/>
              <w:jc w:val="center"/>
              <w:textAlignment w:val="center"/>
            </w:pPr>
          </w:p>
        </w:tc>
        <w:tc>
          <w:tcPr>
            <w:tcW w:w="955" w:type="dxa"/>
            <w:vMerge w:val="continue"/>
            <w:tcBorders>
              <w:left w:val="single" w:color="000000" w:sz="4" w:space="0"/>
              <w:right w:val="single" w:color="000000" w:sz="4" w:space="0"/>
            </w:tcBorders>
            <w:noWrap/>
            <w:vAlign w:val="center"/>
          </w:tcPr>
          <w:p>
            <w:pPr>
              <w:widowControl/>
              <w:jc w:val="center"/>
              <w:textAlignment w:val="center"/>
            </w:pPr>
          </w:p>
        </w:tc>
        <w:tc>
          <w:tcPr>
            <w:tcW w:w="244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氨氮量程液、核查液</w:t>
            </w:r>
          </w:p>
        </w:tc>
        <w:tc>
          <w:tcPr>
            <w:tcW w:w="2126"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w:t>
            </w:r>
          </w:p>
        </w:tc>
        <w:tc>
          <w:tcPr>
            <w:tcW w:w="1276" w:type="dxa"/>
            <w:tcBorders>
              <w:top w:val="single" w:color="auto" w:sz="4" w:space="0"/>
              <w:left w:val="single" w:color="000000"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009"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955"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44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磷酸盐量程液、核查液</w:t>
            </w:r>
          </w:p>
        </w:tc>
        <w:tc>
          <w:tcPr>
            <w:tcW w:w="2126"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w:t>
            </w:r>
          </w:p>
        </w:tc>
        <w:tc>
          <w:tcPr>
            <w:tcW w:w="1276" w:type="dxa"/>
            <w:tcBorders>
              <w:top w:val="single" w:color="auto" w:sz="4" w:space="0"/>
              <w:left w:val="single" w:color="000000"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289"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b/>
                <w:bCs/>
                <w:kern w:val="0"/>
                <w:sz w:val="24"/>
                <w:lang w:bidi="ar"/>
              </w:rPr>
              <w:t>三</w:t>
            </w:r>
          </w:p>
        </w:tc>
        <w:tc>
          <w:tcPr>
            <w:tcW w:w="441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维修</w:t>
            </w:r>
          </w:p>
        </w:tc>
        <w:tc>
          <w:tcPr>
            <w:tcW w:w="2126"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6"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041"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含单次2000元</w:t>
            </w:r>
            <w:r>
              <w:rPr>
                <w:rFonts w:hint="eastAsia" w:hAnsi="宋体" w:cs="宋体"/>
                <w:kern w:val="0"/>
                <w:sz w:val="24"/>
                <w:lang w:bidi="ar"/>
              </w:rPr>
              <w:t>及2000</w:t>
            </w:r>
            <w:r>
              <w:rPr>
                <w:rFonts w:hint="eastAsia" w:ascii="宋体" w:hAnsi="宋体" w:cs="宋体"/>
                <w:kern w:val="0"/>
                <w:sz w:val="24"/>
                <w:lang w:bidi="ar"/>
              </w:rPr>
              <w:t>以下耗材和配件费</w:t>
            </w:r>
          </w:p>
        </w:tc>
      </w:tr>
      <w:tr>
        <w:tblPrEx>
          <w:tblCellMar>
            <w:top w:w="0" w:type="dxa"/>
            <w:left w:w="108" w:type="dxa"/>
            <w:bottom w:w="0" w:type="dxa"/>
            <w:right w:w="108" w:type="dxa"/>
          </w:tblCellMar>
        </w:tblPrEx>
        <w:trPr>
          <w:trHeight w:val="251"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四</w:t>
            </w:r>
          </w:p>
        </w:tc>
        <w:tc>
          <w:tcPr>
            <w:tcW w:w="441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交通</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041"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r>
      <w:tr>
        <w:tblPrEx>
          <w:tblCellMar>
            <w:top w:w="0" w:type="dxa"/>
            <w:left w:w="108" w:type="dxa"/>
            <w:bottom w:w="0" w:type="dxa"/>
            <w:right w:w="108" w:type="dxa"/>
          </w:tblCellMar>
        </w:tblPrEx>
        <w:trPr>
          <w:trHeight w:val="343"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五</w:t>
            </w:r>
          </w:p>
        </w:tc>
        <w:tc>
          <w:tcPr>
            <w:tcW w:w="441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标识</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项</w:t>
            </w:r>
          </w:p>
        </w:tc>
        <w:tc>
          <w:tcPr>
            <w:tcW w:w="2041"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r>
      <w:tr>
        <w:tblPrEx>
          <w:tblCellMar>
            <w:top w:w="0" w:type="dxa"/>
            <w:left w:w="108" w:type="dxa"/>
            <w:bottom w:w="0" w:type="dxa"/>
            <w:right w:w="108" w:type="dxa"/>
          </w:tblCellMar>
        </w:tblPrEx>
        <w:trPr>
          <w:trHeight w:val="276"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六</w:t>
            </w:r>
          </w:p>
        </w:tc>
        <w:tc>
          <w:tcPr>
            <w:tcW w:w="441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资料</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项</w:t>
            </w:r>
          </w:p>
        </w:tc>
        <w:tc>
          <w:tcPr>
            <w:tcW w:w="2041"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r>
      <w:tr>
        <w:tblPrEx>
          <w:tblCellMar>
            <w:top w:w="0" w:type="dxa"/>
            <w:left w:w="108" w:type="dxa"/>
            <w:bottom w:w="0" w:type="dxa"/>
            <w:right w:w="108" w:type="dxa"/>
          </w:tblCellMar>
        </w:tblPrEx>
        <w:trPr>
          <w:trHeight w:val="237"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七</w:t>
            </w:r>
          </w:p>
        </w:tc>
        <w:tc>
          <w:tcPr>
            <w:tcW w:w="441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办公</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0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r>
      <w:tr>
        <w:tblPrEx>
          <w:tblCellMar>
            <w:top w:w="0" w:type="dxa"/>
            <w:left w:w="108" w:type="dxa"/>
            <w:bottom w:w="0" w:type="dxa"/>
            <w:right w:w="108" w:type="dxa"/>
          </w:tblCellMar>
        </w:tblPrEx>
        <w:trPr>
          <w:trHeight w:val="213"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八</w:t>
            </w:r>
          </w:p>
        </w:tc>
        <w:tc>
          <w:tcPr>
            <w:tcW w:w="441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专线</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条</w:t>
            </w:r>
          </w:p>
        </w:tc>
        <w:tc>
          <w:tcPr>
            <w:tcW w:w="20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1</w:t>
            </w:r>
          </w:p>
        </w:tc>
      </w:tr>
      <w:tr>
        <w:tblPrEx>
          <w:tblCellMar>
            <w:top w:w="0" w:type="dxa"/>
            <w:left w:w="108" w:type="dxa"/>
            <w:bottom w:w="0" w:type="dxa"/>
            <w:right w:w="108" w:type="dxa"/>
          </w:tblCellMar>
        </w:tblPrEx>
        <w:trPr>
          <w:trHeight w:val="124"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九</w:t>
            </w:r>
          </w:p>
        </w:tc>
        <w:tc>
          <w:tcPr>
            <w:tcW w:w="441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流量卡</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0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1</w:t>
            </w:r>
          </w:p>
        </w:tc>
      </w:tr>
    </w:tbl>
    <w:p>
      <w:pPr>
        <w:pStyle w:val="151"/>
        <w:widowControl/>
        <w:adjustRightInd w:val="0"/>
        <w:snapToGrid w:val="0"/>
        <w:spacing w:line="360" w:lineRule="auto"/>
        <w:ind w:firstLine="0" w:firstLineChars="0"/>
        <w:jc w:val="left"/>
        <w:rPr>
          <w:rFonts w:hint="eastAsia" w:ascii="宋体" w:hAnsi="宋体"/>
          <w:color w:val="000000"/>
          <w:sz w:val="24"/>
          <w:szCs w:val="24"/>
          <w:lang w:bidi="zh-CN"/>
        </w:rPr>
      </w:pPr>
    </w:p>
    <w:p>
      <w:pPr>
        <w:pStyle w:val="151"/>
        <w:widowControl/>
        <w:adjustRightInd w:val="0"/>
        <w:snapToGrid w:val="0"/>
        <w:spacing w:line="360" w:lineRule="auto"/>
        <w:ind w:firstLine="0" w:firstLineChars="0"/>
        <w:jc w:val="left"/>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5</w:t>
      </w:r>
      <w:r>
        <w:rPr>
          <w:rFonts w:asciiTheme="minorEastAsia" w:hAnsiTheme="minorEastAsia" w:eastAsiaTheme="minorEastAsia" w:cstheme="minorEastAsia"/>
          <w:kern w:val="0"/>
          <w:sz w:val="24"/>
          <w:szCs w:val="24"/>
          <w:lang w:bidi="en-US"/>
        </w:rPr>
        <w:t>．</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三、投标人资格要求</w:t>
      </w:r>
    </w:p>
    <w:p>
      <w:pPr>
        <w:keepNext/>
        <w:keepLines/>
        <w:spacing w:line="360" w:lineRule="auto"/>
        <w:ind w:firstLine="420" w:firstLineChars="200"/>
        <w:outlineLvl w:val="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 投标方企业营业执照成立三年以上（以营业执照成立日期到开标当日满三年为准），经营范围满足招标项目需求；注册资本符合项目要求，原则上投标人注册资金不得低于500万元。</w:t>
      </w:r>
    </w:p>
    <w:p>
      <w:pPr>
        <w:keepNext/>
        <w:keepLines/>
        <w:spacing w:line="360" w:lineRule="auto"/>
        <w:ind w:firstLine="420" w:firstLineChars="200"/>
        <w:outlineLvl w:val="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2.运维人员有废气、废水在线监测运维资质,且废气、废水资质证件各不少于3个（允许一人双证）。</w:t>
      </w:r>
    </w:p>
    <w:p>
      <w:pPr>
        <w:keepNext/>
        <w:keepLines/>
        <w:spacing w:line="360" w:lineRule="auto"/>
        <w:ind w:firstLine="420" w:firstLineChars="200"/>
        <w:outlineLvl w:val="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3.满足技术、质量、资金等要求，财务状况良好、经营稳定，具有全面履约的能力，能提供相关信用等级和完税证明。 </w:t>
      </w:r>
    </w:p>
    <w:p>
      <w:pPr>
        <w:keepNext/>
        <w:keepLines/>
        <w:spacing w:line="360" w:lineRule="auto"/>
        <w:ind w:firstLine="420" w:firstLineChars="200"/>
        <w:outlineLvl w:val="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4.投标人之间必须具有充分的竞争关系。</w:t>
      </w:r>
    </w:p>
    <w:p>
      <w:pPr>
        <w:keepNext/>
        <w:keepLines/>
        <w:spacing w:line="360" w:lineRule="auto"/>
        <w:ind w:firstLine="420" w:firstLineChars="200"/>
        <w:outlineLvl w:val="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5.在“国家企业信用信息公示系统”、“中国执行信息公开网”、“信用中国”、“天眼查”“裁判文书网”等信息平台中，无行政处罚及失信记录等信息。</w:t>
      </w:r>
    </w:p>
    <w:p>
      <w:pPr>
        <w:keepNext/>
        <w:keepLines/>
        <w:spacing w:line="360" w:lineRule="auto"/>
        <w:ind w:firstLine="420" w:firstLineChars="200"/>
        <w:outlineLvl w:val="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6.无招标违规、谎报年度报告信息、提供虚假资质资料等行为或其他行政处罚记录。</w:t>
      </w:r>
    </w:p>
    <w:p>
      <w:pPr>
        <w:keepNext/>
        <w:keepLines/>
        <w:spacing w:line="360" w:lineRule="auto"/>
        <w:ind w:firstLine="420" w:firstLineChars="200"/>
        <w:outlineLvl w:val="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7.没有被公司列入黑名单。</w:t>
      </w:r>
    </w:p>
    <w:p>
      <w:pPr>
        <w:keepNext/>
        <w:keepLines/>
        <w:spacing w:line="360" w:lineRule="auto"/>
        <w:ind w:firstLine="420" w:firstLineChars="200"/>
        <w:outlineLvl w:val="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8.投标方的直接或间接股东、法定代表人、董事、监事、高管非重汽员工及其亲属。</w:t>
      </w:r>
    </w:p>
    <w:p>
      <w:pPr>
        <w:keepNext/>
        <w:keepLines/>
        <w:spacing w:line="360" w:lineRule="auto"/>
        <w:ind w:firstLine="420" w:firstLineChars="200"/>
        <w:outlineLvl w:val="2"/>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9.按规定缴纳本项目投标保证金。</w:t>
      </w:r>
    </w:p>
    <w:p>
      <w:pPr>
        <w:pStyle w:val="2"/>
        <w:ind w:firstLine="420" w:firstLineChars="200"/>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10.投标方应严格按照国家有关环保法律法规、技术标准进行运维。</w:t>
      </w:r>
    </w:p>
    <w:p>
      <w:pPr>
        <w:pStyle w:val="2"/>
        <w:ind w:firstLine="420" w:firstLineChars="200"/>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11.能够正常传输数据，与大同市生态环境局联网。</w:t>
      </w:r>
    </w:p>
    <w:p>
      <w:pPr>
        <w:pStyle w:val="2"/>
        <w:ind w:firstLine="420" w:firstLineChars="200"/>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12.在大同市内有实验室或办公驻点。</w:t>
      </w:r>
    </w:p>
    <w:p>
      <w:pPr>
        <w:keepNext/>
        <w:keepLines/>
        <w:spacing w:line="360" w:lineRule="auto"/>
        <w:ind w:firstLine="482"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1.报名</w:t>
      </w:r>
    </w:p>
    <w:p>
      <w:pPr>
        <w:keepNext/>
        <w:keepLines/>
        <w:spacing w:line="360" w:lineRule="auto"/>
        <w:ind w:firstLine="482" w:firstLineChars="200"/>
        <w:outlineLvl w:val="2"/>
        <w:rPr>
          <w:rFonts w:hint="eastAsia" w:ascii="宋体" w:hAnsi="宋体" w:cs="宋体"/>
          <w:b/>
          <w:bCs/>
          <w:color w:val="000000"/>
          <w:sz w:val="24"/>
          <w:szCs w:val="24"/>
          <w:highlight w:val="yellow"/>
        </w:rPr>
      </w:pPr>
      <w:r>
        <w:rPr>
          <w:rFonts w:hint="eastAsia" w:ascii="宋体" w:hAnsi="宋体" w:cs="宋体"/>
          <w:b/>
          <w:bCs/>
          <w:color w:val="000000"/>
          <w:sz w:val="24"/>
          <w:szCs w:val="24"/>
          <w:highlight w:val="yellow"/>
        </w:rPr>
        <w:t>报名截止时间：2025年12月2</w:t>
      </w:r>
      <w:r>
        <w:rPr>
          <w:rFonts w:hint="eastAsia" w:ascii="宋体" w:hAnsi="宋体" w:cs="宋体"/>
          <w:b/>
          <w:bCs/>
          <w:color w:val="000000"/>
          <w:sz w:val="24"/>
          <w:szCs w:val="24"/>
          <w:highlight w:val="yellow"/>
          <w:lang w:val="en-US" w:eastAsia="zh-CN"/>
        </w:rPr>
        <w:t>2</w:t>
      </w:r>
      <w:r>
        <w:rPr>
          <w:rFonts w:hint="eastAsia" w:ascii="宋体" w:hAnsi="宋体" w:cs="宋体"/>
          <w:b/>
          <w:bCs/>
          <w:color w:val="000000"/>
          <w:sz w:val="24"/>
          <w:szCs w:val="24"/>
          <w:highlight w:val="yellow"/>
        </w:rPr>
        <w:t>日17：00</w:t>
      </w:r>
    </w:p>
    <w:p>
      <w:pPr>
        <w:keepNext/>
        <w:keepLines/>
        <w:spacing w:line="360" w:lineRule="auto"/>
        <w:ind w:firstLine="482" w:firstLineChars="200"/>
        <w:outlineLvl w:val="2"/>
        <w:rPr>
          <w:rFonts w:ascii="宋体" w:hAnsi="Courier New"/>
          <w:sz w:val="24"/>
          <w:szCs w:val="24"/>
        </w:rPr>
      </w:pPr>
      <w:r>
        <w:rPr>
          <w:rFonts w:hint="eastAsia" w:ascii="宋体" w:hAnsi="宋体" w:cs="宋体"/>
          <w:b/>
          <w:bCs/>
          <w:sz w:val="24"/>
          <w:szCs w:val="24"/>
          <w:lang w:bidi="ar"/>
        </w:rPr>
        <w:t>报名方式</w:t>
      </w:r>
      <w:r>
        <w:rPr>
          <w:rFonts w:hint="eastAsia" w:ascii="宋体" w:hAnsi="宋体" w:cs="宋体"/>
          <w:sz w:val="24"/>
          <w:szCs w:val="24"/>
          <w:lang w:bidi="ar"/>
        </w:rPr>
        <w:t>：</w:t>
      </w:r>
    </w:p>
    <w:p>
      <w:pPr>
        <w:pStyle w:val="43"/>
        <w:autoSpaceDE w:val="0"/>
        <w:spacing w:line="360" w:lineRule="auto"/>
        <w:ind w:firstLine="480" w:firstLineChars="200"/>
        <w:rPr>
          <w:rFonts w:hint="eastAsia"/>
          <w:b/>
          <w:bCs/>
          <w:lang w:bidi="ar"/>
        </w:rPr>
      </w:pPr>
      <w:r>
        <w:rPr>
          <w:rFonts w:hint="eastAsia"/>
          <w:lang w:bidi="ar"/>
        </w:rPr>
        <w:t>拟投标人根据招标人在中国重汽官网公开媒体上发布的招标信息，</w:t>
      </w:r>
      <w:r>
        <w:rPr>
          <w:rFonts w:hint="eastAsia"/>
          <w:color w:val="000000"/>
          <w:lang w:bidi="ar"/>
        </w:rPr>
        <w:t>在“中国重汽e采通”平台报名，具体流程如下：</w:t>
      </w:r>
      <w:r>
        <w:rPr>
          <w:rFonts w:hint="eastAsia"/>
          <w:lang w:bidi="ar"/>
        </w:rPr>
        <w:br w:type="textWrapping"/>
      </w:r>
      <w:r>
        <w:rPr>
          <w:rFonts w:hint="eastAsia"/>
          <w:b/>
          <w:bCs/>
          <w:lang w:bidi="ar"/>
        </w:rPr>
        <w:t>①系统注册与信息维护</w:t>
      </w:r>
    </w:p>
    <w:p>
      <w:pPr>
        <w:pStyle w:val="43"/>
        <w:autoSpaceDE w:val="0"/>
        <w:spacing w:line="360" w:lineRule="auto"/>
        <w:ind w:firstLine="482" w:firstLineChars="200"/>
        <w:rPr>
          <w:rFonts w:hint="eastAsia"/>
          <w:lang w:bidi="ar"/>
        </w:rPr>
      </w:pPr>
      <w:r>
        <w:rPr>
          <w:rFonts w:hint="eastAsia"/>
          <w:b/>
          <w:bCs/>
          <w:lang w:bidi="ar"/>
        </w:rPr>
        <w:t>首次注册供应商</w:t>
      </w:r>
      <w:r>
        <w:rPr>
          <w:rFonts w:hint="eastAsia"/>
          <w:lang w:bidi="ar"/>
        </w:rPr>
        <w:t>：请根据《SRM非生产供应商注册手册》（附件一）完成平台账号注册。</w:t>
      </w:r>
    </w:p>
    <w:p>
      <w:pPr>
        <w:pStyle w:val="43"/>
        <w:autoSpaceDE w:val="0"/>
        <w:spacing w:line="360" w:lineRule="auto"/>
        <w:ind w:firstLine="482" w:firstLineChars="200"/>
        <w:rPr>
          <w:rFonts w:hint="eastAsia"/>
        </w:rPr>
      </w:pPr>
      <w:r>
        <w:rPr>
          <w:rFonts w:hint="eastAsia"/>
          <w:b/>
          <w:bCs/>
          <w:lang w:bidi="ar"/>
        </w:rPr>
        <w:t>已注册供应商</w:t>
      </w:r>
      <w:r>
        <w:rPr>
          <w:rFonts w:hint="eastAsia"/>
          <w:lang w:bidi="ar"/>
        </w:rPr>
        <w:t>：请登录系统核对系统中2022-2024年度财务数据。如尚未填写或信息不全，请参照《SRM非生产供应商注册手册》（附件二）及时进行补充与更新，确保信息真实、完整。</w:t>
      </w:r>
      <w:r>
        <w:rPr>
          <w:rFonts w:hint="eastAsia"/>
          <w:lang w:bidi="ar"/>
        </w:rPr>
        <w:br w:type="textWrapping"/>
      </w:r>
      <w:r>
        <w:rPr>
          <w:rFonts w:hint="eastAsia"/>
          <w:b/>
          <w:bCs/>
          <w:lang w:bidi="ar"/>
        </w:rPr>
        <w:t>②应标流程</w:t>
      </w:r>
    </w:p>
    <w:p>
      <w:pPr>
        <w:pStyle w:val="43"/>
        <w:autoSpaceDE w:val="0"/>
        <w:spacing w:line="360" w:lineRule="auto"/>
        <w:ind w:firstLine="480" w:firstLineChars="200"/>
        <w:rPr>
          <w:rFonts w:hint="eastAsia"/>
        </w:rPr>
      </w:pPr>
      <w:r>
        <w:rPr>
          <w:rFonts w:hint="eastAsia"/>
          <w:lang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pPr>
        <w:pStyle w:val="43"/>
        <w:autoSpaceDE w:val="0"/>
        <w:spacing w:line="360" w:lineRule="auto"/>
        <w:ind w:firstLine="480" w:firstLineChars="200"/>
        <w:rPr>
          <w:rFonts w:hint="eastAsia"/>
        </w:rPr>
      </w:pPr>
      <w:r>
        <w:rPr>
          <w:rFonts w:hint="eastAsia"/>
          <w:lang w:bidi="ar"/>
        </w:rPr>
        <w:t>若为</w:t>
      </w:r>
      <w:r>
        <w:rPr>
          <w:rFonts w:hint="eastAsia"/>
          <w:b/>
          <w:bCs/>
          <w:lang w:bidi="ar"/>
        </w:rPr>
        <w:t>代理商应标</w:t>
      </w:r>
      <w:r>
        <w:rPr>
          <w:rFonts w:hint="eastAsia"/>
          <w:lang w:bidi="ar"/>
        </w:rPr>
        <w:t>，请在应标后</w:t>
      </w:r>
      <w:r>
        <w:rPr>
          <w:rFonts w:hint="eastAsia"/>
          <w:b/>
          <w:bCs/>
          <w:lang w:bidi="ar"/>
        </w:rPr>
        <w:t>主动联系商务联系人</w:t>
      </w:r>
      <w:r>
        <w:rPr>
          <w:rFonts w:hint="eastAsia"/>
          <w:lang w:bidi="ar"/>
        </w:rPr>
        <w:t>。</w:t>
      </w:r>
    </w:p>
    <w:p>
      <w:pPr>
        <w:pStyle w:val="43"/>
        <w:autoSpaceDE w:val="0"/>
        <w:spacing w:line="360" w:lineRule="auto"/>
        <w:ind w:firstLine="480" w:firstLineChars="200"/>
        <w:rPr>
          <w:rFonts w:hAnsi="Courier New"/>
          <w:sz w:val="21"/>
          <w:szCs w:val="21"/>
        </w:rPr>
      </w:pPr>
      <w:r>
        <w:rPr>
          <w:rFonts w:hint="eastAsia"/>
          <w:lang w:bidi="ar"/>
        </w:rPr>
        <w:t>如资质审查未通过，请按审核意见修改后重新上传。请注意：应标截止时间后将无法再次上传或修改应标文件。</w:t>
      </w:r>
    </w:p>
    <w:p>
      <w:pPr>
        <w:spacing w:line="360" w:lineRule="auto"/>
        <w:ind w:firstLine="480" w:firstLineChars="200"/>
        <w:rPr>
          <w:rFonts w:hint="eastAsia" w:ascii="宋体" w:hAnsi="宋体" w:cs="宋体"/>
          <w:color w:val="000000"/>
          <w:sz w:val="24"/>
          <w:szCs w:val="24"/>
        </w:rPr>
      </w:pPr>
      <w:r>
        <w:rPr>
          <w:rFonts w:hint="eastAsia" w:asciiTheme="minorEastAsia" w:hAnsiTheme="minorEastAsia" w:eastAsiaTheme="minorEastAsia" w:cstheme="minorEastAsia"/>
          <w:bCs/>
          <w:sz w:val="24"/>
          <w:szCs w:val="24"/>
        </w:rPr>
        <w:t>投标人应按资质文件格式要求组成应标资质文件（对以下所要求的投标文件如有任何一项未实质性响应，将可能导致其投标文件被拒绝）</w:t>
      </w:r>
      <w:r>
        <w:rPr>
          <w:rFonts w:hint="eastAsia" w:asciiTheme="minorEastAsia" w:hAnsiTheme="minorEastAsia" w:eastAsiaTheme="minorEastAsia" w:cstheme="minorEastAsia"/>
          <w:b/>
          <w:sz w:val="24"/>
          <w:szCs w:val="24"/>
        </w:rPr>
        <w:t>要求每页都需加盖公章</w:t>
      </w:r>
      <w:r>
        <w:rPr>
          <w:rFonts w:hint="eastAsia" w:ascii="宋体" w:hAnsi="宋体" w:cs="宋体"/>
          <w:color w:val="000000"/>
          <w:sz w:val="24"/>
          <w:szCs w:val="24"/>
        </w:rPr>
        <w:t>：</w:t>
      </w:r>
    </w:p>
    <w:p>
      <w:pPr>
        <w:pStyle w:val="20"/>
        <w:spacing w:line="360" w:lineRule="auto"/>
        <w:ind w:firstLine="480" w:firstLineChars="200"/>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1）企业资质：营业执照副本复印件、投标保证金缴纳凭证；废气、废水在线监测运维人员资质复印件；法定代表人参加投标的，需提供法人身份证复印件；派授权人参加投标的，需提供法定代表人授权委托书及法人、被授权人身份证复印件；近三年内在经营活动中没有违法违纪行为的声明；投标单位在国家企业信用信息公示系统中无行政处罚、经营异常或失信信息或上述信息已被移除的声明。投标单位可提供所有运维人员的资格证书复印件；投标单位具备大同市环境监测监控系统V6.0平台运维账号；投标单位需提供近三年经审计的财务报告，如投标单位公司规模较小，未有审计报告，可提供财务报表；a.近三年的财务审计报告原件，并加盖公章，包括但不限于报告页、经审计的资产负债表、利润表、现金流量表及报表附注。b.企业最近半年完税证明、信用证明材料（中国人民银行信用代码证+征信报告）；c.年度纳税信用评价信息（可从电子税务局查询截图，需加盖公章）；d.企业对外担保说明（写明贵单位对外有无对外担保和质押业务，需加盖公章）。</w:t>
      </w:r>
    </w:p>
    <w:p>
      <w:pPr>
        <w:pStyle w:val="20"/>
        <w:spacing w:line="360" w:lineRule="auto"/>
        <w:ind w:firstLine="480" w:firstLineChars="200"/>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（2）企业简介：PDF版企业简介；</w:t>
      </w:r>
    </w:p>
    <w:p>
      <w:pPr>
        <w:pStyle w:val="20"/>
        <w:spacing w:line="360" w:lineRule="auto"/>
        <w:ind w:firstLine="480" w:firstLineChars="200"/>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（3）企业业绩：证明投标人满足投标资料表中列出的业绩要求的文件：近三年（2022年1月1日至今）类似项目业绩及合同复印件（加盖公章，须有客户联系方式及联系人以供招标人核实确认）；</w:t>
      </w:r>
    </w:p>
    <w:p>
      <w:pPr>
        <w:pStyle w:val="20"/>
        <w:spacing w:line="360" w:lineRule="auto"/>
        <w:ind w:firstLine="480" w:firstLineChars="200"/>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（4）其他：投标报名表等。</w:t>
      </w:r>
    </w:p>
    <w:p>
      <w:pPr>
        <w:pStyle w:val="20"/>
        <w:spacing w:line="360" w:lineRule="auto"/>
        <w:ind w:firstLine="480" w:firstLineChars="200"/>
        <w:rPr>
          <w:rFonts w:hint="eastAsia" w:ascii="宋体" w:hAnsi="宋体" w:cs="宋体"/>
          <w:color w:val="000000"/>
          <w:szCs w:val="24"/>
        </w:rPr>
      </w:pPr>
      <w:r>
        <w:rPr>
          <w:rFonts w:hint="eastAsia" w:asciiTheme="minorEastAsia" w:hAnsiTheme="minorEastAsia" w:eastAsiaTheme="minorEastAsia" w:cstheme="minorEastAsia"/>
          <w:bCs/>
          <w:szCs w:val="24"/>
        </w:rPr>
        <w:t>备注：提供上述资料均须加盖单位公章，以PDF的形式在规定时间内上传至重汽e采通内。</w:t>
      </w:r>
    </w:p>
    <w:p>
      <w:pPr>
        <w:spacing w:line="360" w:lineRule="auto"/>
        <w:ind w:firstLine="482" w:firstLineChars="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
          <w:sz w:val="24"/>
          <w:szCs w:val="24"/>
        </w:rPr>
        <w:t>以上内容合定扫描到资质文件当中。投标人提供的以上材料必须真实有效，任何一项的虚假将导致其应标文件被拒绝，请投标人确认中国重汽e采通系统中供应商信息完整、准确，因供应商信息不全或错误导致的报名不成功，由投标人自行承担。</w:t>
      </w:r>
    </w:p>
    <w:p>
      <w:pPr>
        <w:pStyle w:val="151"/>
        <w:adjustRightInd w:val="0"/>
        <w:snapToGrid w:val="0"/>
        <w:spacing w:line="360" w:lineRule="auto"/>
        <w:ind w:firstLine="482"/>
        <w:jc w:val="left"/>
        <w:rPr>
          <w:rFonts w:hint="eastAsia" w:ascii="宋体" w:hAnsi="宋体" w:cs="宋体"/>
          <w:b/>
          <w:bCs/>
          <w:color w:val="000000"/>
          <w:sz w:val="24"/>
          <w:szCs w:val="24"/>
        </w:rPr>
      </w:pPr>
      <w:r>
        <w:rPr>
          <w:rFonts w:hint="eastAsia" w:ascii="宋体" w:hAnsi="宋体" w:cs="宋体"/>
          <w:b/>
          <w:bCs/>
          <w:color w:val="000000"/>
          <w:sz w:val="24"/>
          <w:szCs w:val="24"/>
        </w:rPr>
        <w:t>2.投标</w:t>
      </w:r>
    </w:p>
    <w:p>
      <w:pPr>
        <w:pStyle w:val="151"/>
        <w:adjustRightInd w:val="0"/>
        <w:snapToGrid w:val="0"/>
        <w:spacing w:line="360" w:lineRule="auto"/>
        <w:ind w:firstLine="480"/>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 xml:space="preserve">，超过投标截止时间将视为参与失败。 </w:t>
      </w:r>
    </w:p>
    <w:p>
      <w:pPr>
        <w:pStyle w:val="151"/>
        <w:adjustRightInd w:val="0"/>
        <w:snapToGrid w:val="0"/>
        <w:spacing w:line="360" w:lineRule="auto"/>
        <w:ind w:firstLine="0" w:firstLineChars="0"/>
        <w:jc w:val="left"/>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
          <w:sz w:val="24"/>
          <w:szCs w:val="24"/>
          <w:highlight w:val="yellow"/>
        </w:rPr>
        <w:t>2025年12月27日9:00</w:t>
      </w:r>
    </w:p>
    <w:p>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pPr>
        <w:pStyle w:val="151"/>
        <w:adjustRightInd w:val="0"/>
        <w:snapToGrid w:val="0"/>
        <w:spacing w:line="360" w:lineRule="auto"/>
        <w:ind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Cs/>
          <w:sz w:val="24"/>
          <w:szCs w:val="24"/>
        </w:rPr>
        <w:t>1.开标时间：</w:t>
      </w:r>
      <w:r>
        <w:rPr>
          <w:rFonts w:hint="eastAsia" w:asciiTheme="minorEastAsia" w:hAnsiTheme="minorEastAsia" w:eastAsiaTheme="minorEastAsia" w:cstheme="minorEastAsia"/>
          <w:b/>
          <w:sz w:val="24"/>
          <w:szCs w:val="24"/>
          <w:highlight w:val="yellow"/>
        </w:rPr>
        <w:t>2025年12月29日9:00时</w:t>
      </w:r>
      <w:r>
        <w:rPr>
          <w:rFonts w:hint="eastAsia" w:asciiTheme="minorEastAsia" w:hAnsiTheme="minorEastAsia" w:eastAsiaTheme="minorEastAsia" w:cstheme="minorEastAsia"/>
          <w:b/>
          <w:sz w:val="24"/>
          <w:szCs w:val="24"/>
        </w:rPr>
        <w:t>。待定(投标完成后联系商务联系人，发送投标保证金缴纳凭证获取会议链接号)）</w:t>
      </w:r>
    </w:p>
    <w:p>
      <w:pPr>
        <w:pStyle w:val="151"/>
        <w:adjustRightInd w:val="0"/>
        <w:snapToGrid w:val="0"/>
        <w:spacing w:line="360" w:lineRule="auto"/>
        <w:ind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w:t>
      </w:r>
      <w:r>
        <w:rPr>
          <w:rFonts w:hint="eastAsia" w:asciiTheme="minorEastAsia" w:hAnsiTheme="minorEastAsia" w:eastAsiaTheme="minorEastAsia" w:cstheme="minorEastAsia"/>
          <w:bCs/>
          <w:sz w:val="24"/>
          <w:szCs w:val="24"/>
        </w:rPr>
        <w:t>.开标地点：线上会议</w:t>
      </w:r>
    </w:p>
    <w:p>
      <w:pPr>
        <w:pStyle w:val="151"/>
        <w:adjustRightInd w:val="0"/>
        <w:snapToGrid w:val="0"/>
        <w:spacing w:line="360" w:lineRule="auto"/>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3.商务联系人：卜老师 15542226228 bujianfeng@sinotruk.com</w:t>
      </w:r>
    </w:p>
    <w:p>
      <w:pPr>
        <w:pStyle w:val="151"/>
        <w:adjustRightInd w:val="0"/>
        <w:snapToGrid w:val="0"/>
        <w:spacing w:line="360" w:lineRule="auto"/>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技术联系人：赫老师 13653425867 2518968528@qq.com</w:t>
      </w:r>
    </w:p>
    <w:p>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本项目采用合理最低价评标法，在满足招标人资格和技术要求的前提下</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sz w:val="24"/>
          <w:szCs w:val="24"/>
        </w:rPr>
        <w:t>选取商务谈判后合理最低价为本项目中标人。</w:t>
      </w:r>
    </w:p>
    <w:p>
      <w:pPr>
        <w:pStyle w:val="151"/>
        <w:adjustRightInd w:val="0"/>
        <w:snapToGrid w:val="0"/>
        <w:spacing w:line="360" w:lineRule="auto"/>
        <w:ind w:firstLine="0" w:firstLine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1、本次评标e采通上进行报价，评标专家组将与投标人进行多轮商务谈判，每轮谈判价格不得高于上一轮报价。</w:t>
      </w:r>
    </w:p>
    <w:p>
      <w:pPr>
        <w:pStyle w:val="151"/>
        <w:adjustRightInd w:val="0"/>
        <w:snapToGrid w:val="0"/>
        <w:spacing w:line="360" w:lineRule="auto"/>
        <w:ind w:firstLine="0" w:firstLine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2、招标人不接受任何选择性报价，对投标人的每一种投标方案只允许有一个投标价。所有投标价均以人民币报价。</w:t>
      </w:r>
    </w:p>
    <w:p>
      <w:pPr>
        <w:tabs>
          <w:tab w:val="left" w:pos="1134"/>
        </w:tabs>
        <w:snapToGrid w:val="0"/>
        <w:spacing w:line="360" w:lineRule="auto"/>
        <w:rPr>
          <w:rFonts w:hint="eastAsia"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pPr>
        <w:spacing w:line="360" w:lineRule="auto"/>
        <w:ind w:firstLine="482" w:firstLineChars="200"/>
        <w:rPr>
          <w:rFonts w:hint="eastAsia" w:asciiTheme="minorEastAsia" w:hAnsiTheme="minorEastAsia" w:eastAsiaTheme="minorEastAsia" w:cstheme="minorEastAsia"/>
          <w:b/>
          <w:sz w:val="24"/>
          <w:szCs w:val="24"/>
        </w:rPr>
      </w:pPr>
      <w:r>
        <w:rPr>
          <w:rFonts w:hint="eastAsia" w:ascii="宋体" w:hAnsi="宋体"/>
          <w:b/>
          <w:bCs/>
          <w:color w:val="000000"/>
          <w:sz w:val="24"/>
          <w:szCs w:val="24"/>
          <w:lang w:bidi="zh-CN"/>
        </w:rPr>
        <w:t>技术要求详见“技术文件”</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八、投标文件</w:t>
      </w:r>
    </w:p>
    <w:p>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pPr>
        <w:pStyle w:val="151"/>
        <w:numPr>
          <w:ilvl w:val="0"/>
          <w:numId w:val="4"/>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资格证明文件</w:t>
      </w:r>
      <w:r>
        <w:rPr>
          <w:rFonts w:hint="eastAsia" w:asciiTheme="minorEastAsia" w:hAnsiTheme="minorEastAsia" w:eastAsiaTheme="minorEastAsia" w:cstheme="minorEastAsia"/>
          <w:sz w:val="24"/>
          <w:szCs w:val="24"/>
        </w:rPr>
        <w:t>包括（以下文件均需加盖公章）：</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1、资质文件</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（1）营业执照副本复印件；</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（2）废气、废水在线监测运维人员资质复印件；</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（3）法定代表人参加投标的，需提供法人身份证复印件；派授权人参加投标的，需提供法定代表人授权委托书及法人、被授权人身份证复印件；</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（4）近三年内在经营活动中没有违法违纪行为的声明；</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（5）投标单位在国家企业信用信息公示系统中无行政处罚、经营异常或失信信息或上述信息已被移除的声明。</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（6）投标单位可提供所有运维人员的资格证书复印件；投标单位具备大同市环境监测监控系统V6.0平台运维账号。</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（7）投标单位需提供近三年经审计的财务报告，如投标单位公司规模较小，未有审计报告，可提供财务报表。</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8）a.近三年的财务审计报告原件，并加盖公章，包括但不限于报告页、经审计的资产负债表、利润表、现金流量表及报表附注。b.企业最近半年完税证明、信用证明材料（中国人民银行信用代码证+征信报告）；c.年度纳税信用评价信息（可从电子税务局查询截图，需加盖公章）；d.企业对外担保说明（写明贵单位对外有无对外担保和质押业务，需加盖公章）。</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（8）投标保证金缴纳凭证（应标时不做要求，投标时需随资质文件一同上传）。</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2、商务标文件</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（1）投标函；</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（2）开标一览表；</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（3）商务条款偏离表；</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（4）其他需要说明的事项。</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备注：提供上述资料均须加盖单位公章，扫描后上传e采通系统中。</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4、其他</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（1）</w:t>
      </w:r>
      <w:r>
        <w:rPr>
          <w:rFonts w:asciiTheme="minorEastAsia" w:hAnsiTheme="minorEastAsia" w:eastAsiaTheme="minorEastAsia" w:cstheme="minorEastAsia"/>
          <w:szCs w:val="24"/>
          <w:lang w:val="en-US"/>
        </w:rPr>
        <w:t>投标人应与招标人指派的答疑人员充分沟通，理解认可并接受相关技术规范及服务要求；</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（2）</w:t>
      </w:r>
      <w:r>
        <w:rPr>
          <w:rFonts w:asciiTheme="minorEastAsia" w:hAnsiTheme="minorEastAsia" w:eastAsiaTheme="minorEastAsia" w:cstheme="minorEastAsia"/>
          <w:szCs w:val="24"/>
          <w:lang w:val="en-US"/>
        </w:rPr>
        <w:t>投标人可免费提供的、包含但不限于招标人所要求的其他相关服务内容，在其“开标一览表”中一并说明。</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（3）投标人须认可招标人由于招标人上级集团公司政策变化引起的合同签订前终止项目的要求。如投标人不认可、不接受，则投标人相关商务条款偏离表中注明“不接受”字。</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（4）要求招标人或相关合同签订单位提供的配合，在标书文件中说明。</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（1）本次招标为公开招标，报价应为：</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经与招标人或其指派的答疑人员充分沟通确认基础上，由投标人在满足招标人所提出的、与本项目所有相关环节有关的所有费用；</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（2）所有报价货币单位为：万元（人民币），含税；</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（3）付款结算方式：</w:t>
      </w:r>
      <w:r>
        <w:rPr>
          <w:rFonts w:hint="eastAsia" w:asciiTheme="minorEastAsia" w:hAnsiTheme="minorEastAsia" w:eastAsiaTheme="minorEastAsia" w:cstheme="minorEastAsia"/>
          <w:szCs w:val="24"/>
          <w:highlight w:val="yellow"/>
          <w:lang w:val="en-US"/>
        </w:rPr>
        <w:t>半年期商业汇票（包括银行承兑汇票和商业承兑汇票）</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按季度支付，拟中标方按合同约定完成工作后，每季度最后一个月，拟中标方开具增值税专用发票，招标方在发票上账 30 日内以电子承兑汇票方式支付拟中标方季度费用。</w:t>
      </w:r>
    </w:p>
    <w:p>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（4）项目限价：含税15.051万元，超过投标限价无法投标。</w:t>
      </w:r>
    </w:p>
    <w:p>
      <w:pPr>
        <w:pStyle w:val="57"/>
        <w:snapToGrid w:val="0"/>
        <w:spacing w:line="360" w:lineRule="auto"/>
        <w:ind w:firstLine="482" w:firstLineChars="200"/>
        <w:rPr>
          <w:rFonts w:hint="eastAsia" w:asciiTheme="minorEastAsia" w:hAnsiTheme="minorEastAsia" w:eastAsiaTheme="minorEastAsia" w:cstheme="minorEastAsia"/>
          <w:b/>
          <w:color w:val="auto"/>
          <w:kern w:val="2"/>
        </w:rPr>
      </w:pPr>
      <w:r>
        <w:rPr>
          <w:rFonts w:hint="eastAsia" w:asciiTheme="minorEastAsia" w:hAnsiTheme="minorEastAsia" w:eastAsiaTheme="minorEastAsia" w:cstheme="minorEastAsia"/>
          <w:b/>
          <w:color w:val="auto"/>
          <w:kern w:val="2"/>
        </w:rPr>
        <w:t>注：付款方式和付款比例不允许偏离。</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b/>
          <w:bCs/>
          <w:sz w:val="24"/>
          <w:szCs w:val="24"/>
        </w:rPr>
        <w:t>投标保证金的缴纳形式：</w:t>
      </w:r>
      <w:r>
        <w:rPr>
          <w:rFonts w:hint="eastAsia" w:ascii="宋体" w:hAnsi="宋体" w:cs="宋体"/>
          <w:sz w:val="24"/>
          <w:szCs w:val="24"/>
        </w:rPr>
        <w:t>银行基本账户转账</w:t>
      </w:r>
      <w:r>
        <w:rPr>
          <w:rFonts w:hint="eastAsia" w:asciiTheme="minorEastAsia" w:hAnsiTheme="minorEastAsia" w:eastAsiaTheme="minorEastAsia" w:cstheme="minorEastAsia"/>
          <w:color w:val="000000"/>
          <w:sz w:val="24"/>
          <w:szCs w:val="24"/>
        </w:rPr>
        <w:t>。</w:t>
      </w:r>
    </w:p>
    <w:p>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投标保证金缴纳截止时间：</w:t>
      </w:r>
      <w:r>
        <w:rPr>
          <w:rFonts w:hint="eastAsia" w:asciiTheme="minorEastAsia" w:hAnsiTheme="minorEastAsia" w:eastAsiaTheme="minorEastAsia" w:cstheme="minorEastAsia"/>
          <w:b/>
          <w:bCs/>
          <w:color w:val="000000"/>
          <w:sz w:val="24"/>
          <w:szCs w:val="24"/>
          <w:u w:val="single"/>
        </w:rPr>
        <w:t xml:space="preserve">2025年12月27日9:00 </w:t>
      </w:r>
      <w:r>
        <w:rPr>
          <w:rFonts w:hint="eastAsia" w:asciiTheme="minorEastAsia" w:hAnsiTheme="minorEastAsia" w:eastAsiaTheme="minorEastAsia" w:cstheme="minorEastAsia"/>
          <w:b/>
          <w:color w:val="000000"/>
          <w:sz w:val="24"/>
          <w:szCs w:val="24"/>
          <w:u w:val="single"/>
        </w:rPr>
        <w:t>。（投标保证金缴纳凭证需随资质投标文件一起上传）</w:t>
      </w:r>
      <w:r>
        <w:rPr>
          <w:rFonts w:hint="eastAsia" w:asciiTheme="minorEastAsia" w:hAnsiTheme="minorEastAsia" w:eastAsiaTheme="minorEastAsia" w:cstheme="minorEastAsia"/>
          <w:bCs/>
          <w:color w:val="000000"/>
          <w:sz w:val="24"/>
          <w:szCs w:val="24"/>
          <w:u w:val="single"/>
        </w:rPr>
        <w:t>投标方</w:t>
      </w:r>
      <w:r>
        <w:rPr>
          <w:rFonts w:hint="eastAsia" w:ascii="宋体" w:hAnsi="宋体" w:cs="宋体"/>
          <w:sz w:val="24"/>
          <w:szCs w:val="24"/>
        </w:rPr>
        <w:t>应充分考虑银行信息交换时间，由此带来的保证金不能按时到帐的责任由投标方自行承担。</w:t>
      </w:r>
    </w:p>
    <w:p>
      <w:pPr>
        <w:tabs>
          <w:tab w:val="left" w:pos="932"/>
        </w:tabs>
        <w:spacing w:line="360" w:lineRule="auto"/>
        <w:ind w:firstLine="482" w:firstLineChars="200"/>
        <w:rPr>
          <w:rFonts w:hint="eastAsia" w:ascii="宋体" w:hAnsi="宋体" w:cs="宋体"/>
          <w:b/>
          <w:bCs/>
          <w:sz w:val="24"/>
          <w:szCs w:val="24"/>
          <w:highlight w:val="yellow"/>
        </w:rPr>
      </w:pPr>
      <w:r>
        <w:rPr>
          <w:rFonts w:hint="eastAsia" w:ascii="宋体" w:hAnsi="宋体" w:cs="宋体"/>
          <w:b/>
          <w:bCs/>
          <w:sz w:val="24"/>
          <w:szCs w:val="24"/>
          <w:highlight w:val="yellow"/>
        </w:rPr>
        <w:t>投标保证金的金额：人民币5000元</w:t>
      </w:r>
    </w:p>
    <w:p>
      <w:pPr>
        <w:spacing w:line="360" w:lineRule="auto"/>
        <w:ind w:firstLine="482" w:firstLineChars="200"/>
        <w:rPr>
          <w:rFonts w:hint="eastAsia" w:ascii="宋体" w:hAnsi="宋体" w:cs="宋体"/>
          <w:b/>
          <w:bCs/>
          <w:sz w:val="24"/>
          <w:szCs w:val="24"/>
          <w:highlight w:val="yellow"/>
        </w:rPr>
      </w:pPr>
      <w:r>
        <w:rPr>
          <w:rFonts w:ascii="宋体" w:hAnsi="宋体" w:cs="宋体"/>
          <w:b/>
          <w:bCs/>
          <w:sz w:val="24"/>
          <w:szCs w:val="24"/>
          <w:highlight w:val="yellow"/>
        </w:rPr>
        <w:t>单位名称：</w:t>
      </w:r>
      <w:r>
        <w:rPr>
          <w:rFonts w:hint="eastAsia" w:ascii="宋体" w:hAnsi="宋体" w:cs="宋体"/>
          <w:b/>
          <w:bCs/>
          <w:sz w:val="24"/>
          <w:szCs w:val="24"/>
          <w:highlight w:val="yellow"/>
        </w:rPr>
        <w:t>中国重汽集团大同齿轮有限公司</w:t>
      </w:r>
    </w:p>
    <w:p>
      <w:pPr>
        <w:spacing w:line="360" w:lineRule="auto"/>
        <w:ind w:firstLine="482" w:firstLineChars="200"/>
        <w:rPr>
          <w:rFonts w:hint="eastAsia" w:ascii="宋体" w:hAnsi="宋体" w:cs="宋体"/>
          <w:b/>
          <w:bCs/>
          <w:sz w:val="24"/>
          <w:szCs w:val="24"/>
          <w:highlight w:val="yellow"/>
        </w:rPr>
      </w:pPr>
      <w:r>
        <w:rPr>
          <w:rFonts w:ascii="宋体" w:hAnsi="宋体" w:cs="宋体"/>
          <w:b/>
          <w:bCs/>
          <w:sz w:val="24"/>
          <w:szCs w:val="24"/>
          <w:highlight w:val="yellow"/>
        </w:rPr>
        <w:t>收款账号：</w:t>
      </w:r>
      <w:r>
        <w:rPr>
          <w:rFonts w:hint="eastAsia" w:ascii="宋体" w:hAnsi="宋体" w:cs="宋体"/>
          <w:b/>
          <w:bCs/>
          <w:sz w:val="24"/>
          <w:szCs w:val="24"/>
          <w:highlight w:val="yellow"/>
        </w:rPr>
        <w:t>04272001040026121</w:t>
      </w:r>
    </w:p>
    <w:p>
      <w:pPr>
        <w:spacing w:line="360" w:lineRule="auto"/>
        <w:ind w:firstLine="482" w:firstLineChars="200"/>
        <w:rPr>
          <w:rFonts w:hint="eastAsia" w:ascii="宋体" w:hAnsi="宋体" w:cs="宋体"/>
          <w:b/>
          <w:bCs/>
          <w:sz w:val="24"/>
          <w:szCs w:val="24"/>
          <w:highlight w:val="yellow"/>
        </w:rPr>
      </w:pPr>
      <w:r>
        <w:rPr>
          <w:rFonts w:ascii="宋体" w:hAnsi="宋体" w:cs="宋体"/>
          <w:b/>
          <w:bCs/>
          <w:sz w:val="24"/>
          <w:szCs w:val="24"/>
          <w:highlight w:val="yellow"/>
        </w:rPr>
        <w:t>开户行名称：</w:t>
      </w:r>
      <w:r>
        <w:rPr>
          <w:rFonts w:hint="eastAsia" w:ascii="宋体" w:hAnsi="宋体" w:cs="宋体"/>
          <w:b/>
          <w:bCs/>
          <w:sz w:val="24"/>
          <w:szCs w:val="24"/>
          <w:highlight w:val="yellow"/>
        </w:rPr>
        <w:t>中国农业银行股份有限公司大同城区支行</w:t>
      </w:r>
    </w:p>
    <w:p>
      <w:pPr>
        <w:spacing w:line="360" w:lineRule="auto"/>
        <w:ind w:firstLine="482" w:firstLineChars="200"/>
        <w:rPr>
          <w:rFonts w:hint="eastAsia" w:ascii="宋体" w:hAnsi="宋体" w:cs="宋体"/>
          <w:b/>
          <w:bCs/>
          <w:sz w:val="24"/>
          <w:szCs w:val="24"/>
          <w:highlight w:val="yellow"/>
        </w:rPr>
      </w:pPr>
      <w:r>
        <w:rPr>
          <w:rFonts w:ascii="宋体" w:hAnsi="宋体" w:cs="宋体"/>
          <w:b/>
          <w:bCs/>
          <w:sz w:val="24"/>
          <w:szCs w:val="24"/>
          <w:highlight w:val="yellow"/>
        </w:rPr>
        <w:t>开户行行号：</w:t>
      </w:r>
      <w:r>
        <w:rPr>
          <w:rFonts w:hint="eastAsia" w:ascii="宋体" w:hAnsi="宋体" w:cs="宋体"/>
          <w:b/>
          <w:bCs/>
          <w:sz w:val="24"/>
          <w:szCs w:val="24"/>
          <w:highlight w:val="yellow"/>
        </w:rPr>
        <w:t>103162027204</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投标保证金应从投标人的基本账户转出至上述账户并到账，否则视为无效投标。</w:t>
      </w:r>
    </w:p>
    <w:p>
      <w:pPr>
        <w:pStyle w:val="151"/>
        <w:tabs>
          <w:tab w:val="left" w:pos="454"/>
          <w:tab w:val="left" w:pos="2433"/>
        </w:tabs>
        <w:snapToGrid w:val="0"/>
        <w:spacing w:line="360" w:lineRule="auto"/>
        <w:ind w:firstLine="480"/>
        <w:rPr>
          <w:rFonts w:hint="eastAsia" w:asciiTheme="minorEastAsia" w:hAnsiTheme="minorEastAsia" w:eastAsiaTheme="minorEastAsia" w:cstheme="minorEastAsia"/>
          <w:color w:val="000000"/>
          <w:sz w:val="24"/>
          <w:szCs w:val="24"/>
        </w:rPr>
      </w:pPr>
      <w:r>
        <w:rPr>
          <w:rFonts w:hint="eastAsia"/>
          <w:sz w:val="24"/>
          <w:szCs w:val="28"/>
        </w:rPr>
        <w:t>转账附言：</w:t>
      </w:r>
      <w:r>
        <w:rPr>
          <w:rFonts w:hint="eastAsia"/>
          <w:b/>
          <w:bCs/>
          <w:sz w:val="24"/>
          <w:szCs w:val="28"/>
        </w:rPr>
        <w:t>公司名称+项目名称+投标保证金</w:t>
      </w:r>
      <w:r>
        <w:rPr>
          <w:rFonts w:hint="eastAsia"/>
          <w:sz w:val="24"/>
          <w:szCs w:val="28"/>
        </w:rPr>
        <w:t>。</w:t>
      </w:r>
    </w:p>
    <w:p>
      <w:pPr>
        <w:pStyle w:val="151"/>
        <w:numPr>
          <w:ilvl w:val="0"/>
          <w:numId w:val="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rPr>
        <w:t>对于没有中标的投标人，投标保证金将于招标人内部完成中标人评审并确认最终中标人后在一个付款周期内予以原路返还（无息）；对于中标方，投标保证金将在签订合同后一个付款周期内原路返还（无息）。</w:t>
      </w:r>
    </w:p>
    <w:p>
      <w:pPr>
        <w:pStyle w:val="229"/>
        <w:ind w:firstLine="0" w:firstLineChars="0"/>
        <w:rPr>
          <w:rFonts w:hint="eastAsia" w:eastAsia="宋体" w:cs="宋体"/>
        </w:rPr>
      </w:pPr>
      <w:r>
        <w:rPr>
          <w:rFonts w:hint="eastAsia" w:eastAsia="宋体" w:cs="宋体"/>
          <w:lang w:val="en-US"/>
        </w:rPr>
        <w:t>4.</w:t>
      </w:r>
      <w:r>
        <w:rPr>
          <w:rFonts w:hint="eastAsia" w:eastAsia="宋体" w:cs="宋体"/>
        </w:rPr>
        <w:t>发生以下情况时，招标人有权没收保证金：</w:t>
      </w:r>
    </w:p>
    <w:p>
      <w:pPr>
        <w:pStyle w:val="229"/>
        <w:ind w:firstLine="480"/>
        <w:rPr>
          <w:rFonts w:hint="eastAsia" w:eastAsia="宋体" w:cs="宋体"/>
        </w:rPr>
      </w:pPr>
      <w:r>
        <w:rPr>
          <w:rFonts w:hint="eastAsia" w:eastAsia="宋体" w:cs="宋体"/>
        </w:rPr>
        <w:t>（</w:t>
      </w:r>
      <w:r>
        <w:rPr>
          <w:rFonts w:hint="eastAsia" w:eastAsia="宋体" w:cs="宋体"/>
          <w:lang w:val="en-US"/>
        </w:rPr>
        <w:t>1</w:t>
      </w:r>
      <w:r>
        <w:rPr>
          <w:rFonts w:hint="eastAsia" w:eastAsia="宋体" w:cs="宋体"/>
        </w:rPr>
        <w:t>） 截至开标前3天，投标人无正当理由且未以书面形式递交说明而在投标截止日不来投标的；</w:t>
      </w:r>
    </w:p>
    <w:p>
      <w:pPr>
        <w:pStyle w:val="229"/>
        <w:ind w:firstLine="480"/>
        <w:rPr>
          <w:rFonts w:hint="eastAsia" w:eastAsia="宋体" w:cs="宋体"/>
        </w:rPr>
      </w:pPr>
      <w:r>
        <w:rPr>
          <w:rFonts w:hint="eastAsia" w:eastAsia="宋体" w:cs="宋体"/>
        </w:rPr>
        <w:t>（</w:t>
      </w:r>
      <w:r>
        <w:rPr>
          <w:rFonts w:hint="eastAsia" w:eastAsia="宋体" w:cs="宋体"/>
          <w:lang w:val="en-US"/>
        </w:rPr>
        <w:t>2</w:t>
      </w:r>
      <w:r>
        <w:rPr>
          <w:rFonts w:hint="eastAsia" w:eastAsia="宋体" w:cs="宋体"/>
        </w:rPr>
        <w:t>）投标人递送投标文件后，无正当理由放弃投标的；</w:t>
      </w:r>
    </w:p>
    <w:p>
      <w:pPr>
        <w:pStyle w:val="229"/>
        <w:ind w:firstLine="480"/>
        <w:rPr>
          <w:rFonts w:hint="eastAsia" w:eastAsia="宋体" w:cs="宋体"/>
        </w:rPr>
      </w:pPr>
      <w:r>
        <w:rPr>
          <w:rFonts w:hint="eastAsia" w:eastAsia="宋体" w:cs="宋体"/>
        </w:rPr>
        <w:t>（</w:t>
      </w:r>
      <w:r>
        <w:rPr>
          <w:rFonts w:hint="eastAsia" w:eastAsia="宋体" w:cs="宋体"/>
          <w:lang w:val="en-US"/>
        </w:rPr>
        <w:t>3</w:t>
      </w:r>
      <w:r>
        <w:rPr>
          <w:rFonts w:hint="eastAsia" w:eastAsia="宋体" w:cs="宋体"/>
        </w:rPr>
        <w:t>）若为视频开标，招标过程中澄清函等资料原件未按要求提交的；</w:t>
      </w:r>
    </w:p>
    <w:p>
      <w:pPr>
        <w:pStyle w:val="229"/>
        <w:ind w:firstLine="480"/>
        <w:rPr>
          <w:rFonts w:hint="eastAsia" w:eastAsia="宋体" w:cs="宋体"/>
        </w:rPr>
      </w:pPr>
      <w:r>
        <w:rPr>
          <w:rFonts w:hint="eastAsia" w:eastAsia="宋体" w:cs="宋体"/>
        </w:rPr>
        <w:t>（</w:t>
      </w:r>
      <w:r>
        <w:rPr>
          <w:rFonts w:hint="eastAsia" w:eastAsia="宋体" w:cs="宋体"/>
          <w:lang w:val="en-US"/>
        </w:rPr>
        <w:t>4</w:t>
      </w:r>
      <w:r>
        <w:rPr>
          <w:rFonts w:hint="eastAsia" w:eastAsia="宋体" w:cs="宋体"/>
        </w:rPr>
        <w:t>）4自中标通知书发出之日起30日内，中标人无正当理由不签订合同的；</w:t>
      </w:r>
    </w:p>
    <w:p>
      <w:pPr>
        <w:pStyle w:val="229"/>
        <w:ind w:firstLine="480"/>
        <w:rPr>
          <w:rFonts w:hint="eastAsia" w:eastAsia="宋体" w:cs="宋体"/>
        </w:rPr>
      </w:pPr>
      <w:r>
        <w:rPr>
          <w:rFonts w:hint="eastAsia" w:eastAsia="宋体" w:cs="宋体"/>
        </w:rPr>
        <w:t>（</w:t>
      </w:r>
      <w:r>
        <w:rPr>
          <w:rFonts w:hint="eastAsia" w:eastAsia="宋体" w:cs="宋体"/>
          <w:lang w:val="en-US"/>
        </w:rPr>
        <w:t>5</w:t>
      </w:r>
      <w:r>
        <w:rPr>
          <w:rFonts w:hint="eastAsia" w:eastAsia="宋体" w:cs="宋体"/>
        </w:rPr>
        <w:t>）投标人在投标过程中被查实有串标、围标、陪标等违规违纪行为的；</w:t>
      </w:r>
    </w:p>
    <w:p>
      <w:pPr>
        <w:pStyle w:val="229"/>
        <w:ind w:firstLine="480"/>
        <w:rPr>
          <w:rFonts w:hint="eastAsia" w:eastAsia="宋体" w:cs="宋体"/>
        </w:rPr>
      </w:pPr>
      <w:r>
        <w:rPr>
          <w:rFonts w:hint="eastAsia" w:eastAsia="宋体" w:cs="宋体"/>
        </w:rPr>
        <w:t>（</w:t>
      </w:r>
      <w:r>
        <w:rPr>
          <w:rFonts w:hint="eastAsia" w:eastAsia="宋体" w:cs="宋体"/>
          <w:lang w:val="en-US"/>
        </w:rPr>
        <w:t>6</w:t>
      </w:r>
      <w:r>
        <w:rPr>
          <w:rFonts w:hint="eastAsia" w:eastAsia="宋体" w:cs="宋体"/>
        </w:rPr>
        <w:t>）投标人有违约违规行为或被投诉、举报的，在调查处理期间，保证金暂不退还，待调查处理结束后按有关规定处理。</w:t>
      </w:r>
    </w:p>
    <w:p>
      <w:pPr>
        <w:pStyle w:val="229"/>
        <w:ind w:firstLine="480"/>
        <w:rPr>
          <w:rFonts w:hint="eastAsia" w:eastAsia="宋体" w:cs="宋体"/>
        </w:rPr>
      </w:pPr>
      <w:r>
        <w:rPr>
          <w:rFonts w:hint="eastAsia" w:eastAsia="宋体" w:cs="宋体"/>
          <w:lang w:val="en-US"/>
        </w:rPr>
        <w:t>（7）</w:t>
      </w:r>
      <w:r>
        <w:rPr>
          <w:rFonts w:hint="eastAsia" w:eastAsia="宋体" w:cs="宋体"/>
        </w:rPr>
        <w:t>供应商与采购人、其他供应商或者采购代理机构恶意串通、围标、陪标的；</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（8）供应商有违约违规行为或被投诉、举报的，在调查处理期间，保证金暂不退还，待调查处理结束后按有关规定处理；</w:t>
      </w:r>
    </w:p>
    <w:p>
      <w:pPr>
        <w:spacing w:line="360" w:lineRule="auto"/>
        <w:ind w:right="2" w:firstLine="480" w:firstLineChars="200"/>
        <w:rPr>
          <w:rFonts w:hint="eastAsia" w:ascii="宋体" w:hAnsi="宋体" w:cs="宋体"/>
          <w:sz w:val="24"/>
          <w:szCs w:val="24"/>
        </w:rPr>
      </w:pPr>
      <w:r>
        <w:rPr>
          <w:rFonts w:hint="eastAsia" w:ascii="宋体" w:hAnsi="宋体" w:cs="宋体"/>
          <w:color w:val="000000"/>
          <w:sz w:val="24"/>
          <w:szCs w:val="24"/>
        </w:rPr>
        <w:t>（9）采购文件规定的其他情形。</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十一、中标</w:t>
      </w:r>
    </w:p>
    <w:p>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评标定标后，招标人将以书面通知的形式通知中标单位。</w:t>
      </w:r>
    </w:p>
    <w:p>
      <w:pPr>
        <w:pStyle w:val="151"/>
        <w:numPr>
          <w:ilvl w:val="0"/>
          <w:numId w:val="7"/>
        </w:numPr>
        <w:adjustRightInd w:val="0"/>
        <w:snapToGrid w:val="0"/>
        <w:spacing w:line="360" w:lineRule="auto"/>
        <w:ind w:left="420" w:firstLineChars="0"/>
        <w:jc w:val="left"/>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b/>
          <w:color w:val="FF0000"/>
        </w:rPr>
        <w:t>若投标人已成为意向中标人，投标人必须无条件配合招标人完成核价流程的工作。</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十二、中标人瑕疵滞后发现的处理原则</w:t>
      </w:r>
    </w:p>
    <w:p>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pPr>
        <w:keepNext/>
        <w:keepLines/>
        <w:spacing w:line="360" w:lineRule="auto"/>
        <w:outlineLvl w:val="1"/>
        <w:rPr>
          <w:rFonts w:hint="eastAsia" w:ascii="宋体" w:hAnsi="宋体" w:cs="宋体"/>
          <w:b/>
          <w:bCs/>
          <w:sz w:val="24"/>
          <w:szCs w:val="24"/>
        </w:rPr>
      </w:pPr>
      <w:r>
        <w:rPr>
          <w:rFonts w:hint="eastAsia" w:asciiTheme="minorEastAsia" w:hAnsiTheme="minorEastAsia" w:eastAsiaTheme="minorEastAsia" w:cstheme="minorEastAsia"/>
          <w:b/>
          <w:sz w:val="24"/>
          <w:szCs w:val="24"/>
          <w:u w:val="single"/>
        </w:rPr>
        <w:t>十三、</w:t>
      </w:r>
      <w:r>
        <w:rPr>
          <w:rFonts w:hint="eastAsia" w:ascii="宋体" w:hAnsi="宋体" w:cs="宋体"/>
          <w:b/>
          <w:bCs/>
          <w:sz w:val="24"/>
          <w:szCs w:val="24"/>
        </w:rPr>
        <w:t>废标及终止招标</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cs="宋体"/>
          <w:color w:val="000000"/>
          <w:sz w:val="24"/>
          <w:szCs w:val="24"/>
        </w:rPr>
      </w:pPr>
      <w:r>
        <w:rPr>
          <w:rFonts w:hint="eastAsia" w:ascii="宋体" w:hAnsi="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（5）投标人串通投标；</w:t>
      </w:r>
    </w:p>
    <w:p>
      <w:pPr>
        <w:pStyle w:val="2"/>
        <w:rPr>
          <w:rFonts w:hint="eastAsia" w:hAnsi="宋体" w:eastAsia="宋体" w:cs="宋体"/>
          <w:szCs w:val="24"/>
        </w:rPr>
      </w:pPr>
      <w:r>
        <w:rPr>
          <w:rFonts w:hint="eastAsia" w:hAnsi="宋体" w:eastAsia="宋体" w:cs="宋体"/>
          <w:color w:val="000000"/>
          <w:szCs w:val="24"/>
        </w:rPr>
        <w:t xml:space="preserve">    （6）投标人被举报、检举，并经招标人查实无误的；</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pStyle w:val="2"/>
        <w:ind w:firstLine="480" w:firstLineChars="200"/>
        <w:rPr>
          <w:rFonts w:hint="eastAsia" w:hAnsi="宋体" w:eastAsia="宋体" w:cs="宋体"/>
          <w:color w:val="000000"/>
          <w:szCs w:val="24"/>
        </w:rPr>
      </w:pPr>
      <w:r>
        <w:rPr>
          <w:rFonts w:hint="eastAsia" w:hAnsi="宋体" w:eastAsia="宋体" w:cs="宋体"/>
          <w:color w:val="000000"/>
          <w:szCs w:val="24"/>
        </w:rPr>
        <w:t>（12）不同投标人的投标文件异常一致；</w:t>
      </w:r>
    </w:p>
    <w:p>
      <w:pPr>
        <w:pStyle w:val="2"/>
        <w:ind w:firstLine="480" w:firstLineChars="200"/>
        <w:rPr>
          <w:rFonts w:hint="eastAsia" w:hAnsi="宋体" w:eastAsia="宋体" w:cs="宋体"/>
          <w:color w:val="000000"/>
          <w:szCs w:val="24"/>
        </w:rPr>
      </w:pPr>
      <w:r>
        <w:rPr>
          <w:rFonts w:hint="eastAsia" w:hAnsi="宋体" w:eastAsia="宋体" w:cs="宋体"/>
          <w:color w:val="000000"/>
          <w:szCs w:val="24"/>
        </w:rPr>
        <w:t>（13）投标报价呈规律性差异的；</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hAnsi="宋体" w:cs="宋体"/>
          <w:color w:val="000000"/>
          <w:sz w:val="24"/>
          <w:szCs w:val="24"/>
        </w:rPr>
        <w:t>4</w:t>
      </w:r>
      <w:r>
        <w:rPr>
          <w:rFonts w:hint="eastAsia" w:ascii="宋体" w:hAnsi="宋体" w:cs="宋体"/>
          <w:color w:val="000000"/>
          <w:sz w:val="24"/>
          <w:szCs w:val="24"/>
        </w:rPr>
        <w:t>）法律、法规规定的其他情况。</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（4）因重大变故，采购任务取消的</w:t>
      </w:r>
      <w:bookmarkStart w:id="10" w:name="OLE_LINK29"/>
      <w:bookmarkStart w:id="11" w:name="OLE_LINK26"/>
      <w:bookmarkStart w:id="12" w:name="OLE_LINK25"/>
      <w:bookmarkStart w:id="13" w:name="OLE_LINK27"/>
      <w:bookmarkStart w:id="14" w:name="OLE_LINK28"/>
      <w:r>
        <w:rPr>
          <w:rFonts w:hint="eastAsia" w:ascii="宋体" w:hAnsi="宋体" w:cs="宋体"/>
          <w:bCs/>
          <w:sz w:val="24"/>
          <w:szCs w:val="24"/>
        </w:rPr>
        <w:t>；</w:t>
      </w:r>
      <w:bookmarkEnd w:id="10"/>
      <w:bookmarkEnd w:id="11"/>
      <w:bookmarkEnd w:id="12"/>
      <w:bookmarkEnd w:id="13"/>
      <w:bookmarkEnd w:id="14"/>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2"/>
        <w:ind w:firstLine="480" w:firstLineChars="200"/>
        <w:rPr>
          <w:rFonts w:hint="eastAsia" w:hAnsi="宋体" w:eastAsia="宋体" w:cs="宋体"/>
          <w:bCs/>
          <w:szCs w:val="24"/>
        </w:rPr>
      </w:pPr>
      <w:r>
        <w:rPr>
          <w:rFonts w:hint="eastAsia" w:hAnsi="宋体" w:eastAsia="宋体" w:cs="宋体"/>
          <w:bCs/>
          <w:szCs w:val="24"/>
        </w:rPr>
        <w:t>（6）招标人认为其他应终止招标的情形。</w:t>
      </w:r>
    </w:p>
    <w:p>
      <w:pPr>
        <w:snapToGrid w:val="0"/>
        <w:spacing w:line="360" w:lineRule="auto"/>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十四、本次招标最终解释权归中国重型汽车集团有限公司。</w:t>
      </w:r>
    </w:p>
    <w:p>
      <w:pPr>
        <w:pStyle w:val="234"/>
        <w:numPr>
          <w:ilvl w:val="0"/>
          <w:numId w:val="0"/>
        </w:numPr>
        <w:overflowPunct/>
        <w:ind w:firstLine="422" w:firstLineChars="200"/>
        <w:rPr>
          <w:rFonts w:hint="eastAsia" w:ascii="宋体" w:hAnsi="宋体" w:eastAsia="宋体" w:cs="宋体"/>
          <w:sz w:val="21"/>
          <w:szCs w:val="21"/>
          <w:lang w:val="en-US"/>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rPr>
        <w:t>。</w:t>
      </w:r>
    </w:p>
    <w:p>
      <w:pPr>
        <w:rPr>
          <w:rFonts w:hint="eastAsia" w:ascii="宋体" w:hAnsi="宋体" w:cs="宋体"/>
          <w:b/>
          <w:sz w:val="44"/>
          <w:szCs w:val="36"/>
        </w:rPr>
      </w:pPr>
      <w:r>
        <w:rPr>
          <w:rFonts w:hint="eastAsia" w:ascii="宋体" w:hAnsi="宋体" w:cs="宋体"/>
          <w:b/>
          <w:sz w:val="44"/>
          <w:szCs w:val="36"/>
        </w:rPr>
        <w:br w:type="page"/>
      </w:r>
    </w:p>
    <w:p>
      <w:pPr>
        <w:autoSpaceDE w:val="0"/>
        <w:autoSpaceDN w:val="0"/>
        <w:adjustRightInd w:val="0"/>
        <w:snapToGrid w:val="0"/>
        <w:spacing w:line="360" w:lineRule="auto"/>
        <w:jc w:val="center"/>
        <w:rPr>
          <w:rFonts w:hint="eastAsia" w:ascii="宋体" w:hAnsi="宋体" w:cs="宋体"/>
          <w:b/>
          <w:bCs/>
          <w:color w:val="000000"/>
          <w:sz w:val="44"/>
          <w:szCs w:val="44"/>
          <w:lang w:bidi="zh-CN"/>
        </w:rPr>
      </w:pPr>
      <w:r>
        <w:rPr>
          <w:rFonts w:hint="eastAsia" w:ascii="宋体" w:hAnsi="宋体" w:cs="宋体"/>
          <w:b/>
          <w:sz w:val="44"/>
          <w:szCs w:val="36"/>
        </w:rPr>
        <w:t xml:space="preserve">第二部分 </w:t>
      </w:r>
      <w:r>
        <w:rPr>
          <w:rFonts w:hint="eastAsia" w:ascii="宋体" w:hAnsi="宋体" w:cs="宋体"/>
          <w:b/>
          <w:bCs/>
          <w:color w:val="000000"/>
          <w:sz w:val="44"/>
          <w:szCs w:val="44"/>
          <w:lang w:bidi="zh-CN"/>
        </w:rPr>
        <w:t>技术要求</w:t>
      </w:r>
    </w:p>
    <w:p>
      <w:pPr>
        <w:pStyle w:val="3"/>
        <w:adjustRightInd w:val="0"/>
        <w:snapToGrid w:val="0"/>
        <w:spacing w:before="0" w:after="0" w:line="540" w:lineRule="exact"/>
        <w:jc w:val="center"/>
        <w:rPr>
          <w:rFonts w:hint="eastAsia" w:ascii="仿宋" w:hAnsi="仿宋" w:eastAsia="仿宋"/>
          <w:sz w:val="40"/>
        </w:rPr>
      </w:pPr>
      <w:r>
        <w:rPr>
          <w:rFonts w:hint="eastAsia" w:ascii="黑体" w:eastAsia="黑体"/>
          <w:bCs/>
          <w:sz w:val="36"/>
          <w:szCs w:val="36"/>
        </w:rPr>
        <w:t xml:space="preserve"> </w:t>
      </w:r>
      <w:r>
        <w:rPr>
          <w:rFonts w:hint="eastAsia" w:ascii="仿宋" w:hAnsi="仿宋" w:eastAsia="仿宋"/>
          <w:sz w:val="40"/>
        </w:rPr>
        <w:t>招标文件技术要求</w:t>
      </w:r>
    </w:p>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一、项目名称</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项目名称：中国重汽集团大同齿轮有限公司在线监测设备运维项目</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二、招标内容</w:t>
      </w:r>
    </w:p>
    <w:p>
      <w:pPr>
        <w:pStyle w:val="2"/>
        <w:rPr>
          <w:rFonts w:hint="eastAsia" w:hAnsi="宋体" w:eastAsia="宋体" w:cs="宋体"/>
          <w:szCs w:val="24"/>
          <w:lang w:val="en-US"/>
        </w:rPr>
      </w:pPr>
      <w:r>
        <w:rPr>
          <w:rFonts w:hint="eastAsia" w:hAnsi="宋体" w:eastAsia="宋体" w:cs="宋体"/>
          <w:szCs w:val="24"/>
          <w:lang w:val="en-US"/>
        </w:rPr>
        <w:t>1、VOC</w:t>
      </w:r>
      <w:r>
        <w:rPr>
          <w:rFonts w:hint="eastAsia" w:hAnsi="宋体" w:eastAsia="宋体" w:cs="宋体"/>
          <w:szCs w:val="24"/>
        </w:rPr>
        <w:t>在线监测设备运维</w:t>
      </w:r>
    </w:p>
    <w:tbl>
      <w:tblPr>
        <w:tblStyle w:val="48"/>
        <w:tblW w:w="1052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1530"/>
        <w:gridCol w:w="1200"/>
        <w:gridCol w:w="2436"/>
        <w:gridCol w:w="1545"/>
        <w:gridCol w:w="1350"/>
        <w:gridCol w:w="1485"/>
        <w:gridCol w:w="9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10" w:hRule="atLeast"/>
          <w:jc w:val="center"/>
        </w:trPr>
        <w:tc>
          <w:tcPr>
            <w:tcW w:w="1530" w:type="dxa"/>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项目名称</w:t>
            </w:r>
          </w:p>
        </w:tc>
        <w:tc>
          <w:tcPr>
            <w:tcW w:w="1200" w:type="dxa"/>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类别</w:t>
            </w:r>
          </w:p>
        </w:tc>
        <w:tc>
          <w:tcPr>
            <w:tcW w:w="2436"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设备名称</w:t>
            </w:r>
          </w:p>
        </w:tc>
        <w:tc>
          <w:tcPr>
            <w:tcW w:w="1545"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监测因子</w:t>
            </w:r>
          </w:p>
        </w:tc>
        <w:tc>
          <w:tcPr>
            <w:tcW w:w="1350"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生产厂商</w:t>
            </w:r>
          </w:p>
        </w:tc>
        <w:tc>
          <w:tcPr>
            <w:tcW w:w="1485"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型号</w:t>
            </w:r>
          </w:p>
        </w:tc>
        <w:tc>
          <w:tcPr>
            <w:tcW w:w="979"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32" w:hRule="atLeast"/>
          <w:jc w:val="center"/>
        </w:trPr>
        <w:tc>
          <w:tcPr>
            <w:tcW w:w="1530" w:type="dxa"/>
            <w:vMerge w:val="restart"/>
            <w:vAlign w:val="center"/>
          </w:tcPr>
          <w:p>
            <w:pPr>
              <w:widowControl/>
              <w:jc w:val="center"/>
              <w:textAlignment w:val="center"/>
              <w:rPr>
                <w:rFonts w:hint="eastAsia" w:ascii="宋体" w:hAnsi="宋体" w:cs="宋体"/>
                <w:b/>
                <w:bCs/>
                <w:color w:val="000000"/>
                <w:kern w:val="0"/>
                <w:sz w:val="24"/>
                <w:lang w:bidi="ar"/>
              </w:rPr>
            </w:pPr>
            <w:r>
              <w:rPr>
                <w:rFonts w:hint="eastAsia" w:ascii="宋体" w:hAnsi="宋体" w:cs="宋体"/>
                <w:color w:val="000000"/>
                <w:kern w:val="0"/>
                <w:sz w:val="24"/>
                <w:lang w:bidi="ar"/>
              </w:rPr>
              <w:t>VOC在线监测系统设备运维技术服务</w:t>
            </w:r>
          </w:p>
        </w:tc>
        <w:tc>
          <w:tcPr>
            <w:tcW w:w="1200" w:type="dxa"/>
            <w:vMerge w:val="restart"/>
            <w:vAlign w:val="center"/>
          </w:tcPr>
          <w:p>
            <w:pPr>
              <w:widowControl/>
              <w:jc w:val="center"/>
              <w:textAlignment w:val="center"/>
              <w:rPr>
                <w:rFonts w:hint="eastAsia" w:ascii="宋体" w:hAnsi="宋体" w:cs="宋体"/>
                <w:b/>
                <w:bCs/>
                <w:color w:val="000000"/>
                <w:kern w:val="0"/>
                <w:sz w:val="24"/>
                <w:lang w:bidi="ar"/>
              </w:rPr>
            </w:pPr>
            <w:r>
              <w:rPr>
                <w:rFonts w:hint="eastAsia" w:ascii="宋体" w:hAnsi="宋体" w:cs="宋体"/>
                <w:color w:val="000000"/>
                <w:kern w:val="0"/>
                <w:sz w:val="24"/>
                <w:lang w:bidi="ar"/>
              </w:rPr>
              <w:t>挥发性有机物在线监测系统</w:t>
            </w:r>
          </w:p>
        </w:tc>
        <w:tc>
          <w:tcPr>
            <w:tcW w:w="2436" w:type="dxa"/>
            <w:vAlign w:val="center"/>
          </w:tcPr>
          <w:p>
            <w:pPr>
              <w:pStyle w:val="151"/>
              <w:spacing w:line="280" w:lineRule="exact"/>
              <w:ind w:firstLine="0" w:firstLineChars="0"/>
              <w:jc w:val="center"/>
              <w:rPr>
                <w:rFonts w:hint="eastAsia" w:ascii="宋体" w:hAnsi="宋体" w:cs="宋体"/>
                <w:color w:val="000000"/>
                <w:kern w:val="0"/>
                <w:sz w:val="24"/>
                <w:lang w:bidi="ar"/>
              </w:rPr>
            </w:pPr>
            <w:r>
              <w:rPr>
                <w:rFonts w:hint="eastAsia" w:ascii="宋体" w:hAnsi="宋体" w:cs="宋体"/>
                <w:color w:val="000000"/>
                <w:kern w:val="0"/>
                <w:sz w:val="24"/>
                <w:lang w:bidi="ar"/>
              </w:rPr>
              <w:t>挥发性有机物VOCs在线监测系统</w:t>
            </w:r>
          </w:p>
        </w:tc>
        <w:tc>
          <w:tcPr>
            <w:tcW w:w="1545" w:type="dxa"/>
            <w:vAlign w:val="center"/>
          </w:tcPr>
          <w:p>
            <w:pPr>
              <w:adjustRightInd w:val="0"/>
              <w:snapToGrid w:val="0"/>
              <w:spacing w:line="276" w:lineRule="auto"/>
              <w:jc w:val="center"/>
              <w:rPr>
                <w:rFonts w:hint="eastAsia" w:ascii="宋体" w:hAnsi="宋体" w:cs="宋体"/>
                <w:color w:val="000000"/>
                <w:kern w:val="0"/>
                <w:sz w:val="24"/>
                <w:lang w:bidi="ar"/>
              </w:rPr>
            </w:pPr>
            <w:r>
              <w:rPr>
                <w:rFonts w:hint="eastAsia" w:ascii="宋体" w:hAnsi="宋体" w:cs="宋体"/>
                <w:color w:val="000000"/>
                <w:kern w:val="0"/>
                <w:sz w:val="24"/>
                <w:lang w:bidi="ar"/>
              </w:rPr>
              <w:t>非甲烷总烃</w:t>
            </w:r>
          </w:p>
        </w:tc>
        <w:tc>
          <w:tcPr>
            <w:tcW w:w="1350"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万维盈创</w:t>
            </w:r>
          </w:p>
        </w:tc>
        <w:tc>
          <w:tcPr>
            <w:tcW w:w="1485"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SmartEM4000</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39" w:hRule="atLeast"/>
          <w:jc w:val="center"/>
        </w:trPr>
        <w:tc>
          <w:tcPr>
            <w:tcW w:w="153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120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2436"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数采仪</w:t>
            </w:r>
          </w:p>
        </w:tc>
        <w:tc>
          <w:tcPr>
            <w:tcW w:w="154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w:t>
            </w:r>
          </w:p>
        </w:tc>
        <w:tc>
          <w:tcPr>
            <w:tcW w:w="1350"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万维盈创</w:t>
            </w:r>
          </w:p>
        </w:tc>
        <w:tc>
          <w:tcPr>
            <w:tcW w:w="148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W5100HB-Ⅲ</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bl>
    <w:p>
      <w:pPr>
        <w:pStyle w:val="2"/>
        <w:rPr>
          <w:rFonts w:hint="eastAsia" w:hAnsi="宋体" w:eastAsia="宋体" w:cs="宋体"/>
          <w:szCs w:val="22"/>
          <w:lang w:val="en-US"/>
        </w:rPr>
      </w:pPr>
    </w:p>
    <w:tbl>
      <w:tblPr>
        <w:tblStyle w:val="48"/>
        <w:tblW w:w="9209" w:type="dxa"/>
        <w:jc w:val="center"/>
        <w:tblLayout w:type="fixed"/>
        <w:tblCellMar>
          <w:top w:w="0" w:type="dxa"/>
          <w:left w:w="108" w:type="dxa"/>
          <w:bottom w:w="0" w:type="dxa"/>
          <w:right w:w="108" w:type="dxa"/>
        </w:tblCellMar>
      </w:tblPr>
      <w:tblGrid>
        <w:gridCol w:w="1190"/>
        <w:gridCol w:w="1273"/>
        <w:gridCol w:w="2271"/>
        <w:gridCol w:w="1817"/>
        <w:gridCol w:w="2658"/>
      </w:tblGrid>
      <w:tr>
        <w:tblPrEx>
          <w:tblCellMar>
            <w:top w:w="0" w:type="dxa"/>
            <w:left w:w="108" w:type="dxa"/>
            <w:bottom w:w="0" w:type="dxa"/>
            <w:right w:w="108" w:type="dxa"/>
          </w:tblCellMar>
        </w:tblPrEx>
        <w:trPr>
          <w:trHeight w:val="293"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sz w:val="24"/>
              </w:rPr>
            </w:pPr>
            <w:r>
              <w:rPr>
                <w:rFonts w:hint="eastAsia" w:ascii="黑体" w:hAnsi="宋体" w:eastAsia="黑体" w:cs="黑体"/>
                <w:kern w:val="0"/>
                <w:sz w:val="24"/>
                <w:lang w:bidi="ar"/>
              </w:rPr>
              <w:t>序号</w:t>
            </w:r>
          </w:p>
        </w:tc>
        <w:tc>
          <w:tcPr>
            <w:tcW w:w="35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项目名称</w:t>
            </w:r>
          </w:p>
        </w:tc>
        <w:tc>
          <w:tcPr>
            <w:tcW w:w="18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计量单位</w:t>
            </w:r>
          </w:p>
        </w:tc>
        <w:tc>
          <w:tcPr>
            <w:tcW w:w="2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备注</w:t>
            </w:r>
          </w:p>
        </w:tc>
      </w:tr>
      <w:tr>
        <w:tblPrEx>
          <w:tblCellMar>
            <w:top w:w="0" w:type="dxa"/>
            <w:left w:w="108" w:type="dxa"/>
            <w:bottom w:w="0" w:type="dxa"/>
            <w:right w:w="108" w:type="dxa"/>
          </w:tblCellMar>
        </w:tblPrEx>
        <w:trPr>
          <w:trHeight w:val="255"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b/>
                <w:bCs/>
                <w:sz w:val="24"/>
              </w:rPr>
            </w:pPr>
            <w:r>
              <w:rPr>
                <w:rFonts w:hint="eastAsia" w:ascii="宋体" w:hAnsi="宋体" w:cs="宋体"/>
                <w:b/>
                <w:bCs/>
                <w:kern w:val="0"/>
                <w:sz w:val="24"/>
                <w:lang w:bidi="ar"/>
              </w:rPr>
              <w:t>一</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b/>
                <w:bCs/>
                <w:kern w:val="0"/>
                <w:sz w:val="24"/>
                <w:lang w:bidi="ar"/>
              </w:rPr>
              <w:t>验收</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217"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1.1</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kern w:val="0"/>
                <w:sz w:val="24"/>
                <w:lang w:bidi="ar"/>
              </w:rPr>
              <w:t>调试</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sz w:val="24"/>
                <w:szCs w:val="24"/>
              </w:rPr>
              <w:t>次</w:t>
            </w:r>
          </w:p>
        </w:tc>
        <w:tc>
          <w:tcPr>
            <w:tcW w:w="2658"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sz w:val="24"/>
                <w:szCs w:val="24"/>
              </w:rPr>
              <w:t>按实际情况足量直到验收</w:t>
            </w:r>
          </w:p>
        </w:tc>
      </w:tr>
      <w:tr>
        <w:tblPrEx>
          <w:tblCellMar>
            <w:top w:w="0" w:type="dxa"/>
            <w:left w:w="108" w:type="dxa"/>
            <w:bottom w:w="0" w:type="dxa"/>
            <w:right w:w="108" w:type="dxa"/>
          </w:tblCellMar>
        </w:tblPrEx>
        <w:trPr>
          <w:trHeight w:val="122"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1.2</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比对</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次</w:t>
            </w:r>
          </w:p>
        </w:tc>
        <w:tc>
          <w:tcPr>
            <w:tcW w:w="2658"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299"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1.3</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kern w:val="0"/>
                <w:sz w:val="24"/>
                <w:lang w:bidi="ar"/>
              </w:rPr>
              <w:t>专家费</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sz w:val="24"/>
                <w:szCs w:val="24"/>
              </w:rPr>
              <w:t>人</w:t>
            </w: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sz w:val="24"/>
                <w:szCs w:val="24"/>
              </w:rPr>
              <w:t>3-5</w:t>
            </w:r>
          </w:p>
        </w:tc>
      </w:tr>
      <w:tr>
        <w:tblPrEx>
          <w:tblCellMar>
            <w:top w:w="0" w:type="dxa"/>
            <w:left w:w="108" w:type="dxa"/>
            <w:bottom w:w="0" w:type="dxa"/>
            <w:right w:w="108" w:type="dxa"/>
          </w:tblCellMar>
        </w:tblPrEx>
        <w:trPr>
          <w:trHeight w:val="102"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b/>
                <w:bCs/>
                <w:sz w:val="24"/>
              </w:rPr>
            </w:pPr>
            <w:r>
              <w:rPr>
                <w:rFonts w:hint="eastAsia" w:ascii="宋体" w:hAnsi="宋体" w:cs="宋体"/>
                <w:b/>
                <w:bCs/>
                <w:kern w:val="0"/>
                <w:sz w:val="24"/>
                <w:lang w:bidi="ar"/>
              </w:rPr>
              <w:t>二</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b/>
                <w:bCs/>
                <w:kern w:val="0"/>
                <w:sz w:val="24"/>
                <w:lang w:bidi="ar"/>
              </w:rPr>
              <w:t>运维</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3" w:hRule="atLeast"/>
          <w:jc w:val="center"/>
        </w:trPr>
        <w:tc>
          <w:tcPr>
            <w:tcW w:w="1190" w:type="dxa"/>
            <w:vMerge w:val="restart"/>
            <w:tcBorders>
              <w:top w:val="single" w:color="000000" w:sz="4" w:space="0"/>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2.1</w:t>
            </w:r>
          </w:p>
        </w:tc>
        <w:tc>
          <w:tcPr>
            <w:tcW w:w="1273"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耗材</w:t>
            </w: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纯净水</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2658"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全年足量使用</w:t>
            </w:r>
          </w:p>
        </w:tc>
      </w:tr>
      <w:tr>
        <w:tblPrEx>
          <w:tblCellMar>
            <w:top w:w="0" w:type="dxa"/>
            <w:left w:w="108" w:type="dxa"/>
            <w:bottom w:w="0" w:type="dxa"/>
            <w:right w:w="108" w:type="dxa"/>
          </w:tblCellMar>
        </w:tblPrEx>
        <w:trPr>
          <w:trHeight w:val="83" w:hRule="atLeast"/>
          <w:jc w:val="center"/>
        </w:trPr>
        <w:tc>
          <w:tcPr>
            <w:tcW w:w="1190"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1273" w:type="dxa"/>
            <w:vMerge w:val="continue"/>
            <w:tcBorders>
              <w:left w:val="single" w:color="000000" w:sz="4" w:space="0"/>
              <w:right w:val="single" w:color="000000" w:sz="4" w:space="0"/>
            </w:tcBorders>
            <w:noWrap/>
            <w:vAlign w:val="center"/>
          </w:tcPr>
          <w:p>
            <w:pPr>
              <w:widowControl/>
              <w:jc w:val="center"/>
              <w:textAlignment w:val="center"/>
            </w:pP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变色硅胶</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2658"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3" w:hRule="atLeast"/>
          <w:jc w:val="center"/>
        </w:trPr>
        <w:tc>
          <w:tcPr>
            <w:tcW w:w="1190"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273"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氢氧化钾</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2658"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3" w:hRule="atLeast"/>
          <w:jc w:val="center"/>
        </w:trPr>
        <w:tc>
          <w:tcPr>
            <w:tcW w:w="1190"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273"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标气（非甲烷）</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2658"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3" w:hRule="atLeast"/>
          <w:jc w:val="center"/>
        </w:trPr>
        <w:tc>
          <w:tcPr>
            <w:tcW w:w="1190"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273"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标气（苯系物）</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2658"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3" w:hRule="atLeast"/>
          <w:jc w:val="center"/>
        </w:trPr>
        <w:tc>
          <w:tcPr>
            <w:tcW w:w="1190"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273"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氮气</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2658"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279"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2.2</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运维</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人/次</w:t>
            </w: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2人/52次</w:t>
            </w:r>
          </w:p>
        </w:tc>
      </w:tr>
      <w:tr>
        <w:tblPrEx>
          <w:tblCellMar>
            <w:top w:w="0" w:type="dxa"/>
            <w:left w:w="108" w:type="dxa"/>
            <w:bottom w:w="0" w:type="dxa"/>
            <w:right w:w="108" w:type="dxa"/>
          </w:tblCellMar>
        </w:tblPrEx>
        <w:trPr>
          <w:trHeight w:val="215"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2.3</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车辆</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r>
      <w:tr>
        <w:tblPrEx>
          <w:tblCellMar>
            <w:top w:w="0" w:type="dxa"/>
            <w:left w:w="108" w:type="dxa"/>
            <w:bottom w:w="0" w:type="dxa"/>
            <w:right w:w="108" w:type="dxa"/>
          </w:tblCellMar>
        </w:tblPrEx>
        <w:trPr>
          <w:trHeight w:val="247"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2.4</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办公</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r>
      <w:tr>
        <w:tblPrEx>
          <w:tblCellMar>
            <w:top w:w="0" w:type="dxa"/>
            <w:left w:w="108" w:type="dxa"/>
            <w:bottom w:w="0" w:type="dxa"/>
            <w:right w:w="108" w:type="dxa"/>
          </w:tblCellMar>
        </w:tblPrEx>
        <w:trPr>
          <w:trHeight w:val="247"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2.5</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标识</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r>
      <w:tr>
        <w:tblPrEx>
          <w:tblCellMar>
            <w:top w:w="0" w:type="dxa"/>
            <w:left w:w="108" w:type="dxa"/>
            <w:bottom w:w="0" w:type="dxa"/>
            <w:right w:w="108" w:type="dxa"/>
          </w:tblCellMar>
        </w:tblPrEx>
        <w:trPr>
          <w:trHeight w:val="269"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2.6</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专线</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条</w:t>
            </w: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1</w:t>
            </w:r>
          </w:p>
        </w:tc>
      </w:tr>
      <w:tr>
        <w:tblPrEx>
          <w:tblCellMar>
            <w:top w:w="0" w:type="dxa"/>
            <w:left w:w="108" w:type="dxa"/>
            <w:bottom w:w="0" w:type="dxa"/>
            <w:right w:w="108" w:type="dxa"/>
          </w:tblCellMar>
        </w:tblPrEx>
        <w:trPr>
          <w:trHeight w:val="430"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2.7</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维修费</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658" w:type="dxa"/>
            <w:tcBorders>
              <w:top w:val="single" w:color="000000" w:sz="4" w:space="0"/>
              <w:left w:val="single" w:color="000000" w:sz="4" w:space="0"/>
              <w:bottom w:val="single" w:color="000000" w:sz="4" w:space="0"/>
              <w:right w:val="single" w:color="000000" w:sz="4" w:space="0"/>
            </w:tcBorders>
            <w:noWrap/>
            <w:vAlign w:val="center"/>
          </w:tcPr>
          <w:p>
            <w:pPr>
              <w:pStyle w:val="2"/>
              <w:spacing w:line="240" w:lineRule="auto"/>
              <w:rPr>
                <w:rFonts w:hint="eastAsia" w:hAnsi="宋体" w:eastAsia="宋体" w:cs="宋体"/>
                <w:kern w:val="0"/>
                <w:lang w:val="en-US" w:bidi="ar"/>
              </w:rPr>
            </w:pPr>
            <w:r>
              <w:rPr>
                <w:rFonts w:hint="eastAsia" w:hAnsi="宋体" w:eastAsia="宋体" w:cs="宋体"/>
                <w:kern w:val="0"/>
                <w:lang w:val="en-US" w:bidi="ar"/>
              </w:rPr>
              <w:t>含单次2000元及2000以下耗材和配件费</w:t>
            </w:r>
          </w:p>
        </w:tc>
      </w:tr>
      <w:tr>
        <w:tblPrEx>
          <w:tblCellMar>
            <w:top w:w="0" w:type="dxa"/>
            <w:left w:w="108" w:type="dxa"/>
            <w:bottom w:w="0" w:type="dxa"/>
            <w:right w:w="108" w:type="dxa"/>
          </w:tblCellMar>
        </w:tblPrEx>
        <w:trPr>
          <w:trHeight w:val="132" w:hRule="atLeast"/>
          <w:jc w:val="center"/>
        </w:trPr>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2.8</w:t>
            </w:r>
          </w:p>
        </w:tc>
        <w:tc>
          <w:tcPr>
            <w:tcW w:w="35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流量卡</w:t>
            </w:r>
          </w:p>
        </w:tc>
        <w:tc>
          <w:tcPr>
            <w:tcW w:w="1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r>
    </w:tbl>
    <w:p>
      <w:pPr>
        <w:pStyle w:val="2"/>
        <w:rPr>
          <w:rFonts w:hint="eastAsia" w:hAnsi="宋体"/>
          <w:sz w:val="28"/>
          <w:lang w:val="en-US"/>
        </w:rPr>
      </w:pPr>
      <w:r>
        <w:rPr>
          <w:rFonts w:hint="eastAsia" w:hAnsi="宋体" w:eastAsia="宋体" w:cs="宋体"/>
          <w:szCs w:val="22"/>
          <w:lang w:val="en-US"/>
        </w:rPr>
        <w:t>2、废水</w:t>
      </w:r>
      <w:r>
        <w:rPr>
          <w:rFonts w:hint="eastAsia" w:hAnsi="宋体" w:eastAsia="宋体" w:cs="宋体"/>
          <w:szCs w:val="24"/>
        </w:rPr>
        <w:t>在线监测设备运维</w:t>
      </w:r>
    </w:p>
    <w:tbl>
      <w:tblPr>
        <w:tblStyle w:val="48"/>
        <w:tblW w:w="1052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1530"/>
        <w:gridCol w:w="1200"/>
        <w:gridCol w:w="2436"/>
        <w:gridCol w:w="1545"/>
        <w:gridCol w:w="1350"/>
        <w:gridCol w:w="1485"/>
        <w:gridCol w:w="9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10" w:hRule="atLeast"/>
          <w:jc w:val="center"/>
        </w:trPr>
        <w:tc>
          <w:tcPr>
            <w:tcW w:w="1530" w:type="dxa"/>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项目名称</w:t>
            </w:r>
          </w:p>
        </w:tc>
        <w:tc>
          <w:tcPr>
            <w:tcW w:w="1200" w:type="dxa"/>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类别</w:t>
            </w:r>
          </w:p>
        </w:tc>
        <w:tc>
          <w:tcPr>
            <w:tcW w:w="2436"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设备名称</w:t>
            </w:r>
          </w:p>
        </w:tc>
        <w:tc>
          <w:tcPr>
            <w:tcW w:w="1545"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监测因子</w:t>
            </w:r>
          </w:p>
        </w:tc>
        <w:tc>
          <w:tcPr>
            <w:tcW w:w="1350"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生产厂商</w:t>
            </w:r>
          </w:p>
        </w:tc>
        <w:tc>
          <w:tcPr>
            <w:tcW w:w="1485"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型号</w:t>
            </w:r>
          </w:p>
        </w:tc>
        <w:tc>
          <w:tcPr>
            <w:tcW w:w="979" w:type="dxa"/>
            <w:vAlign w:val="center"/>
          </w:tcPr>
          <w:p>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7" w:hRule="atLeast"/>
          <w:jc w:val="center"/>
        </w:trPr>
        <w:tc>
          <w:tcPr>
            <w:tcW w:w="1530" w:type="dxa"/>
            <w:vMerge w:val="restart"/>
            <w:vAlign w:val="center"/>
          </w:tcPr>
          <w:p>
            <w:pPr>
              <w:widowControl/>
              <w:jc w:val="center"/>
              <w:textAlignment w:val="center"/>
              <w:rPr>
                <w:rFonts w:hint="eastAsia" w:ascii="宋体" w:hAnsi="宋体" w:cs="宋体"/>
                <w:b/>
                <w:bCs/>
                <w:color w:val="000000"/>
                <w:kern w:val="0"/>
                <w:sz w:val="24"/>
                <w:lang w:bidi="ar"/>
              </w:rPr>
            </w:pPr>
            <w:r>
              <w:rPr>
                <w:rFonts w:hint="eastAsia" w:ascii="宋体" w:hAnsi="宋体" w:cs="宋体"/>
                <w:color w:val="000000"/>
                <w:kern w:val="0"/>
                <w:sz w:val="24"/>
                <w:lang w:bidi="ar"/>
              </w:rPr>
              <w:t>废水在线监测系统设备运维技术服务</w:t>
            </w:r>
          </w:p>
        </w:tc>
        <w:tc>
          <w:tcPr>
            <w:tcW w:w="1200" w:type="dxa"/>
            <w:vMerge w:val="restart"/>
            <w:vAlign w:val="center"/>
          </w:tcPr>
          <w:p>
            <w:pPr>
              <w:widowControl/>
              <w:jc w:val="center"/>
              <w:textAlignment w:val="center"/>
              <w:rPr>
                <w:rFonts w:hint="eastAsia" w:ascii="宋体" w:hAnsi="宋体" w:cs="宋体"/>
                <w:b/>
                <w:bCs/>
                <w:color w:val="000000"/>
                <w:kern w:val="0"/>
                <w:sz w:val="24"/>
                <w:lang w:bidi="ar"/>
              </w:rPr>
            </w:pPr>
            <w:r>
              <w:rPr>
                <w:rFonts w:hint="eastAsia" w:ascii="宋体" w:hAnsi="宋体" w:cs="宋体"/>
                <w:color w:val="000000"/>
                <w:kern w:val="0"/>
                <w:sz w:val="24"/>
                <w:lang w:bidi="ar"/>
              </w:rPr>
              <w:t>废水在线监测系统</w:t>
            </w:r>
          </w:p>
        </w:tc>
        <w:tc>
          <w:tcPr>
            <w:tcW w:w="2436" w:type="dxa"/>
            <w:vAlign w:val="center"/>
          </w:tcPr>
          <w:p>
            <w:pPr>
              <w:pStyle w:val="151"/>
              <w:spacing w:line="280" w:lineRule="exact"/>
              <w:ind w:firstLine="0" w:firstLineChars="0"/>
              <w:jc w:val="center"/>
              <w:rPr>
                <w:rFonts w:hint="eastAsia" w:ascii="宋体" w:hAnsi="宋体" w:cs="宋体"/>
                <w:color w:val="000000"/>
                <w:kern w:val="0"/>
                <w:sz w:val="24"/>
                <w:lang w:bidi="ar"/>
              </w:rPr>
            </w:pPr>
            <w:r>
              <w:rPr>
                <w:rFonts w:hint="eastAsia" w:ascii="宋体" w:hAnsi="宋体" w:cs="宋体"/>
                <w:color w:val="000000"/>
                <w:kern w:val="0"/>
                <w:sz w:val="24"/>
                <w:lang w:bidi="ar"/>
              </w:rPr>
              <w:t>COD在线监测仪</w:t>
            </w:r>
          </w:p>
        </w:tc>
        <w:tc>
          <w:tcPr>
            <w:tcW w:w="1545" w:type="dxa"/>
            <w:vAlign w:val="center"/>
          </w:tcPr>
          <w:p>
            <w:pPr>
              <w:adjustRightInd w:val="0"/>
              <w:snapToGrid w:val="0"/>
              <w:spacing w:line="276" w:lineRule="auto"/>
              <w:jc w:val="center"/>
              <w:rPr>
                <w:rFonts w:hint="eastAsia" w:ascii="宋体" w:hAnsi="宋体" w:cs="宋体"/>
                <w:color w:val="000000"/>
                <w:kern w:val="0"/>
                <w:sz w:val="24"/>
                <w:lang w:bidi="ar"/>
              </w:rPr>
            </w:pPr>
            <w:r>
              <w:rPr>
                <w:rFonts w:hint="eastAsia" w:ascii="宋体" w:hAnsi="宋体" w:cs="宋体"/>
                <w:color w:val="000000"/>
                <w:kern w:val="0"/>
                <w:sz w:val="24"/>
                <w:lang w:bidi="ar"/>
              </w:rPr>
              <w:t>COD</w:t>
            </w:r>
          </w:p>
        </w:tc>
        <w:tc>
          <w:tcPr>
            <w:tcW w:w="1350"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微兰</w:t>
            </w:r>
          </w:p>
        </w:tc>
        <w:tc>
          <w:tcPr>
            <w:tcW w:w="1485"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VL-COD-1007</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24" w:hRule="atLeast"/>
          <w:jc w:val="center"/>
        </w:trPr>
        <w:tc>
          <w:tcPr>
            <w:tcW w:w="153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120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2436"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氨氮在线监测仪</w:t>
            </w:r>
          </w:p>
        </w:tc>
        <w:tc>
          <w:tcPr>
            <w:tcW w:w="154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氨氮</w:t>
            </w:r>
          </w:p>
        </w:tc>
        <w:tc>
          <w:tcPr>
            <w:tcW w:w="1350"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微兰</w:t>
            </w:r>
          </w:p>
        </w:tc>
        <w:tc>
          <w:tcPr>
            <w:tcW w:w="148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VL-AN-201-X</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99" w:hRule="atLeast"/>
          <w:jc w:val="center"/>
        </w:trPr>
        <w:tc>
          <w:tcPr>
            <w:tcW w:w="153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120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2436"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kern w:val="0"/>
                <w:sz w:val="24"/>
                <w:szCs w:val="24"/>
              </w:rPr>
              <w:t>磷酸盐在线监测仪</w:t>
            </w:r>
          </w:p>
        </w:tc>
        <w:tc>
          <w:tcPr>
            <w:tcW w:w="154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kern w:val="0"/>
                <w:sz w:val="24"/>
                <w:szCs w:val="24"/>
              </w:rPr>
              <w:t>磷酸盐</w:t>
            </w:r>
          </w:p>
        </w:tc>
        <w:tc>
          <w:tcPr>
            <w:tcW w:w="1350"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微兰</w:t>
            </w:r>
          </w:p>
        </w:tc>
        <w:tc>
          <w:tcPr>
            <w:tcW w:w="148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kern w:val="0"/>
                <w:sz w:val="24"/>
                <w:szCs w:val="24"/>
              </w:rPr>
              <w:t>VL-PO-101</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74" w:hRule="atLeast"/>
          <w:jc w:val="center"/>
        </w:trPr>
        <w:tc>
          <w:tcPr>
            <w:tcW w:w="153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120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2436"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kern w:val="0"/>
                <w:sz w:val="24"/>
                <w:szCs w:val="24"/>
              </w:rPr>
              <w:t>巴歇尔槽取水泵</w:t>
            </w:r>
          </w:p>
        </w:tc>
        <w:tc>
          <w:tcPr>
            <w:tcW w:w="154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szCs w:val="24"/>
              </w:rPr>
              <w:t>抽取巴歇尔槽内出水水样</w:t>
            </w:r>
          </w:p>
        </w:tc>
        <w:tc>
          <w:tcPr>
            <w:tcW w:w="1350"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w:t>
            </w:r>
          </w:p>
        </w:tc>
        <w:tc>
          <w:tcPr>
            <w:tcW w:w="148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74" w:hRule="atLeast"/>
          <w:jc w:val="center"/>
        </w:trPr>
        <w:tc>
          <w:tcPr>
            <w:tcW w:w="153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120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2436"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PH计</w:t>
            </w:r>
          </w:p>
        </w:tc>
        <w:tc>
          <w:tcPr>
            <w:tcW w:w="154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PH</w:t>
            </w:r>
          </w:p>
        </w:tc>
        <w:tc>
          <w:tcPr>
            <w:tcW w:w="1350"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博克斯</w:t>
            </w:r>
          </w:p>
        </w:tc>
        <w:tc>
          <w:tcPr>
            <w:tcW w:w="148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ASP660M1-SP200</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97" w:hRule="atLeast"/>
          <w:jc w:val="center"/>
        </w:trPr>
        <w:tc>
          <w:tcPr>
            <w:tcW w:w="153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120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2436"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kern w:val="0"/>
                <w:sz w:val="24"/>
                <w:szCs w:val="24"/>
              </w:rPr>
              <w:t>智能水质采样器</w:t>
            </w:r>
          </w:p>
        </w:tc>
        <w:tc>
          <w:tcPr>
            <w:tcW w:w="154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流量</w:t>
            </w:r>
          </w:p>
        </w:tc>
        <w:tc>
          <w:tcPr>
            <w:tcW w:w="1350"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万维盈创</w:t>
            </w:r>
          </w:p>
        </w:tc>
        <w:tc>
          <w:tcPr>
            <w:tcW w:w="148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kern w:val="0"/>
                <w:sz w:val="24"/>
                <w:szCs w:val="24"/>
              </w:rPr>
              <w:t>Smart wQ82000</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20" w:hRule="atLeast"/>
          <w:jc w:val="center"/>
        </w:trPr>
        <w:tc>
          <w:tcPr>
            <w:tcW w:w="153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1200" w:type="dxa"/>
            <w:vMerge w:val="continue"/>
            <w:vAlign w:val="center"/>
          </w:tcPr>
          <w:p>
            <w:pPr>
              <w:widowControl/>
              <w:jc w:val="center"/>
              <w:textAlignment w:val="center"/>
              <w:rPr>
                <w:rFonts w:hint="eastAsia" w:ascii="宋体" w:hAnsi="宋体" w:cs="宋体"/>
                <w:b/>
                <w:bCs/>
                <w:color w:val="000000"/>
                <w:kern w:val="0"/>
                <w:sz w:val="24"/>
                <w:lang w:bidi="ar"/>
              </w:rPr>
            </w:pPr>
          </w:p>
        </w:tc>
        <w:tc>
          <w:tcPr>
            <w:tcW w:w="2436"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环保数采仪</w:t>
            </w:r>
          </w:p>
        </w:tc>
        <w:tc>
          <w:tcPr>
            <w:tcW w:w="154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w:t>
            </w:r>
          </w:p>
        </w:tc>
        <w:tc>
          <w:tcPr>
            <w:tcW w:w="1350"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万维盈创</w:t>
            </w:r>
          </w:p>
        </w:tc>
        <w:tc>
          <w:tcPr>
            <w:tcW w:w="1485"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W5100HB-III</w:t>
            </w:r>
          </w:p>
        </w:tc>
        <w:tc>
          <w:tcPr>
            <w:tcW w:w="979" w:type="dxa"/>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r>
    </w:tbl>
    <w:p>
      <w:pPr>
        <w:pStyle w:val="2"/>
        <w:rPr>
          <w:rFonts w:hint="eastAsia" w:hAnsi="宋体" w:eastAsia="宋体" w:cs="宋体"/>
          <w:szCs w:val="24"/>
          <w:lang w:val="en-US"/>
        </w:rPr>
      </w:pPr>
    </w:p>
    <w:tbl>
      <w:tblPr>
        <w:tblStyle w:val="48"/>
        <w:tblW w:w="10683" w:type="dxa"/>
        <w:jc w:val="center"/>
        <w:tblLayout w:type="fixed"/>
        <w:tblCellMar>
          <w:top w:w="0" w:type="dxa"/>
          <w:left w:w="108" w:type="dxa"/>
          <w:bottom w:w="0" w:type="dxa"/>
          <w:right w:w="108" w:type="dxa"/>
        </w:tblCellMar>
      </w:tblPr>
      <w:tblGrid>
        <w:gridCol w:w="828"/>
        <w:gridCol w:w="1009"/>
        <w:gridCol w:w="955"/>
        <w:gridCol w:w="2448"/>
        <w:gridCol w:w="2126"/>
        <w:gridCol w:w="1276"/>
        <w:gridCol w:w="2041"/>
      </w:tblGrid>
      <w:tr>
        <w:trPr>
          <w:trHeight w:val="173"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sz w:val="24"/>
              </w:rPr>
            </w:pPr>
            <w:r>
              <w:rPr>
                <w:rFonts w:hint="eastAsia" w:ascii="黑体" w:hAnsi="宋体" w:eastAsia="黑体" w:cs="黑体"/>
                <w:kern w:val="0"/>
                <w:sz w:val="24"/>
                <w:lang w:bidi="ar"/>
              </w:rPr>
              <w:t>序号</w:t>
            </w:r>
          </w:p>
        </w:tc>
        <w:tc>
          <w:tcPr>
            <w:tcW w:w="44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项目名称</w:t>
            </w:r>
          </w:p>
        </w:tc>
        <w:tc>
          <w:tcPr>
            <w:tcW w:w="21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试剂</w:t>
            </w:r>
          </w:p>
        </w:tc>
        <w:tc>
          <w:tcPr>
            <w:tcW w:w="127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计量单位</w:t>
            </w:r>
          </w:p>
        </w:tc>
        <w:tc>
          <w:tcPr>
            <w:tcW w:w="20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备注</w:t>
            </w:r>
          </w:p>
        </w:tc>
      </w:tr>
      <w:tr>
        <w:tblPrEx>
          <w:tblCellMar>
            <w:top w:w="0" w:type="dxa"/>
            <w:left w:w="108" w:type="dxa"/>
            <w:bottom w:w="0" w:type="dxa"/>
            <w:right w:w="108" w:type="dxa"/>
          </w:tblCellMar>
        </w:tblPrEx>
        <w:trPr>
          <w:trHeight w:val="277"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b/>
                <w:bCs/>
                <w:sz w:val="24"/>
              </w:rPr>
            </w:pPr>
            <w:r>
              <w:rPr>
                <w:rFonts w:hint="eastAsia" w:ascii="宋体" w:hAnsi="宋体" w:cs="宋体"/>
                <w:b/>
                <w:bCs/>
                <w:kern w:val="0"/>
                <w:sz w:val="24"/>
                <w:lang w:bidi="ar"/>
              </w:rPr>
              <w:t>一</w:t>
            </w:r>
          </w:p>
        </w:tc>
        <w:tc>
          <w:tcPr>
            <w:tcW w:w="441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运维</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w:t>
            </w: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次/人</w:t>
            </w:r>
          </w:p>
        </w:tc>
        <w:tc>
          <w:tcPr>
            <w:tcW w:w="2041"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2人/52次</w:t>
            </w:r>
          </w:p>
        </w:tc>
      </w:tr>
      <w:tr>
        <w:tblPrEx>
          <w:tblCellMar>
            <w:top w:w="0" w:type="dxa"/>
            <w:left w:w="108" w:type="dxa"/>
            <w:bottom w:w="0" w:type="dxa"/>
            <w:right w:w="108" w:type="dxa"/>
          </w:tblCellMar>
        </w:tblPrEx>
        <w:trPr>
          <w:trHeight w:val="98" w:hRule="atLeast"/>
          <w:jc w:val="center"/>
        </w:trPr>
        <w:tc>
          <w:tcPr>
            <w:tcW w:w="828" w:type="dxa"/>
            <w:vMerge w:val="restart"/>
            <w:tcBorders>
              <w:top w:val="single" w:color="000000" w:sz="4" w:space="0"/>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b/>
                <w:bCs/>
                <w:kern w:val="0"/>
                <w:sz w:val="24"/>
                <w:lang w:bidi="ar"/>
              </w:rPr>
              <w:t>二</w:t>
            </w:r>
          </w:p>
        </w:tc>
        <w:tc>
          <w:tcPr>
            <w:tcW w:w="1009"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耗材</w:t>
            </w:r>
          </w:p>
        </w:tc>
        <w:tc>
          <w:tcPr>
            <w:tcW w:w="3403"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纯净水</w:t>
            </w:r>
          </w:p>
        </w:tc>
        <w:tc>
          <w:tcPr>
            <w:tcW w:w="2126"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w:t>
            </w:r>
          </w:p>
        </w:tc>
        <w:tc>
          <w:tcPr>
            <w:tcW w:w="1276" w:type="dxa"/>
            <w:tcBorders>
              <w:top w:val="single" w:color="000000" w:sz="4" w:space="0"/>
              <w:left w:val="single" w:color="000000"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restart"/>
            <w:tcBorders>
              <w:top w:val="single" w:color="auto" w:sz="4" w:space="0"/>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全年足量提供</w:t>
            </w:r>
          </w:p>
        </w:tc>
      </w:tr>
      <w:tr>
        <w:tblPrEx>
          <w:tblCellMar>
            <w:top w:w="0" w:type="dxa"/>
            <w:left w:w="108" w:type="dxa"/>
            <w:bottom w:w="0" w:type="dxa"/>
            <w:right w:w="108" w:type="dxa"/>
          </w:tblCellMar>
        </w:tblPrEx>
        <w:trPr>
          <w:trHeight w:val="161"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1009" w:type="dxa"/>
            <w:vMerge w:val="continue"/>
            <w:tcBorders>
              <w:left w:val="single" w:color="000000" w:sz="4" w:space="0"/>
              <w:right w:val="single" w:color="000000" w:sz="4" w:space="0"/>
            </w:tcBorders>
            <w:noWrap/>
            <w:vAlign w:val="center"/>
          </w:tcPr>
          <w:p>
            <w:pPr>
              <w:widowControl/>
              <w:jc w:val="center"/>
              <w:textAlignment w:val="center"/>
            </w:pPr>
          </w:p>
        </w:tc>
        <w:tc>
          <w:tcPr>
            <w:tcW w:w="955"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试剂</w:t>
            </w:r>
          </w:p>
        </w:tc>
        <w:tc>
          <w:tcPr>
            <w:tcW w:w="2448" w:type="dxa"/>
            <w:vMerge w:val="restart"/>
            <w:tcBorders>
              <w:top w:val="single" w:color="000000" w:sz="4" w:space="0"/>
              <w:left w:val="single" w:color="000000"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COD试剂</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重铬酸钾</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61"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1009" w:type="dxa"/>
            <w:vMerge w:val="continue"/>
            <w:tcBorders>
              <w:left w:val="single" w:color="000000" w:sz="4" w:space="0"/>
              <w:right w:val="single" w:color="000000" w:sz="4" w:space="0"/>
            </w:tcBorders>
            <w:noWrap/>
            <w:vAlign w:val="center"/>
          </w:tcPr>
          <w:p>
            <w:pPr>
              <w:widowControl/>
              <w:jc w:val="center"/>
              <w:textAlignment w:val="center"/>
            </w:pPr>
          </w:p>
        </w:tc>
        <w:tc>
          <w:tcPr>
            <w:tcW w:w="955" w:type="dxa"/>
            <w:vMerge w:val="continue"/>
            <w:tcBorders>
              <w:left w:val="single" w:color="000000" w:sz="4" w:space="0"/>
              <w:right w:val="single" w:color="000000" w:sz="4" w:space="0"/>
            </w:tcBorders>
            <w:noWrap/>
            <w:vAlign w:val="center"/>
          </w:tcPr>
          <w:p>
            <w:pPr>
              <w:widowControl/>
              <w:jc w:val="center"/>
              <w:textAlignment w:val="center"/>
            </w:pPr>
          </w:p>
        </w:tc>
        <w:tc>
          <w:tcPr>
            <w:tcW w:w="2448" w:type="dxa"/>
            <w:vMerge w:val="continue"/>
            <w:tcBorders>
              <w:left w:val="single" w:color="000000" w:sz="4" w:space="0"/>
              <w:bottom w:val="single" w:color="000000" w:sz="4" w:space="0"/>
              <w:right w:val="single" w:color="auto" w:sz="4" w:space="0"/>
            </w:tcBorders>
            <w:noWrap/>
            <w:vAlign w:val="center"/>
          </w:tcPr>
          <w:p>
            <w:pPr>
              <w:widowControl/>
              <w:jc w:val="center"/>
              <w:textAlignment w:val="center"/>
            </w:pP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硫酸银</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0"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1009" w:type="dxa"/>
            <w:vMerge w:val="continue"/>
            <w:tcBorders>
              <w:left w:val="single" w:color="000000" w:sz="4" w:space="0"/>
              <w:right w:val="single" w:color="000000" w:sz="4" w:space="0"/>
            </w:tcBorders>
            <w:noWrap/>
            <w:vAlign w:val="center"/>
          </w:tcPr>
          <w:p>
            <w:pPr>
              <w:widowControl/>
              <w:jc w:val="center"/>
              <w:textAlignment w:val="center"/>
            </w:pPr>
          </w:p>
        </w:tc>
        <w:tc>
          <w:tcPr>
            <w:tcW w:w="955" w:type="dxa"/>
            <w:vMerge w:val="continue"/>
            <w:tcBorders>
              <w:left w:val="single" w:color="000000" w:sz="4" w:space="0"/>
              <w:right w:val="single" w:color="000000" w:sz="4" w:space="0"/>
            </w:tcBorders>
            <w:noWrap/>
            <w:vAlign w:val="center"/>
          </w:tcPr>
          <w:p>
            <w:pPr>
              <w:widowControl/>
              <w:jc w:val="center"/>
              <w:textAlignment w:val="center"/>
            </w:pPr>
          </w:p>
        </w:tc>
        <w:tc>
          <w:tcPr>
            <w:tcW w:w="2448" w:type="dxa"/>
            <w:vMerge w:val="restart"/>
            <w:tcBorders>
              <w:top w:val="single" w:color="000000" w:sz="4" w:space="0"/>
              <w:left w:val="single" w:color="000000"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氨氮试剂</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水杨酸</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rPr>
          <w:trHeight w:val="80"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1009" w:type="dxa"/>
            <w:vMerge w:val="continue"/>
            <w:tcBorders>
              <w:left w:val="single" w:color="000000" w:sz="4" w:space="0"/>
              <w:right w:val="single" w:color="000000" w:sz="4" w:space="0"/>
            </w:tcBorders>
            <w:noWrap/>
            <w:vAlign w:val="center"/>
          </w:tcPr>
          <w:p>
            <w:pPr>
              <w:widowControl/>
              <w:jc w:val="center"/>
              <w:textAlignment w:val="center"/>
            </w:pPr>
          </w:p>
        </w:tc>
        <w:tc>
          <w:tcPr>
            <w:tcW w:w="955" w:type="dxa"/>
            <w:vMerge w:val="continue"/>
            <w:tcBorders>
              <w:left w:val="single" w:color="000000" w:sz="4" w:space="0"/>
              <w:right w:val="single" w:color="000000" w:sz="4" w:space="0"/>
            </w:tcBorders>
            <w:noWrap/>
            <w:vAlign w:val="center"/>
          </w:tcPr>
          <w:p>
            <w:pPr>
              <w:widowControl/>
              <w:jc w:val="center"/>
              <w:textAlignment w:val="center"/>
            </w:pPr>
          </w:p>
        </w:tc>
        <w:tc>
          <w:tcPr>
            <w:tcW w:w="2448" w:type="dxa"/>
            <w:vMerge w:val="continue"/>
            <w:tcBorders>
              <w:left w:val="single" w:color="000000" w:sz="4" w:space="0"/>
              <w:right w:val="single" w:color="auto" w:sz="4" w:space="0"/>
            </w:tcBorders>
            <w:noWrap/>
            <w:vAlign w:val="center"/>
          </w:tcPr>
          <w:p>
            <w:pPr>
              <w:widowControl/>
              <w:jc w:val="center"/>
              <w:textAlignment w:val="center"/>
            </w:pP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ascii="宋体" w:hAnsi="宋体" w:cs="宋体"/>
                <w:color w:val="000000"/>
                <w:sz w:val="23"/>
                <w:szCs w:val="23"/>
              </w:rPr>
              <w:t>亚硝基</w:t>
            </w:r>
            <w:r>
              <w:rPr>
                <w:rFonts w:hint="eastAsia" w:ascii="宋体" w:hAnsi="宋体" w:cs="宋体"/>
                <w:color w:val="000000"/>
                <w:sz w:val="23"/>
                <w:szCs w:val="23"/>
              </w:rPr>
              <w:t>亚</w:t>
            </w:r>
            <w:r>
              <w:rPr>
                <w:rFonts w:ascii="宋体" w:hAnsi="宋体" w:cs="宋体"/>
                <w:color w:val="000000"/>
                <w:sz w:val="23"/>
                <w:szCs w:val="23"/>
              </w:rPr>
              <w:t>铁</w:t>
            </w:r>
            <w:r>
              <w:rPr>
                <w:rFonts w:hint="eastAsia" w:ascii="宋体" w:hAnsi="宋体" w:cs="宋体"/>
                <w:color w:val="000000"/>
                <w:sz w:val="23"/>
                <w:szCs w:val="23"/>
              </w:rPr>
              <w:t>氰</w:t>
            </w:r>
            <w:r>
              <w:rPr>
                <w:rFonts w:ascii="宋体" w:hAnsi="宋体" w:cs="宋体"/>
                <w:color w:val="000000"/>
                <w:sz w:val="23"/>
                <w:szCs w:val="23"/>
              </w:rPr>
              <w:t>化钠</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0"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009"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955"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448" w:type="dxa"/>
            <w:vMerge w:val="continue"/>
            <w:tcBorders>
              <w:left w:val="single" w:color="000000"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ascii="宋体" w:hAnsi="宋体" w:cs="宋体"/>
                <w:color w:val="000000"/>
                <w:sz w:val="23"/>
                <w:szCs w:val="23"/>
              </w:rPr>
              <w:t>柠檬酸三钠</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0"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009"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955"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448" w:type="dxa"/>
            <w:vMerge w:val="continue"/>
            <w:tcBorders>
              <w:left w:val="single" w:color="000000" w:sz="4" w:space="0"/>
              <w:bottom w:val="single" w:color="000000"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盐酸</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1009" w:type="dxa"/>
            <w:vMerge w:val="continue"/>
            <w:tcBorders>
              <w:left w:val="single" w:color="000000" w:sz="4" w:space="0"/>
              <w:right w:val="single" w:color="000000" w:sz="4" w:space="0"/>
            </w:tcBorders>
            <w:noWrap/>
            <w:vAlign w:val="center"/>
          </w:tcPr>
          <w:p>
            <w:pPr>
              <w:widowControl/>
              <w:jc w:val="center"/>
              <w:textAlignment w:val="center"/>
            </w:pPr>
          </w:p>
        </w:tc>
        <w:tc>
          <w:tcPr>
            <w:tcW w:w="955"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pPr>
          </w:p>
        </w:tc>
        <w:tc>
          <w:tcPr>
            <w:tcW w:w="2448" w:type="dxa"/>
            <w:vMerge w:val="restart"/>
            <w:tcBorders>
              <w:left w:val="single" w:color="000000" w:sz="4" w:space="0"/>
              <w:right w:val="single" w:color="auto" w:sz="4" w:space="0"/>
            </w:tcBorders>
            <w:noWrap/>
            <w:vAlign w:val="center"/>
          </w:tcPr>
          <w:p>
            <w:pPr>
              <w:widowControl/>
              <w:jc w:val="center"/>
              <w:textAlignment w:val="center"/>
            </w:pPr>
            <w:r>
              <w:rPr>
                <w:rFonts w:hint="eastAsia" w:ascii="宋体" w:hAnsi="宋体" w:cs="宋体"/>
                <w:kern w:val="0"/>
                <w:sz w:val="24"/>
                <w:lang w:bidi="ar"/>
              </w:rPr>
              <w:t>磷酸盐试剂</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ascii="宋体" w:hAnsi="宋体" w:cs="宋体"/>
                <w:color w:val="000000"/>
                <w:sz w:val="23"/>
                <w:szCs w:val="23"/>
              </w:rPr>
              <w:t>硫酸钾</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1009" w:type="dxa"/>
            <w:vMerge w:val="continue"/>
            <w:tcBorders>
              <w:left w:val="single" w:color="000000" w:sz="4" w:space="0"/>
              <w:right w:val="single" w:color="000000" w:sz="4" w:space="0"/>
            </w:tcBorders>
            <w:noWrap/>
            <w:vAlign w:val="center"/>
          </w:tcPr>
          <w:p>
            <w:pPr>
              <w:widowControl/>
              <w:jc w:val="center"/>
              <w:textAlignment w:val="center"/>
            </w:pPr>
          </w:p>
        </w:tc>
        <w:tc>
          <w:tcPr>
            <w:tcW w:w="955"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pPr>
          </w:p>
        </w:tc>
        <w:tc>
          <w:tcPr>
            <w:tcW w:w="2448" w:type="dxa"/>
            <w:vMerge w:val="continue"/>
            <w:tcBorders>
              <w:left w:val="single" w:color="000000" w:sz="4" w:space="0"/>
              <w:right w:val="single" w:color="auto" w:sz="4" w:space="0"/>
            </w:tcBorders>
            <w:noWrap/>
            <w:vAlign w:val="center"/>
          </w:tcPr>
          <w:p>
            <w:pPr>
              <w:widowControl/>
              <w:jc w:val="center"/>
              <w:textAlignment w:val="center"/>
            </w:pP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钼酸胺</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009"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955"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448" w:type="dxa"/>
            <w:vMerge w:val="continue"/>
            <w:tcBorders>
              <w:left w:val="single" w:color="000000" w:sz="4" w:space="0"/>
              <w:bottom w:val="single" w:color="000000"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抗坏血酸</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009"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955"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标准溶液</w:t>
            </w:r>
          </w:p>
        </w:tc>
        <w:tc>
          <w:tcPr>
            <w:tcW w:w="244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COD量程液、核查液</w:t>
            </w:r>
          </w:p>
        </w:tc>
        <w:tc>
          <w:tcPr>
            <w:tcW w:w="2126"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w:t>
            </w:r>
          </w:p>
        </w:tc>
        <w:tc>
          <w:tcPr>
            <w:tcW w:w="1276" w:type="dxa"/>
            <w:tcBorders>
              <w:top w:val="single" w:color="auto" w:sz="4" w:space="0"/>
              <w:left w:val="single" w:color="000000"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1009" w:type="dxa"/>
            <w:vMerge w:val="continue"/>
            <w:tcBorders>
              <w:left w:val="single" w:color="000000" w:sz="4" w:space="0"/>
              <w:right w:val="single" w:color="000000" w:sz="4" w:space="0"/>
            </w:tcBorders>
            <w:noWrap/>
            <w:vAlign w:val="center"/>
          </w:tcPr>
          <w:p>
            <w:pPr>
              <w:widowControl/>
              <w:jc w:val="center"/>
              <w:textAlignment w:val="center"/>
            </w:pPr>
          </w:p>
        </w:tc>
        <w:tc>
          <w:tcPr>
            <w:tcW w:w="955" w:type="dxa"/>
            <w:vMerge w:val="continue"/>
            <w:tcBorders>
              <w:left w:val="single" w:color="000000" w:sz="4" w:space="0"/>
              <w:right w:val="single" w:color="000000" w:sz="4" w:space="0"/>
            </w:tcBorders>
            <w:noWrap/>
            <w:vAlign w:val="center"/>
          </w:tcPr>
          <w:p>
            <w:pPr>
              <w:widowControl/>
              <w:jc w:val="center"/>
              <w:textAlignment w:val="center"/>
            </w:pPr>
          </w:p>
        </w:tc>
        <w:tc>
          <w:tcPr>
            <w:tcW w:w="244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氨氮量程液、核查液</w:t>
            </w:r>
          </w:p>
        </w:tc>
        <w:tc>
          <w:tcPr>
            <w:tcW w:w="2126"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w:t>
            </w:r>
          </w:p>
        </w:tc>
        <w:tc>
          <w:tcPr>
            <w:tcW w:w="1276" w:type="dxa"/>
            <w:tcBorders>
              <w:top w:val="single" w:color="auto" w:sz="4" w:space="0"/>
              <w:left w:val="single" w:color="000000"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828"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1009"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955"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244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磷酸盐量程液、核查液</w:t>
            </w:r>
          </w:p>
        </w:tc>
        <w:tc>
          <w:tcPr>
            <w:tcW w:w="2126"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w:t>
            </w:r>
          </w:p>
        </w:tc>
        <w:tc>
          <w:tcPr>
            <w:tcW w:w="1276" w:type="dxa"/>
            <w:tcBorders>
              <w:top w:val="single" w:color="auto" w:sz="4" w:space="0"/>
              <w:left w:val="single" w:color="000000"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2041" w:type="dxa"/>
            <w:vMerge w:val="continue"/>
            <w:tcBorders>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289"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b/>
                <w:bCs/>
                <w:kern w:val="0"/>
                <w:sz w:val="24"/>
                <w:lang w:bidi="ar"/>
              </w:rPr>
              <w:t>三</w:t>
            </w:r>
          </w:p>
        </w:tc>
        <w:tc>
          <w:tcPr>
            <w:tcW w:w="441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维修</w:t>
            </w:r>
          </w:p>
        </w:tc>
        <w:tc>
          <w:tcPr>
            <w:tcW w:w="2126"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6"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041"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含单次2000元</w:t>
            </w:r>
            <w:r>
              <w:rPr>
                <w:rFonts w:hint="eastAsia" w:hAnsi="宋体" w:cs="宋体"/>
                <w:kern w:val="0"/>
                <w:sz w:val="24"/>
                <w:lang w:bidi="ar"/>
              </w:rPr>
              <w:t>及2000</w:t>
            </w:r>
            <w:r>
              <w:rPr>
                <w:rFonts w:hint="eastAsia" w:ascii="宋体" w:hAnsi="宋体" w:cs="宋体"/>
                <w:kern w:val="0"/>
                <w:sz w:val="24"/>
                <w:lang w:bidi="ar"/>
              </w:rPr>
              <w:t>以下耗材和配件费</w:t>
            </w:r>
          </w:p>
        </w:tc>
      </w:tr>
      <w:tr>
        <w:tblPrEx>
          <w:tblCellMar>
            <w:top w:w="0" w:type="dxa"/>
            <w:left w:w="108" w:type="dxa"/>
            <w:bottom w:w="0" w:type="dxa"/>
            <w:right w:w="108" w:type="dxa"/>
          </w:tblCellMar>
        </w:tblPrEx>
        <w:trPr>
          <w:trHeight w:val="251"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四</w:t>
            </w:r>
          </w:p>
        </w:tc>
        <w:tc>
          <w:tcPr>
            <w:tcW w:w="441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交通</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041"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r>
      <w:tr>
        <w:tblPrEx>
          <w:tblCellMar>
            <w:top w:w="0" w:type="dxa"/>
            <w:left w:w="108" w:type="dxa"/>
            <w:bottom w:w="0" w:type="dxa"/>
            <w:right w:w="108" w:type="dxa"/>
          </w:tblCellMar>
        </w:tblPrEx>
        <w:trPr>
          <w:trHeight w:val="343"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五</w:t>
            </w:r>
          </w:p>
        </w:tc>
        <w:tc>
          <w:tcPr>
            <w:tcW w:w="441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标识</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项</w:t>
            </w:r>
          </w:p>
        </w:tc>
        <w:tc>
          <w:tcPr>
            <w:tcW w:w="2041"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r>
      <w:tr>
        <w:tblPrEx>
          <w:tblCellMar>
            <w:top w:w="0" w:type="dxa"/>
            <w:left w:w="108" w:type="dxa"/>
            <w:bottom w:w="0" w:type="dxa"/>
            <w:right w:w="108" w:type="dxa"/>
          </w:tblCellMar>
        </w:tblPrEx>
        <w:trPr>
          <w:trHeight w:val="276"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六</w:t>
            </w:r>
          </w:p>
        </w:tc>
        <w:tc>
          <w:tcPr>
            <w:tcW w:w="441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资料</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项</w:t>
            </w:r>
          </w:p>
        </w:tc>
        <w:tc>
          <w:tcPr>
            <w:tcW w:w="2041" w:type="dxa"/>
            <w:tcBorders>
              <w:top w:val="single" w:color="000000" w:sz="4" w:space="0"/>
              <w:left w:val="single" w:color="000000" w:sz="4" w:space="0"/>
              <w:bottom w:val="single" w:color="000000" w:sz="4" w:space="0"/>
              <w:right w:val="single" w:color="000000" w:sz="4" w:space="0"/>
            </w:tcBorders>
            <w:noWrap/>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r>
      <w:tr>
        <w:tblPrEx>
          <w:tblCellMar>
            <w:top w:w="0" w:type="dxa"/>
            <w:left w:w="108" w:type="dxa"/>
            <w:bottom w:w="0" w:type="dxa"/>
            <w:right w:w="108" w:type="dxa"/>
          </w:tblCellMar>
        </w:tblPrEx>
        <w:trPr>
          <w:trHeight w:val="237"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七</w:t>
            </w:r>
          </w:p>
        </w:tc>
        <w:tc>
          <w:tcPr>
            <w:tcW w:w="441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办公</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0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r>
      <w:tr>
        <w:tblPrEx>
          <w:tblCellMar>
            <w:top w:w="0" w:type="dxa"/>
            <w:left w:w="108" w:type="dxa"/>
            <w:bottom w:w="0" w:type="dxa"/>
            <w:right w:w="108" w:type="dxa"/>
          </w:tblCellMar>
        </w:tblPrEx>
        <w:trPr>
          <w:trHeight w:val="213"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八</w:t>
            </w:r>
          </w:p>
        </w:tc>
        <w:tc>
          <w:tcPr>
            <w:tcW w:w="441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专线</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条</w:t>
            </w:r>
          </w:p>
        </w:tc>
        <w:tc>
          <w:tcPr>
            <w:tcW w:w="20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1</w:t>
            </w:r>
          </w:p>
        </w:tc>
      </w:tr>
      <w:tr>
        <w:tblPrEx>
          <w:tblCellMar>
            <w:top w:w="0" w:type="dxa"/>
            <w:left w:w="108" w:type="dxa"/>
            <w:bottom w:w="0" w:type="dxa"/>
            <w:right w:w="108" w:type="dxa"/>
          </w:tblCellMar>
        </w:tblPrEx>
        <w:trPr>
          <w:trHeight w:val="124"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九</w:t>
            </w:r>
          </w:p>
        </w:tc>
        <w:tc>
          <w:tcPr>
            <w:tcW w:w="441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流量卡</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20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1</w:t>
            </w:r>
          </w:p>
        </w:tc>
      </w:tr>
    </w:tbl>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三、技术要求</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（一）VOC在线监测设备运维</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1、运维标准</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 污染源在线自动监控（监测）系统数据传输标准（HJ 212-2017）</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 HJ 76-2017固定污染源排放烟气连续监测系统技术要求及检测方法</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 HJ 75-2017固定污染源排放烟气连续监测技术规范</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 HJ 1013-2018 固定污染源废气非甲烷总烃连续监测系统技术要求及检测方法</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 HJ 1286-2023固定污染源废气 非甲烷总烃连续监测技术规范</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2、若生态环境部或生态环境厅发布最新标准，以最新标准为准。</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3、设备调试、比对、验收执行大同市生态环境局有关规定。</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（二）废水在线监测设备运维</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1、运维标准</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 污染源在线自动监控（监测）系统数据传输标准（HJ 212-2017）</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 《水污染源在线监测系统（CODCr、NH3-N 等）运行技术规范》（HJ 355-2019）</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 2050污染源废水在线监测系统运行维护质量控制技术规范</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2、若生态环境部或生态环境厅发布最新标准，以最新标准为准。</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（三）应急服务</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1、如遇政府生态环境部门检查，运维单位必须安排专人来现场服务。</w:t>
      </w:r>
    </w:p>
    <w:p>
      <w:r>
        <w:rPr>
          <w:rFonts w:hint="eastAsia" w:asciiTheme="minorEastAsia" w:hAnsiTheme="minorEastAsia" w:eastAsiaTheme="minorEastAsia" w:cstheme="minorEastAsia"/>
          <w:sz w:val="24"/>
          <w:szCs w:val="24"/>
        </w:rPr>
        <w:t>2、如在线监测设备发生故障或数据传输异常，运维单位必须在接到通知后2小时内到达现场。</w:t>
      </w:r>
    </w:p>
    <w:p>
      <w:pPr>
        <w:rPr>
          <w:rFonts w:ascii="Calibri" w:hAnsi="Calibri"/>
          <w:b/>
          <w:bCs/>
          <w:kern w:val="44"/>
          <w:sz w:val="44"/>
          <w:szCs w:val="44"/>
        </w:rPr>
      </w:pPr>
      <w:r>
        <w:rPr>
          <w:rFonts w:hint="eastAsia" w:ascii="Calibri" w:hAnsi="Calibri"/>
          <w:b/>
          <w:bCs/>
          <w:kern w:val="44"/>
          <w:sz w:val="44"/>
          <w:szCs w:val="44"/>
        </w:rPr>
        <w:br w:type="page"/>
      </w:r>
    </w:p>
    <w:p>
      <w:pPr>
        <w:jc w:val="center"/>
        <w:rPr>
          <w:rFonts w:ascii="Calibri" w:hAnsi="Calibri"/>
          <w:b/>
          <w:bCs/>
          <w:kern w:val="44"/>
          <w:sz w:val="44"/>
          <w:szCs w:val="44"/>
        </w:rPr>
      </w:pPr>
      <w:r>
        <w:rPr>
          <w:rFonts w:hint="eastAsia" w:ascii="Calibri" w:hAnsi="Calibri"/>
          <w:b/>
          <w:bCs/>
          <w:kern w:val="44"/>
          <w:sz w:val="44"/>
          <w:szCs w:val="44"/>
        </w:rPr>
        <w:t>评分标准</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采用合理最低价评标法</w:t>
      </w:r>
    </w:p>
    <w:p>
      <w:pPr>
        <w:rPr>
          <w:rFonts w:ascii="Calibri" w:hAnsi="Calibri"/>
          <w:b/>
          <w:bCs/>
          <w:kern w:val="44"/>
          <w:sz w:val="44"/>
          <w:szCs w:val="44"/>
        </w:rPr>
      </w:pPr>
      <w:r>
        <w:rPr>
          <w:rFonts w:hint="eastAsia" w:ascii="宋体" w:hAnsi="宋体" w:cs="宋体"/>
          <w:color w:val="000000"/>
          <w:sz w:val="24"/>
          <w:szCs w:val="24"/>
        </w:rPr>
        <w:t>由招标人组成的评标委员会负责，进行商务谈判，本着公平、公正、公开、有序的原则，在最大限度地满足招标文件实质性要求的前提下，磋商项目价格，满足要求后，最终确定中标人。</w:t>
      </w:r>
      <w:r>
        <w:rPr>
          <w:rFonts w:hint="eastAsia" w:ascii="Calibri" w:hAnsi="Calibri"/>
          <w:b/>
          <w:bCs/>
          <w:kern w:val="44"/>
          <w:sz w:val="44"/>
          <w:szCs w:val="44"/>
        </w:rPr>
        <w:br w:type="page"/>
      </w:r>
    </w:p>
    <w:p>
      <w:pPr>
        <w:keepNext/>
        <w:keepLines/>
        <w:jc w:val="center"/>
        <w:outlineLvl w:val="0"/>
        <w:rPr>
          <w:rFonts w:ascii="Calibri" w:hAnsi="Calibri"/>
          <w:b/>
          <w:bCs/>
          <w:kern w:val="44"/>
          <w:sz w:val="44"/>
          <w:szCs w:val="44"/>
        </w:rPr>
      </w:pPr>
      <w:r>
        <w:rPr>
          <w:rFonts w:hint="eastAsia" w:ascii="Calibri" w:hAnsi="Calibri"/>
          <w:b/>
          <w:bCs/>
          <w:kern w:val="44"/>
          <w:sz w:val="44"/>
          <w:szCs w:val="44"/>
        </w:rPr>
        <w:t>第三部分 投标文件附件</w:t>
      </w:r>
    </w:p>
    <w:p>
      <w:pPr>
        <w:keepNext/>
        <w:keepLines/>
        <w:rPr>
          <w:b/>
          <w:bCs/>
          <w:color w:val="000000"/>
          <w:sz w:val="24"/>
          <w:szCs w:val="24"/>
        </w:rPr>
      </w:pPr>
    </w:p>
    <w:p>
      <w:pPr>
        <w:pStyle w:val="2"/>
        <w:rPr>
          <w:rFonts w:ascii="Times New Roman" w:hAnsi="Times New Roman" w:eastAsia="宋体"/>
          <w:b/>
          <w:bCs/>
          <w:color w:val="000000"/>
          <w:szCs w:val="24"/>
        </w:rPr>
      </w:pPr>
    </w:p>
    <w:p>
      <w:pPr>
        <w:spacing w:line="420" w:lineRule="exact"/>
        <w:ind w:firstLine="480" w:firstLineChars="200"/>
        <w:rPr>
          <w:rFonts w:hint="eastAsia" w:ascii="宋体" w:hAnsi="宋体" w:cs="宋体"/>
          <w:sz w:val="24"/>
          <w:szCs w:val="24"/>
        </w:rPr>
      </w:pPr>
      <w:r>
        <w:rPr>
          <w:rFonts w:hint="eastAsia" w:ascii="宋体" w:hAnsi="宋体" w:cs="宋体"/>
          <w:sz w:val="24"/>
          <w:szCs w:val="24"/>
        </w:rPr>
        <w:t>说明：</w:t>
      </w:r>
    </w:p>
    <w:p>
      <w:pPr>
        <w:spacing w:line="420" w:lineRule="exact"/>
        <w:ind w:firstLine="480" w:firstLineChars="200"/>
        <w:rPr>
          <w:rFonts w:hint="eastAsia" w:ascii="宋体" w:hAnsi="宋体" w:cs="宋体"/>
          <w:sz w:val="24"/>
          <w:szCs w:val="24"/>
        </w:rPr>
      </w:pPr>
      <w:r>
        <w:rPr>
          <w:rFonts w:hint="eastAsia" w:ascii="宋体" w:hAnsi="宋体" w:cs="宋体"/>
          <w:sz w:val="24"/>
          <w:szCs w:val="24"/>
        </w:rPr>
        <w:t>1.投标人须认真填写和提交本部分中的附件文件；</w:t>
      </w:r>
    </w:p>
    <w:p>
      <w:pPr>
        <w:spacing w:line="420" w:lineRule="exact"/>
        <w:ind w:firstLine="480" w:firstLineChars="200"/>
        <w:rPr>
          <w:rFonts w:hint="eastAsia" w:ascii="宋体" w:hAnsi="宋体" w:cs="宋体"/>
          <w:sz w:val="24"/>
          <w:szCs w:val="24"/>
        </w:rPr>
      </w:pPr>
      <w:r>
        <w:rPr>
          <w:rFonts w:hint="eastAsia" w:ascii="宋体" w:hAnsi="宋体" w:cs="宋体"/>
          <w:sz w:val="24"/>
          <w:szCs w:val="24"/>
        </w:rPr>
        <w:t>2.对附件文件中所要求的内容应给予明确的答复；</w:t>
      </w:r>
    </w:p>
    <w:p>
      <w:pPr>
        <w:spacing w:line="420" w:lineRule="exact"/>
        <w:ind w:firstLine="480" w:firstLineChars="200"/>
        <w:rPr>
          <w:rFonts w:hint="eastAsia" w:ascii="宋体" w:hAnsi="宋体" w:cs="宋体"/>
          <w:sz w:val="24"/>
          <w:szCs w:val="24"/>
        </w:rPr>
      </w:pPr>
      <w:r>
        <w:rPr>
          <w:rFonts w:hint="eastAsia" w:ascii="宋体" w:hAnsi="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cs="宋体"/>
          <w:sz w:val="24"/>
          <w:szCs w:val="24"/>
        </w:rPr>
      </w:pPr>
      <w:r>
        <w:rPr>
          <w:rFonts w:hint="eastAsia" w:ascii="宋体" w:hAnsi="宋体" w:cs="宋体"/>
          <w:sz w:val="24"/>
          <w:szCs w:val="24"/>
        </w:rPr>
        <w:t>4.招标人将对投标人提交的文件、资料等内容予以保密，但不退还；</w:t>
      </w:r>
    </w:p>
    <w:p>
      <w:pPr>
        <w:spacing w:line="420" w:lineRule="exact"/>
        <w:ind w:firstLine="480" w:firstLineChars="200"/>
        <w:rPr>
          <w:rFonts w:hint="eastAsia" w:ascii="宋体" w:hAnsi="宋体" w:cs="宋体"/>
          <w:sz w:val="24"/>
          <w:szCs w:val="24"/>
        </w:rPr>
      </w:pPr>
      <w:r>
        <w:rPr>
          <w:rFonts w:hint="eastAsia" w:ascii="宋体" w:hAnsi="宋体" w:cs="宋体"/>
          <w:sz w:val="24"/>
          <w:szCs w:val="24"/>
        </w:rPr>
        <w:t>5.所有附件文件应以中文书写，作为投标文件的组成部分。</w:t>
      </w: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spacing w:line="360" w:lineRule="auto"/>
        <w:rPr>
          <w:rFonts w:hint="eastAsia" w:ascii="仿宋" w:hAnsi="仿宋" w:eastAsia="仿宋"/>
          <w:b/>
          <w:bCs/>
          <w:sz w:val="28"/>
        </w:rPr>
      </w:pPr>
    </w:p>
    <w:p>
      <w:pPr>
        <w:rPr>
          <w:rFonts w:hint="eastAsia" w:ascii="仿宋" w:hAnsi="仿宋" w:eastAsia="仿宋"/>
          <w:b/>
          <w:bCs/>
          <w:sz w:val="28"/>
        </w:rPr>
      </w:pPr>
      <w:r>
        <w:rPr>
          <w:rFonts w:hint="eastAsia" w:ascii="仿宋" w:hAnsi="仿宋" w:eastAsia="仿宋"/>
          <w:b/>
          <w:bCs/>
          <w:sz w:val="28"/>
        </w:rPr>
        <w:br w:type="page"/>
      </w:r>
    </w:p>
    <w:p>
      <w:pPr>
        <w:spacing w:line="360" w:lineRule="auto"/>
        <w:rPr>
          <w:rFonts w:hint="eastAsia" w:ascii="宋体" w:hAnsi="宋体"/>
          <w:b/>
          <w:bCs/>
          <w:sz w:val="28"/>
        </w:rPr>
      </w:pPr>
      <w:r>
        <w:rPr>
          <w:rFonts w:hint="eastAsia" w:ascii="宋体" w:hAnsi="宋体"/>
          <w:b/>
          <w:bCs/>
          <w:sz w:val="28"/>
        </w:rPr>
        <w:t>附件1</w:t>
      </w:r>
    </w:p>
    <w:p>
      <w:pPr>
        <w:jc w:val="center"/>
        <w:rPr>
          <w:rFonts w:ascii="Calibri" w:hAnsi="Calibri" w:eastAsia="黑体"/>
          <w:b/>
          <w:bCs/>
          <w:sz w:val="28"/>
          <w:szCs w:val="28"/>
        </w:rPr>
      </w:pPr>
      <w:r>
        <w:rPr>
          <w:rFonts w:hint="eastAsia" w:ascii="Calibri" w:hAnsi="Calibri" w:eastAsia="黑体"/>
          <w:b/>
          <w:bCs/>
          <w:sz w:val="28"/>
          <w:szCs w:val="28"/>
        </w:rPr>
        <w:t>投标书</w:t>
      </w:r>
    </w:p>
    <w:p>
      <w:pPr>
        <w:rPr>
          <w:rFonts w:ascii="宋体" w:hAnsi="Calibri"/>
          <w:sz w:val="24"/>
          <w:szCs w:val="24"/>
          <w:u w:val="single"/>
        </w:rPr>
      </w:pPr>
      <w:r>
        <w:rPr>
          <w:rFonts w:hint="eastAsia" w:ascii="宋体" w:hAnsi="Calibri"/>
          <w:sz w:val="24"/>
          <w:szCs w:val="24"/>
        </w:rPr>
        <w:t>致</w:t>
      </w:r>
      <w:r>
        <w:rPr>
          <w:rFonts w:hint="eastAsia" w:ascii="宋体" w:hAnsi="Calibri"/>
          <w:sz w:val="24"/>
          <w:szCs w:val="24"/>
          <w:u w:val="single"/>
        </w:rPr>
        <w:t>（招标人名称）                            ：</w:t>
      </w:r>
    </w:p>
    <w:p>
      <w:pPr>
        <w:ind w:firstLine="645"/>
        <w:rPr>
          <w:rFonts w:ascii="宋体" w:hAnsi="Calibri"/>
          <w:sz w:val="24"/>
          <w:szCs w:val="24"/>
        </w:rPr>
      </w:pPr>
      <w:r>
        <w:rPr>
          <w:rFonts w:hint="eastAsia" w:ascii="宋体" w:hAnsi="Calibri"/>
          <w:sz w:val="24"/>
          <w:szCs w:val="24"/>
        </w:rPr>
        <w:t>根据贵方为（</w:t>
      </w:r>
      <w:r>
        <w:rPr>
          <w:rFonts w:hint="eastAsia" w:ascii="宋体" w:hAnsi="Calibri"/>
          <w:sz w:val="24"/>
          <w:szCs w:val="24"/>
          <w:u w:val="single"/>
        </w:rPr>
        <w:t xml:space="preserve">项目名称）                         </w:t>
      </w:r>
      <w:r>
        <w:rPr>
          <w:rFonts w:hint="eastAsia" w:ascii="宋体" w:hAnsi="Calibri"/>
          <w:sz w:val="24"/>
          <w:szCs w:val="24"/>
        </w:rPr>
        <w:t>招标书，签字代表</w:t>
      </w:r>
      <w:r>
        <w:rPr>
          <w:rFonts w:hint="eastAsia" w:ascii="宋体" w:hAnsi="Calibri"/>
          <w:sz w:val="24"/>
          <w:szCs w:val="24"/>
          <w:u w:val="single"/>
        </w:rPr>
        <w:t xml:space="preserve">（全名、职务）           </w:t>
      </w:r>
      <w:r>
        <w:rPr>
          <w:rFonts w:hint="eastAsia" w:ascii="宋体" w:hAnsi="Calibri"/>
          <w:sz w:val="24"/>
          <w:szCs w:val="24"/>
        </w:rPr>
        <w:t>经正式授权并代表投标人</w:t>
      </w:r>
      <w:r>
        <w:rPr>
          <w:rFonts w:hint="eastAsia" w:ascii="宋体" w:hAnsi="Calibri"/>
          <w:sz w:val="24"/>
          <w:szCs w:val="24"/>
          <w:u w:val="single"/>
        </w:rPr>
        <w:t xml:space="preserve">（投标人名称、地址）              </w:t>
      </w:r>
      <w:r>
        <w:rPr>
          <w:rFonts w:hint="eastAsia" w:ascii="宋体" w:hAnsi="Calibri"/>
          <w:sz w:val="24"/>
          <w:szCs w:val="24"/>
        </w:rPr>
        <w:t>提交下述文件：</w:t>
      </w:r>
    </w:p>
    <w:p>
      <w:pPr>
        <w:rPr>
          <w:rFonts w:ascii="宋体" w:hAnsi="Calibri"/>
          <w:sz w:val="24"/>
          <w:szCs w:val="24"/>
        </w:rPr>
      </w:pPr>
      <w:r>
        <w:rPr>
          <w:rFonts w:hint="eastAsia" w:ascii="宋体" w:hAnsi="Calibri"/>
          <w:sz w:val="24"/>
          <w:szCs w:val="24"/>
        </w:rPr>
        <w:t>标书（正本</w:t>
      </w:r>
      <w:r>
        <w:rPr>
          <w:rFonts w:hint="eastAsia" w:ascii="宋体" w:hAnsi="Calibri"/>
          <w:sz w:val="24"/>
          <w:szCs w:val="24"/>
          <w:u w:val="single"/>
        </w:rPr>
        <w:t>X</w:t>
      </w:r>
      <w:r>
        <w:rPr>
          <w:rFonts w:hint="eastAsia" w:ascii="宋体" w:hAnsi="Calibri"/>
          <w:sz w:val="24"/>
          <w:szCs w:val="24"/>
        </w:rPr>
        <w:t>份和副本一式</w:t>
      </w:r>
      <w:r>
        <w:rPr>
          <w:rFonts w:hint="eastAsia" w:ascii="宋体" w:hAnsi="Calibri"/>
          <w:sz w:val="24"/>
          <w:szCs w:val="24"/>
          <w:u w:val="single"/>
        </w:rPr>
        <w:t>X</w:t>
      </w:r>
      <w:r>
        <w:rPr>
          <w:rFonts w:hint="eastAsia" w:ascii="宋体" w:hAnsi="Calibri"/>
          <w:sz w:val="24"/>
          <w:szCs w:val="24"/>
        </w:rPr>
        <w:t>份）</w:t>
      </w:r>
    </w:p>
    <w:p>
      <w:pPr>
        <w:rPr>
          <w:rFonts w:ascii="宋体" w:hAnsi="Calibri"/>
          <w:sz w:val="24"/>
          <w:szCs w:val="24"/>
        </w:rPr>
      </w:pPr>
      <w:r>
        <w:rPr>
          <w:rFonts w:hint="eastAsia" w:ascii="宋体" w:hAnsi="Calibri"/>
          <w:sz w:val="24"/>
          <w:szCs w:val="24"/>
        </w:rPr>
        <w:t>据此，签字代表宣布同意如下：</w:t>
      </w:r>
    </w:p>
    <w:p>
      <w:pPr>
        <w:numPr>
          <w:ilvl w:val="0"/>
          <w:numId w:val="8"/>
        </w:numPr>
        <w:rPr>
          <w:rFonts w:ascii="宋体" w:hAnsi="Calibri"/>
          <w:sz w:val="24"/>
          <w:szCs w:val="24"/>
          <w:u w:val="single"/>
        </w:rPr>
      </w:pPr>
      <w:r>
        <w:rPr>
          <w:rFonts w:hint="eastAsia" w:ascii="宋体" w:hAnsi="Calibri"/>
          <w:sz w:val="24"/>
          <w:szCs w:val="24"/>
        </w:rPr>
        <w:t>所附投标报价表中规定的应提供的投标总价</w:t>
      </w:r>
      <w:r>
        <w:rPr>
          <w:rFonts w:hint="eastAsia" w:ascii="宋体" w:hAnsi="Calibri"/>
          <w:b/>
          <w:bCs/>
          <w:sz w:val="24"/>
          <w:szCs w:val="24"/>
        </w:rPr>
        <w:t>（含税</w:t>
      </w:r>
      <w:r>
        <w:rPr>
          <w:rFonts w:hint="eastAsia" w:ascii="宋体" w:hAnsi="Calibri"/>
          <w:sz w:val="24"/>
          <w:szCs w:val="24"/>
        </w:rPr>
        <w:t>）为</w:t>
      </w:r>
      <w:r>
        <w:rPr>
          <w:rFonts w:hint="eastAsia" w:ascii="宋体" w:hAnsi="Calibri"/>
          <w:sz w:val="24"/>
          <w:szCs w:val="24"/>
          <w:u w:val="single"/>
        </w:rPr>
        <w:t>（注明币种和金额）    ，</w:t>
      </w:r>
    </w:p>
    <w:p>
      <w:pPr>
        <w:ind w:firstLine="960" w:firstLineChars="400"/>
        <w:rPr>
          <w:rFonts w:ascii="宋体" w:hAnsi="Calibri"/>
          <w:sz w:val="24"/>
          <w:szCs w:val="24"/>
        </w:rPr>
      </w:pPr>
      <w:r>
        <w:rPr>
          <w:rFonts w:hint="eastAsia" w:ascii="宋体" w:hAnsi="Calibri"/>
          <w:sz w:val="24"/>
          <w:szCs w:val="24"/>
          <w:u w:val="single"/>
        </w:rPr>
        <w:t xml:space="preserve">即（中文文字描述）                                      </w:t>
      </w:r>
      <w:r>
        <w:rPr>
          <w:rFonts w:hint="eastAsia" w:ascii="宋体" w:hAnsi="Calibri"/>
          <w:sz w:val="24"/>
          <w:szCs w:val="24"/>
        </w:rPr>
        <w:t>。</w:t>
      </w:r>
    </w:p>
    <w:p>
      <w:pPr>
        <w:numPr>
          <w:ilvl w:val="0"/>
          <w:numId w:val="8"/>
        </w:numPr>
        <w:rPr>
          <w:rFonts w:ascii="宋体" w:hAnsi="Calibri"/>
          <w:sz w:val="24"/>
          <w:szCs w:val="24"/>
        </w:rPr>
      </w:pPr>
      <w:r>
        <w:rPr>
          <w:rFonts w:hint="eastAsia" w:ascii="宋体" w:hAnsi="Calibri"/>
          <w:sz w:val="24"/>
          <w:szCs w:val="24"/>
        </w:rPr>
        <w:t>投标人将按招标文件的规定履行合同责任和义务。</w:t>
      </w:r>
    </w:p>
    <w:p>
      <w:pPr>
        <w:numPr>
          <w:ilvl w:val="0"/>
          <w:numId w:val="8"/>
        </w:numPr>
        <w:rPr>
          <w:rFonts w:ascii="宋体" w:hAnsi="Calibri"/>
          <w:sz w:val="24"/>
          <w:szCs w:val="24"/>
        </w:rPr>
      </w:pPr>
      <w:r>
        <w:rPr>
          <w:rFonts w:hint="eastAsia" w:ascii="宋体" w:hAnsi="Calibri"/>
          <w:sz w:val="24"/>
          <w:szCs w:val="24"/>
        </w:rPr>
        <w:t>投标人已详细审查全部招标文件，包括修改文件（如有的话）以及全部参考资料和有关附件，我们完全理解并同意放弃对这方面有不明及误解的权利。</w:t>
      </w:r>
    </w:p>
    <w:p>
      <w:pPr>
        <w:numPr>
          <w:ilvl w:val="0"/>
          <w:numId w:val="8"/>
        </w:numPr>
        <w:rPr>
          <w:rFonts w:ascii="宋体" w:hAnsi="Calibri"/>
          <w:sz w:val="24"/>
          <w:szCs w:val="24"/>
        </w:rPr>
      </w:pPr>
      <w:r>
        <w:rPr>
          <w:rFonts w:hint="eastAsia" w:ascii="Calibri" w:hAnsi="Calibri"/>
          <w:sz w:val="24"/>
          <w:szCs w:val="24"/>
        </w:rPr>
        <w:t>投标有效期：自投标截止之日起至合同签署日一直有效</w:t>
      </w:r>
      <w:r>
        <w:rPr>
          <w:rFonts w:hint="eastAsia" w:ascii="宋体" w:hAnsi="Calibri"/>
          <w:sz w:val="24"/>
          <w:szCs w:val="24"/>
        </w:rPr>
        <w:t>。</w:t>
      </w:r>
    </w:p>
    <w:p>
      <w:pPr>
        <w:numPr>
          <w:ilvl w:val="0"/>
          <w:numId w:val="8"/>
        </w:numPr>
        <w:rPr>
          <w:rFonts w:ascii="宋体" w:hAnsi="Calibri"/>
          <w:sz w:val="24"/>
          <w:szCs w:val="24"/>
        </w:rPr>
      </w:pPr>
      <w:r>
        <w:rPr>
          <w:rFonts w:hint="eastAsia" w:ascii="宋体" w:hAnsi="Calibri"/>
          <w:sz w:val="24"/>
          <w:szCs w:val="24"/>
        </w:rPr>
        <w:t>投标人同意提供贵方要求的可能与投标有关的一切数据和资料，完全理解贵方不一定要接受最低价的投标或收到的任何投标。</w:t>
      </w:r>
    </w:p>
    <w:p>
      <w:pPr>
        <w:numPr>
          <w:ilvl w:val="0"/>
          <w:numId w:val="8"/>
        </w:numPr>
        <w:rPr>
          <w:rFonts w:ascii="宋体" w:hAnsi="Calibri"/>
          <w:sz w:val="24"/>
          <w:szCs w:val="24"/>
        </w:rPr>
      </w:pPr>
      <w:r>
        <w:rPr>
          <w:rFonts w:hint="eastAsia" w:ascii="宋体" w:hAnsi="Calibri"/>
          <w:sz w:val="24"/>
          <w:szCs w:val="24"/>
        </w:rPr>
        <w:t>投标人承诺所提供的所有数据和资料均真实有效，如存在虚报情况，投标人愿为此承担一切法律责任，并主动退出本项目竞标。</w:t>
      </w:r>
    </w:p>
    <w:p>
      <w:pPr>
        <w:numPr>
          <w:ilvl w:val="0"/>
          <w:numId w:val="8"/>
        </w:numPr>
        <w:rPr>
          <w:rFonts w:ascii="宋体" w:hAnsi="Calibri"/>
          <w:sz w:val="24"/>
          <w:szCs w:val="24"/>
        </w:rPr>
      </w:pPr>
      <w:r>
        <w:rPr>
          <w:rFonts w:hint="eastAsia" w:ascii="宋体" w:hAnsi="Calibri"/>
          <w:sz w:val="24"/>
          <w:szCs w:val="24"/>
        </w:rPr>
        <w:t>与本投标有关的一切正式往来通讯请寄：</w:t>
      </w:r>
    </w:p>
    <w:p>
      <w:pPr>
        <w:ind w:left="795"/>
        <w:rPr>
          <w:rFonts w:ascii="宋体" w:hAnsi="Calibri"/>
          <w:sz w:val="24"/>
          <w:szCs w:val="24"/>
        </w:rPr>
      </w:pPr>
      <w:r>
        <w:rPr>
          <w:rFonts w:hint="eastAsia" w:ascii="宋体" w:hAnsi="Calibri"/>
          <w:sz w:val="24"/>
          <w:szCs w:val="24"/>
        </w:rPr>
        <w:t>地址：                                   邮编：</w:t>
      </w:r>
    </w:p>
    <w:p>
      <w:pPr>
        <w:ind w:left="795"/>
        <w:rPr>
          <w:rFonts w:ascii="宋体" w:hAnsi="Calibri"/>
          <w:sz w:val="24"/>
          <w:szCs w:val="24"/>
        </w:rPr>
      </w:pPr>
      <w:r>
        <w:rPr>
          <w:rFonts w:hint="eastAsia" w:ascii="宋体" w:hAnsi="Calibri"/>
          <w:sz w:val="24"/>
          <w:szCs w:val="24"/>
        </w:rPr>
        <w:t>电话：                                   传真：</w:t>
      </w:r>
    </w:p>
    <w:p>
      <w:pPr>
        <w:ind w:left="795"/>
        <w:rPr>
          <w:rFonts w:ascii="Calibri" w:hAnsi="Calibri"/>
          <w:sz w:val="24"/>
          <w:szCs w:val="24"/>
        </w:rPr>
      </w:pPr>
    </w:p>
    <w:p>
      <w:pPr>
        <w:ind w:left="795"/>
        <w:rPr>
          <w:rFonts w:ascii="Calibri" w:hAnsi="Calibri"/>
          <w:sz w:val="24"/>
          <w:szCs w:val="24"/>
        </w:rPr>
      </w:pPr>
    </w:p>
    <w:p>
      <w:pPr>
        <w:ind w:left="795"/>
        <w:rPr>
          <w:rFonts w:ascii="Calibri" w:hAnsi="Calibri"/>
          <w:sz w:val="24"/>
          <w:szCs w:val="24"/>
        </w:rPr>
      </w:pPr>
      <w:r>
        <w:rPr>
          <w:rFonts w:hint="eastAsia" w:ascii="Calibri" w:hAnsi="Calibri"/>
          <w:sz w:val="24"/>
          <w:szCs w:val="24"/>
        </w:rPr>
        <w:t>投标人授权代表签字：                 职务：                 日期：</w:t>
      </w:r>
    </w:p>
    <w:p>
      <w:pPr>
        <w:spacing w:line="480" w:lineRule="auto"/>
        <w:ind w:left="795"/>
        <w:rPr>
          <w:rFonts w:ascii="Calibri" w:hAnsi="Calibri"/>
          <w:sz w:val="24"/>
          <w:szCs w:val="24"/>
        </w:rPr>
      </w:pPr>
      <w:r>
        <w:rPr>
          <w:rFonts w:hint="eastAsia" w:ascii="Calibri" w:hAnsi="Calibri"/>
          <w:sz w:val="24"/>
          <w:szCs w:val="24"/>
        </w:rPr>
        <w:t>投标人名称（及公章）：</w:t>
      </w:r>
    </w:p>
    <w:p>
      <w:pPr>
        <w:ind w:left="795"/>
        <w:rPr>
          <w:rFonts w:ascii="Calibri" w:hAnsi="Calibri"/>
          <w:sz w:val="24"/>
          <w:szCs w:val="24"/>
        </w:rPr>
      </w:pPr>
      <w:r>
        <w:rPr>
          <w:rFonts w:hint="eastAsia" w:ascii="Calibri" w:hAnsi="Calibri"/>
          <w:sz w:val="24"/>
          <w:szCs w:val="24"/>
        </w:rPr>
        <w:t>日期：        年       月       日</w:t>
      </w:r>
    </w:p>
    <w:p>
      <w:pPr>
        <w:pStyle w:val="2"/>
        <w:ind w:firstLine="480" w:firstLineChars="200"/>
        <w:rPr>
          <w:rFonts w:hint="eastAsia" w:hAnsi="宋体" w:eastAsia="宋体" w:cs="Arial"/>
          <w:kern w:val="0"/>
          <w:szCs w:val="24"/>
        </w:rPr>
      </w:pPr>
    </w:p>
    <w:p>
      <w:pPr>
        <w:pStyle w:val="2"/>
        <w:ind w:firstLine="480" w:firstLineChars="200"/>
        <w:rPr>
          <w:rFonts w:hint="eastAsia" w:hAnsi="宋体" w:eastAsia="宋体" w:cs="Arial"/>
          <w:kern w:val="0"/>
          <w:szCs w:val="24"/>
        </w:rPr>
      </w:pPr>
    </w:p>
    <w:p>
      <w:pPr>
        <w:pStyle w:val="2"/>
        <w:ind w:firstLine="480" w:firstLineChars="200"/>
        <w:rPr>
          <w:rFonts w:hint="eastAsia" w:hAnsi="宋体" w:eastAsia="宋体" w:cs="Arial"/>
          <w:kern w:val="0"/>
          <w:szCs w:val="24"/>
        </w:rPr>
      </w:pPr>
    </w:p>
    <w:p>
      <w:pPr>
        <w:pStyle w:val="2"/>
        <w:ind w:firstLine="480" w:firstLineChars="200"/>
        <w:rPr>
          <w:rFonts w:hint="eastAsia" w:hAnsi="宋体" w:eastAsia="宋体" w:cs="Arial"/>
          <w:kern w:val="0"/>
          <w:szCs w:val="24"/>
        </w:rPr>
      </w:pPr>
    </w:p>
    <w:p>
      <w:pPr>
        <w:pStyle w:val="2"/>
        <w:ind w:firstLine="480" w:firstLineChars="200"/>
        <w:rPr>
          <w:rFonts w:hint="eastAsia" w:hAnsi="宋体" w:eastAsia="宋体" w:cs="Arial"/>
          <w:kern w:val="0"/>
          <w:szCs w:val="24"/>
        </w:rPr>
      </w:pPr>
    </w:p>
    <w:p>
      <w:pPr>
        <w:pStyle w:val="2"/>
        <w:ind w:firstLine="480" w:firstLineChars="200"/>
        <w:rPr>
          <w:rFonts w:hint="eastAsia" w:hAnsi="宋体" w:eastAsia="宋体" w:cs="Arial"/>
          <w:kern w:val="0"/>
          <w:szCs w:val="24"/>
        </w:rPr>
      </w:pPr>
    </w:p>
    <w:p>
      <w:pPr>
        <w:pStyle w:val="2"/>
        <w:rPr>
          <w:rFonts w:hint="eastAsia" w:hAnsi="宋体" w:eastAsia="宋体" w:cs="Arial"/>
          <w:kern w:val="0"/>
          <w:szCs w:val="24"/>
        </w:rPr>
      </w:pPr>
    </w:p>
    <w:p>
      <w:pPr>
        <w:spacing w:line="360" w:lineRule="auto"/>
        <w:rPr>
          <w:rFonts w:eastAsia="黑体"/>
          <w:b/>
          <w:bCs/>
          <w:color w:val="000000"/>
          <w:sz w:val="28"/>
          <w:szCs w:val="28"/>
        </w:rPr>
      </w:pPr>
    </w:p>
    <w:p>
      <w:pPr>
        <w:spacing w:line="360" w:lineRule="auto"/>
        <w:rPr>
          <w:rFonts w:hint="eastAsia" w:eastAsia="黑体"/>
          <w:b/>
          <w:bCs/>
          <w:color w:val="000000"/>
          <w:sz w:val="28"/>
          <w:szCs w:val="28"/>
        </w:rPr>
      </w:pPr>
    </w:p>
    <w:p>
      <w:pPr>
        <w:spacing w:line="360" w:lineRule="auto"/>
      </w:pPr>
      <w:r>
        <w:rPr>
          <w:rFonts w:hint="eastAsia" w:eastAsia="黑体"/>
          <w:b/>
          <w:bCs/>
          <w:color w:val="000000"/>
          <w:sz w:val="28"/>
          <w:szCs w:val="28"/>
        </w:rPr>
        <w:t>附件2</w:t>
      </w:r>
    </w:p>
    <w:p>
      <w:pPr>
        <w:spacing w:line="360" w:lineRule="auto"/>
        <w:jc w:val="center"/>
        <w:rPr>
          <w:rFonts w:eastAsia="黑体"/>
          <w:b/>
          <w:bCs/>
          <w:sz w:val="28"/>
        </w:rPr>
      </w:pPr>
      <w:r>
        <w:rPr>
          <w:rFonts w:hint="eastAsia" w:eastAsia="黑体"/>
          <w:b/>
          <w:bCs/>
          <w:sz w:val="28"/>
        </w:rPr>
        <w:t>法人授权委托书</w:t>
      </w:r>
    </w:p>
    <w:p>
      <w:pPr>
        <w:spacing w:line="360" w:lineRule="auto"/>
        <w:rPr>
          <w:rFonts w:hint="eastAsia" w:ascii="宋体" w:hAnsi="宋体" w:cs="宋体"/>
          <w:sz w:val="24"/>
          <w:szCs w:val="24"/>
          <w:u w:val="single"/>
        </w:rPr>
      </w:pPr>
      <w:r>
        <w:rPr>
          <w:rFonts w:hint="eastAsia" w:ascii="宋体" w:hAnsi="宋体" w:cs="宋体"/>
          <w:sz w:val="24"/>
          <w:szCs w:val="24"/>
        </w:rPr>
        <w:t>致</w:t>
      </w:r>
      <w:r>
        <w:rPr>
          <w:rFonts w:hint="eastAsia" w:ascii="宋体" w:hAnsi="宋体" w:cs="宋体"/>
          <w:sz w:val="24"/>
          <w:szCs w:val="24"/>
          <w:u w:val="single"/>
        </w:rPr>
        <w:t>（招标人名称）                            ：</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本授权委托书声明：我</w:t>
      </w:r>
      <w:r>
        <w:rPr>
          <w:rFonts w:hint="eastAsia" w:ascii="宋体" w:hAnsi="宋体" w:cs="宋体"/>
          <w:kern w:val="0"/>
          <w:sz w:val="24"/>
          <w:szCs w:val="24"/>
          <w:u w:val="single"/>
        </w:rPr>
        <w:t xml:space="preserve">（法人姓名）       </w:t>
      </w:r>
      <w:r>
        <w:rPr>
          <w:rFonts w:hint="eastAsia" w:ascii="宋体" w:hAnsi="宋体" w:cs="宋体"/>
          <w:kern w:val="0"/>
          <w:sz w:val="24"/>
          <w:szCs w:val="24"/>
        </w:rPr>
        <w:t>系</w:t>
      </w:r>
      <w:r>
        <w:rPr>
          <w:rFonts w:hint="eastAsia" w:ascii="宋体" w:hAnsi="宋体" w:cs="宋体"/>
          <w:sz w:val="24"/>
          <w:szCs w:val="24"/>
          <w:u w:val="single"/>
        </w:rPr>
        <w:t>（投标人名称）</w:t>
      </w:r>
      <w:r>
        <w:rPr>
          <w:rFonts w:hint="eastAsia" w:ascii="宋体" w:hAnsi="宋体" w:cs="宋体"/>
          <w:kern w:val="0"/>
          <w:sz w:val="24"/>
          <w:szCs w:val="24"/>
        </w:rPr>
        <w:t>的法定代表人，现授权委托</w:t>
      </w:r>
      <w:r>
        <w:rPr>
          <w:rFonts w:hint="eastAsia" w:ascii="宋体" w:hAnsi="宋体" w:cs="宋体"/>
          <w:sz w:val="24"/>
          <w:szCs w:val="24"/>
          <w:u w:val="single"/>
        </w:rPr>
        <w:t>（投标人名称）</w:t>
      </w:r>
      <w:r>
        <w:rPr>
          <w:rFonts w:hint="eastAsia" w:ascii="宋体" w:hAnsi="宋体" w:cs="宋体"/>
          <w:kern w:val="0"/>
          <w:sz w:val="24"/>
          <w:szCs w:val="24"/>
        </w:rPr>
        <w:t>的</w:t>
      </w:r>
      <w:r>
        <w:rPr>
          <w:rFonts w:hint="eastAsia" w:ascii="宋体" w:hAnsi="宋体" w:cs="宋体"/>
          <w:kern w:val="0"/>
          <w:sz w:val="24"/>
          <w:szCs w:val="24"/>
          <w:u w:val="single"/>
        </w:rPr>
        <w:t xml:space="preserve"> （授权委托代理人姓名）        </w:t>
      </w:r>
      <w:r>
        <w:rPr>
          <w:rFonts w:hint="eastAsia" w:ascii="宋体" w:hAnsi="宋体" w:cs="宋体"/>
          <w:kern w:val="0"/>
          <w:sz w:val="24"/>
          <w:szCs w:val="24"/>
        </w:rPr>
        <w:t>为我公司参加贵方组织的</w:t>
      </w:r>
      <w:r>
        <w:rPr>
          <w:rFonts w:hint="eastAsia" w:ascii="宋体" w:hAnsi="宋体" w:cs="宋体"/>
          <w:kern w:val="0"/>
          <w:sz w:val="24"/>
          <w:szCs w:val="24"/>
          <w:u w:val="single"/>
        </w:rPr>
        <w:t xml:space="preserve"> XX项目 </w:t>
      </w:r>
      <w:r>
        <w:rPr>
          <w:rFonts w:hint="eastAsia" w:ascii="宋体" w:hAnsi="宋体" w:cs="宋体"/>
          <w:kern w:val="0"/>
          <w:sz w:val="24"/>
          <w:szCs w:val="24"/>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委托期限：</w:t>
      </w:r>
      <w:r>
        <w:rPr>
          <w:rFonts w:hint="eastAsia" w:ascii="宋体" w:hAnsi="宋体" w:cs="宋体"/>
          <w:kern w:val="0"/>
          <w:sz w:val="24"/>
          <w:szCs w:val="24"/>
          <w:u w:val="single"/>
        </w:rPr>
        <w:t>20XX年X月X日至 20XX年X月X日</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代理人无转委托权，特此委托。</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代理人姓名：性别：年龄：</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身份证号码：职务：</w:t>
      </w: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投标人名称：（盖单位公章）</w:t>
      </w:r>
    </w:p>
    <w:p>
      <w:pPr>
        <w:spacing w:line="360" w:lineRule="auto"/>
        <w:ind w:firstLine="480" w:firstLineChars="200"/>
        <w:rPr>
          <w:rFonts w:hint="eastAsia" w:ascii="宋体" w:hAnsi="宋体" w:cs="宋体"/>
          <w:sz w:val="24"/>
          <w:szCs w:val="24"/>
        </w:rPr>
      </w:pPr>
      <w:r>
        <w:rPr>
          <w:rFonts w:hint="eastAsia" w:ascii="宋体" w:hAnsi="宋体" w:cs="宋体"/>
          <w:kern w:val="0"/>
          <w:sz w:val="24"/>
          <w:szCs w:val="24"/>
        </w:rPr>
        <w:t>法定代表人：（签字）</w:t>
      </w:r>
    </w:p>
    <w:p>
      <w:pPr>
        <w:spacing w:line="360" w:lineRule="auto"/>
        <w:ind w:firstLine="240" w:firstLineChars="100"/>
        <w:rPr>
          <w:rFonts w:hint="eastAsia" w:ascii="宋体" w:hAnsi="宋体" w:cs="宋体"/>
          <w:sz w:val="24"/>
          <w:szCs w:val="24"/>
        </w:rPr>
      </w:pPr>
      <w:r>
        <w:rPr>
          <w:rFonts w:hint="eastAsia" w:ascii="宋体" w:hAnsi="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2869565</wp:posOffset>
                </wp:positionH>
                <wp:positionV relativeFrom="paragraph">
                  <wp:posOffset>260350</wp:posOffset>
                </wp:positionV>
                <wp:extent cx="2716530" cy="1581150"/>
                <wp:effectExtent l="4445" t="4445" r="9525" b="1460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3021554" cy="1581374"/>
                        </a:xfrm>
                        <a:prstGeom prst="rect">
                          <a:avLst/>
                        </a:prstGeom>
                        <a:solidFill>
                          <a:srgbClr val="FFFFFF"/>
                        </a:solidFill>
                        <a:ln w="9525">
                          <a:solidFill>
                            <a:srgbClr val="000000"/>
                          </a:solidFill>
                          <a:miter lim="800000"/>
                        </a:ln>
                        <a:effectLst/>
                      </wps:spPr>
                      <wps:txbx>
                        <w:txbxContent>
                          <w:p/>
                          <w:p/>
                          <w:p>
                            <w:pPr>
                              <w:rPr>
                                <w:rFonts w:hint="eastAsia" w:ascii="宋体" w:hAnsi="宋体" w:cs="宋体"/>
                              </w:rPr>
                            </w:pPr>
                          </w:p>
                          <w:p>
                            <w:pPr>
                              <w:jc w:val="center"/>
                            </w:pPr>
                            <w:r>
                              <w:rPr>
                                <w:rFonts w:hint="eastAsia" w:ascii="宋体" w:hAnsi="宋体" w:cs="宋体"/>
                              </w:rPr>
                              <w:t>身份证正面复印件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5.95pt;margin-top:20.5pt;height:124.5pt;width:213.9pt;z-index:251662336;mso-width-relative:page;mso-height-relative:page;" fillcolor="#FFFFFF" filled="t" stroked="t" coordsize="21600,21600" o:gfxdata="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nR7RXZAAAACgEAAA8AAAAAAAAA&#10;AQAgAAAAIgAAAGRycy9kb3ducmV2LnhtbFBLAQIUABQAAAAIAIdO4kCoaGSbSQIAAJgEAAAOAAAA&#10;AAAAAAEAIAAAACgBAABkcnMvZTJvRG9jLnhtbFBLBQYAAAAABgAGAFkBAADjBQAAAAA=&#10;">
                <v:fill on="t" focussize="0,0"/>
                <v:stroke color="#000000" miterlimit="8" joinstyle="miter"/>
                <v:imagedata o:title=""/>
                <o:lock v:ext="edit" aspectratio="f"/>
                <v:textbox>
                  <w:txbxContent>
                    <w:p/>
                    <w:p/>
                    <w:p>
                      <w:pPr>
                        <w:rPr>
                          <w:rFonts w:hint="eastAsia" w:ascii="宋体" w:hAnsi="宋体" w:cs="宋体"/>
                        </w:rPr>
                      </w:pPr>
                    </w:p>
                    <w:p>
                      <w:pPr>
                        <w:jc w:val="center"/>
                      </w:pPr>
                      <w:r>
                        <w:rPr>
                          <w:rFonts w:hint="eastAsia" w:ascii="宋体" w:hAnsi="宋体" w:cs="宋体"/>
                        </w:rPr>
                        <w:t>身份证正面复印件</w:t>
                      </w:r>
                    </w:p>
                  </w:txbxContent>
                </v:textbox>
              </v:shape>
            </w:pict>
          </mc:Fallback>
        </mc:AlternateContent>
      </w:r>
      <w:r>
        <w:rPr>
          <w:rFonts w:hint="eastAsia" w:ascii="宋体" w:hAnsi="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-180975</wp:posOffset>
                </wp:positionH>
                <wp:positionV relativeFrom="paragraph">
                  <wp:posOffset>259080</wp:posOffset>
                </wp:positionV>
                <wp:extent cx="2880995" cy="1581150"/>
                <wp:effectExtent l="4445" t="5080" r="10160" b="1397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3010797" cy="1581375"/>
                        </a:xfrm>
                        <a:prstGeom prst="rect">
                          <a:avLst/>
                        </a:prstGeom>
                        <a:solidFill>
                          <a:srgbClr val="FFFFFF"/>
                        </a:solidFill>
                        <a:ln w="9525">
                          <a:solidFill>
                            <a:srgbClr val="000000"/>
                          </a:solidFill>
                          <a:miter lim="800000"/>
                        </a:ln>
                        <a:effectLst/>
                      </wps:spPr>
                      <wps:txbx>
                        <w:txbxContent>
                          <w:p>
                            <w:pPr>
                              <w:ind w:firstLine="630" w:firstLineChars="300"/>
                            </w:pPr>
                          </w:p>
                          <w:p>
                            <w:pPr>
                              <w:ind w:firstLine="630" w:firstLineChars="300"/>
                            </w:pPr>
                          </w:p>
                          <w:p>
                            <w:pPr>
                              <w:rPr>
                                <w:rFonts w:hint="eastAsia" w:ascii="宋体" w:hAnsi="宋体" w:cs="宋体"/>
                              </w:rPr>
                            </w:pPr>
                          </w:p>
                          <w:p>
                            <w:pPr>
                              <w:jc w:val="center"/>
                            </w:pPr>
                            <w:r>
                              <w:rPr>
                                <w:rFonts w:hint="eastAsia" w:ascii="宋体" w:hAnsi="宋体" w:cs="宋体"/>
                              </w:rPr>
                              <w:t>身份证正面复印件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25pt;margin-top:20.4pt;height:124.5pt;width:226.85pt;z-index:251661312;mso-width-relative:page;mso-height-relative:page;" fillcolor="#FFFFFF" filled="t" stroked="t" coordsize="21600,21600" o:gfxdata="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wccD7ZAAAACgEAAA8AAAAAAAAA&#10;AQAgAAAAIgAAAGRycy9kb3ducmV2LnhtbFBLAQIUABQAAAAIAIdO4kDa3eWKSQIAAJgEAAAOAAAA&#10;AAAAAAEAIAAAACgBAABkcnMvZTJvRG9jLnhtbFBLBQYAAAAABgAGAFkBAADjBQAAAAA=&#10;">
                <v:fill on="t" focussize="0,0"/>
                <v:stroke color="#000000" miterlimit="8" joinstyle="miter"/>
                <v:imagedata o:title=""/>
                <o:lock v:ext="edit" aspectratio="f"/>
                <v:textbox>
                  <w:txbxContent>
                    <w:p>
                      <w:pPr>
                        <w:ind w:firstLine="630" w:firstLineChars="300"/>
                      </w:pPr>
                    </w:p>
                    <w:p>
                      <w:pPr>
                        <w:ind w:firstLine="630" w:firstLineChars="300"/>
                      </w:pPr>
                    </w:p>
                    <w:p>
                      <w:pPr>
                        <w:rPr>
                          <w:rFonts w:hint="eastAsia" w:ascii="宋体" w:hAnsi="宋体" w:cs="宋体"/>
                        </w:rPr>
                      </w:pPr>
                    </w:p>
                    <w:p>
                      <w:pPr>
                        <w:jc w:val="center"/>
                      </w:pPr>
                      <w:r>
                        <w:rPr>
                          <w:rFonts w:hint="eastAsia" w:ascii="宋体" w:hAnsi="宋体" w:cs="宋体"/>
                        </w:rPr>
                        <w:t>身份证正面复印件</w:t>
                      </w:r>
                    </w:p>
                  </w:txbxContent>
                </v:textbox>
              </v:shape>
            </w:pict>
          </mc:Fallback>
        </mc:AlternateContent>
      </w:r>
      <w:r>
        <w:rPr>
          <w:rFonts w:hint="eastAsia" w:ascii="宋体" w:hAnsi="宋体" w:cs="宋体"/>
          <w:sz w:val="24"/>
          <w:szCs w:val="24"/>
        </w:rPr>
        <w:t xml:space="preserve"> 授权人身份证正反面复印件：</w:t>
      </w:r>
    </w:p>
    <w:p>
      <w:pPr>
        <w:spacing w:line="360" w:lineRule="auto"/>
        <w:ind w:firstLine="600"/>
        <w:rPr>
          <w:rFonts w:hint="eastAsia" w:ascii="宋体" w:hAnsi="宋体" w:cs="宋体"/>
          <w:sz w:val="24"/>
          <w:szCs w:val="24"/>
        </w:rPr>
      </w:pPr>
    </w:p>
    <w:p>
      <w:pPr>
        <w:widowControl/>
        <w:spacing w:line="360" w:lineRule="auto"/>
        <w:jc w:val="left"/>
        <w:rPr>
          <w:rFonts w:hint="eastAsia" w:ascii="宋体" w:hAnsi="宋体" w:cs="宋体"/>
          <w:color w:val="000000"/>
          <w:kern w:val="0"/>
          <w:sz w:val="24"/>
          <w:szCs w:val="24"/>
        </w:rPr>
      </w:pPr>
    </w:p>
    <w:p>
      <w:pPr>
        <w:spacing w:line="360" w:lineRule="auto"/>
        <w:rPr>
          <w:rFonts w:hint="eastAsia" w:ascii="宋体" w:hAnsi="宋体" w:cs="宋体"/>
          <w:sz w:val="24"/>
          <w:szCs w:val="24"/>
        </w:rPr>
      </w:pPr>
    </w:p>
    <w:p>
      <w:pPr>
        <w:spacing w:line="360" w:lineRule="auto"/>
        <w:ind w:left="472" w:right="69" w:rightChars="33" w:hanging="472" w:hangingChars="196"/>
        <w:rPr>
          <w:rFonts w:hint="eastAsia" w:ascii="宋体" w:hAnsi="宋体" w:cs="宋体"/>
          <w:b/>
          <w:sz w:val="24"/>
          <w:szCs w:val="24"/>
        </w:rPr>
      </w:pPr>
    </w:p>
    <w:p>
      <w:pPr>
        <w:pStyle w:val="20"/>
        <w:spacing w:line="360" w:lineRule="auto"/>
        <w:rPr>
          <w:rFonts w:hint="eastAsia" w:ascii="宋体" w:hAnsi="宋体" w:cs="宋体"/>
          <w:b/>
          <w:szCs w:val="24"/>
        </w:rPr>
      </w:pPr>
    </w:p>
    <w:p>
      <w:pPr>
        <w:spacing w:line="360" w:lineRule="auto"/>
        <w:rPr>
          <w:rFonts w:hint="eastAsia" w:ascii="宋体" w:hAnsi="宋体" w:cs="宋体"/>
          <w:sz w:val="24"/>
          <w:szCs w:val="24"/>
        </w:rPr>
      </w:pPr>
      <w:r>
        <w:rPr>
          <w:rFonts w:hint="eastAsia" w:ascii="宋体" w:hAnsi="宋体" w:cs="宋体"/>
          <w:sz w:val="24"/>
          <w:szCs w:val="24"/>
        </w:rPr>
        <mc:AlternateContent>
          <mc:Choice Requires="wps">
            <w:drawing>
              <wp:anchor distT="0" distB="0" distL="114300" distR="114300" simplePos="0" relativeHeight="251663360" behindDoc="0" locked="0" layoutInCell="1" allowOverlap="1">
                <wp:simplePos x="0" y="0"/>
                <wp:positionH relativeFrom="column">
                  <wp:posOffset>-175260</wp:posOffset>
                </wp:positionH>
                <wp:positionV relativeFrom="paragraph">
                  <wp:posOffset>245110</wp:posOffset>
                </wp:positionV>
                <wp:extent cx="2795905" cy="1624330"/>
                <wp:effectExtent l="4445" t="4445" r="6350" b="9525"/>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3053827" cy="1624404"/>
                        </a:xfrm>
                        <a:prstGeom prst="rect">
                          <a:avLst/>
                        </a:prstGeom>
                        <a:solidFill>
                          <a:srgbClr val="FFFFFF"/>
                        </a:solidFill>
                        <a:ln w="9525">
                          <a:solidFill>
                            <a:srgbClr val="000000"/>
                          </a:solidFill>
                          <a:miter lim="800000"/>
                        </a:ln>
                        <a:effectLst/>
                      </wps:spPr>
                      <wps:txbx>
                        <w:txbxContent>
                          <w:p>
                            <w:pPr>
                              <w:ind w:firstLine="630" w:firstLineChars="300"/>
                            </w:pPr>
                          </w:p>
                          <w:p>
                            <w:pPr>
                              <w:ind w:firstLine="630" w:firstLineChars="300"/>
                            </w:pPr>
                          </w:p>
                          <w:p>
                            <w:pPr>
                              <w:ind w:firstLine="630" w:firstLineChars="300"/>
                            </w:pPr>
                          </w:p>
                          <w:p>
                            <w:pPr>
                              <w:jc w:val="center"/>
                            </w:pPr>
                            <w:r>
                              <w:rPr>
                                <w:rFonts w:hint="eastAsia" w:ascii="宋体" w:hAnsi="宋体" w:cs="宋体"/>
                              </w:rPr>
                              <w:t>身份证正面复印件</w:t>
                            </w:r>
                          </w:p>
                          <w:p>
                            <w:pPr>
                              <w:ind w:firstLine="840" w:firstLineChars="400"/>
                            </w:pPr>
                            <w:r>
                              <w:rPr>
                                <w:rFonts w:hint="eastAsia"/>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8pt;margin-top:19.3pt;height:127.9pt;width:220.15pt;z-index:251663360;mso-width-relative:page;mso-height-relative:page;" fillcolor="#FFFFFF" filled="t" stroked="t" coordsize="21600,21600" o:gfxdata="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ds0eNoAAAAKAQAADwAAAAAA&#10;AAABACAAAAAiAAAAZHJzL2Rvd25yZXYueG1sUEsBAhQAFAAAAAgAh07iQJXrRGJKAgAAmAQAAA4A&#10;AAAAAAAAAQAgAAAAKQEAAGRycy9lMm9Eb2MueG1sUEsFBgAAAAAGAAYAWQEAAOUFAAAAAA==&#10;">
                <v:fill on="t" focussize="0,0"/>
                <v:stroke color="#000000" miterlimit="8" joinstyle="miter"/>
                <v:imagedata o:title=""/>
                <o:lock v:ext="edit" aspectratio="f"/>
                <v:textbox>
                  <w:txbxContent>
                    <w:p>
                      <w:pPr>
                        <w:ind w:firstLine="630" w:firstLineChars="300"/>
                      </w:pPr>
                    </w:p>
                    <w:p>
                      <w:pPr>
                        <w:ind w:firstLine="630" w:firstLineChars="300"/>
                      </w:pPr>
                    </w:p>
                    <w:p>
                      <w:pPr>
                        <w:ind w:firstLine="630" w:firstLineChars="300"/>
                      </w:pPr>
                    </w:p>
                    <w:p>
                      <w:pPr>
                        <w:jc w:val="center"/>
                      </w:pPr>
                      <w:r>
                        <w:rPr>
                          <w:rFonts w:hint="eastAsia" w:ascii="宋体" w:hAnsi="宋体" w:cs="宋体"/>
                        </w:rPr>
                        <w:t>身份证正面复印件</w:t>
                      </w:r>
                    </w:p>
                    <w:p>
                      <w:pPr>
                        <w:ind w:firstLine="840" w:firstLineChars="400"/>
                      </w:pPr>
                      <w:r>
                        <w:rPr>
                          <w:rFonts w:hint="eastAsia"/>
                        </w:rPr>
                        <w:t xml:space="preserve">                                         </w:t>
                      </w:r>
                    </w:p>
                  </w:txbxContent>
                </v:textbox>
              </v:shape>
            </w:pict>
          </mc:Fallback>
        </mc:AlternateContent>
      </w:r>
      <w:r>
        <w:rPr>
          <w:rFonts w:hint="eastAsia" w:ascii="宋体" w:hAnsi="宋体" w:cs="宋体"/>
          <w:sz w:val="24"/>
          <w:szCs w:val="24"/>
        </w:rPr>
        <mc:AlternateContent>
          <mc:Choice Requires="wps">
            <w:drawing>
              <wp:anchor distT="0" distB="0" distL="114300" distR="114300" simplePos="0" relativeHeight="251664384" behindDoc="0" locked="0" layoutInCell="1" allowOverlap="1">
                <wp:simplePos x="0" y="0"/>
                <wp:positionH relativeFrom="column">
                  <wp:posOffset>2856230</wp:posOffset>
                </wp:positionH>
                <wp:positionV relativeFrom="paragraph">
                  <wp:posOffset>264160</wp:posOffset>
                </wp:positionV>
                <wp:extent cx="2713355" cy="1581150"/>
                <wp:effectExtent l="4445" t="4445" r="12700" b="14605"/>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3010797" cy="1581375"/>
                        </a:xfrm>
                        <a:prstGeom prst="rect">
                          <a:avLst/>
                        </a:prstGeom>
                        <a:solidFill>
                          <a:srgbClr val="FFFFFF"/>
                        </a:solidFill>
                        <a:ln w="9525">
                          <a:solidFill>
                            <a:srgbClr val="000000"/>
                          </a:solidFill>
                          <a:miter lim="800000"/>
                        </a:ln>
                        <a:effectLst/>
                      </wps:spPr>
                      <wps:txbx>
                        <w:txbxContent>
                          <w:p>
                            <w:pPr>
                              <w:ind w:firstLine="630" w:firstLineChars="300"/>
                            </w:pPr>
                          </w:p>
                          <w:p>
                            <w:pPr>
                              <w:ind w:firstLine="630" w:firstLineChars="300"/>
                            </w:pPr>
                          </w:p>
                          <w:p>
                            <w:pPr>
                              <w:ind w:firstLine="630" w:firstLineChars="300"/>
                            </w:pPr>
                          </w:p>
                          <w:p>
                            <w:pPr>
                              <w:jc w:val="center"/>
                            </w:pPr>
                            <w:r>
                              <w:rPr>
                                <w:rFonts w:hint="eastAsia" w:ascii="宋体" w:hAnsi="宋体" w:cs="宋体"/>
                              </w:rPr>
                              <w:t>身份证正面复印件</w:t>
                            </w:r>
                          </w:p>
                          <w:p>
                            <w:pPr>
                              <w:ind w:firstLine="840" w:firstLineChars="400"/>
                            </w:pPr>
                            <w:r>
                              <w:rPr>
                                <w:rFonts w:hint="eastAsia"/>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4.9pt;margin-top:20.8pt;height:124.5pt;width:213.65pt;z-index:251664384;mso-width-relative:page;mso-height-relative:page;" fillcolor="#FFFFFF" filled="t" stroked="t" coordsize="21600,21600" o:gfxdata="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xMs4TZAAAACgEAAA8AAAAAAAAA&#10;AQAgAAAAIgAAAGRycy9kb3ducmV2LnhtbFBLAQIUABQAAAAIAIdO4kALoPuJSQIAAJgEAAAOAAAA&#10;AAAAAAEAIAAAACgBAABkcnMvZTJvRG9jLnhtbFBLBQYAAAAABgAGAFkBAADjBQAAAAA=&#10;">
                <v:fill on="t" focussize="0,0"/>
                <v:stroke color="#000000" miterlimit="8" joinstyle="miter"/>
                <v:imagedata o:title=""/>
                <o:lock v:ext="edit" aspectratio="f"/>
                <v:textbox>
                  <w:txbxContent>
                    <w:p>
                      <w:pPr>
                        <w:ind w:firstLine="630" w:firstLineChars="300"/>
                      </w:pPr>
                    </w:p>
                    <w:p>
                      <w:pPr>
                        <w:ind w:firstLine="630" w:firstLineChars="300"/>
                      </w:pPr>
                    </w:p>
                    <w:p>
                      <w:pPr>
                        <w:ind w:firstLine="630" w:firstLineChars="300"/>
                      </w:pPr>
                    </w:p>
                    <w:p>
                      <w:pPr>
                        <w:jc w:val="center"/>
                      </w:pPr>
                      <w:r>
                        <w:rPr>
                          <w:rFonts w:hint="eastAsia" w:ascii="宋体" w:hAnsi="宋体" w:cs="宋体"/>
                        </w:rPr>
                        <w:t>身份证正面复印件</w:t>
                      </w:r>
                    </w:p>
                    <w:p>
                      <w:pPr>
                        <w:ind w:firstLine="840" w:firstLineChars="400"/>
                      </w:pPr>
                      <w:r>
                        <w:rPr>
                          <w:rFonts w:hint="eastAsia"/>
                        </w:rPr>
                        <w:t xml:space="preserve">                                         </w:t>
                      </w:r>
                    </w:p>
                  </w:txbxContent>
                </v:textbox>
              </v:shape>
            </w:pict>
          </mc:Fallback>
        </mc:AlternateContent>
      </w:r>
      <w:r>
        <w:rPr>
          <w:rFonts w:hint="eastAsia" w:ascii="宋体" w:hAnsi="宋体" w:cs="宋体"/>
          <w:sz w:val="24"/>
          <w:szCs w:val="24"/>
        </w:rPr>
        <w:t>被授权人身份证正反面复印件：</w:t>
      </w:r>
    </w:p>
    <w:p>
      <w:pPr>
        <w:pStyle w:val="57"/>
        <w:spacing w:line="360" w:lineRule="auto"/>
        <w:rPr>
          <w:rFonts w:hint="eastAsia" w:ascii="宋体" w:hAnsi="宋体" w:cs="宋体"/>
          <w:b/>
        </w:rPr>
      </w:pPr>
    </w:p>
    <w:p>
      <w:pPr>
        <w:pStyle w:val="57"/>
        <w:spacing w:line="360" w:lineRule="auto"/>
        <w:rPr>
          <w:rFonts w:hint="eastAsia" w:ascii="宋体" w:hAnsi="宋体" w:cs="宋体"/>
          <w:b/>
        </w:rPr>
      </w:pPr>
    </w:p>
    <w:p>
      <w:pPr>
        <w:pStyle w:val="57"/>
        <w:spacing w:line="360" w:lineRule="auto"/>
        <w:rPr>
          <w:rFonts w:hint="eastAsia" w:ascii="宋体" w:hAnsi="宋体" w:cs="宋体"/>
          <w:b/>
        </w:rPr>
      </w:pPr>
    </w:p>
    <w:p>
      <w:pPr>
        <w:pStyle w:val="57"/>
        <w:spacing w:line="360" w:lineRule="auto"/>
        <w:rPr>
          <w:rFonts w:hint="eastAsia" w:ascii="宋体" w:hAnsi="宋体" w:cs="宋体"/>
          <w:b/>
        </w:rPr>
      </w:pPr>
    </w:p>
    <w:p>
      <w:pPr>
        <w:spacing w:line="360" w:lineRule="auto"/>
        <w:rPr>
          <w:rFonts w:hint="eastAsia" w:ascii="宋体" w:hAnsi="宋体" w:cs="宋体"/>
          <w:sz w:val="24"/>
          <w:szCs w:val="24"/>
        </w:rPr>
      </w:pPr>
      <w:r>
        <w:rPr>
          <w:rFonts w:hint="eastAsia" w:ascii="宋体" w:hAnsi="宋体" w:cs="宋体"/>
          <w:sz w:val="24"/>
          <w:szCs w:val="24"/>
        </w:rPr>
        <w:t xml:space="preserve">附件3                                             </w:t>
      </w:r>
    </w:p>
    <w:p>
      <w:pPr>
        <w:spacing w:line="360" w:lineRule="auto"/>
        <w:ind w:firstLine="5320" w:firstLineChars="1900"/>
        <w:rPr>
          <w:rFonts w:eastAsia="仿宋_GB2312"/>
          <w:sz w:val="28"/>
          <w:szCs w:val="28"/>
        </w:rPr>
      </w:pPr>
      <w:r>
        <w:rPr>
          <w:rFonts w:eastAsia="仿宋_GB2312"/>
          <w:sz w:val="28"/>
          <w:szCs w:val="28"/>
        </w:rPr>
        <w:t>日期：</w:t>
      </w:r>
      <w:r>
        <w:rPr>
          <w:rFonts w:hint="eastAsia" w:eastAsia="仿宋_GB2312"/>
          <w:sz w:val="28"/>
          <w:szCs w:val="28"/>
        </w:rPr>
        <w:t>2025</w:t>
      </w:r>
      <w:r>
        <w:rPr>
          <w:rFonts w:eastAsia="仿宋_GB2312"/>
          <w:sz w:val="28"/>
          <w:szCs w:val="28"/>
        </w:rPr>
        <w:t xml:space="preserve"> 年  月  日</w:t>
      </w:r>
    </w:p>
    <w:p>
      <w:pPr>
        <w:spacing w:line="360" w:lineRule="auto"/>
        <w:ind w:firstLine="5320" w:firstLineChars="1900"/>
        <w:rPr>
          <w:rFonts w:eastAsia="仿宋_GB2312"/>
          <w:sz w:val="28"/>
          <w:szCs w:val="28"/>
        </w:rPr>
      </w:pPr>
    </w:p>
    <w:p>
      <w:pPr>
        <w:spacing w:line="360" w:lineRule="auto"/>
        <w:jc w:val="left"/>
        <w:rPr>
          <w:rFonts w:hint="eastAsia" w:ascii="宋体" w:hAnsi="宋体"/>
          <w:b/>
          <w:bCs/>
          <w:sz w:val="28"/>
        </w:rPr>
      </w:pPr>
      <w:r>
        <w:rPr>
          <w:rFonts w:hint="eastAsia" w:ascii="宋体" w:hAnsi="宋体"/>
          <w:b/>
          <w:bCs/>
          <w:sz w:val="28"/>
        </w:rPr>
        <w:t>附件3</w:t>
      </w:r>
    </w:p>
    <w:p>
      <w:pPr>
        <w:spacing w:line="360" w:lineRule="auto"/>
        <w:rPr>
          <w:rFonts w:hint="eastAsia" w:ascii="宋体" w:hAnsi="宋体"/>
          <w:b/>
          <w:bCs/>
          <w:sz w:val="28"/>
          <w:szCs w:val="24"/>
        </w:rPr>
      </w:pPr>
      <w:r>
        <w:rPr>
          <w:rFonts w:hint="eastAsia" w:ascii="宋体" w:hAnsi="宋体"/>
          <w:b/>
          <w:bCs/>
          <w:color w:val="FF0000"/>
          <w:sz w:val="28"/>
          <w:szCs w:val="24"/>
        </w:rPr>
        <w:t>《开标一览表》单独封存，以备唱标使用</w:t>
      </w:r>
    </w:p>
    <w:p>
      <w:pPr>
        <w:keepNext/>
        <w:keepLines/>
        <w:jc w:val="center"/>
        <w:outlineLvl w:val="1"/>
        <w:rPr>
          <w:rFonts w:hint="eastAsia" w:ascii="黑体" w:hAnsi="黑体" w:eastAsia="黑体" w:cs="黑体"/>
          <w:b/>
          <w:bCs/>
          <w:sz w:val="28"/>
          <w:szCs w:val="32"/>
        </w:rPr>
      </w:pPr>
      <w:r>
        <w:rPr>
          <w:rFonts w:hint="eastAsia" w:ascii="黑体" w:hAnsi="黑体" w:eastAsia="黑体" w:cs="黑体"/>
          <w:b/>
          <w:bCs/>
          <w:sz w:val="28"/>
          <w:szCs w:val="32"/>
        </w:rPr>
        <w:t>开标一览表</w:t>
      </w:r>
    </w:p>
    <w:p>
      <w:pPr>
        <w:pStyle w:val="4"/>
        <w:adjustRightInd/>
        <w:spacing w:before="0" w:after="0" w:line="360" w:lineRule="auto"/>
        <w:textAlignment w:val="auto"/>
        <w:rPr>
          <w:rFonts w:hint="eastAsia" w:ascii="宋体" w:hAnsi="宋体"/>
          <w:b w:val="0"/>
          <w:sz w:val="24"/>
          <w:szCs w:val="24"/>
        </w:rPr>
      </w:pPr>
      <w:r>
        <w:rPr>
          <w:rFonts w:hint="eastAsia" w:ascii="宋体" w:hAnsi="宋体"/>
          <w:b w:val="0"/>
          <w:sz w:val="24"/>
          <w:szCs w:val="24"/>
        </w:rPr>
        <w:t>投标总报价（</w:t>
      </w:r>
      <w:r>
        <w:rPr>
          <w:rFonts w:hint="eastAsia" w:ascii="宋体" w:hAnsi="宋体"/>
          <w:b w:val="0"/>
          <w:sz w:val="24"/>
          <w:szCs w:val="24"/>
          <w:lang w:val="en-US"/>
        </w:rPr>
        <w:t>气、水合计</w:t>
      </w:r>
      <w:r>
        <w:rPr>
          <w:rFonts w:hint="eastAsia" w:ascii="宋体" w:hAnsi="宋体"/>
          <w:b w:val="0"/>
          <w:sz w:val="24"/>
          <w:szCs w:val="24"/>
        </w:rPr>
        <w:t>）：（含税），税率。</w:t>
      </w:r>
    </w:p>
    <w:p>
      <w:pPr>
        <w:spacing w:line="360" w:lineRule="auto"/>
        <w:rPr>
          <w:rFonts w:eastAsiaTheme="minorEastAsia"/>
        </w:rPr>
      </w:pPr>
      <w:r>
        <w:rPr>
          <w:rFonts w:hint="eastAsia"/>
          <w:sz w:val="24"/>
          <w:szCs w:val="24"/>
        </w:rPr>
        <w:t>对应招标内容分项报价：</w:t>
      </w:r>
    </w:p>
    <w:tbl>
      <w:tblPr>
        <w:tblStyle w:val="48"/>
        <w:tblW w:w="10504" w:type="dxa"/>
        <w:jc w:val="center"/>
        <w:tblLayout w:type="fixed"/>
        <w:tblCellMar>
          <w:top w:w="0" w:type="dxa"/>
          <w:left w:w="108" w:type="dxa"/>
          <w:bottom w:w="0" w:type="dxa"/>
          <w:right w:w="108" w:type="dxa"/>
        </w:tblCellMar>
      </w:tblPr>
      <w:tblGrid>
        <w:gridCol w:w="654"/>
        <w:gridCol w:w="508"/>
        <w:gridCol w:w="900"/>
        <w:gridCol w:w="1415"/>
        <w:gridCol w:w="2127"/>
        <w:gridCol w:w="1177"/>
        <w:gridCol w:w="1270"/>
        <w:gridCol w:w="1234"/>
        <w:gridCol w:w="1219"/>
      </w:tblGrid>
      <w:tr>
        <w:tblPrEx>
          <w:tblCellMar>
            <w:top w:w="0" w:type="dxa"/>
            <w:left w:w="108" w:type="dxa"/>
            <w:bottom w:w="0" w:type="dxa"/>
            <w:right w:w="108" w:type="dxa"/>
          </w:tblCellMar>
        </w:tblPrEx>
        <w:trPr>
          <w:trHeight w:val="633" w:hRule="atLeast"/>
          <w:jc w:val="center"/>
        </w:trPr>
        <w:tc>
          <w:tcPr>
            <w:tcW w:w="10504" w:type="dxa"/>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黑体" w:eastAsia="黑体" w:cs="黑体"/>
                <w:b/>
                <w:bCs/>
                <w:sz w:val="28"/>
                <w:szCs w:val="28"/>
              </w:rPr>
              <w:t>一、VOC运维报价分表</w:t>
            </w:r>
          </w:p>
        </w:tc>
      </w:tr>
      <w:tr>
        <w:tblPrEx>
          <w:tblCellMar>
            <w:top w:w="0" w:type="dxa"/>
            <w:left w:w="108" w:type="dxa"/>
            <w:bottom w:w="0" w:type="dxa"/>
            <w:right w:w="108" w:type="dxa"/>
          </w:tblCellMar>
        </w:tblPrEx>
        <w:trPr>
          <w:trHeight w:val="633"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sz w:val="24"/>
              </w:rPr>
            </w:pPr>
            <w:r>
              <w:rPr>
                <w:rFonts w:hint="eastAsia" w:ascii="黑体" w:hAnsi="宋体" w:eastAsia="黑体" w:cs="黑体"/>
                <w:kern w:val="0"/>
                <w:sz w:val="24"/>
                <w:lang w:bidi="ar"/>
              </w:rPr>
              <w:t>序号</w:t>
            </w:r>
          </w:p>
        </w:tc>
        <w:tc>
          <w:tcPr>
            <w:tcW w:w="495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项目名称</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计量单位</w:t>
            </w:r>
          </w:p>
        </w:tc>
        <w:tc>
          <w:tcPr>
            <w:tcW w:w="12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预计数量</w:t>
            </w:r>
          </w:p>
        </w:tc>
        <w:tc>
          <w:tcPr>
            <w:tcW w:w="12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未税单价（元）</w:t>
            </w:r>
          </w:p>
        </w:tc>
        <w:tc>
          <w:tcPr>
            <w:tcW w:w="12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未税总价（元）</w:t>
            </w:r>
          </w:p>
        </w:tc>
      </w:tr>
      <w:tr>
        <w:tblPrEx>
          <w:tblCellMar>
            <w:top w:w="0" w:type="dxa"/>
            <w:left w:w="108" w:type="dxa"/>
            <w:bottom w:w="0" w:type="dxa"/>
            <w:right w:w="108" w:type="dxa"/>
          </w:tblCellMar>
        </w:tblPrEx>
        <w:trPr>
          <w:trHeight w:val="454"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eastAsiaTheme="minorEastAsia"/>
                <w:b/>
                <w:bCs/>
                <w:sz w:val="24"/>
              </w:rPr>
            </w:pPr>
            <w:r>
              <w:rPr>
                <w:rFonts w:hint="eastAsia" w:ascii="宋体" w:hAnsi="宋体" w:cs="宋体"/>
                <w:b/>
                <w:bCs/>
                <w:sz w:val="24"/>
              </w:rPr>
              <w:t>1</w:t>
            </w:r>
          </w:p>
        </w:tc>
        <w:tc>
          <w:tcPr>
            <w:tcW w:w="4950"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b/>
                <w:bCs/>
                <w:kern w:val="0"/>
                <w:sz w:val="24"/>
                <w:lang w:bidi="ar"/>
              </w:rPr>
              <w:t>验收</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443"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1.1</w:t>
            </w:r>
          </w:p>
        </w:tc>
        <w:tc>
          <w:tcPr>
            <w:tcW w:w="4950"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kern w:val="0"/>
                <w:sz w:val="24"/>
                <w:lang w:bidi="ar"/>
              </w:rPr>
              <w:t>调试</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sz w:val="24"/>
                <w:szCs w:val="24"/>
              </w:rPr>
              <w:t>次</w:t>
            </w:r>
          </w:p>
        </w:tc>
        <w:tc>
          <w:tcPr>
            <w:tcW w:w="1270"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sz w:val="24"/>
                <w:szCs w:val="24"/>
              </w:rPr>
              <w:t>按实际情况足量直到验收</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p>
        </w:tc>
      </w:tr>
      <w:tr>
        <w:tblPrEx>
          <w:tblCellMar>
            <w:top w:w="0" w:type="dxa"/>
            <w:left w:w="108" w:type="dxa"/>
            <w:bottom w:w="0" w:type="dxa"/>
            <w:right w:w="108" w:type="dxa"/>
          </w:tblCellMar>
        </w:tblPrEx>
        <w:trPr>
          <w:trHeight w:val="443"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1.2</w:t>
            </w:r>
          </w:p>
        </w:tc>
        <w:tc>
          <w:tcPr>
            <w:tcW w:w="4950"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比对</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次</w:t>
            </w:r>
          </w:p>
        </w:tc>
        <w:tc>
          <w:tcPr>
            <w:tcW w:w="1270"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430"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1.3</w:t>
            </w:r>
          </w:p>
        </w:tc>
        <w:tc>
          <w:tcPr>
            <w:tcW w:w="4950"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kern w:val="0"/>
                <w:sz w:val="24"/>
                <w:lang w:bidi="ar"/>
              </w:rPr>
              <w:t>专家费</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sz w:val="24"/>
                <w:szCs w:val="24"/>
              </w:rPr>
              <w:t>人</w:t>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sz w:val="24"/>
                <w:szCs w:val="24"/>
              </w:rPr>
              <w:t>3-5</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000000"/>
                <w:sz w:val="24"/>
                <w:szCs w:val="24"/>
              </w:rPr>
            </w:pPr>
          </w:p>
        </w:tc>
      </w:tr>
      <w:tr>
        <w:tblPrEx>
          <w:tblCellMar>
            <w:top w:w="0" w:type="dxa"/>
            <w:left w:w="108" w:type="dxa"/>
            <w:bottom w:w="0" w:type="dxa"/>
            <w:right w:w="108" w:type="dxa"/>
          </w:tblCellMar>
        </w:tblPrEx>
        <w:trPr>
          <w:trHeight w:val="544"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eastAsiaTheme="minorEastAsia"/>
                <w:b/>
                <w:bCs/>
                <w:sz w:val="24"/>
              </w:rPr>
            </w:pPr>
            <w:r>
              <w:rPr>
                <w:rFonts w:hint="eastAsia" w:ascii="宋体" w:hAnsi="宋体" w:cs="宋体"/>
                <w:b/>
                <w:bCs/>
                <w:sz w:val="24"/>
              </w:rPr>
              <w:t>2</w:t>
            </w:r>
          </w:p>
        </w:tc>
        <w:tc>
          <w:tcPr>
            <w:tcW w:w="4950"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b/>
                <w:bCs/>
                <w:kern w:val="0"/>
                <w:sz w:val="24"/>
                <w:lang w:bidi="ar"/>
              </w:rPr>
              <w:t>运维</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98" w:hRule="atLeast"/>
          <w:jc w:val="center"/>
        </w:trPr>
        <w:tc>
          <w:tcPr>
            <w:tcW w:w="654" w:type="dxa"/>
            <w:vMerge w:val="restart"/>
            <w:tcBorders>
              <w:top w:val="single" w:color="000000" w:sz="4" w:space="0"/>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2.1</w:t>
            </w:r>
          </w:p>
        </w:tc>
        <w:tc>
          <w:tcPr>
            <w:tcW w:w="508"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耗材费</w:t>
            </w:r>
          </w:p>
        </w:tc>
        <w:tc>
          <w:tcPr>
            <w:tcW w:w="444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纯净水</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1270"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全年足量使用</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98" w:hRule="atLeast"/>
          <w:jc w:val="center"/>
        </w:trPr>
        <w:tc>
          <w:tcPr>
            <w:tcW w:w="654" w:type="dxa"/>
            <w:vMerge w:val="continue"/>
            <w:tcBorders>
              <w:left w:val="single" w:color="000000" w:sz="4" w:space="0"/>
              <w:right w:val="single" w:color="000000" w:sz="4" w:space="0"/>
            </w:tcBorders>
            <w:shd w:val="clear" w:color="FFFFFF" w:fill="FFFFFF"/>
            <w:vAlign w:val="center"/>
          </w:tcPr>
          <w:p>
            <w:pPr>
              <w:widowControl/>
              <w:jc w:val="center"/>
              <w:textAlignment w:val="center"/>
            </w:pPr>
          </w:p>
        </w:tc>
        <w:tc>
          <w:tcPr>
            <w:tcW w:w="508" w:type="dxa"/>
            <w:vMerge w:val="continue"/>
            <w:tcBorders>
              <w:left w:val="single" w:color="000000" w:sz="4" w:space="0"/>
              <w:right w:val="single" w:color="000000" w:sz="4" w:space="0"/>
            </w:tcBorders>
            <w:noWrap/>
            <w:vAlign w:val="center"/>
          </w:tcPr>
          <w:p>
            <w:pPr>
              <w:widowControl/>
              <w:jc w:val="center"/>
              <w:textAlignment w:val="center"/>
            </w:pPr>
          </w:p>
        </w:tc>
        <w:tc>
          <w:tcPr>
            <w:tcW w:w="444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变色硅胶</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1270"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98" w:hRule="atLeast"/>
          <w:jc w:val="center"/>
        </w:trPr>
        <w:tc>
          <w:tcPr>
            <w:tcW w:w="654"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508"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444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氢氧化钾</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1270"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98" w:hRule="atLeast"/>
          <w:jc w:val="center"/>
        </w:trPr>
        <w:tc>
          <w:tcPr>
            <w:tcW w:w="654"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508"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444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标气（非甲烷）</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1270"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98" w:hRule="atLeast"/>
          <w:jc w:val="center"/>
        </w:trPr>
        <w:tc>
          <w:tcPr>
            <w:tcW w:w="654"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508"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444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标气（苯系物）</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1270"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98" w:hRule="atLeast"/>
          <w:jc w:val="center"/>
        </w:trPr>
        <w:tc>
          <w:tcPr>
            <w:tcW w:w="654" w:type="dxa"/>
            <w:vMerge w:val="continue"/>
            <w:tcBorders>
              <w:left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508"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444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氮气</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瓶</w:t>
            </w:r>
          </w:p>
        </w:tc>
        <w:tc>
          <w:tcPr>
            <w:tcW w:w="1270"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488"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2.2</w:t>
            </w:r>
          </w:p>
        </w:tc>
        <w:tc>
          <w:tcPr>
            <w:tcW w:w="4950"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运维费</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人/次</w:t>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szCs w:val="24"/>
                <w:lang w:bidi="ar"/>
              </w:rPr>
            </w:pPr>
            <w:r>
              <w:rPr>
                <w:rFonts w:hint="eastAsia" w:ascii="宋体" w:hAnsi="宋体" w:cs="宋体"/>
                <w:kern w:val="0"/>
                <w:sz w:val="24"/>
                <w:lang w:bidi="ar"/>
              </w:rPr>
              <w:t>2人/52次</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285"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2.3</w:t>
            </w:r>
          </w:p>
        </w:tc>
        <w:tc>
          <w:tcPr>
            <w:tcW w:w="4950"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eastAsiaTheme="minorEastAsia"/>
                <w:kern w:val="0"/>
                <w:sz w:val="24"/>
                <w:lang w:bidi="ar"/>
              </w:rPr>
            </w:pPr>
            <w:r>
              <w:rPr>
                <w:rFonts w:hint="eastAsia" w:ascii="宋体" w:hAnsi="宋体" w:cs="宋体"/>
                <w:kern w:val="0"/>
                <w:sz w:val="24"/>
                <w:lang w:bidi="ar"/>
              </w:rPr>
              <w:t>车辆费</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377"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2.4</w:t>
            </w:r>
          </w:p>
        </w:tc>
        <w:tc>
          <w:tcPr>
            <w:tcW w:w="4950"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办公费</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eastAsiaTheme="minorEastAsia"/>
                <w:kern w:val="0"/>
                <w:sz w:val="24"/>
                <w:lang w:bidi="ar"/>
              </w:rPr>
            </w:pPr>
            <w:r>
              <w:rPr>
                <w:rFonts w:hint="eastAsia" w:ascii="宋体" w:hAnsi="宋体" w:cs="宋体"/>
                <w:kern w:val="0"/>
                <w:sz w:val="24"/>
                <w:lang w:bidi="ar"/>
              </w:rPr>
              <w:t>年</w:t>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eastAsiaTheme="minorEastAsia"/>
                <w:kern w:val="0"/>
                <w:sz w:val="24"/>
                <w:lang w:bidi="ar"/>
              </w:rPr>
            </w:pPr>
            <w:r>
              <w:rPr>
                <w:rFonts w:hint="eastAsia" w:ascii="宋体" w:hAnsi="宋体" w:cs="宋体"/>
                <w:kern w:val="0"/>
                <w:sz w:val="24"/>
                <w:lang w:bidi="ar"/>
              </w:rPr>
              <w:t>包年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363"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2.5</w:t>
            </w:r>
          </w:p>
        </w:tc>
        <w:tc>
          <w:tcPr>
            <w:tcW w:w="4950"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标识费</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454"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eastAsia="宋体" w:cs="宋体"/>
                <w:kern w:val="0"/>
                <w:sz w:val="24"/>
                <w:lang w:eastAsia="zh-CN" w:bidi="ar"/>
              </w:rPr>
            </w:pPr>
            <w:r>
              <w:rPr>
                <w:rFonts w:hint="eastAsia" w:ascii="宋体" w:hAnsi="宋体" w:cs="宋体"/>
                <w:kern w:val="0"/>
                <w:sz w:val="24"/>
                <w:lang w:bidi="ar"/>
              </w:rPr>
              <w:t>2.</w:t>
            </w:r>
            <w:r>
              <w:rPr>
                <w:rFonts w:hint="eastAsia" w:ascii="宋体" w:hAnsi="宋体" w:cs="宋体"/>
                <w:kern w:val="0"/>
                <w:sz w:val="24"/>
                <w:lang w:val="en-US" w:eastAsia="zh-CN" w:bidi="ar"/>
              </w:rPr>
              <w:t>6</w:t>
            </w:r>
          </w:p>
        </w:tc>
        <w:tc>
          <w:tcPr>
            <w:tcW w:w="4950"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专线费</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条</w:t>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1</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505"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eastAsia="宋体" w:cs="宋体"/>
                <w:kern w:val="0"/>
                <w:sz w:val="24"/>
                <w:lang w:eastAsia="zh-CN" w:bidi="ar"/>
              </w:rPr>
            </w:pPr>
            <w:r>
              <w:rPr>
                <w:rFonts w:hint="eastAsia" w:ascii="宋体" w:hAnsi="宋体" w:cs="宋体"/>
                <w:kern w:val="0"/>
                <w:sz w:val="24"/>
                <w:lang w:bidi="ar"/>
              </w:rPr>
              <w:t>2.</w:t>
            </w:r>
            <w:r>
              <w:rPr>
                <w:rFonts w:hint="eastAsia" w:ascii="宋体" w:hAnsi="宋体" w:cs="宋体"/>
                <w:kern w:val="0"/>
                <w:sz w:val="24"/>
                <w:lang w:val="en-US" w:eastAsia="zh-CN" w:bidi="ar"/>
              </w:rPr>
              <w:t>7</w:t>
            </w:r>
          </w:p>
        </w:tc>
        <w:tc>
          <w:tcPr>
            <w:tcW w:w="4950"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维修费</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eastAsiaTheme="minorEastAsia"/>
                <w:kern w:val="0"/>
                <w:sz w:val="24"/>
                <w:lang w:bidi="ar"/>
              </w:rPr>
            </w:pPr>
            <w:r>
              <w:rPr>
                <w:rFonts w:hint="eastAsia" w:hAnsi="宋体" w:eastAsia="宋体" w:cs="宋体"/>
                <w:kern w:val="0"/>
                <w:sz w:val="20"/>
                <w:szCs w:val="18"/>
                <w:lang w:val="en-US" w:bidi="ar"/>
              </w:rPr>
              <w:t>含单次2000元及2000以下耗材和配件费</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505"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2.8</w:t>
            </w:r>
          </w:p>
        </w:tc>
        <w:tc>
          <w:tcPr>
            <w:tcW w:w="4950"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流量卡</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eastAsiaTheme="minorEastAsia"/>
                <w:kern w:val="0"/>
                <w:sz w:val="24"/>
                <w:lang w:bidi="ar"/>
              </w:rPr>
            </w:pPr>
            <w:r>
              <w:rPr>
                <w:rFonts w:hint="eastAsia" w:ascii="宋体" w:hAnsi="宋体" w:cs="宋体"/>
                <w:kern w:val="0"/>
                <w:sz w:val="24"/>
                <w:lang w:bidi="ar"/>
              </w:rPr>
              <w:t>包年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505"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4950"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b/>
                <w:bCs/>
                <w:kern w:val="0"/>
                <w:sz w:val="24"/>
                <w:lang w:bidi="ar"/>
              </w:rPr>
              <w:t>小计</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633" w:hRule="atLeast"/>
          <w:jc w:val="center"/>
        </w:trPr>
        <w:tc>
          <w:tcPr>
            <w:tcW w:w="10504" w:type="dxa"/>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黑体" w:eastAsia="黑体" w:cs="黑体"/>
                <w:b/>
                <w:bCs/>
                <w:sz w:val="28"/>
                <w:szCs w:val="28"/>
              </w:rPr>
              <w:t>二、废水运维报价分表</w:t>
            </w:r>
          </w:p>
        </w:tc>
      </w:tr>
      <w:tr>
        <w:tblPrEx>
          <w:tblCellMar>
            <w:top w:w="0" w:type="dxa"/>
            <w:left w:w="108" w:type="dxa"/>
            <w:bottom w:w="0" w:type="dxa"/>
            <w:right w:w="108" w:type="dxa"/>
          </w:tblCellMar>
        </w:tblPrEx>
        <w:trPr>
          <w:trHeight w:val="633" w:hRule="atLeast"/>
          <w:jc w:val="center"/>
        </w:trPr>
        <w:tc>
          <w:tcPr>
            <w:tcW w:w="654" w:type="dxa"/>
            <w:tcBorders>
              <w:top w:val="single" w:color="000000" w:sz="4" w:space="0"/>
              <w:left w:val="single" w:color="000000" w:sz="4" w:space="0"/>
              <w:bottom w:val="single" w:color="auto" w:sz="4" w:space="0"/>
              <w:right w:val="single" w:color="000000" w:sz="4" w:space="0"/>
            </w:tcBorders>
            <w:shd w:val="clear" w:color="FFFFFF" w:fill="FFFFFF"/>
            <w:vAlign w:val="center"/>
          </w:tcPr>
          <w:p>
            <w:pPr>
              <w:widowControl/>
              <w:jc w:val="center"/>
              <w:textAlignment w:val="center"/>
              <w:rPr>
                <w:rFonts w:hint="eastAsia" w:ascii="黑体" w:hAnsi="宋体" w:eastAsia="黑体" w:cs="黑体"/>
                <w:sz w:val="24"/>
              </w:rPr>
            </w:pPr>
            <w:r>
              <w:rPr>
                <w:rFonts w:hint="eastAsia" w:ascii="黑体" w:hAnsi="宋体" w:eastAsia="黑体" w:cs="黑体"/>
                <w:kern w:val="0"/>
                <w:sz w:val="24"/>
                <w:lang w:bidi="ar"/>
              </w:rPr>
              <w:t>序号</w:t>
            </w:r>
          </w:p>
        </w:tc>
        <w:tc>
          <w:tcPr>
            <w:tcW w:w="2823" w:type="dxa"/>
            <w:gridSpan w:val="3"/>
            <w:tcBorders>
              <w:top w:val="single" w:color="000000" w:sz="4" w:space="0"/>
              <w:left w:val="single" w:color="000000" w:sz="4" w:space="0"/>
              <w:bottom w:val="single" w:color="auto"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项目名称</w:t>
            </w:r>
          </w:p>
        </w:tc>
        <w:tc>
          <w:tcPr>
            <w:tcW w:w="2127" w:type="dxa"/>
            <w:tcBorders>
              <w:top w:val="single" w:color="000000" w:sz="4" w:space="0"/>
              <w:left w:val="single" w:color="000000" w:sz="4" w:space="0"/>
              <w:bottom w:val="single" w:color="auto"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试剂</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计量单位</w:t>
            </w:r>
          </w:p>
        </w:tc>
        <w:tc>
          <w:tcPr>
            <w:tcW w:w="12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预计数量</w:t>
            </w:r>
          </w:p>
        </w:tc>
        <w:tc>
          <w:tcPr>
            <w:tcW w:w="12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未税单价（元）</w:t>
            </w:r>
          </w:p>
        </w:tc>
        <w:tc>
          <w:tcPr>
            <w:tcW w:w="12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黑体" w:hAnsi="宋体" w:eastAsia="黑体" w:cs="黑体"/>
                <w:kern w:val="0"/>
                <w:sz w:val="24"/>
                <w:lang w:bidi="ar"/>
              </w:rPr>
            </w:pPr>
            <w:r>
              <w:rPr>
                <w:rFonts w:hint="eastAsia" w:ascii="黑体" w:hAnsi="宋体" w:eastAsia="黑体" w:cs="黑体"/>
                <w:kern w:val="0"/>
                <w:sz w:val="24"/>
                <w:lang w:bidi="ar"/>
              </w:rPr>
              <w:t>未税总价（元）</w:t>
            </w:r>
          </w:p>
        </w:tc>
      </w:tr>
      <w:tr>
        <w:tblPrEx>
          <w:tblCellMar>
            <w:top w:w="0" w:type="dxa"/>
            <w:left w:w="108" w:type="dxa"/>
            <w:bottom w:w="0" w:type="dxa"/>
            <w:right w:w="108" w:type="dxa"/>
          </w:tblCellMar>
        </w:tblPrEx>
        <w:trPr>
          <w:trHeight w:val="454" w:hRule="atLeast"/>
          <w:jc w:val="center"/>
        </w:trPr>
        <w:tc>
          <w:tcPr>
            <w:tcW w:w="654" w:type="dxa"/>
            <w:tcBorders>
              <w:top w:val="single" w:color="auto" w:sz="4" w:space="0"/>
              <w:left w:val="single" w:color="auto" w:sz="4" w:space="0"/>
              <w:bottom w:val="single" w:color="auto" w:sz="4" w:space="0"/>
              <w:right w:val="single" w:color="auto" w:sz="4" w:space="0"/>
            </w:tcBorders>
            <w:shd w:val="clear" w:color="FFFFFF" w:fill="FFFFFF"/>
            <w:vAlign w:val="center"/>
          </w:tcPr>
          <w:p>
            <w:pPr>
              <w:widowControl/>
              <w:jc w:val="center"/>
              <w:textAlignment w:val="center"/>
              <w:rPr>
                <w:rFonts w:hint="eastAsia" w:ascii="宋体" w:hAnsi="宋体" w:cs="宋体" w:eastAsiaTheme="minorEastAsia"/>
                <w:b/>
                <w:bCs/>
                <w:sz w:val="24"/>
              </w:rPr>
            </w:pPr>
            <w:r>
              <w:rPr>
                <w:rFonts w:hint="eastAsia" w:ascii="宋体" w:hAnsi="宋体" w:cs="宋体"/>
                <w:kern w:val="0"/>
                <w:sz w:val="24"/>
                <w:lang w:bidi="ar"/>
              </w:rPr>
              <w:t>1</w:t>
            </w:r>
          </w:p>
        </w:tc>
        <w:tc>
          <w:tcPr>
            <w:tcW w:w="2823"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运维费</w:t>
            </w:r>
          </w:p>
        </w:tc>
        <w:tc>
          <w:tcPr>
            <w:tcW w:w="212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w:t>
            </w:r>
          </w:p>
        </w:tc>
        <w:tc>
          <w:tcPr>
            <w:tcW w:w="1177"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次/人</w:t>
            </w:r>
          </w:p>
        </w:tc>
        <w:tc>
          <w:tcPr>
            <w:tcW w:w="1270"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2人/52次</w:t>
            </w:r>
          </w:p>
        </w:tc>
        <w:tc>
          <w:tcPr>
            <w:tcW w:w="1234"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98" w:hRule="atLeast"/>
          <w:jc w:val="center"/>
        </w:trPr>
        <w:tc>
          <w:tcPr>
            <w:tcW w:w="654" w:type="dxa"/>
            <w:vMerge w:val="restart"/>
            <w:tcBorders>
              <w:top w:val="single" w:color="auto" w:sz="4" w:space="0"/>
              <w:left w:val="single" w:color="auto" w:sz="4" w:space="0"/>
              <w:bottom w:val="single" w:color="auto" w:sz="4" w:space="0"/>
              <w:right w:val="single" w:color="auto"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sz w:val="24"/>
              </w:rPr>
              <w:t>2</w:t>
            </w:r>
          </w:p>
        </w:tc>
        <w:tc>
          <w:tcPr>
            <w:tcW w:w="508"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耗材费</w:t>
            </w:r>
          </w:p>
        </w:tc>
        <w:tc>
          <w:tcPr>
            <w:tcW w:w="231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纯净水</w:t>
            </w:r>
          </w:p>
        </w:tc>
        <w:tc>
          <w:tcPr>
            <w:tcW w:w="212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w:t>
            </w:r>
          </w:p>
        </w:tc>
        <w:tc>
          <w:tcPr>
            <w:tcW w:w="1177" w:type="dxa"/>
            <w:tcBorders>
              <w:top w:val="single" w:color="000000"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1270" w:type="dxa"/>
            <w:vMerge w:val="restart"/>
            <w:tcBorders>
              <w:top w:val="single" w:color="auto" w:sz="4" w:space="0"/>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全年足量提供</w:t>
            </w:r>
          </w:p>
        </w:tc>
        <w:tc>
          <w:tcPr>
            <w:tcW w:w="123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61" w:hRule="atLeast"/>
          <w:jc w:val="center"/>
        </w:trPr>
        <w:tc>
          <w:tcPr>
            <w:tcW w:w="654" w:type="dxa"/>
            <w:vMerge w:val="continue"/>
            <w:tcBorders>
              <w:top w:val="single" w:color="auto" w:sz="4" w:space="0"/>
              <w:left w:val="single" w:color="auto" w:sz="4" w:space="0"/>
              <w:bottom w:val="single" w:color="auto" w:sz="4" w:space="0"/>
              <w:right w:val="single" w:color="auto" w:sz="4" w:space="0"/>
            </w:tcBorders>
            <w:shd w:val="clear" w:color="FFFFFF" w:fill="FFFFFF"/>
            <w:vAlign w:val="center"/>
          </w:tcPr>
          <w:p>
            <w:pPr>
              <w:widowControl/>
              <w:jc w:val="center"/>
              <w:textAlignment w:val="center"/>
            </w:pPr>
          </w:p>
        </w:tc>
        <w:tc>
          <w:tcPr>
            <w:tcW w:w="50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pPr>
          </w:p>
        </w:tc>
        <w:tc>
          <w:tcPr>
            <w:tcW w:w="900"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试剂</w:t>
            </w:r>
          </w:p>
        </w:tc>
        <w:tc>
          <w:tcPr>
            <w:tcW w:w="1415"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COD试剂</w:t>
            </w:r>
          </w:p>
        </w:tc>
        <w:tc>
          <w:tcPr>
            <w:tcW w:w="212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重铬酸钾</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1270"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61" w:hRule="atLeast"/>
          <w:jc w:val="center"/>
        </w:trPr>
        <w:tc>
          <w:tcPr>
            <w:tcW w:w="654" w:type="dxa"/>
            <w:vMerge w:val="continue"/>
            <w:tcBorders>
              <w:top w:val="single" w:color="auto" w:sz="4" w:space="0"/>
              <w:left w:val="single" w:color="auto" w:sz="4" w:space="0"/>
              <w:bottom w:val="single" w:color="auto" w:sz="4" w:space="0"/>
              <w:right w:val="single" w:color="000000" w:sz="4" w:space="0"/>
            </w:tcBorders>
            <w:shd w:val="clear" w:color="FFFFFF" w:fill="FFFFFF"/>
            <w:vAlign w:val="center"/>
          </w:tcPr>
          <w:p>
            <w:pPr>
              <w:widowControl/>
              <w:jc w:val="center"/>
              <w:textAlignment w:val="center"/>
            </w:pPr>
          </w:p>
        </w:tc>
        <w:tc>
          <w:tcPr>
            <w:tcW w:w="508" w:type="dxa"/>
            <w:vMerge w:val="continue"/>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pPr>
          </w:p>
        </w:tc>
        <w:tc>
          <w:tcPr>
            <w:tcW w:w="900" w:type="dxa"/>
            <w:vMerge w:val="continue"/>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pPr>
          </w:p>
        </w:tc>
        <w:tc>
          <w:tcPr>
            <w:tcW w:w="1415" w:type="dxa"/>
            <w:vMerge w:val="continue"/>
            <w:tcBorders>
              <w:top w:val="single" w:color="auto" w:sz="4" w:space="0"/>
              <w:left w:val="single" w:color="000000" w:sz="4" w:space="0"/>
              <w:bottom w:val="single" w:color="auto" w:sz="4" w:space="0"/>
              <w:right w:val="single" w:color="auto" w:sz="4" w:space="0"/>
            </w:tcBorders>
            <w:noWrap/>
            <w:vAlign w:val="center"/>
          </w:tcPr>
          <w:p>
            <w:pPr>
              <w:widowControl/>
              <w:jc w:val="center"/>
              <w:textAlignment w:val="center"/>
            </w:pPr>
          </w:p>
        </w:tc>
        <w:tc>
          <w:tcPr>
            <w:tcW w:w="212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硫酸银</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1270"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0" w:hRule="atLeast"/>
          <w:jc w:val="center"/>
        </w:trPr>
        <w:tc>
          <w:tcPr>
            <w:tcW w:w="654" w:type="dxa"/>
            <w:vMerge w:val="continue"/>
            <w:tcBorders>
              <w:top w:val="single" w:color="auto" w:sz="4" w:space="0"/>
              <w:left w:val="single" w:color="auto" w:sz="4" w:space="0"/>
              <w:bottom w:val="single" w:color="auto" w:sz="4" w:space="0"/>
              <w:right w:val="single" w:color="000000" w:sz="4" w:space="0"/>
            </w:tcBorders>
            <w:shd w:val="clear" w:color="FFFFFF" w:fill="FFFFFF"/>
            <w:vAlign w:val="center"/>
          </w:tcPr>
          <w:p>
            <w:pPr>
              <w:widowControl/>
              <w:jc w:val="center"/>
              <w:textAlignment w:val="center"/>
            </w:pPr>
          </w:p>
        </w:tc>
        <w:tc>
          <w:tcPr>
            <w:tcW w:w="508" w:type="dxa"/>
            <w:vMerge w:val="continue"/>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pPr>
          </w:p>
        </w:tc>
        <w:tc>
          <w:tcPr>
            <w:tcW w:w="900" w:type="dxa"/>
            <w:vMerge w:val="continue"/>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pPr>
          </w:p>
        </w:tc>
        <w:tc>
          <w:tcPr>
            <w:tcW w:w="1415" w:type="dxa"/>
            <w:vMerge w:val="restart"/>
            <w:tcBorders>
              <w:top w:val="single" w:color="auto" w:sz="4" w:space="0"/>
              <w:left w:val="single" w:color="000000"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氨氮试剂</w:t>
            </w:r>
          </w:p>
        </w:tc>
        <w:tc>
          <w:tcPr>
            <w:tcW w:w="212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水杨酸</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1270"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0" w:hRule="atLeast"/>
          <w:jc w:val="center"/>
        </w:trPr>
        <w:tc>
          <w:tcPr>
            <w:tcW w:w="654" w:type="dxa"/>
            <w:vMerge w:val="continue"/>
            <w:tcBorders>
              <w:top w:val="single" w:color="auto" w:sz="4" w:space="0"/>
              <w:left w:val="single" w:color="auto" w:sz="4" w:space="0"/>
              <w:bottom w:val="single" w:color="auto" w:sz="4" w:space="0"/>
              <w:right w:val="single" w:color="000000" w:sz="4" w:space="0"/>
            </w:tcBorders>
            <w:shd w:val="clear" w:color="FFFFFF" w:fill="FFFFFF"/>
            <w:vAlign w:val="center"/>
          </w:tcPr>
          <w:p>
            <w:pPr>
              <w:widowControl/>
              <w:jc w:val="center"/>
              <w:textAlignment w:val="center"/>
            </w:pPr>
          </w:p>
        </w:tc>
        <w:tc>
          <w:tcPr>
            <w:tcW w:w="508" w:type="dxa"/>
            <w:vMerge w:val="continue"/>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pPr>
          </w:p>
        </w:tc>
        <w:tc>
          <w:tcPr>
            <w:tcW w:w="900" w:type="dxa"/>
            <w:vMerge w:val="continue"/>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pPr>
          </w:p>
        </w:tc>
        <w:tc>
          <w:tcPr>
            <w:tcW w:w="1415" w:type="dxa"/>
            <w:vMerge w:val="continue"/>
            <w:tcBorders>
              <w:top w:val="single" w:color="auto" w:sz="4" w:space="0"/>
              <w:left w:val="single" w:color="000000" w:sz="4" w:space="0"/>
              <w:bottom w:val="single" w:color="auto" w:sz="4" w:space="0"/>
              <w:right w:val="single" w:color="auto" w:sz="4" w:space="0"/>
            </w:tcBorders>
            <w:noWrap/>
            <w:vAlign w:val="center"/>
          </w:tcPr>
          <w:p>
            <w:pPr>
              <w:widowControl/>
              <w:jc w:val="center"/>
              <w:textAlignment w:val="center"/>
            </w:pPr>
          </w:p>
        </w:tc>
        <w:tc>
          <w:tcPr>
            <w:tcW w:w="212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szCs w:val="24"/>
                <w:lang w:bidi="ar"/>
              </w:rPr>
            </w:pPr>
            <w:r>
              <w:rPr>
                <w:rFonts w:ascii="宋体" w:hAnsi="宋体" w:cs="宋体"/>
                <w:color w:val="000000"/>
                <w:sz w:val="24"/>
                <w:szCs w:val="24"/>
              </w:rPr>
              <w:t>亚硝基</w:t>
            </w:r>
            <w:r>
              <w:rPr>
                <w:rFonts w:hint="eastAsia" w:ascii="宋体" w:hAnsi="宋体" w:cs="宋体"/>
                <w:color w:val="000000"/>
                <w:sz w:val="24"/>
                <w:szCs w:val="24"/>
              </w:rPr>
              <w:t>亚</w:t>
            </w:r>
            <w:r>
              <w:rPr>
                <w:rFonts w:ascii="宋体" w:hAnsi="宋体" w:cs="宋体"/>
                <w:color w:val="000000"/>
                <w:sz w:val="24"/>
                <w:szCs w:val="24"/>
              </w:rPr>
              <w:t>铁</w:t>
            </w:r>
            <w:r>
              <w:rPr>
                <w:rFonts w:hint="eastAsia" w:ascii="宋体" w:hAnsi="宋体" w:cs="宋体"/>
                <w:color w:val="000000"/>
                <w:sz w:val="24"/>
                <w:szCs w:val="24"/>
              </w:rPr>
              <w:t>氰</w:t>
            </w:r>
            <w:r>
              <w:rPr>
                <w:rFonts w:ascii="宋体" w:hAnsi="宋体" w:cs="宋体"/>
                <w:color w:val="000000"/>
                <w:sz w:val="24"/>
                <w:szCs w:val="24"/>
              </w:rPr>
              <w:t>化钠</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1270"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0" w:hRule="atLeast"/>
          <w:jc w:val="center"/>
        </w:trPr>
        <w:tc>
          <w:tcPr>
            <w:tcW w:w="654" w:type="dxa"/>
            <w:vMerge w:val="continue"/>
            <w:tcBorders>
              <w:top w:val="single" w:color="auto" w:sz="4" w:space="0"/>
              <w:left w:val="single" w:color="auto" w:sz="4" w:space="0"/>
              <w:bottom w:val="single" w:color="auto"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508" w:type="dxa"/>
            <w:vMerge w:val="continue"/>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900" w:type="dxa"/>
            <w:vMerge w:val="continue"/>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415" w:type="dxa"/>
            <w:vMerge w:val="continue"/>
            <w:tcBorders>
              <w:top w:val="single" w:color="auto" w:sz="4" w:space="0"/>
              <w:left w:val="single" w:color="000000"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212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szCs w:val="24"/>
                <w:lang w:bidi="ar"/>
              </w:rPr>
            </w:pPr>
            <w:r>
              <w:rPr>
                <w:rFonts w:ascii="宋体" w:hAnsi="宋体" w:cs="宋体"/>
                <w:color w:val="000000"/>
                <w:sz w:val="24"/>
                <w:szCs w:val="24"/>
              </w:rPr>
              <w:t>柠檬酸三钠</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1270"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80" w:hRule="atLeast"/>
          <w:jc w:val="center"/>
        </w:trPr>
        <w:tc>
          <w:tcPr>
            <w:tcW w:w="654" w:type="dxa"/>
            <w:vMerge w:val="continue"/>
            <w:tcBorders>
              <w:top w:val="single" w:color="auto" w:sz="4" w:space="0"/>
              <w:left w:val="single" w:color="auto" w:sz="4" w:space="0"/>
              <w:bottom w:val="single" w:color="auto"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508" w:type="dxa"/>
            <w:vMerge w:val="continue"/>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900" w:type="dxa"/>
            <w:vMerge w:val="continue"/>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415" w:type="dxa"/>
            <w:vMerge w:val="continue"/>
            <w:tcBorders>
              <w:top w:val="single" w:color="auto" w:sz="4" w:space="0"/>
              <w:left w:val="single" w:color="000000"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212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盐酸</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1270"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654" w:type="dxa"/>
            <w:vMerge w:val="continue"/>
            <w:tcBorders>
              <w:top w:val="single" w:color="auto" w:sz="4" w:space="0"/>
              <w:left w:val="single" w:color="auto" w:sz="4" w:space="0"/>
              <w:bottom w:val="single" w:color="auto" w:sz="4" w:space="0"/>
              <w:right w:val="single" w:color="000000" w:sz="4" w:space="0"/>
            </w:tcBorders>
            <w:shd w:val="clear" w:color="FFFFFF" w:fill="FFFFFF"/>
            <w:vAlign w:val="center"/>
          </w:tcPr>
          <w:p>
            <w:pPr>
              <w:widowControl/>
              <w:jc w:val="center"/>
              <w:textAlignment w:val="center"/>
            </w:pPr>
          </w:p>
        </w:tc>
        <w:tc>
          <w:tcPr>
            <w:tcW w:w="508" w:type="dxa"/>
            <w:vMerge w:val="continue"/>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pPr>
          </w:p>
        </w:tc>
        <w:tc>
          <w:tcPr>
            <w:tcW w:w="900" w:type="dxa"/>
            <w:vMerge w:val="continue"/>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pPr>
          </w:p>
        </w:tc>
        <w:tc>
          <w:tcPr>
            <w:tcW w:w="1415" w:type="dxa"/>
            <w:vMerge w:val="restart"/>
            <w:tcBorders>
              <w:top w:val="single" w:color="auto" w:sz="4" w:space="0"/>
              <w:left w:val="single" w:color="000000" w:sz="4" w:space="0"/>
              <w:right w:val="single" w:color="auto" w:sz="4" w:space="0"/>
            </w:tcBorders>
            <w:noWrap/>
            <w:vAlign w:val="center"/>
          </w:tcPr>
          <w:p>
            <w:pPr>
              <w:widowControl/>
              <w:jc w:val="center"/>
              <w:textAlignment w:val="center"/>
            </w:pPr>
            <w:r>
              <w:rPr>
                <w:rFonts w:hint="eastAsia" w:ascii="宋体" w:hAnsi="宋体" w:cs="宋体"/>
                <w:kern w:val="0"/>
                <w:sz w:val="24"/>
                <w:lang w:bidi="ar"/>
              </w:rPr>
              <w:t>磷酸盐试剂</w:t>
            </w:r>
          </w:p>
        </w:tc>
        <w:tc>
          <w:tcPr>
            <w:tcW w:w="212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ascii="宋体" w:hAnsi="宋体" w:cs="宋体"/>
                <w:color w:val="000000"/>
                <w:sz w:val="24"/>
                <w:szCs w:val="24"/>
              </w:rPr>
              <w:t>硫酸钾</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1270"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654" w:type="dxa"/>
            <w:vMerge w:val="continue"/>
            <w:tcBorders>
              <w:top w:val="single" w:color="auto" w:sz="4" w:space="0"/>
              <w:left w:val="single" w:color="auto" w:sz="4" w:space="0"/>
              <w:bottom w:val="single" w:color="auto" w:sz="4" w:space="0"/>
              <w:right w:val="single" w:color="000000" w:sz="4" w:space="0"/>
            </w:tcBorders>
            <w:shd w:val="clear" w:color="FFFFFF" w:fill="FFFFFF"/>
            <w:vAlign w:val="center"/>
          </w:tcPr>
          <w:p>
            <w:pPr>
              <w:widowControl/>
              <w:jc w:val="center"/>
              <w:textAlignment w:val="center"/>
            </w:pPr>
          </w:p>
        </w:tc>
        <w:tc>
          <w:tcPr>
            <w:tcW w:w="508" w:type="dxa"/>
            <w:vMerge w:val="continue"/>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pPr>
          </w:p>
        </w:tc>
        <w:tc>
          <w:tcPr>
            <w:tcW w:w="900" w:type="dxa"/>
            <w:vMerge w:val="continue"/>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pPr>
          </w:p>
        </w:tc>
        <w:tc>
          <w:tcPr>
            <w:tcW w:w="1415" w:type="dxa"/>
            <w:vMerge w:val="continue"/>
            <w:tcBorders>
              <w:left w:val="single" w:color="000000" w:sz="4" w:space="0"/>
              <w:right w:val="single" w:color="auto" w:sz="4" w:space="0"/>
            </w:tcBorders>
            <w:noWrap/>
            <w:vAlign w:val="center"/>
          </w:tcPr>
          <w:p>
            <w:pPr>
              <w:widowControl/>
              <w:jc w:val="center"/>
              <w:textAlignment w:val="center"/>
            </w:pPr>
          </w:p>
        </w:tc>
        <w:tc>
          <w:tcPr>
            <w:tcW w:w="212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钼酸胺</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1270"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654" w:type="dxa"/>
            <w:vMerge w:val="continue"/>
            <w:tcBorders>
              <w:top w:val="single" w:color="auto" w:sz="4" w:space="0"/>
              <w:left w:val="single" w:color="auto" w:sz="4" w:space="0"/>
              <w:bottom w:val="single" w:color="auto"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508" w:type="dxa"/>
            <w:vMerge w:val="continue"/>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900" w:type="dxa"/>
            <w:vMerge w:val="continue"/>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415" w:type="dxa"/>
            <w:vMerge w:val="continue"/>
            <w:tcBorders>
              <w:left w:val="single" w:color="000000"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212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抗坏血酸</w:t>
            </w:r>
          </w:p>
        </w:tc>
        <w:tc>
          <w:tcPr>
            <w:tcW w:w="11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1270"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654" w:type="dxa"/>
            <w:vMerge w:val="continue"/>
            <w:tcBorders>
              <w:top w:val="single" w:color="auto" w:sz="4" w:space="0"/>
              <w:left w:val="single" w:color="auto"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508" w:type="dxa"/>
            <w:vMerge w:val="continue"/>
            <w:tcBorders>
              <w:top w:val="single" w:color="auto" w:sz="4" w:space="0"/>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900" w:type="dxa"/>
            <w:vMerge w:val="restart"/>
            <w:tcBorders>
              <w:top w:val="single" w:color="auto" w:sz="4" w:space="0"/>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标准溶液</w:t>
            </w:r>
          </w:p>
        </w:tc>
        <w:tc>
          <w:tcPr>
            <w:tcW w:w="1415"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COD量程液、核查液</w:t>
            </w:r>
          </w:p>
        </w:tc>
        <w:tc>
          <w:tcPr>
            <w:tcW w:w="2127"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w:t>
            </w:r>
          </w:p>
        </w:tc>
        <w:tc>
          <w:tcPr>
            <w:tcW w:w="1177"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1270"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654" w:type="dxa"/>
            <w:vMerge w:val="continue"/>
            <w:tcBorders>
              <w:left w:val="single" w:color="auto" w:sz="4" w:space="0"/>
              <w:right w:val="single" w:color="000000" w:sz="4" w:space="0"/>
            </w:tcBorders>
            <w:shd w:val="clear" w:color="FFFFFF" w:fill="FFFFFF"/>
            <w:vAlign w:val="center"/>
          </w:tcPr>
          <w:p>
            <w:pPr>
              <w:widowControl/>
              <w:jc w:val="center"/>
              <w:textAlignment w:val="center"/>
            </w:pPr>
          </w:p>
        </w:tc>
        <w:tc>
          <w:tcPr>
            <w:tcW w:w="508" w:type="dxa"/>
            <w:vMerge w:val="continue"/>
            <w:tcBorders>
              <w:left w:val="single" w:color="000000" w:sz="4" w:space="0"/>
              <w:right w:val="single" w:color="000000" w:sz="4" w:space="0"/>
            </w:tcBorders>
            <w:noWrap/>
            <w:vAlign w:val="center"/>
          </w:tcPr>
          <w:p>
            <w:pPr>
              <w:widowControl/>
              <w:jc w:val="center"/>
              <w:textAlignment w:val="center"/>
            </w:pPr>
          </w:p>
        </w:tc>
        <w:tc>
          <w:tcPr>
            <w:tcW w:w="900" w:type="dxa"/>
            <w:vMerge w:val="continue"/>
            <w:tcBorders>
              <w:left w:val="single" w:color="000000" w:sz="4" w:space="0"/>
              <w:right w:val="single" w:color="000000" w:sz="4" w:space="0"/>
            </w:tcBorders>
            <w:noWrap/>
            <w:vAlign w:val="center"/>
          </w:tcPr>
          <w:p>
            <w:pPr>
              <w:widowControl/>
              <w:jc w:val="center"/>
              <w:textAlignment w:val="center"/>
            </w:pPr>
          </w:p>
        </w:tc>
        <w:tc>
          <w:tcPr>
            <w:tcW w:w="14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氨氮量程液、核查液</w:t>
            </w:r>
          </w:p>
        </w:tc>
        <w:tc>
          <w:tcPr>
            <w:tcW w:w="2127"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w:t>
            </w:r>
          </w:p>
        </w:tc>
        <w:tc>
          <w:tcPr>
            <w:tcW w:w="1177"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1270" w:type="dxa"/>
            <w:vMerge w:val="continue"/>
            <w:tcBorders>
              <w:left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107" w:hRule="atLeast"/>
          <w:jc w:val="center"/>
        </w:trPr>
        <w:tc>
          <w:tcPr>
            <w:tcW w:w="654" w:type="dxa"/>
            <w:vMerge w:val="continue"/>
            <w:tcBorders>
              <w:left w:val="single" w:color="auto"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508" w:type="dxa"/>
            <w:vMerge w:val="continue"/>
            <w:tcBorders>
              <w:left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900"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4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磷酸盐量程液、核查液</w:t>
            </w:r>
          </w:p>
        </w:tc>
        <w:tc>
          <w:tcPr>
            <w:tcW w:w="2127"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w:t>
            </w:r>
          </w:p>
        </w:tc>
        <w:tc>
          <w:tcPr>
            <w:tcW w:w="1177"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升</w:t>
            </w:r>
          </w:p>
        </w:tc>
        <w:tc>
          <w:tcPr>
            <w:tcW w:w="1270" w:type="dxa"/>
            <w:vMerge w:val="continue"/>
            <w:tcBorders>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488"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sz w:val="24"/>
              </w:rPr>
              <w:t>3</w:t>
            </w:r>
          </w:p>
        </w:tc>
        <w:tc>
          <w:tcPr>
            <w:tcW w:w="2823"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维修费</w:t>
            </w:r>
          </w:p>
        </w:tc>
        <w:tc>
          <w:tcPr>
            <w:tcW w:w="2127"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177"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1270"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hAnsi="宋体" w:eastAsia="宋体" w:cs="宋体"/>
                <w:kern w:val="0"/>
                <w:sz w:val="20"/>
                <w:szCs w:val="18"/>
                <w:lang w:val="en-US" w:bidi="ar"/>
              </w:rPr>
              <w:t>含单次2000元及2000以下耗材和配件费</w:t>
            </w:r>
          </w:p>
        </w:tc>
        <w:tc>
          <w:tcPr>
            <w:tcW w:w="1234"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457"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sz w:val="24"/>
              </w:rPr>
            </w:pPr>
            <w:r>
              <w:rPr>
                <w:rFonts w:hint="eastAsia" w:ascii="宋体" w:hAnsi="宋体" w:cs="宋体"/>
                <w:sz w:val="24"/>
              </w:rPr>
              <w:t>4</w:t>
            </w:r>
          </w:p>
        </w:tc>
        <w:tc>
          <w:tcPr>
            <w:tcW w:w="2823"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交通费</w:t>
            </w:r>
          </w:p>
        </w:tc>
        <w:tc>
          <w:tcPr>
            <w:tcW w:w="21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127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454"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5</w:t>
            </w:r>
          </w:p>
        </w:tc>
        <w:tc>
          <w:tcPr>
            <w:tcW w:w="2823"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标识费</w:t>
            </w:r>
          </w:p>
        </w:tc>
        <w:tc>
          <w:tcPr>
            <w:tcW w:w="21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项</w:t>
            </w:r>
          </w:p>
        </w:tc>
        <w:tc>
          <w:tcPr>
            <w:tcW w:w="127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454"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6</w:t>
            </w:r>
          </w:p>
        </w:tc>
        <w:tc>
          <w:tcPr>
            <w:tcW w:w="2823"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资料费</w:t>
            </w:r>
          </w:p>
        </w:tc>
        <w:tc>
          <w:tcPr>
            <w:tcW w:w="21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项</w:t>
            </w:r>
          </w:p>
        </w:tc>
        <w:tc>
          <w:tcPr>
            <w:tcW w:w="127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454"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7</w:t>
            </w:r>
          </w:p>
        </w:tc>
        <w:tc>
          <w:tcPr>
            <w:tcW w:w="2823"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办公费</w:t>
            </w:r>
          </w:p>
        </w:tc>
        <w:tc>
          <w:tcPr>
            <w:tcW w:w="21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包年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454"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8</w:t>
            </w:r>
          </w:p>
        </w:tc>
        <w:tc>
          <w:tcPr>
            <w:tcW w:w="2823"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专线费</w:t>
            </w:r>
          </w:p>
        </w:tc>
        <w:tc>
          <w:tcPr>
            <w:tcW w:w="21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条</w:t>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1</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454"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9</w:t>
            </w:r>
          </w:p>
        </w:tc>
        <w:tc>
          <w:tcPr>
            <w:tcW w:w="2823"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流量卡</w:t>
            </w:r>
          </w:p>
        </w:tc>
        <w:tc>
          <w:tcPr>
            <w:tcW w:w="21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年</w:t>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1</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r>
        <w:tblPrEx>
          <w:tblCellMar>
            <w:top w:w="0" w:type="dxa"/>
            <w:left w:w="108" w:type="dxa"/>
            <w:bottom w:w="0" w:type="dxa"/>
            <w:right w:w="108" w:type="dxa"/>
          </w:tblCellMar>
        </w:tblPrEx>
        <w:trPr>
          <w:trHeight w:val="454" w:hRule="atLeast"/>
          <w:jc w:val="center"/>
        </w:trPr>
        <w:tc>
          <w:tcPr>
            <w:tcW w:w="6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cs="宋体"/>
                <w:kern w:val="0"/>
                <w:sz w:val="24"/>
                <w:lang w:bidi="ar"/>
              </w:rPr>
            </w:pPr>
          </w:p>
        </w:tc>
        <w:tc>
          <w:tcPr>
            <w:tcW w:w="2823"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r>
              <w:rPr>
                <w:rFonts w:hint="eastAsia" w:ascii="宋体" w:hAnsi="宋体" w:cs="宋体"/>
                <w:b/>
                <w:bCs/>
                <w:kern w:val="0"/>
                <w:sz w:val="24"/>
                <w:lang w:bidi="ar"/>
              </w:rPr>
              <w:t>小计</w:t>
            </w:r>
          </w:p>
        </w:tc>
        <w:tc>
          <w:tcPr>
            <w:tcW w:w="21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c>
          <w:tcPr>
            <w:tcW w:w="12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kern w:val="0"/>
                <w:sz w:val="24"/>
                <w:lang w:bidi="ar"/>
              </w:rPr>
            </w:pPr>
          </w:p>
        </w:tc>
      </w:tr>
    </w:tbl>
    <w:p>
      <w:pPr>
        <w:spacing w:line="360" w:lineRule="auto"/>
        <w:rPr>
          <w:rFonts w:hint="eastAsia" w:ascii="宋体" w:hAnsi="宋体"/>
          <w:sz w:val="24"/>
          <w:szCs w:val="24"/>
        </w:rPr>
      </w:pPr>
    </w:p>
    <w:p>
      <w:pPr>
        <w:spacing w:line="360" w:lineRule="auto"/>
        <w:rPr>
          <w:rFonts w:hint="eastAsia" w:ascii="宋体" w:hAnsi="宋体"/>
          <w:sz w:val="24"/>
          <w:szCs w:val="24"/>
        </w:rPr>
      </w:pPr>
      <w:r>
        <w:rPr>
          <w:rFonts w:hint="eastAsia" w:ascii="宋体" w:hAnsi="宋体"/>
          <w:sz w:val="24"/>
          <w:szCs w:val="24"/>
        </w:rPr>
        <w:t>投标人名称：                   授权代表签字：            日期：</w:t>
      </w:r>
    </w:p>
    <w:p>
      <w:pPr>
        <w:rPr>
          <w:rFonts w:hint="eastAsia" w:ascii="宋体" w:hAnsi="宋体"/>
          <w:sz w:val="24"/>
          <w:szCs w:val="24"/>
        </w:rPr>
      </w:pPr>
      <w:r>
        <w:rPr>
          <w:rFonts w:hint="eastAsia" w:ascii="宋体" w:hAnsi="宋体"/>
          <w:b/>
          <w:sz w:val="24"/>
          <w:szCs w:val="24"/>
        </w:rPr>
        <w:t>注：</w:t>
      </w:r>
      <w:r>
        <w:rPr>
          <w:rFonts w:hint="eastAsia" w:ascii="宋体" w:hAnsi="宋体"/>
          <w:sz w:val="24"/>
          <w:szCs w:val="24"/>
        </w:rPr>
        <w:t xml:space="preserve"> 1</w:t>
      </w:r>
      <w:r>
        <w:rPr>
          <w:rFonts w:ascii="宋体" w:hAnsi="宋体"/>
          <w:sz w:val="24"/>
          <w:szCs w:val="24"/>
        </w:rPr>
        <w:t>.</w:t>
      </w:r>
      <w:r>
        <w:rPr>
          <w:rFonts w:hint="eastAsia" w:ascii="宋体" w:hAnsi="宋体"/>
          <w:sz w:val="24"/>
          <w:szCs w:val="24"/>
        </w:rPr>
        <w:t>请按照以上表格填写报价，可增项、不可缺项。</w:t>
      </w:r>
    </w:p>
    <w:p>
      <w:pPr>
        <w:ind w:firstLine="600" w:firstLineChars="250"/>
        <w:rPr>
          <w:rFonts w:hint="eastAsia" w:ascii="宋体" w:hAnsi="宋体"/>
          <w:sz w:val="24"/>
          <w:szCs w:val="24"/>
        </w:rPr>
      </w:pPr>
      <w:r>
        <w:rPr>
          <w:rFonts w:hint="eastAsia" w:ascii="宋体" w:hAnsi="宋体"/>
          <w:sz w:val="24"/>
          <w:szCs w:val="24"/>
        </w:rPr>
        <w:t>2.投标总价为单项价之和。</w:t>
      </w:r>
    </w:p>
    <w:p>
      <w:pPr>
        <w:ind w:firstLine="600" w:firstLineChars="250"/>
        <w:rPr>
          <w:rFonts w:hint="eastAsia" w:ascii="宋体" w:hAnsi="宋体"/>
          <w:sz w:val="24"/>
          <w:szCs w:val="24"/>
        </w:rPr>
      </w:pPr>
      <w:r>
        <w:rPr>
          <w:rFonts w:hint="eastAsia" w:ascii="宋体" w:hAnsi="宋体"/>
          <w:sz w:val="24"/>
          <w:szCs w:val="24"/>
        </w:rPr>
        <w:t>3.本表用于开标宣读用，请单独封存。</w:t>
      </w:r>
    </w:p>
    <w:p>
      <w:pPr>
        <w:ind w:firstLine="600" w:firstLineChars="250"/>
        <w:rPr>
          <w:rFonts w:hint="eastAsia" w:ascii="宋体" w:hAnsi="宋体"/>
          <w:b/>
          <w:bCs/>
          <w:sz w:val="28"/>
          <w:szCs w:val="24"/>
        </w:rPr>
      </w:pPr>
      <w:r>
        <w:rPr>
          <w:rFonts w:hint="eastAsia" w:ascii="宋体" w:hAnsi="宋体"/>
          <w:sz w:val="24"/>
          <w:szCs w:val="24"/>
        </w:rPr>
        <w:t>4.报价含税；如不能开具增值税发票，报价为直接支付价格。</w:t>
      </w:r>
    </w:p>
    <w:p>
      <w:pPr>
        <w:spacing w:line="360" w:lineRule="auto"/>
        <w:rPr>
          <w:rFonts w:hint="eastAsia" w:ascii="宋体" w:hAnsi="宋体"/>
          <w:b/>
          <w:bCs/>
          <w:sz w:val="28"/>
          <w:szCs w:val="24"/>
        </w:rPr>
      </w:pPr>
    </w:p>
    <w:p>
      <w:pPr>
        <w:spacing w:line="360" w:lineRule="auto"/>
        <w:rPr>
          <w:rFonts w:hint="eastAsia" w:ascii="宋体" w:hAnsi="宋体"/>
          <w:b/>
          <w:bCs/>
          <w:sz w:val="28"/>
          <w:szCs w:val="24"/>
        </w:rPr>
      </w:pPr>
      <w:bookmarkStart w:id="15" w:name="_GoBack"/>
      <w:bookmarkEnd w:id="15"/>
      <w:r>
        <w:rPr>
          <w:rFonts w:hint="eastAsia" w:ascii="宋体" w:hAnsi="宋体"/>
          <w:b/>
          <w:bCs/>
          <w:sz w:val="28"/>
          <w:szCs w:val="24"/>
        </w:rPr>
        <w:t>附件4</w:t>
      </w:r>
    </w:p>
    <w:p>
      <w:pPr>
        <w:keepNext/>
        <w:keepLines/>
        <w:spacing w:before="156" w:beforeLines="50" w:after="156" w:afterLines="50"/>
        <w:jc w:val="center"/>
        <w:outlineLvl w:val="1"/>
        <w:rPr>
          <w:rFonts w:hint="eastAsia" w:ascii="黑体" w:hAnsi="黑体" w:eastAsia="黑体" w:cs="黑体"/>
          <w:b/>
          <w:bCs/>
          <w:sz w:val="28"/>
          <w:szCs w:val="32"/>
        </w:rPr>
      </w:pPr>
      <w:r>
        <w:rPr>
          <w:rFonts w:hint="eastAsia" w:ascii="黑体" w:hAnsi="黑体" w:eastAsia="黑体" w:cs="黑体"/>
          <w:b/>
          <w:bCs/>
          <w:sz w:val="28"/>
          <w:szCs w:val="32"/>
        </w:rPr>
        <w:t>偏离表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spacing w:line="360" w:lineRule="auto"/>
              <w:jc w:val="center"/>
              <w:rPr>
                <w:rFonts w:hint="eastAsia" w:ascii="宋体" w:hAnsi="宋体"/>
                <w:sz w:val="24"/>
                <w:szCs w:val="24"/>
              </w:rPr>
            </w:pPr>
            <w:r>
              <w:rPr>
                <w:rFonts w:hint="eastAsia" w:ascii="宋体" w:hAnsi="宋体"/>
                <w:sz w:val="24"/>
                <w:szCs w:val="24"/>
              </w:rPr>
              <w:t>序号</w:t>
            </w:r>
          </w:p>
        </w:tc>
        <w:tc>
          <w:tcPr>
            <w:tcW w:w="3971" w:type="dxa"/>
            <w:gridSpan w:val="2"/>
            <w:vAlign w:val="center"/>
          </w:tcPr>
          <w:p>
            <w:pPr>
              <w:spacing w:line="360" w:lineRule="auto"/>
              <w:jc w:val="center"/>
              <w:rPr>
                <w:rFonts w:hint="eastAsia" w:ascii="宋体" w:hAnsi="宋体"/>
                <w:sz w:val="24"/>
                <w:szCs w:val="24"/>
              </w:rPr>
            </w:pPr>
            <w:r>
              <w:rPr>
                <w:rFonts w:hint="eastAsia" w:ascii="宋体" w:hAnsi="宋体"/>
                <w:sz w:val="24"/>
                <w:szCs w:val="24"/>
              </w:rPr>
              <w:t>招标文件条款</w:t>
            </w:r>
          </w:p>
        </w:tc>
        <w:tc>
          <w:tcPr>
            <w:tcW w:w="3723" w:type="dxa"/>
            <w:gridSpan w:val="2"/>
            <w:vAlign w:val="center"/>
          </w:tcPr>
          <w:p>
            <w:pPr>
              <w:spacing w:line="360" w:lineRule="auto"/>
              <w:jc w:val="center"/>
              <w:rPr>
                <w:rFonts w:hint="eastAsia" w:ascii="宋体" w:hAnsi="宋体"/>
                <w:sz w:val="24"/>
                <w:szCs w:val="24"/>
              </w:rPr>
            </w:pPr>
            <w:r>
              <w:rPr>
                <w:rFonts w:hint="eastAsia" w:ascii="宋体" w:hAnsi="宋体"/>
                <w:sz w:val="24"/>
                <w:szCs w:val="24"/>
              </w:rPr>
              <w:t>投标书条款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spacing w:line="360" w:lineRule="auto"/>
              <w:rPr>
                <w:rFonts w:hint="eastAsia" w:ascii="宋体" w:hAnsi="宋体"/>
                <w:sz w:val="24"/>
                <w:szCs w:val="24"/>
              </w:rPr>
            </w:pPr>
          </w:p>
        </w:tc>
        <w:tc>
          <w:tcPr>
            <w:tcW w:w="1080" w:type="dxa"/>
            <w:vAlign w:val="center"/>
          </w:tcPr>
          <w:p>
            <w:pPr>
              <w:spacing w:line="360" w:lineRule="auto"/>
              <w:jc w:val="center"/>
              <w:rPr>
                <w:rFonts w:hint="eastAsia" w:ascii="宋体" w:hAnsi="宋体"/>
                <w:sz w:val="24"/>
                <w:szCs w:val="24"/>
              </w:rPr>
            </w:pPr>
          </w:p>
        </w:tc>
        <w:tc>
          <w:tcPr>
            <w:tcW w:w="2891" w:type="dxa"/>
            <w:vAlign w:val="center"/>
          </w:tcPr>
          <w:p>
            <w:pPr>
              <w:spacing w:line="360" w:lineRule="auto"/>
              <w:jc w:val="center"/>
              <w:rPr>
                <w:rFonts w:hint="eastAsia" w:ascii="宋体" w:hAnsi="宋体"/>
                <w:sz w:val="24"/>
                <w:szCs w:val="24"/>
              </w:rPr>
            </w:pPr>
            <w:r>
              <w:rPr>
                <w:rFonts w:hint="eastAsia" w:ascii="宋体" w:hAnsi="宋体"/>
                <w:sz w:val="24"/>
                <w:szCs w:val="24"/>
              </w:rPr>
              <w:t>偏离</w:t>
            </w:r>
          </w:p>
        </w:tc>
        <w:tc>
          <w:tcPr>
            <w:tcW w:w="1110" w:type="dxa"/>
            <w:vAlign w:val="center"/>
          </w:tcPr>
          <w:p>
            <w:pPr>
              <w:spacing w:line="360" w:lineRule="auto"/>
              <w:jc w:val="center"/>
              <w:rPr>
                <w:rFonts w:hint="eastAsia" w:ascii="宋体" w:hAnsi="宋体"/>
                <w:sz w:val="24"/>
                <w:szCs w:val="24"/>
              </w:rPr>
            </w:pPr>
          </w:p>
        </w:tc>
        <w:tc>
          <w:tcPr>
            <w:tcW w:w="2613" w:type="dxa"/>
            <w:vAlign w:val="center"/>
          </w:tcPr>
          <w:p>
            <w:pPr>
              <w:spacing w:line="360" w:lineRule="auto"/>
              <w:jc w:val="center"/>
              <w:rPr>
                <w:rFonts w:hint="eastAsia" w:ascii="宋体" w:hAnsi="宋体"/>
                <w:sz w:val="24"/>
                <w:szCs w:val="24"/>
              </w:rPr>
            </w:pPr>
            <w:r>
              <w:rPr>
                <w:rFonts w:hint="eastAsia" w:ascii="宋体" w:hAnsi="宋体"/>
                <w:sz w:val="24"/>
                <w:szCs w:val="24"/>
              </w:rPr>
              <w:t>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1</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2</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3</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4</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5</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6</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7</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8</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9</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10</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11</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12</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bl>
    <w:p>
      <w:pPr>
        <w:spacing w:line="360" w:lineRule="auto"/>
        <w:rPr>
          <w:rFonts w:hint="eastAsia" w:ascii="宋体" w:hAnsi="宋体"/>
          <w:sz w:val="24"/>
          <w:szCs w:val="24"/>
        </w:rPr>
      </w:pPr>
      <w:r>
        <w:rPr>
          <w:rFonts w:hint="eastAsia" w:ascii="宋体" w:hAnsi="宋体"/>
          <w:b/>
          <w:sz w:val="24"/>
          <w:szCs w:val="24"/>
        </w:rPr>
        <w:t>注：</w:t>
      </w:r>
      <w:r>
        <w:rPr>
          <w:rFonts w:hint="eastAsia" w:ascii="宋体" w:hAnsi="宋体"/>
          <w:sz w:val="24"/>
          <w:szCs w:val="24"/>
        </w:rPr>
        <w:t>即使投标人进行了描述，也要提报该表，</w:t>
      </w:r>
      <w:r>
        <w:rPr>
          <w:rFonts w:hint="eastAsia" w:ascii="宋体" w:hAnsi="宋体"/>
          <w:b/>
          <w:sz w:val="24"/>
          <w:szCs w:val="24"/>
        </w:rPr>
        <w:t>无该表则被视为“无偏离”。</w:t>
      </w:r>
      <w:r>
        <w:rPr>
          <w:rFonts w:hint="eastAsia" w:ascii="宋体" w:hAnsi="宋体"/>
          <w:sz w:val="24"/>
          <w:szCs w:val="24"/>
        </w:rPr>
        <w:t>如无偏离注明“无”字。</w:t>
      </w:r>
    </w:p>
    <w:p>
      <w:pPr>
        <w:spacing w:line="360" w:lineRule="auto"/>
        <w:rPr>
          <w:rFonts w:hint="eastAsia" w:ascii="宋体" w:hAnsi="宋体"/>
          <w:b/>
          <w:bCs/>
          <w:sz w:val="28"/>
          <w:szCs w:val="28"/>
        </w:rPr>
      </w:pPr>
    </w:p>
    <w:p>
      <w:pPr>
        <w:spacing w:line="360" w:lineRule="auto"/>
        <w:rPr>
          <w:rFonts w:hint="eastAsia" w:ascii="宋体" w:hAnsi="宋体"/>
          <w:sz w:val="24"/>
          <w:szCs w:val="24"/>
        </w:rPr>
      </w:pPr>
      <w:r>
        <w:rPr>
          <w:rFonts w:hint="eastAsia" w:ascii="宋体" w:hAnsi="宋体"/>
          <w:sz w:val="24"/>
          <w:szCs w:val="24"/>
        </w:rPr>
        <w:t>投标人名称：                   授权代表签字：            日期：</w:t>
      </w:r>
    </w:p>
    <w:p>
      <w:pPr>
        <w:spacing w:line="360" w:lineRule="auto"/>
        <w:rPr>
          <w:rFonts w:hint="eastAsia" w:ascii="宋体" w:hAnsi="宋体"/>
          <w:sz w:val="24"/>
          <w:szCs w:val="24"/>
        </w:rPr>
      </w:pPr>
      <w:r>
        <w:rPr>
          <w:rFonts w:ascii="宋体" w:hAnsi="宋体"/>
          <w:sz w:val="24"/>
          <w:szCs w:val="24"/>
        </w:rPr>
        <w:br w:type="page"/>
      </w:r>
      <w:r>
        <w:rPr>
          <w:rFonts w:hint="eastAsia" w:ascii="宋体" w:hAnsi="宋体"/>
          <w:b/>
          <w:bCs/>
          <w:sz w:val="28"/>
          <w:szCs w:val="24"/>
        </w:rPr>
        <w:t>附件5</w:t>
      </w:r>
    </w:p>
    <w:p>
      <w:pPr>
        <w:keepNext/>
        <w:keepLines/>
        <w:spacing w:before="156" w:beforeLines="50" w:after="156" w:afterLines="50"/>
        <w:jc w:val="center"/>
        <w:outlineLvl w:val="1"/>
        <w:rPr>
          <w:rFonts w:hint="eastAsia" w:ascii="宋体" w:hAnsi="宋体"/>
          <w:sz w:val="28"/>
          <w:szCs w:val="32"/>
        </w:rPr>
      </w:pPr>
      <w:r>
        <w:rPr>
          <w:rFonts w:hint="eastAsia" w:ascii="黑体" w:hAnsi="黑体" w:eastAsia="黑体" w:cs="黑体"/>
          <w:b/>
          <w:bCs/>
          <w:sz w:val="28"/>
          <w:szCs w:val="32"/>
        </w:rPr>
        <w:t>投标报名表</w:t>
      </w:r>
    </w:p>
    <w:p>
      <w:pPr>
        <w:spacing w:line="360" w:lineRule="auto"/>
        <w:ind w:firstLine="120" w:firstLineChars="50"/>
        <w:rPr>
          <w:rFonts w:hint="eastAsia" w:ascii="宋体" w:hAnsi="宋体"/>
          <w:sz w:val="24"/>
          <w:szCs w:val="24"/>
        </w:rPr>
      </w:pPr>
      <w:r>
        <w:rPr>
          <w:rFonts w:hint="eastAsia" w:ascii="宋体" w:hAnsi="宋体"/>
          <w:sz w:val="24"/>
          <w:szCs w:val="24"/>
        </w:rPr>
        <w:t>公章：</w:t>
      </w:r>
    </w:p>
    <w:tbl>
      <w:tblPr>
        <w:tblStyle w:val="4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690"/>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37" w:type="dxa"/>
            <w:vAlign w:val="center"/>
          </w:tcPr>
          <w:p>
            <w:pPr>
              <w:spacing w:line="360" w:lineRule="auto"/>
              <w:jc w:val="center"/>
              <w:rPr>
                <w:rFonts w:hint="eastAsia" w:ascii="宋体" w:hAnsi="宋体"/>
                <w:sz w:val="24"/>
                <w:szCs w:val="24"/>
              </w:rPr>
            </w:pPr>
            <w:r>
              <w:rPr>
                <w:rFonts w:hint="eastAsia" w:ascii="宋体" w:hAnsi="宋体"/>
                <w:sz w:val="24"/>
                <w:szCs w:val="24"/>
              </w:rPr>
              <w:t>项目名称</w:t>
            </w:r>
          </w:p>
        </w:tc>
        <w:tc>
          <w:tcPr>
            <w:tcW w:w="7287" w:type="dxa"/>
            <w:gridSpan w:val="3"/>
            <w:vAlign w:val="center"/>
          </w:tcPr>
          <w:p>
            <w:pPr>
              <w:spacing w:line="360" w:lineRule="auto"/>
              <w:jc w:val="center"/>
              <w:rPr>
                <w:rFonts w:hint="eastAsia" w:ascii="宋体" w:hAnsi="宋体"/>
                <w:szCs w:val="21"/>
              </w:rPr>
            </w:pPr>
            <w:r>
              <w:rPr>
                <w:rFonts w:hint="eastAsia" w:ascii="宋体" w:hAnsi="Courier New"/>
                <w:bCs/>
                <w:sz w:val="24"/>
                <w:szCs w:val="24"/>
              </w:rPr>
              <w:t>XXX</w:t>
            </w:r>
            <w:r>
              <w:rPr>
                <w:rFonts w:hint="eastAsia" w:ascii="宋体" w:hAnsi="宋体" w:cs="宋体"/>
                <w:bCs/>
                <w:sz w:val="24"/>
                <w:szCs w:val="24"/>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637" w:type="dxa"/>
            <w:vAlign w:val="center"/>
          </w:tcPr>
          <w:p>
            <w:pPr>
              <w:spacing w:line="360" w:lineRule="auto"/>
              <w:jc w:val="center"/>
              <w:rPr>
                <w:rFonts w:hint="eastAsia" w:ascii="宋体" w:hAnsi="宋体"/>
                <w:sz w:val="24"/>
                <w:szCs w:val="24"/>
              </w:rPr>
            </w:pPr>
            <w:r>
              <w:rPr>
                <w:rFonts w:hint="eastAsia" w:ascii="宋体" w:hAnsi="宋体"/>
                <w:sz w:val="24"/>
                <w:szCs w:val="24"/>
              </w:rPr>
              <w:t>投标单位</w:t>
            </w:r>
          </w:p>
          <w:p>
            <w:pPr>
              <w:spacing w:line="360" w:lineRule="auto"/>
              <w:jc w:val="center"/>
              <w:rPr>
                <w:rFonts w:hint="eastAsia" w:ascii="宋体" w:hAnsi="宋体"/>
                <w:sz w:val="24"/>
                <w:szCs w:val="24"/>
              </w:rPr>
            </w:pPr>
            <w:r>
              <w:rPr>
                <w:rFonts w:hint="eastAsia" w:ascii="宋体" w:hAnsi="宋体"/>
                <w:sz w:val="24"/>
                <w:szCs w:val="24"/>
              </w:rPr>
              <w:t>（全称）</w:t>
            </w:r>
          </w:p>
        </w:tc>
        <w:tc>
          <w:tcPr>
            <w:tcW w:w="7287" w:type="dxa"/>
            <w:gridSpan w:val="3"/>
            <w:vAlign w:val="center"/>
          </w:tcPr>
          <w:p>
            <w:pPr>
              <w:spacing w:line="360" w:lineRule="auto"/>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pPr>
              <w:spacing w:line="360" w:lineRule="auto"/>
              <w:jc w:val="center"/>
              <w:rPr>
                <w:rFonts w:hint="eastAsia" w:ascii="宋体" w:hAnsi="宋体"/>
                <w:sz w:val="24"/>
                <w:szCs w:val="24"/>
              </w:rPr>
            </w:pPr>
            <w:r>
              <w:rPr>
                <w:rFonts w:hint="eastAsia" w:ascii="宋体" w:hAnsi="宋体"/>
                <w:sz w:val="24"/>
                <w:szCs w:val="24"/>
              </w:rPr>
              <w:t>投标单位</w:t>
            </w:r>
          </w:p>
          <w:p>
            <w:pPr>
              <w:spacing w:line="360" w:lineRule="auto"/>
              <w:jc w:val="center"/>
              <w:rPr>
                <w:rFonts w:hint="eastAsia" w:ascii="宋体" w:hAnsi="宋体"/>
                <w:sz w:val="24"/>
                <w:szCs w:val="24"/>
              </w:rPr>
            </w:pPr>
            <w:r>
              <w:rPr>
                <w:rFonts w:hint="eastAsia" w:ascii="宋体" w:hAnsi="宋体"/>
                <w:sz w:val="24"/>
                <w:szCs w:val="24"/>
              </w:rPr>
              <w:t>简介</w:t>
            </w:r>
          </w:p>
        </w:tc>
        <w:tc>
          <w:tcPr>
            <w:tcW w:w="7287" w:type="dxa"/>
            <w:gridSpan w:val="3"/>
            <w:vAlign w:val="center"/>
          </w:tcPr>
          <w:p>
            <w:pPr>
              <w:spacing w:line="360" w:lineRule="auto"/>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pPr>
              <w:spacing w:line="360" w:lineRule="auto"/>
              <w:jc w:val="center"/>
              <w:rPr>
                <w:rFonts w:hint="eastAsia" w:ascii="宋体" w:hAnsi="宋体"/>
                <w:sz w:val="24"/>
                <w:szCs w:val="24"/>
              </w:rPr>
            </w:pPr>
            <w:r>
              <w:rPr>
                <w:rFonts w:hint="eastAsia" w:ascii="宋体" w:hAnsi="宋体"/>
                <w:sz w:val="24"/>
                <w:szCs w:val="24"/>
              </w:rPr>
              <w:t>项目负责人</w:t>
            </w:r>
          </w:p>
        </w:tc>
        <w:tc>
          <w:tcPr>
            <w:tcW w:w="2690" w:type="dxa"/>
            <w:vAlign w:val="center"/>
          </w:tcPr>
          <w:p>
            <w:pPr>
              <w:spacing w:line="360" w:lineRule="auto"/>
              <w:jc w:val="center"/>
              <w:rPr>
                <w:rFonts w:hint="eastAsia" w:ascii="宋体" w:hAnsi="宋体"/>
                <w:sz w:val="24"/>
                <w:szCs w:val="24"/>
              </w:rPr>
            </w:pPr>
          </w:p>
        </w:tc>
        <w:tc>
          <w:tcPr>
            <w:tcW w:w="2272" w:type="dxa"/>
            <w:vAlign w:val="center"/>
          </w:tcPr>
          <w:p>
            <w:pPr>
              <w:spacing w:line="360" w:lineRule="auto"/>
              <w:jc w:val="center"/>
              <w:rPr>
                <w:rFonts w:hint="eastAsia" w:ascii="宋体" w:hAnsi="宋体"/>
                <w:sz w:val="24"/>
                <w:szCs w:val="24"/>
              </w:rPr>
            </w:pPr>
            <w:r>
              <w:rPr>
                <w:rFonts w:hint="eastAsia" w:ascii="宋体" w:hAnsi="宋体"/>
                <w:sz w:val="24"/>
                <w:szCs w:val="24"/>
              </w:rPr>
              <w:t>联系电话</w:t>
            </w:r>
          </w:p>
        </w:tc>
        <w:tc>
          <w:tcPr>
            <w:tcW w:w="2325" w:type="dxa"/>
            <w:vAlign w:val="center"/>
          </w:tcPr>
          <w:p>
            <w:pPr>
              <w:spacing w:line="360" w:lineRule="auto"/>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37" w:type="dxa"/>
            <w:vAlign w:val="center"/>
          </w:tcPr>
          <w:p>
            <w:pPr>
              <w:spacing w:line="360" w:lineRule="auto"/>
              <w:jc w:val="center"/>
              <w:rPr>
                <w:rFonts w:hint="eastAsia" w:ascii="宋体" w:hAnsi="宋体"/>
                <w:sz w:val="24"/>
                <w:szCs w:val="24"/>
              </w:rPr>
            </w:pPr>
            <w:r>
              <w:rPr>
                <w:rFonts w:hint="eastAsia" w:ascii="宋体" w:hAnsi="宋体"/>
                <w:sz w:val="24"/>
                <w:szCs w:val="24"/>
              </w:rPr>
              <w:t>公司电话</w:t>
            </w:r>
          </w:p>
        </w:tc>
        <w:tc>
          <w:tcPr>
            <w:tcW w:w="2690" w:type="dxa"/>
            <w:vAlign w:val="center"/>
          </w:tcPr>
          <w:p>
            <w:pPr>
              <w:spacing w:line="360" w:lineRule="auto"/>
              <w:jc w:val="center"/>
              <w:rPr>
                <w:rFonts w:hint="eastAsia" w:ascii="宋体" w:hAnsi="宋体"/>
                <w:sz w:val="24"/>
                <w:szCs w:val="24"/>
              </w:rPr>
            </w:pPr>
          </w:p>
        </w:tc>
        <w:tc>
          <w:tcPr>
            <w:tcW w:w="2272" w:type="dxa"/>
            <w:vAlign w:val="center"/>
          </w:tcPr>
          <w:p>
            <w:pPr>
              <w:spacing w:line="360" w:lineRule="auto"/>
              <w:jc w:val="center"/>
              <w:rPr>
                <w:rFonts w:hint="eastAsia" w:ascii="宋体" w:hAnsi="宋体"/>
                <w:sz w:val="24"/>
                <w:szCs w:val="24"/>
              </w:rPr>
            </w:pPr>
            <w:r>
              <w:rPr>
                <w:rFonts w:hint="eastAsia" w:ascii="宋体" w:hAnsi="宋体"/>
                <w:sz w:val="24"/>
                <w:szCs w:val="24"/>
              </w:rPr>
              <w:t>传真</w:t>
            </w:r>
          </w:p>
        </w:tc>
        <w:tc>
          <w:tcPr>
            <w:tcW w:w="2325" w:type="dxa"/>
            <w:vAlign w:val="center"/>
          </w:tcPr>
          <w:p>
            <w:pPr>
              <w:spacing w:line="360" w:lineRule="auto"/>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637" w:type="dxa"/>
            <w:vAlign w:val="center"/>
          </w:tcPr>
          <w:p>
            <w:pPr>
              <w:spacing w:line="360" w:lineRule="auto"/>
              <w:jc w:val="center"/>
              <w:rPr>
                <w:rFonts w:hint="eastAsia" w:ascii="宋体" w:hAnsi="宋体"/>
                <w:sz w:val="24"/>
                <w:szCs w:val="24"/>
              </w:rPr>
            </w:pPr>
            <w:r>
              <w:rPr>
                <w:rFonts w:hint="eastAsia" w:ascii="宋体" w:hAnsi="宋体"/>
                <w:sz w:val="24"/>
                <w:szCs w:val="24"/>
              </w:rPr>
              <w:t>E-mail</w:t>
            </w:r>
          </w:p>
        </w:tc>
        <w:tc>
          <w:tcPr>
            <w:tcW w:w="7287" w:type="dxa"/>
            <w:gridSpan w:val="3"/>
            <w:vAlign w:val="center"/>
          </w:tcPr>
          <w:p>
            <w:pPr>
              <w:spacing w:line="360" w:lineRule="auto"/>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7" w:type="dxa"/>
            <w:vAlign w:val="center"/>
          </w:tcPr>
          <w:p>
            <w:pPr>
              <w:spacing w:line="360" w:lineRule="auto"/>
              <w:jc w:val="center"/>
              <w:rPr>
                <w:rFonts w:hint="eastAsia" w:ascii="宋体" w:hAnsi="宋体"/>
                <w:sz w:val="24"/>
                <w:szCs w:val="24"/>
              </w:rPr>
            </w:pPr>
            <w:r>
              <w:rPr>
                <w:rFonts w:hint="eastAsia" w:ascii="宋体" w:hAnsi="宋体"/>
                <w:sz w:val="24"/>
                <w:szCs w:val="24"/>
              </w:rPr>
              <w:t>报名时间</w:t>
            </w:r>
          </w:p>
        </w:tc>
        <w:tc>
          <w:tcPr>
            <w:tcW w:w="7287" w:type="dxa"/>
            <w:gridSpan w:val="3"/>
            <w:vAlign w:val="center"/>
          </w:tcPr>
          <w:p>
            <w:pPr>
              <w:spacing w:line="360" w:lineRule="auto"/>
              <w:jc w:val="center"/>
              <w:rPr>
                <w:rFonts w:hint="eastAsia" w:ascii="宋体" w:hAnsi="宋体"/>
                <w:sz w:val="24"/>
                <w:szCs w:val="24"/>
              </w:rPr>
            </w:pPr>
            <w:r>
              <w:rPr>
                <w:rFonts w:hint="eastAsia" w:ascii="宋体" w:hAnsi="宋体"/>
                <w:sz w:val="24"/>
                <w:szCs w:val="24"/>
              </w:rPr>
              <w:t>年   月   日</w:t>
            </w:r>
          </w:p>
        </w:tc>
      </w:tr>
    </w:tbl>
    <w:p>
      <w:pPr>
        <w:spacing w:line="360" w:lineRule="auto"/>
        <w:ind w:left="472" w:right="69" w:rightChars="33" w:hanging="472" w:hangingChars="196"/>
        <w:rPr>
          <w:rFonts w:hint="eastAsia" w:ascii="宋体" w:hAnsi="宋体"/>
          <w:sz w:val="24"/>
          <w:szCs w:val="24"/>
        </w:rPr>
      </w:pPr>
      <w:r>
        <w:rPr>
          <w:rFonts w:hint="eastAsia" w:ascii="宋体" w:hAnsi="宋体"/>
          <w:b/>
          <w:sz w:val="24"/>
          <w:szCs w:val="24"/>
        </w:rPr>
        <w:t>注：</w:t>
      </w:r>
      <w:r>
        <w:rPr>
          <w:rFonts w:hint="eastAsia" w:ascii="宋体" w:hAnsi="宋体"/>
          <w:sz w:val="24"/>
          <w:szCs w:val="24"/>
        </w:rPr>
        <w:t>请投标单位认真填写并加盖公章，并于规定时间前回传。缺项及不按要求时间回复均视为自动放弃本次投标资格。</w:t>
      </w:r>
    </w:p>
    <w:p>
      <w:pPr>
        <w:spacing w:line="360" w:lineRule="auto"/>
        <w:rPr>
          <w:rFonts w:hint="eastAsia" w:ascii="宋体" w:hAnsi="宋体"/>
          <w:b/>
          <w:bCs/>
          <w:sz w:val="28"/>
          <w:szCs w:val="24"/>
        </w:rPr>
      </w:pPr>
      <w:r>
        <w:rPr>
          <w:rFonts w:hint="eastAsia" w:ascii="宋体" w:hAnsi="宋体"/>
          <w:sz w:val="24"/>
          <w:szCs w:val="24"/>
        </w:rPr>
        <w:t xml:space="preserve">联系人：           </w:t>
      </w:r>
      <w:r>
        <w:rPr>
          <w:rFonts w:hint="eastAsia" w:ascii="宋体" w:hAnsi="宋体"/>
          <w:color w:val="FF0000"/>
          <w:sz w:val="24"/>
          <w:szCs w:val="24"/>
        </w:rPr>
        <w:t xml:space="preserve">      </w:t>
      </w:r>
      <w:r>
        <w:rPr>
          <w:rFonts w:hint="eastAsia" w:ascii="宋体" w:hAnsi="宋体"/>
          <w:sz w:val="24"/>
        </w:rPr>
        <w:t>联系电话：                    传真：</w:t>
      </w:r>
    </w:p>
    <w:p>
      <w:pPr>
        <w:spacing w:line="360" w:lineRule="auto"/>
        <w:rPr>
          <w:rFonts w:hint="eastAsia" w:ascii="宋体" w:hAnsi="宋体"/>
          <w:sz w:val="24"/>
          <w:szCs w:val="24"/>
        </w:rPr>
      </w:pPr>
      <w:r>
        <w:rPr>
          <w:rFonts w:hint="eastAsia" w:ascii="宋体" w:hAnsi="宋体"/>
          <w:sz w:val="24"/>
          <w:szCs w:val="24"/>
        </w:rPr>
        <w:t>投标人名称：             授权代表签字：                日期：</w:t>
      </w:r>
    </w:p>
    <w:p>
      <w:pPr>
        <w:spacing w:line="360" w:lineRule="auto"/>
        <w:rPr>
          <w:rFonts w:hint="eastAsia" w:ascii="宋体" w:hAnsi="宋体"/>
          <w:sz w:val="24"/>
          <w:szCs w:val="24"/>
        </w:rPr>
      </w:pPr>
      <w:r>
        <w:rPr>
          <w:rFonts w:ascii="宋体" w:hAnsi="宋体"/>
          <w:sz w:val="24"/>
          <w:szCs w:val="24"/>
        </w:rPr>
        <w:br w:type="page"/>
      </w:r>
      <w:r>
        <w:rPr>
          <w:rFonts w:hint="eastAsia" w:ascii="宋体" w:hAnsi="宋体"/>
          <w:b/>
          <w:bCs/>
          <w:sz w:val="28"/>
          <w:szCs w:val="24"/>
        </w:rPr>
        <w:t>附件6</w:t>
      </w:r>
    </w:p>
    <w:p>
      <w:pPr>
        <w:jc w:val="center"/>
        <w:rPr>
          <w:rFonts w:ascii="Calibri" w:hAnsi="Calibri" w:eastAsia="黑体"/>
          <w:b/>
          <w:bCs/>
          <w:sz w:val="28"/>
          <w:szCs w:val="24"/>
        </w:rPr>
      </w:pPr>
      <w:r>
        <w:rPr>
          <w:rFonts w:hint="eastAsia" w:ascii="Calibri" w:hAnsi="Calibri" w:eastAsia="黑体"/>
          <w:b/>
          <w:bCs/>
          <w:sz w:val="28"/>
          <w:szCs w:val="24"/>
        </w:rPr>
        <w:t>免费增值服务（优惠项目说明）</w:t>
      </w:r>
    </w:p>
    <w:tbl>
      <w:tblPr>
        <w:tblStyle w:val="48"/>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594" w:type="dxa"/>
            <w:vAlign w:val="center"/>
          </w:tcPr>
          <w:p>
            <w:pPr>
              <w:spacing w:line="360" w:lineRule="auto"/>
              <w:ind w:firstLine="480" w:firstLineChars="200"/>
              <w:jc w:val="center"/>
              <w:rPr>
                <w:rFonts w:hint="eastAsia" w:ascii="宋体" w:hAnsi="宋体"/>
                <w:szCs w:val="24"/>
              </w:rPr>
            </w:pPr>
            <w:r>
              <w:rPr>
                <w:rFonts w:hint="eastAsia" w:ascii="宋体" w:hAnsi="宋体"/>
                <w:sz w:val="24"/>
                <w:szCs w:val="24"/>
              </w:rPr>
              <w:t>格式自拟</w:t>
            </w:r>
          </w:p>
        </w:tc>
      </w:tr>
    </w:tbl>
    <w:p>
      <w:pPr>
        <w:spacing w:line="360" w:lineRule="auto"/>
        <w:rPr>
          <w:rFonts w:hint="eastAsia" w:ascii="宋体" w:hAnsi="宋体"/>
          <w:sz w:val="24"/>
          <w:szCs w:val="24"/>
        </w:rPr>
      </w:pPr>
      <w:r>
        <w:rPr>
          <w:rFonts w:hint="eastAsia" w:ascii="宋体" w:hAnsi="宋体"/>
          <w:sz w:val="24"/>
          <w:szCs w:val="24"/>
        </w:rPr>
        <w:t>投标人名称：                   授权代表签字：            日期：</w:t>
      </w:r>
    </w:p>
    <w:p>
      <w:pPr>
        <w:spacing w:line="660" w:lineRule="exact"/>
        <w:rPr>
          <w:rFonts w:ascii="Calibri" w:hAnsi="Calibri"/>
          <w:b/>
          <w:bCs/>
          <w:sz w:val="28"/>
          <w:szCs w:val="24"/>
        </w:rPr>
      </w:pPr>
      <w:r>
        <w:rPr>
          <w:rFonts w:hint="eastAsia" w:ascii="宋体" w:hAnsi="宋体"/>
          <w:b/>
          <w:bCs/>
          <w:sz w:val="28"/>
          <w:szCs w:val="24"/>
        </w:rPr>
        <w:t>附件7</w:t>
      </w:r>
    </w:p>
    <w:p>
      <w:pPr>
        <w:jc w:val="center"/>
        <w:rPr>
          <w:rFonts w:ascii="Calibri" w:hAnsi="Calibri" w:eastAsia="黑体"/>
          <w:sz w:val="28"/>
          <w:szCs w:val="24"/>
        </w:rPr>
      </w:pPr>
      <w:r>
        <w:rPr>
          <w:rFonts w:hint="eastAsia" w:ascii="Calibri" w:hAnsi="Calibri" w:eastAsia="黑体"/>
          <w:b/>
          <w:bCs/>
          <w:sz w:val="28"/>
          <w:szCs w:val="24"/>
        </w:rPr>
        <w:t>承诺书</w:t>
      </w:r>
    </w:p>
    <w:tbl>
      <w:tblPr>
        <w:tblStyle w:val="48"/>
        <w:tblW w:w="85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trPr>
        <w:tc>
          <w:tcPr>
            <w:tcW w:w="8553" w:type="dxa"/>
            <w:tcBorders>
              <w:top w:val="single" w:color="auto" w:sz="4" w:space="0"/>
              <w:left w:val="single" w:color="auto" w:sz="4" w:space="0"/>
              <w:bottom w:val="single" w:color="auto" w:sz="4" w:space="0"/>
              <w:right w:val="single" w:color="auto" w:sz="4" w:space="0"/>
            </w:tcBorders>
            <w:noWrap/>
          </w:tcPr>
          <w:p>
            <w:pPr>
              <w:rPr>
                <w:rFonts w:hint="eastAsia" w:ascii="宋体" w:hAnsi="宋体" w:cs="宋体"/>
                <w:sz w:val="24"/>
                <w:szCs w:val="24"/>
              </w:rPr>
            </w:pPr>
            <w:r>
              <w:rPr>
                <w:rFonts w:hint="eastAsia" w:ascii="宋体" w:hAnsi="宋体" w:cs="宋体"/>
                <w:sz w:val="24"/>
                <w:szCs w:val="24"/>
              </w:rPr>
              <w:t>投标人承诺：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我公司承诺遵守贵公司由于招标人公司政策变化引起的随时终止项目的要求并承担由此带来的一切损失。</w:t>
            </w:r>
          </w:p>
          <w:p>
            <w:pPr>
              <w:rPr>
                <w:rFonts w:hint="eastAsia" w:ascii="宋体" w:hAnsi="宋体" w:cs="宋体"/>
                <w:sz w:val="24"/>
                <w:szCs w:val="24"/>
              </w:rPr>
            </w:pPr>
          </w:p>
        </w:tc>
      </w:tr>
    </w:tbl>
    <w:p>
      <w:pPr>
        <w:rPr>
          <w:rFonts w:hint="eastAsia" w:ascii="宋体" w:hAnsi="宋体" w:cs="宋体"/>
          <w:sz w:val="24"/>
          <w:szCs w:val="24"/>
        </w:rPr>
      </w:pPr>
    </w:p>
    <w:p>
      <w:pPr>
        <w:rPr>
          <w:rFonts w:hint="eastAsia" w:ascii="宋体" w:hAnsi="宋体" w:cs="宋体"/>
          <w:sz w:val="24"/>
          <w:szCs w:val="24"/>
        </w:rPr>
      </w:pPr>
      <w:r>
        <w:rPr>
          <w:rFonts w:hint="eastAsia" w:ascii="宋体" w:hAnsi="宋体" w:cs="宋体"/>
          <w:sz w:val="24"/>
          <w:szCs w:val="24"/>
        </w:rPr>
        <w:t>投标人名称（盖章）：              法定代表人或授权代表签字：</w:t>
      </w:r>
    </w:p>
    <w:p>
      <w:pPr>
        <w:rPr>
          <w:rFonts w:hint="eastAsia" w:ascii="宋体" w:hAnsi="宋体" w:cs="宋体"/>
          <w:sz w:val="24"/>
          <w:szCs w:val="24"/>
        </w:rPr>
      </w:pPr>
    </w:p>
    <w:p>
      <w:pPr>
        <w:spacing w:line="360" w:lineRule="auto"/>
        <w:ind w:left="1190" w:leftChars="-6" w:hanging="1203" w:hangingChars="428"/>
        <w:rPr>
          <w:rFonts w:hint="eastAsia" w:ascii="宋体" w:hAnsi="宋体"/>
          <w:szCs w:val="21"/>
        </w:rPr>
      </w:pPr>
      <w:r>
        <w:rPr>
          <w:rFonts w:hint="eastAsia" w:ascii="宋体" w:hAnsi="宋体"/>
          <w:b/>
          <w:bCs/>
          <w:sz w:val="28"/>
          <w:szCs w:val="24"/>
        </w:rPr>
        <w:t>附件8</w:t>
      </w:r>
    </w:p>
    <w:p>
      <w:pPr>
        <w:jc w:val="center"/>
        <w:rPr>
          <w:rFonts w:ascii="Calibri" w:hAnsi="Calibri" w:eastAsia="黑体"/>
          <w:b/>
          <w:bCs/>
          <w:sz w:val="28"/>
          <w:szCs w:val="24"/>
        </w:rPr>
      </w:pPr>
      <w:r>
        <w:rPr>
          <w:rFonts w:hint="eastAsia" w:ascii="Calibri" w:hAnsi="Calibri" w:eastAsia="黑体"/>
          <w:b/>
          <w:bCs/>
          <w:sz w:val="28"/>
          <w:szCs w:val="24"/>
        </w:rPr>
        <w:t>投标保证金退付表</w:t>
      </w:r>
    </w:p>
    <w:tbl>
      <w:tblPr>
        <w:tblStyle w:val="48"/>
        <w:tblW w:w="856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pPr>
              <w:spacing w:line="360" w:lineRule="auto"/>
              <w:rPr>
                <w:rFonts w:ascii="宋体" w:hAnsi="Courier New"/>
                <w:szCs w:val="24"/>
              </w:rPr>
            </w:pPr>
            <w:r>
              <w:rPr>
                <w:rFonts w:hint="eastAsia" w:ascii="宋体" w:hAnsi="Courier New"/>
                <w:szCs w:val="24"/>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pPr>
              <w:spacing w:line="360" w:lineRule="auto"/>
              <w:rPr>
                <w:rFonts w:ascii="宋体" w:hAnsi="Courier New"/>
                <w:szCs w:val="24"/>
              </w:rPr>
            </w:pPr>
            <w:r>
              <w:rPr>
                <w:rFonts w:hint="eastAsia" w:ascii="宋体" w:hAnsi="Courier New"/>
                <w:szCs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pPr>
              <w:spacing w:line="360" w:lineRule="auto"/>
              <w:rPr>
                <w:rFonts w:ascii="宋体" w:hAnsi="Courier New"/>
                <w:szCs w:val="24"/>
              </w:rPr>
            </w:pPr>
            <w:r>
              <w:rPr>
                <w:rFonts w:hint="eastAsia" w:ascii="宋体" w:hAnsi="Courier New"/>
                <w:szCs w:val="24"/>
              </w:rPr>
              <w:t>开户银行行号：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pPr>
              <w:spacing w:line="360" w:lineRule="auto"/>
              <w:rPr>
                <w:rFonts w:ascii="宋体" w:hAnsi="Courier New"/>
                <w:szCs w:val="24"/>
              </w:rPr>
            </w:pPr>
            <w:r>
              <w:rPr>
                <w:rFonts w:hint="eastAsia" w:ascii="宋体" w:hAnsi="Courier New"/>
                <w:szCs w:val="24"/>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pPr>
              <w:spacing w:line="360" w:lineRule="auto"/>
              <w:rPr>
                <w:rFonts w:ascii="宋体" w:hAnsi="Courier New"/>
                <w:szCs w:val="24"/>
              </w:rPr>
            </w:pPr>
            <w:r>
              <w:rPr>
                <w:rFonts w:hint="eastAsia" w:ascii="宋体" w:hAnsi="Courier New"/>
                <w:szCs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pPr>
              <w:spacing w:line="360" w:lineRule="auto"/>
              <w:rPr>
                <w:rFonts w:ascii="宋体" w:hAnsi="Courier New"/>
                <w:szCs w:val="24"/>
              </w:rPr>
            </w:pPr>
            <w:r>
              <w:rPr>
                <w:rFonts w:hint="eastAsia" w:ascii="宋体" w:hAnsi="Courier New"/>
                <w:szCs w:val="24"/>
              </w:rPr>
              <w:t>纳税人识别号：</w:t>
            </w:r>
          </w:p>
        </w:tc>
      </w:tr>
    </w:tbl>
    <w:p>
      <w:pPr>
        <w:spacing w:line="360" w:lineRule="auto"/>
        <w:ind w:firstLine="240" w:firstLineChars="100"/>
        <w:rPr>
          <w:rFonts w:hint="eastAsia" w:ascii="仿宋_GB2312" w:hAnsi="宋体" w:eastAsia="仿宋_GB2312"/>
          <w:sz w:val="24"/>
          <w:szCs w:val="24"/>
        </w:rPr>
      </w:pPr>
    </w:p>
    <w:p>
      <w:pPr>
        <w:spacing w:line="360" w:lineRule="auto"/>
        <w:ind w:firstLine="240" w:firstLineChars="100"/>
        <w:rPr>
          <w:rFonts w:hint="eastAsia" w:ascii="宋体" w:hAnsi="宋体" w:cs="宋体"/>
          <w:b/>
          <w:sz w:val="24"/>
          <w:szCs w:val="24"/>
        </w:rPr>
      </w:pPr>
      <w:r>
        <w:rPr>
          <w:rFonts w:hint="eastAsia" w:ascii="宋体" w:hAnsi="宋体" w:cs="宋体"/>
          <w:sz w:val="24"/>
          <w:szCs w:val="24"/>
        </w:rPr>
        <w:t>投标人名称（盖章）：              法定代表人或授权代表签字：</w:t>
      </w:r>
    </w:p>
    <w:p>
      <w:pPr>
        <w:pStyle w:val="43"/>
        <w:rPr>
          <w:rFonts w:hint="eastAsia" w:cs="Arial"/>
        </w:rPr>
      </w:pPr>
    </w:p>
    <w:p>
      <w:pPr>
        <w:pStyle w:val="43"/>
        <w:rPr>
          <w:rFonts w:hint="eastAsia" w:cs="Arial"/>
        </w:rPr>
      </w:pPr>
    </w:p>
    <w:p>
      <w:pPr>
        <w:keepNext/>
        <w:keepLines/>
        <w:ind w:left="3502" w:hanging="3502" w:hangingChars="1246"/>
        <w:jc w:val="left"/>
        <w:outlineLvl w:val="2"/>
        <w:rPr>
          <w:rFonts w:hint="eastAsia" w:ascii="黑体" w:hAnsi="黑体" w:eastAsia="黑体" w:cs="黑体"/>
          <w:b/>
          <w:bCs/>
          <w:sz w:val="28"/>
          <w:szCs w:val="24"/>
        </w:rPr>
      </w:pPr>
      <w:r>
        <w:rPr>
          <w:rFonts w:hint="eastAsia" w:ascii="宋体" w:hAnsi="宋体" w:cs="宋体"/>
          <w:b/>
          <w:bCs/>
          <w:sz w:val="28"/>
          <w:szCs w:val="24"/>
        </w:rPr>
        <w:t xml:space="preserve">附件9                                                          </w:t>
      </w:r>
      <w:r>
        <w:rPr>
          <w:rFonts w:hint="eastAsia" w:ascii="黑体" w:hAnsi="黑体" w:eastAsia="黑体" w:cs="黑体"/>
          <w:b/>
          <w:bCs/>
          <w:sz w:val="28"/>
          <w:szCs w:val="24"/>
        </w:rPr>
        <w:t>投标人基本情况表</w:t>
      </w:r>
    </w:p>
    <w:tbl>
      <w:tblPr>
        <w:tblStyle w:val="48"/>
        <w:tblpPr w:leftFromText="180" w:rightFromText="180" w:vertAnchor="text" w:horzAnchor="page" w:tblpXSpec="center" w:tblpY="370"/>
        <w:tblOverlap w:val="never"/>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jc w:val="center"/>
        </w:trPr>
        <w:tc>
          <w:tcPr>
            <w:tcW w:w="1956" w:type="dxa"/>
          </w:tcPr>
          <w:p>
            <w:pPr>
              <w:pStyle w:val="231"/>
              <w:spacing w:before="114"/>
              <w:rPr>
                <w:rFonts w:hint="eastAsia"/>
                <w:sz w:val="24"/>
                <w:szCs w:val="24"/>
              </w:rPr>
            </w:pPr>
            <w:r>
              <w:rPr>
                <w:rFonts w:hint="eastAsia"/>
                <w:sz w:val="24"/>
                <w:szCs w:val="24"/>
              </w:rPr>
              <w:t>企业名称</w:t>
            </w:r>
          </w:p>
        </w:tc>
        <w:tc>
          <w:tcPr>
            <w:tcW w:w="4680" w:type="dxa"/>
            <w:gridSpan w:val="4"/>
            <w:vAlign w:val="center"/>
          </w:tcPr>
          <w:p>
            <w:pPr>
              <w:widowControl/>
              <w:jc w:val="center"/>
              <w:textAlignment w:val="center"/>
              <w:rPr>
                <w:rFonts w:hint="eastAsia" w:ascii="宋体" w:hAnsi="宋体" w:cs="宋体"/>
                <w:kern w:val="0"/>
                <w:sz w:val="24"/>
              </w:rPr>
            </w:pPr>
          </w:p>
        </w:tc>
        <w:tc>
          <w:tcPr>
            <w:tcW w:w="1310" w:type="dxa"/>
          </w:tcPr>
          <w:p>
            <w:pPr>
              <w:pStyle w:val="231"/>
              <w:spacing w:before="106"/>
              <w:ind w:right="26"/>
              <w:rPr>
                <w:rFonts w:hint="eastAsia"/>
                <w:sz w:val="24"/>
                <w:szCs w:val="24"/>
              </w:rPr>
            </w:pPr>
            <w:r>
              <w:rPr>
                <w:rFonts w:hint="eastAsia"/>
                <w:sz w:val="24"/>
                <w:szCs w:val="24"/>
              </w:rPr>
              <w:t>联系人</w:t>
            </w:r>
          </w:p>
        </w:tc>
        <w:tc>
          <w:tcPr>
            <w:tcW w:w="1510" w:type="dxa"/>
            <w:vAlign w:val="center"/>
          </w:tcPr>
          <w:p>
            <w:pPr>
              <w:widowControl/>
              <w:jc w:val="center"/>
              <w:textAlignment w:val="center"/>
              <w:rPr>
                <w:rFonts w:hint="eastAsia"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2" w:hRule="atLeast"/>
          <w:jc w:val="center"/>
        </w:trPr>
        <w:tc>
          <w:tcPr>
            <w:tcW w:w="1956" w:type="dxa"/>
          </w:tcPr>
          <w:p>
            <w:pPr>
              <w:pStyle w:val="231"/>
              <w:spacing w:before="114"/>
              <w:rPr>
                <w:rFonts w:hint="eastAsia"/>
                <w:sz w:val="24"/>
                <w:szCs w:val="24"/>
              </w:rPr>
            </w:pPr>
            <w:r>
              <w:rPr>
                <w:rFonts w:hint="eastAsia"/>
                <w:sz w:val="24"/>
                <w:szCs w:val="24"/>
              </w:rPr>
              <w:t>企业地址</w:t>
            </w:r>
          </w:p>
        </w:tc>
        <w:tc>
          <w:tcPr>
            <w:tcW w:w="4680" w:type="dxa"/>
            <w:gridSpan w:val="4"/>
            <w:vAlign w:val="center"/>
          </w:tcPr>
          <w:p>
            <w:pPr>
              <w:widowControl/>
              <w:jc w:val="center"/>
              <w:textAlignment w:val="center"/>
              <w:rPr>
                <w:rFonts w:hint="eastAsia" w:ascii="宋体" w:hAnsi="宋体" w:cs="宋体"/>
                <w:kern w:val="0"/>
                <w:sz w:val="24"/>
              </w:rPr>
            </w:pPr>
          </w:p>
        </w:tc>
        <w:tc>
          <w:tcPr>
            <w:tcW w:w="1310" w:type="dxa"/>
          </w:tcPr>
          <w:p>
            <w:pPr>
              <w:pStyle w:val="231"/>
              <w:spacing w:before="106"/>
              <w:ind w:right="26"/>
              <w:rPr>
                <w:rFonts w:hint="eastAsia"/>
                <w:sz w:val="24"/>
                <w:szCs w:val="24"/>
              </w:rPr>
            </w:pPr>
            <w:r>
              <w:rPr>
                <w:rFonts w:hint="eastAsia"/>
                <w:sz w:val="24"/>
                <w:szCs w:val="24"/>
              </w:rPr>
              <w:t>联系人电话</w:t>
            </w:r>
          </w:p>
        </w:tc>
        <w:tc>
          <w:tcPr>
            <w:tcW w:w="1510" w:type="dxa"/>
            <w:vAlign w:val="center"/>
          </w:tcPr>
          <w:p>
            <w:pPr>
              <w:widowControl/>
              <w:jc w:val="center"/>
              <w:textAlignment w:val="center"/>
              <w:rPr>
                <w:rFonts w:hint="eastAsia"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956" w:type="dxa"/>
          </w:tcPr>
          <w:p>
            <w:pPr>
              <w:pStyle w:val="231"/>
              <w:spacing w:before="111"/>
              <w:rPr>
                <w:rFonts w:hint="eastAsia"/>
                <w:sz w:val="24"/>
                <w:szCs w:val="24"/>
              </w:rPr>
            </w:pPr>
            <w:r>
              <w:rPr>
                <w:rFonts w:hint="eastAsia"/>
                <w:sz w:val="24"/>
                <w:szCs w:val="24"/>
              </w:rPr>
              <w:t>企业性质</w:t>
            </w:r>
          </w:p>
        </w:tc>
        <w:tc>
          <w:tcPr>
            <w:tcW w:w="4680" w:type="dxa"/>
            <w:gridSpan w:val="4"/>
            <w:vAlign w:val="center"/>
          </w:tcPr>
          <w:p>
            <w:pPr>
              <w:widowControl/>
              <w:jc w:val="center"/>
              <w:textAlignment w:val="center"/>
              <w:rPr>
                <w:rFonts w:hint="eastAsia" w:ascii="宋体" w:hAnsi="宋体" w:cs="宋体"/>
                <w:kern w:val="0"/>
                <w:sz w:val="24"/>
              </w:rPr>
            </w:pPr>
          </w:p>
        </w:tc>
        <w:tc>
          <w:tcPr>
            <w:tcW w:w="1310" w:type="dxa"/>
          </w:tcPr>
          <w:p>
            <w:pPr>
              <w:pStyle w:val="231"/>
              <w:spacing w:before="103"/>
              <w:ind w:right="26"/>
              <w:rPr>
                <w:rFonts w:hint="eastAsia"/>
                <w:sz w:val="24"/>
                <w:szCs w:val="24"/>
              </w:rPr>
            </w:pPr>
            <w:r>
              <w:rPr>
                <w:rFonts w:hint="eastAsia"/>
                <w:sz w:val="24"/>
                <w:szCs w:val="24"/>
              </w:rPr>
              <w:t>注册时间</w:t>
            </w:r>
          </w:p>
        </w:tc>
        <w:tc>
          <w:tcPr>
            <w:tcW w:w="1510" w:type="dxa"/>
            <w:vAlign w:val="center"/>
          </w:tcPr>
          <w:p>
            <w:pPr>
              <w:widowControl/>
              <w:jc w:val="center"/>
              <w:textAlignment w:val="center"/>
              <w:rPr>
                <w:rFonts w:hint="eastAsia"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4" w:hRule="atLeast"/>
          <w:jc w:val="center"/>
        </w:trPr>
        <w:tc>
          <w:tcPr>
            <w:tcW w:w="1956" w:type="dxa"/>
          </w:tcPr>
          <w:p>
            <w:pPr>
              <w:pStyle w:val="231"/>
              <w:spacing w:before="111"/>
              <w:rPr>
                <w:rFonts w:hint="eastAsia"/>
                <w:sz w:val="24"/>
                <w:szCs w:val="24"/>
              </w:rPr>
            </w:pPr>
            <w:r>
              <w:rPr>
                <w:rFonts w:hint="eastAsia"/>
                <w:sz w:val="24"/>
                <w:szCs w:val="24"/>
              </w:rPr>
              <w:t>企业法人代表</w:t>
            </w:r>
          </w:p>
        </w:tc>
        <w:tc>
          <w:tcPr>
            <w:tcW w:w="4680" w:type="dxa"/>
            <w:gridSpan w:val="4"/>
          </w:tcPr>
          <w:p>
            <w:pPr>
              <w:pStyle w:val="5"/>
              <w:keepNext w:val="0"/>
              <w:keepLines w:val="0"/>
              <w:widowControl/>
              <w:shd w:val="clear" w:color="auto" w:fill="FFFFFF"/>
              <w:spacing w:line="450" w:lineRule="atLeast"/>
              <w:jc w:val="center"/>
              <w:rPr>
                <w:rFonts w:hint="eastAsia" w:ascii="宋体" w:hAnsi="宋体" w:cs="宋体"/>
                <w:sz w:val="24"/>
                <w:szCs w:val="24"/>
              </w:rPr>
            </w:pPr>
          </w:p>
        </w:tc>
        <w:tc>
          <w:tcPr>
            <w:tcW w:w="1310" w:type="dxa"/>
          </w:tcPr>
          <w:p>
            <w:pPr>
              <w:pStyle w:val="231"/>
              <w:spacing w:before="103"/>
              <w:ind w:right="26"/>
              <w:rPr>
                <w:rFonts w:hint="eastAsia"/>
                <w:sz w:val="24"/>
                <w:szCs w:val="24"/>
              </w:rPr>
            </w:pPr>
            <w:r>
              <w:rPr>
                <w:rFonts w:hint="eastAsia"/>
                <w:sz w:val="24"/>
                <w:szCs w:val="24"/>
              </w:rPr>
              <w:t>企业资质</w:t>
            </w:r>
          </w:p>
        </w:tc>
        <w:tc>
          <w:tcPr>
            <w:tcW w:w="1510" w:type="dxa"/>
            <w:vAlign w:val="center"/>
          </w:tcPr>
          <w:p>
            <w:pPr>
              <w:widowControl/>
              <w:jc w:val="center"/>
              <w:textAlignment w:val="center"/>
              <w:rPr>
                <w:rFonts w:hint="eastAsia"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9456" w:type="dxa"/>
            <w:gridSpan w:val="7"/>
          </w:tcPr>
          <w:p>
            <w:pPr>
              <w:pStyle w:val="231"/>
              <w:spacing w:before="149"/>
              <w:ind w:left="3345" w:right="3223"/>
              <w:rPr>
                <w:rFonts w:hint="eastAsia"/>
                <w:sz w:val="24"/>
                <w:szCs w:val="24"/>
              </w:rPr>
            </w:pPr>
            <w:r>
              <w:rPr>
                <w:rFonts w:hint="eastAsia"/>
                <w:b/>
                <w:bCs/>
                <w:sz w:val="24"/>
                <w:szCs w:val="24"/>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956" w:type="dxa"/>
            <w:vAlign w:val="center"/>
          </w:tcPr>
          <w:p>
            <w:pPr>
              <w:widowControl/>
              <w:jc w:val="center"/>
              <w:textAlignment w:val="center"/>
              <w:rPr>
                <w:rFonts w:hint="eastAsia" w:ascii="宋体" w:hAnsi="宋体" w:cs="宋体"/>
                <w:kern w:val="0"/>
                <w:sz w:val="24"/>
              </w:rPr>
            </w:pPr>
            <w:r>
              <w:rPr>
                <w:rFonts w:hint="eastAsia" w:ascii="宋体" w:hAnsi="宋体" w:cs="宋体"/>
                <w:spacing w:val="-2"/>
                <w:kern w:val="0"/>
                <w:sz w:val="24"/>
              </w:rPr>
              <w:t>职工总人</w:t>
            </w:r>
            <w:r>
              <w:rPr>
                <w:rFonts w:hint="eastAsia" w:ascii="宋体" w:hAnsi="宋体" w:cs="宋体"/>
                <w:spacing w:val="-1"/>
                <w:kern w:val="0"/>
                <w:sz w:val="24"/>
              </w:rPr>
              <w:t>数</w:t>
            </w:r>
          </w:p>
        </w:tc>
        <w:tc>
          <w:tcPr>
            <w:tcW w:w="990" w:type="dxa"/>
            <w:vAlign w:val="center"/>
          </w:tcPr>
          <w:p>
            <w:pPr>
              <w:widowControl/>
              <w:textAlignment w:val="center"/>
              <w:rPr>
                <w:rFonts w:hint="eastAsia" w:ascii="宋体" w:hAnsi="宋体" w:cs="宋体"/>
                <w:kern w:val="0"/>
                <w:sz w:val="24"/>
              </w:rPr>
            </w:pPr>
          </w:p>
        </w:tc>
        <w:tc>
          <w:tcPr>
            <w:tcW w:w="1530" w:type="dxa"/>
            <w:vAlign w:val="center"/>
          </w:tcPr>
          <w:p>
            <w:pPr>
              <w:widowControl/>
              <w:jc w:val="center"/>
              <w:textAlignment w:val="center"/>
              <w:rPr>
                <w:rFonts w:hint="eastAsia" w:ascii="宋体" w:hAnsi="宋体" w:cs="宋体"/>
                <w:kern w:val="0"/>
                <w:sz w:val="24"/>
              </w:rPr>
            </w:pPr>
            <w:r>
              <w:rPr>
                <w:rFonts w:hint="eastAsia" w:ascii="宋体" w:hAnsi="宋体" w:cs="宋体"/>
                <w:spacing w:val="-2"/>
                <w:kern w:val="0"/>
                <w:sz w:val="24"/>
              </w:rPr>
              <w:t>技术人员</w:t>
            </w:r>
          </w:p>
        </w:tc>
        <w:tc>
          <w:tcPr>
            <w:tcW w:w="1063" w:type="dxa"/>
            <w:vAlign w:val="center"/>
          </w:tcPr>
          <w:p>
            <w:pPr>
              <w:widowControl/>
              <w:jc w:val="center"/>
              <w:textAlignment w:val="center"/>
              <w:rPr>
                <w:rFonts w:hint="eastAsia" w:ascii="宋体" w:hAnsi="宋体" w:cs="宋体"/>
                <w:kern w:val="0"/>
                <w:sz w:val="24"/>
              </w:rPr>
            </w:pPr>
          </w:p>
        </w:tc>
        <w:tc>
          <w:tcPr>
            <w:tcW w:w="1097" w:type="dxa"/>
            <w:vAlign w:val="center"/>
          </w:tcPr>
          <w:p>
            <w:pPr>
              <w:widowControl/>
              <w:textAlignment w:val="center"/>
              <w:rPr>
                <w:rFonts w:hint="eastAsia" w:ascii="宋体" w:hAnsi="宋体" w:cs="宋体"/>
                <w:kern w:val="0"/>
                <w:sz w:val="24"/>
              </w:rPr>
            </w:pPr>
            <w:r>
              <w:rPr>
                <w:rFonts w:hint="eastAsia" w:ascii="宋体" w:hAnsi="宋体" w:cs="宋体"/>
                <w:spacing w:val="-3"/>
                <w:kern w:val="0"/>
                <w:sz w:val="24"/>
              </w:rPr>
              <w:t>辅助人员</w:t>
            </w:r>
          </w:p>
        </w:tc>
        <w:tc>
          <w:tcPr>
            <w:tcW w:w="2820" w:type="dxa"/>
            <w:gridSpan w:val="2"/>
            <w:vAlign w:val="center"/>
          </w:tcPr>
          <w:p>
            <w:pPr>
              <w:widowControl/>
              <w:jc w:val="center"/>
              <w:textAlignment w:val="center"/>
              <w:rPr>
                <w:rFonts w:hint="eastAsia"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956" w:type="dxa"/>
            <w:vAlign w:val="center"/>
          </w:tcPr>
          <w:p>
            <w:pPr>
              <w:widowControl/>
              <w:jc w:val="center"/>
              <w:textAlignment w:val="center"/>
              <w:rPr>
                <w:rFonts w:hint="eastAsia" w:ascii="宋体" w:hAnsi="宋体" w:cs="宋体"/>
                <w:kern w:val="0"/>
                <w:sz w:val="24"/>
              </w:rPr>
            </w:pPr>
            <w:r>
              <w:rPr>
                <w:rFonts w:hint="eastAsia" w:ascii="宋体" w:hAnsi="宋体" w:cs="宋体"/>
                <w:kern w:val="0"/>
                <w:sz w:val="24"/>
                <w:lang w:bidi="ar"/>
              </w:rPr>
              <w:t>企业优势</w:t>
            </w:r>
          </w:p>
        </w:tc>
        <w:tc>
          <w:tcPr>
            <w:tcW w:w="7500" w:type="dxa"/>
            <w:gridSpan w:val="6"/>
            <w:vAlign w:val="center"/>
          </w:tcPr>
          <w:p>
            <w:pPr>
              <w:widowControl/>
              <w:jc w:val="left"/>
              <w:rPr>
                <w:rFonts w:hint="eastAsia" w:ascii="宋体" w:hAnsi="宋体" w:cs="宋体"/>
                <w:kern w:val="0"/>
                <w:sz w:val="24"/>
              </w:rPr>
            </w:pPr>
            <w:r>
              <w:rPr>
                <w:rFonts w:hint="eastAsia" w:ascii="宋体" w:hAnsi="宋体" w:cs="宋体"/>
                <w:kern w:val="0"/>
                <w:sz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86" w:hRule="atLeast"/>
          <w:jc w:val="center"/>
        </w:trPr>
        <w:tc>
          <w:tcPr>
            <w:tcW w:w="1956" w:type="dxa"/>
            <w:vAlign w:val="center"/>
          </w:tcPr>
          <w:p>
            <w:pPr>
              <w:widowControl/>
              <w:jc w:val="center"/>
              <w:textAlignment w:val="center"/>
              <w:rPr>
                <w:rFonts w:hint="eastAsia" w:ascii="宋体" w:hAnsi="宋体" w:cs="宋体"/>
                <w:kern w:val="0"/>
                <w:sz w:val="24"/>
              </w:rPr>
            </w:pPr>
            <w:r>
              <w:rPr>
                <w:rFonts w:hint="eastAsia" w:ascii="宋体" w:hAnsi="宋体" w:cs="宋体"/>
                <w:kern w:val="0"/>
                <w:sz w:val="24"/>
                <w:lang w:bidi="ar"/>
              </w:rPr>
              <w:t>企业行业水平及行业口碑</w:t>
            </w:r>
          </w:p>
        </w:tc>
        <w:tc>
          <w:tcPr>
            <w:tcW w:w="7500" w:type="dxa"/>
            <w:gridSpan w:val="6"/>
            <w:vAlign w:val="center"/>
          </w:tcPr>
          <w:p>
            <w:pPr>
              <w:widowControl/>
              <w:jc w:val="left"/>
              <w:rPr>
                <w:rFonts w:hint="eastAsia" w:ascii="宋体" w:hAnsi="宋体" w:cs="宋体"/>
                <w:kern w:val="0"/>
                <w:sz w:val="24"/>
              </w:rPr>
            </w:pPr>
            <w:r>
              <w:rPr>
                <w:rFonts w:hint="eastAsia" w:ascii="宋体" w:hAnsi="宋体" w:cs="宋体"/>
                <w:kern w:val="0"/>
                <w:sz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jc w:val="center"/>
        </w:trPr>
        <w:tc>
          <w:tcPr>
            <w:tcW w:w="1956" w:type="dxa"/>
            <w:vAlign w:val="center"/>
          </w:tcPr>
          <w:p>
            <w:pPr>
              <w:widowControl/>
              <w:jc w:val="center"/>
              <w:textAlignment w:val="center"/>
              <w:rPr>
                <w:rFonts w:hint="eastAsia" w:ascii="宋体" w:hAnsi="宋体" w:cs="宋体"/>
                <w:kern w:val="0"/>
                <w:sz w:val="24"/>
              </w:rPr>
            </w:pPr>
            <w:r>
              <w:rPr>
                <w:rFonts w:hint="eastAsia" w:ascii="宋体" w:hAnsi="宋体" w:cs="宋体"/>
                <w:kern w:val="0"/>
                <w:sz w:val="24"/>
                <w:lang w:bidi="ar"/>
              </w:rPr>
              <w:t>近三或五年企业类似业绩及履约情况</w:t>
            </w:r>
          </w:p>
        </w:tc>
        <w:tc>
          <w:tcPr>
            <w:tcW w:w="7500" w:type="dxa"/>
            <w:gridSpan w:val="6"/>
            <w:vAlign w:val="center"/>
          </w:tcPr>
          <w:p>
            <w:pPr>
              <w:widowControl/>
              <w:jc w:val="left"/>
              <w:rPr>
                <w:rFonts w:hint="eastAsia" w:ascii="宋体" w:hAnsi="宋体" w:cs="宋体"/>
                <w:kern w:val="0"/>
                <w:sz w:val="24"/>
              </w:rPr>
            </w:pPr>
            <w:r>
              <w:rPr>
                <w:rFonts w:hint="eastAsia" w:ascii="宋体" w:hAnsi="宋体" w:cs="宋体"/>
                <w:kern w:val="0"/>
                <w:sz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1956" w:type="dxa"/>
            <w:vAlign w:val="center"/>
          </w:tcPr>
          <w:p>
            <w:pPr>
              <w:widowControl/>
              <w:jc w:val="center"/>
              <w:textAlignment w:val="center"/>
              <w:rPr>
                <w:rFonts w:hint="eastAsia" w:ascii="宋体" w:hAnsi="宋体" w:cs="宋体"/>
                <w:kern w:val="0"/>
                <w:sz w:val="24"/>
              </w:rPr>
            </w:pPr>
            <w:r>
              <w:rPr>
                <w:rFonts w:hint="eastAsia" w:ascii="宋体" w:hAnsi="宋体" w:cs="宋体"/>
                <w:kern w:val="0"/>
                <w:sz w:val="24"/>
                <w:lang w:bidi="ar"/>
              </w:rPr>
              <w:t>服务及质量</w:t>
            </w:r>
          </w:p>
        </w:tc>
        <w:tc>
          <w:tcPr>
            <w:tcW w:w="7500" w:type="dxa"/>
            <w:gridSpan w:val="6"/>
            <w:vAlign w:val="center"/>
          </w:tcPr>
          <w:p>
            <w:pPr>
              <w:widowControl/>
              <w:jc w:val="left"/>
              <w:rPr>
                <w:rFonts w:hint="eastAsia" w:ascii="宋体" w:hAnsi="宋体" w:cs="宋体"/>
                <w:kern w:val="0"/>
                <w:sz w:val="24"/>
              </w:rPr>
            </w:pPr>
            <w:r>
              <w:rPr>
                <w:rFonts w:hint="eastAsia" w:ascii="宋体" w:hAnsi="宋体" w:cs="宋体"/>
                <w:kern w:val="0"/>
                <w:sz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jc w:val="center"/>
        </w:trPr>
        <w:tc>
          <w:tcPr>
            <w:tcW w:w="1956" w:type="dxa"/>
            <w:vAlign w:val="center"/>
          </w:tcPr>
          <w:p>
            <w:pPr>
              <w:widowControl/>
              <w:textAlignment w:val="center"/>
              <w:rPr>
                <w:rFonts w:hint="eastAsia" w:ascii="宋体" w:hAnsi="宋体" w:cs="宋体"/>
                <w:kern w:val="0"/>
                <w:sz w:val="24"/>
                <w:lang w:bidi="ar"/>
              </w:rPr>
            </w:pPr>
            <w:r>
              <w:rPr>
                <w:rFonts w:hint="eastAsia" w:ascii="宋体" w:hAnsi="宋体" w:cs="宋体"/>
                <w:spacing w:val="-4"/>
                <w:kern w:val="0"/>
                <w:sz w:val="24"/>
              </w:rPr>
              <w:t>对本项目在计划、进度、财务等方面采取的组织措施和相</w:t>
            </w:r>
            <w:r>
              <w:rPr>
                <w:rFonts w:hint="eastAsia" w:ascii="宋体" w:hAnsi="宋体" w:cs="宋体"/>
                <w:spacing w:val="-2"/>
                <w:kern w:val="0"/>
                <w:sz w:val="24"/>
              </w:rPr>
              <w:t>关</w:t>
            </w:r>
            <w:r>
              <w:rPr>
                <w:rFonts w:hint="eastAsia" w:ascii="宋体" w:hAnsi="宋体" w:cs="宋体"/>
                <w:spacing w:val="-3"/>
                <w:kern w:val="0"/>
                <w:sz w:val="24"/>
              </w:rPr>
              <w:t>人</w:t>
            </w:r>
            <w:r>
              <w:rPr>
                <w:rFonts w:hint="eastAsia" w:ascii="宋体" w:hAnsi="宋体" w:cs="宋体"/>
                <w:spacing w:val="-2"/>
                <w:kern w:val="0"/>
                <w:sz w:val="24"/>
              </w:rPr>
              <w:t>员简介</w:t>
            </w:r>
          </w:p>
        </w:tc>
        <w:tc>
          <w:tcPr>
            <w:tcW w:w="7500" w:type="dxa"/>
            <w:gridSpan w:val="6"/>
            <w:vAlign w:val="center"/>
          </w:tcPr>
          <w:p>
            <w:pPr>
              <w:widowControl/>
              <w:jc w:val="left"/>
              <w:rPr>
                <w:rFonts w:hint="eastAsia" w:ascii="宋体" w:hAnsi="宋体" w:cs="宋体"/>
                <w:kern w:val="0"/>
                <w:sz w:val="24"/>
                <w:lang w:bidi="ar"/>
              </w:rPr>
            </w:pPr>
          </w:p>
        </w:tc>
      </w:tr>
    </w:tbl>
    <w:p>
      <w:pPr>
        <w:pStyle w:val="2"/>
      </w:pPr>
    </w:p>
    <w:p>
      <w:pPr>
        <w:rPr>
          <w:rFonts w:hint="eastAsia" w:hAnsi="宋体" w:cs="宋体"/>
          <w:b/>
          <w:bCs/>
          <w:color w:val="000000"/>
          <w:sz w:val="24"/>
          <w:szCs w:val="24"/>
        </w:rPr>
      </w:pPr>
      <w:r>
        <w:rPr>
          <w:rFonts w:hint="eastAsia" w:hAnsi="宋体" w:cs="宋体"/>
          <w:b/>
          <w:bCs/>
          <w:color w:val="000000"/>
          <w:sz w:val="24"/>
          <w:szCs w:val="24"/>
        </w:rPr>
        <w:br w:type="page"/>
      </w:r>
    </w:p>
    <w:p>
      <w:pPr>
        <w:pStyle w:val="2"/>
        <w:outlineLvl w:val="2"/>
        <w:rPr>
          <w:rFonts w:hint="eastAsia" w:hAnsi="宋体" w:eastAsia="宋体" w:cs="宋体"/>
          <w:b/>
          <w:bCs/>
          <w:color w:val="000000"/>
          <w:szCs w:val="24"/>
        </w:rPr>
      </w:pPr>
      <w:r>
        <w:rPr>
          <w:rFonts w:hint="eastAsia" w:hAnsi="宋体" w:eastAsia="宋体" w:cs="宋体"/>
          <w:b/>
          <w:bCs/>
          <w:color w:val="000000"/>
          <w:szCs w:val="24"/>
        </w:rPr>
        <w:t>附件</w:t>
      </w:r>
      <w:r>
        <w:rPr>
          <w:rFonts w:hint="eastAsia" w:hAnsi="宋体" w:cs="宋体"/>
          <w:b/>
          <w:bCs/>
          <w:color w:val="000000"/>
          <w:szCs w:val="24"/>
          <w:lang w:val="en-US"/>
        </w:rPr>
        <w:t>一</w:t>
      </w:r>
      <w:r>
        <w:rPr>
          <w:rFonts w:hint="eastAsia" w:hAnsi="宋体" w:eastAsia="宋体" w:cs="宋体"/>
          <w:b/>
          <w:bCs/>
          <w:color w:val="000000"/>
          <w:szCs w:val="24"/>
        </w:rPr>
        <w:t xml:space="preserve"> SRM非生产供应商注册操作手册</w:t>
      </w:r>
    </w:p>
    <w:p>
      <w:pPr>
        <w:adjustRightInd w:val="0"/>
        <w:snapToGrid w:val="0"/>
        <w:jc w:val="left"/>
        <w:rPr>
          <w:rFonts w:hint="eastAsia" w:ascii="宋体" w:hAnsi="宋体" w:cs="宋体"/>
          <w:sz w:val="24"/>
          <w:szCs w:val="24"/>
        </w:rPr>
      </w:pPr>
    </w:p>
    <w:p>
      <w:pPr>
        <w:adjustRightInd w:val="0"/>
        <w:snapToGrid w:val="0"/>
        <w:spacing w:line="360" w:lineRule="auto"/>
        <w:jc w:val="left"/>
        <w:rPr>
          <w:rFonts w:hint="eastAsia"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hint="eastAsia"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758815" cy="2764790"/>
                    </a:xfrm>
                    <a:prstGeom prst="rect">
                      <a:avLst/>
                    </a:prstGeom>
                    <a:noFill/>
                    <a:ln>
                      <a:noFill/>
                    </a:ln>
                  </pic:spPr>
                </pic:pic>
              </a:graphicData>
            </a:graphic>
          </wp:inline>
        </w:drawing>
      </w:r>
    </w:p>
    <w:p>
      <w:pPr>
        <w:adjustRightInd w:val="0"/>
        <w:snapToGrid w:val="0"/>
        <w:spacing w:before="312" w:beforeLines="100" w:after="156" w:afterLines="50" w:line="440" w:lineRule="exact"/>
        <w:jc w:val="left"/>
        <w:outlineLvl w:val="3"/>
        <w:rPr>
          <w:rFonts w:hint="eastAsia" w:ascii="宋体" w:hAnsi="宋体" w:cs="宋体"/>
          <w:b/>
          <w:bCs/>
          <w:sz w:val="24"/>
          <w:szCs w:val="24"/>
        </w:rPr>
      </w:pPr>
      <w:r>
        <w:rPr>
          <w:rFonts w:hint="eastAsia" w:ascii="宋体" w:hAnsi="宋体" w:cs="宋体"/>
          <w:b/>
          <w:bCs/>
          <w:sz w:val="24"/>
          <w:szCs w:val="24"/>
        </w:rPr>
        <w:t>一、首次注册</w:t>
      </w:r>
    </w:p>
    <w:p>
      <w:pPr>
        <w:adjustRightInd w:val="0"/>
        <w:snapToGrid w:val="0"/>
        <w:spacing w:line="360" w:lineRule="auto"/>
        <w:jc w:val="left"/>
        <w:rPr>
          <w:rFonts w:hint="eastAsia"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1" cstate="print"/>
                    <a:srcRect/>
                    <a:stretch>
                      <a:fillRect/>
                    </a:stretch>
                  </pic:blipFill>
                  <pic:spPr>
                    <a:xfrm>
                      <a:off x="0" y="0"/>
                      <a:ext cx="5760085" cy="2933065"/>
                    </a:xfrm>
                    <a:prstGeom prst="rect">
                      <a:avLst/>
                    </a:prstGeom>
                  </pic:spPr>
                </pic:pic>
              </a:graphicData>
            </a:graphic>
          </wp:inline>
        </w:drawing>
      </w:r>
    </w:p>
    <w:p>
      <w:pPr>
        <w:widowControl/>
        <w:jc w:val="left"/>
      </w:pPr>
      <w:r>
        <w:rPr>
          <w:rFonts w:hint="eastAsia" w:ascii="宋体" w:hAnsi="宋体" w:cs="宋体"/>
          <w:color w:val="000000"/>
          <w:sz w:val="24"/>
          <w:szCs w:val="28"/>
        </w:rPr>
        <w:t>2.</w:t>
      </w:r>
      <w:r>
        <w:rPr>
          <w:rFonts w:ascii="宋体" w:hAnsi="宋体" w:cs="宋体"/>
          <w:color w:val="000000"/>
          <w:sz w:val="24"/>
          <w:szCs w:val="28"/>
        </w:rPr>
        <w:t>填写</w:t>
      </w:r>
      <w:r>
        <w:rPr>
          <w:rFonts w:hint="eastAsia" w:ascii="宋体" w:hAnsi="宋体" w:cs="宋体"/>
          <w:color w:val="000000"/>
          <w:sz w:val="24"/>
          <w:szCs w:val="28"/>
        </w:rPr>
        <w:t>姓名、</w:t>
      </w:r>
      <w:r>
        <w:rPr>
          <w:rFonts w:ascii="宋体" w:hAnsi="宋体" w:cs="宋体"/>
          <w:color w:val="000000"/>
          <w:sz w:val="24"/>
          <w:szCs w:val="28"/>
        </w:rPr>
        <w:t>手机号码（没有注册过的）</w:t>
      </w:r>
      <w:r>
        <w:rPr>
          <w:rFonts w:hint="eastAsia" w:ascii="宋体" w:hAnsi="宋体" w:cs="宋体"/>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cs="宋体"/>
          <w:color w:val="000000"/>
          <w:kern w:val="0"/>
          <w:sz w:val="20"/>
          <w:lang w:bidi="ar"/>
        </w:rPr>
        <w:t>。</w:t>
      </w:r>
    </w:p>
    <w:p>
      <w:pPr>
        <w:spacing w:line="360" w:lineRule="auto"/>
        <w:rPr>
          <w:rFonts w:hint="eastAsia" w:ascii="宋体" w:hAnsi="宋体" w:cs="宋体"/>
          <w:sz w:val="24"/>
          <w:szCs w:val="28"/>
        </w:rPr>
      </w:pPr>
    </w:p>
    <w:p>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2" cstate="print"/>
                    <a:srcRect/>
                    <a:stretch>
                      <a:fillRect/>
                    </a:stretch>
                  </pic:blipFill>
                  <pic:spPr>
                    <a:xfrm>
                      <a:off x="0" y="0"/>
                      <a:ext cx="5760085" cy="276669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3" cstate="print"/>
                    <a:srcRect/>
                    <a:stretch>
                      <a:fillRect/>
                    </a:stretch>
                  </pic:blipFill>
                  <pic:spPr>
                    <a:xfrm>
                      <a:off x="0" y="0"/>
                      <a:ext cx="5760085" cy="286956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cstate="print"/>
                    <a:srcRect/>
                    <a:stretch>
                      <a:fillRect/>
                    </a:stretch>
                  </pic:blipFill>
                  <pic:spPr>
                    <a:xfrm>
                      <a:off x="0" y="0"/>
                      <a:ext cx="5760085" cy="2853055"/>
                    </a:xfrm>
                    <a:prstGeom prst="rect">
                      <a:avLst/>
                    </a:prstGeom>
                  </pic:spPr>
                </pic:pic>
              </a:graphicData>
            </a:graphic>
          </wp:inline>
        </w:drawing>
      </w:r>
    </w:p>
    <w:p>
      <w:pPr>
        <w:numPr>
          <w:ilvl w:val="0"/>
          <w:numId w:val="9"/>
        </w:numPr>
        <w:spacing w:line="360" w:lineRule="auto"/>
      </w:pPr>
      <w:r>
        <w:rPr>
          <w:rFonts w:ascii="宋体" w:hAnsi="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758180" cy="3058795"/>
                    </a:xfrm>
                    <a:prstGeom prst="rect">
                      <a:avLst/>
                    </a:prstGeom>
                    <a:noFill/>
                    <a:ln>
                      <a:noFill/>
                    </a:ln>
                  </pic:spPr>
                </pic:pic>
              </a:graphicData>
            </a:graphic>
          </wp:inline>
        </w:drawing>
      </w:r>
    </w:p>
    <w:p>
      <w:pPr>
        <w:spacing w:line="360" w:lineRule="auto"/>
        <w:rPr>
          <w:rFonts w:hint="eastAsia" w:ascii="宋体" w:hAnsi="宋体" w:cs="宋体"/>
          <w:sz w:val="24"/>
          <w:szCs w:val="24"/>
        </w:rPr>
      </w:pPr>
      <w:r>
        <w:rPr>
          <w:rFonts w:hint="eastAsia" w:ascii="宋体" w:hAnsi="宋体" w:cs="宋体"/>
          <w:sz w:val="24"/>
          <w:szCs w:val="24"/>
        </w:rPr>
        <w:t>（</w:t>
      </w:r>
      <w:r>
        <w:rPr>
          <w:rFonts w:hint="eastAsia" w:ascii="宋体" w:hAnsi="宋体" w:cs="宋体"/>
          <w:b/>
          <w:bCs/>
          <w:sz w:val="24"/>
          <w:szCs w:val="24"/>
        </w:rPr>
        <w:t>非生产-直管-直管</w:t>
      </w:r>
      <w:r>
        <w:rPr>
          <w:rFonts w:hint="eastAsia" w:ascii="宋体" w:hAnsi="宋体" w:cs="宋体"/>
          <w:sz w:val="24"/>
          <w:szCs w:val="24"/>
        </w:rPr>
        <w:t>）</w:t>
      </w:r>
    </w:p>
    <w:p>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pPr>
        <w:spacing w:line="440" w:lineRule="exact"/>
        <w:rPr>
          <w:rFonts w:hint="eastAsia" w:ascii="宋体" w:hAnsi="宋体" w:cs="宋体"/>
          <w:b/>
          <w:bCs/>
          <w:color w:val="000000"/>
          <w:sz w:val="24"/>
          <w:szCs w:val="28"/>
        </w:rPr>
      </w:pPr>
      <w:r>
        <w:rPr>
          <w:rFonts w:hint="eastAsia" w:ascii="宋体" w:hAnsi="宋体" w:cs="宋体"/>
          <w:b/>
          <w:bCs/>
          <w:color w:val="000000"/>
          <w:sz w:val="24"/>
          <w:szCs w:val="28"/>
        </w:rPr>
        <w:t>注：</w:t>
      </w:r>
    </w:p>
    <w:p>
      <w:pPr>
        <w:numPr>
          <w:ilvl w:val="0"/>
          <w:numId w:val="10"/>
        </w:numPr>
        <w:spacing w:line="440" w:lineRule="exact"/>
        <w:rPr>
          <w:rFonts w:hint="eastAsia" w:ascii="宋体" w:hAnsi="宋体" w:cs="宋体"/>
          <w:b/>
          <w:bCs/>
          <w:color w:val="000000"/>
          <w:sz w:val="24"/>
          <w:szCs w:val="28"/>
        </w:rPr>
      </w:pPr>
      <w:r>
        <w:rPr>
          <w:rFonts w:hint="eastAsia" w:ascii="宋体" w:hAnsi="宋体" w:cs="宋体"/>
          <w:b/>
          <w:bCs/>
          <w:color w:val="000000"/>
          <w:sz w:val="24"/>
          <w:szCs w:val="28"/>
        </w:rPr>
        <w:t>“项目名称”和“采购形式编号”见第一部分的“项目介绍”；</w:t>
      </w:r>
    </w:p>
    <w:p>
      <w:pPr>
        <w:numPr>
          <w:ilvl w:val="0"/>
          <w:numId w:val="10"/>
        </w:numPr>
        <w:spacing w:line="440" w:lineRule="exact"/>
        <w:rPr>
          <w:rFonts w:hint="eastAsia" w:ascii="宋体" w:hAnsi="宋体" w:cs="宋体"/>
          <w:b/>
          <w:bCs/>
          <w:color w:val="000000"/>
          <w:sz w:val="24"/>
          <w:szCs w:val="28"/>
        </w:rPr>
      </w:pPr>
      <w:r>
        <w:rPr>
          <w:rFonts w:hint="eastAsia" w:ascii="宋体" w:hAnsi="宋体" w:cs="宋体"/>
          <w:b/>
          <w:bCs/>
          <w:color w:val="000000"/>
          <w:sz w:val="24"/>
          <w:szCs w:val="28"/>
        </w:rPr>
        <w:t>基本信息的填写尽可能完整，原则上要求供应商</w:t>
      </w:r>
      <w:r>
        <w:rPr>
          <w:rFonts w:hint="eastAsia" w:ascii="宋体" w:hAnsi="宋体" w:cs="宋体"/>
          <w:b/>
          <w:bCs/>
          <w:color w:val="000000"/>
          <w:sz w:val="24"/>
          <w:szCs w:val="28"/>
          <w:highlight w:val="yellow"/>
        </w:rPr>
        <w:t>必须填写近三年财务指标情况</w:t>
      </w:r>
      <w:r>
        <w:rPr>
          <w:rFonts w:hint="eastAsia" w:ascii="宋体" w:hAnsi="宋体" w:cs="宋体"/>
          <w:b/>
          <w:bCs/>
          <w:color w:val="000000"/>
          <w:sz w:val="24"/>
          <w:szCs w:val="28"/>
        </w:rPr>
        <w:t>；</w:t>
      </w:r>
    </w:p>
    <w:p>
      <w:pPr>
        <w:numPr>
          <w:ilvl w:val="0"/>
          <w:numId w:val="10"/>
        </w:numPr>
        <w:spacing w:line="440" w:lineRule="exact"/>
      </w:pPr>
      <w:r>
        <w:rPr>
          <w:rFonts w:hint="eastAsia" w:ascii="宋体" w:hAnsi="宋体" w:cs="宋体"/>
          <w:b/>
          <w:bCs/>
          <w:color w:val="000000"/>
          <w:sz w:val="24"/>
          <w:szCs w:val="28"/>
        </w:rPr>
        <w:t>管理单位选择【直管单位】、意向配套单位选择【直管单位】，配套能力“供货类别”填“</w:t>
      </w:r>
      <w:r>
        <w:rPr>
          <w:rFonts w:hint="eastAsia" w:ascii="宋体" w:hAnsi="宋体" w:cs="宋体"/>
          <w:b/>
          <w:bCs/>
          <w:color w:val="000000"/>
          <w:sz w:val="24"/>
          <w:szCs w:val="28"/>
          <w:highlight w:val="yellow"/>
        </w:rPr>
        <w:t>直管单位非生产招标 / 货物 / 安全消防</w:t>
      </w:r>
      <w:r>
        <w:rPr>
          <w:rFonts w:hint="eastAsia" w:ascii="宋体" w:hAnsi="宋体" w:cs="宋体"/>
          <w:b/>
          <w:bCs/>
          <w:color w:val="000000"/>
          <w:sz w:val="24"/>
          <w:szCs w:val="28"/>
        </w:rPr>
        <w:t>”，业务主管部门选择“</w:t>
      </w:r>
      <w:r>
        <w:rPr>
          <w:rFonts w:hint="eastAsia" w:ascii="宋体" w:hAnsi="宋体" w:cs="宋体"/>
          <w:b/>
          <w:bCs/>
          <w:color w:val="000000"/>
          <w:sz w:val="24"/>
          <w:szCs w:val="28"/>
          <w:highlight w:val="yellow"/>
        </w:rPr>
        <w:t>安全环保部</w:t>
      </w:r>
      <w:r>
        <w:rPr>
          <w:rFonts w:hint="eastAsia" w:ascii="宋体" w:hAnsi="宋体" w:cs="宋体"/>
          <w:b/>
          <w:bCs/>
          <w:color w:val="000000"/>
          <w:sz w:val="24"/>
          <w:szCs w:val="28"/>
        </w:rPr>
        <w:t>”。</w:t>
      </w:r>
    </w:p>
    <w:p>
      <w:pPr>
        <w:numPr>
          <w:ilvl w:val="0"/>
          <w:numId w:val="11"/>
        </w:numPr>
        <w:adjustRightInd w:val="0"/>
        <w:snapToGrid w:val="0"/>
        <w:spacing w:before="312" w:beforeLines="100" w:after="156" w:afterLines="50" w:line="440" w:lineRule="exact"/>
        <w:jc w:val="left"/>
        <w:outlineLvl w:val="3"/>
        <w:rPr>
          <w:sz w:val="24"/>
          <w:szCs w:val="24"/>
        </w:rPr>
      </w:pPr>
      <w:r>
        <w:rPr>
          <w:rFonts w:hint="eastAsia"/>
          <w:b/>
          <w:bCs/>
          <w:sz w:val="24"/>
          <w:szCs w:val="24"/>
        </w:rPr>
        <w:t>维护近三年财务指标</w:t>
      </w:r>
    </w:p>
    <w:p>
      <w:pPr>
        <w:spacing w:line="360" w:lineRule="auto"/>
        <w:rPr>
          <w:rFonts w:hint="eastAsia" w:ascii="宋体" w:hAnsi="宋体" w:cs="宋体"/>
          <w:color w:val="000000"/>
          <w:sz w:val="24"/>
          <w:szCs w:val="28"/>
        </w:rPr>
      </w:pPr>
      <w:r>
        <w:rPr>
          <w:rFonts w:hint="eastAsia" w:ascii="宋体" w:hAnsi="宋体" w:cs="宋体"/>
          <w:color w:val="000000"/>
          <w:sz w:val="24"/>
          <w:szCs w:val="28"/>
        </w:rPr>
        <w:t>1.供应商使用业务账号登录系统后，通过菜单路径：供应商中心→供应商变更→供应商财务数据变更管理，点击【发起变更】按钮，进入供应商财务数据变更填写界面。</w:t>
      </w:r>
    </w:p>
    <w:p>
      <w:p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5486400" cy="2661285"/>
                    </a:xfrm>
                    <a:prstGeom prst="rect">
                      <a:avLst/>
                    </a:prstGeom>
                    <a:noFill/>
                    <a:ln>
                      <a:noFill/>
                    </a:ln>
                  </pic:spPr>
                </pic:pic>
              </a:graphicData>
            </a:graphic>
          </wp:inline>
        </w:drawing>
      </w:r>
    </w:p>
    <w:p>
      <w:pPr>
        <w:pStyle w:val="234"/>
        <w:numPr>
          <w:ilvl w:val="0"/>
          <w:numId w:val="0"/>
        </w:numPr>
        <w:outlineLvl w:val="2"/>
        <w:rPr>
          <w:rFonts w:hint="eastAsia" w:ascii="宋体" w:hAnsi="宋体" w:eastAsia="宋体" w:cs="宋体"/>
          <w:sz w:val="24"/>
          <w:szCs w:val="24"/>
          <w:lang w:val="en-US"/>
        </w:rPr>
      </w:pPr>
      <w:r>
        <w:rPr>
          <w:rFonts w:hint="eastAsia" w:ascii="宋体" w:hAnsi="宋体" w:eastAsia="宋体" w:cs="宋体"/>
          <w:sz w:val="24"/>
          <w:szCs w:val="24"/>
          <w:lang w:val="en-US"/>
        </w:rPr>
        <w:t>附件二 SRM系统供应商用户手册</w:t>
      </w:r>
    </w:p>
    <w:p>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cs="宋体"/>
          <w:sz w:val="24"/>
          <w:szCs w:val="24"/>
        </w:rPr>
        <w:t>https://ecaitong.sinotruk.com:8012/</w:t>
      </w:r>
      <w:r>
        <w:rPr>
          <w:rStyle w:val="54"/>
          <w:rFonts w:hint="eastAsia" w:ascii="宋体" w:hAnsi="宋体" w:cs="宋体"/>
          <w:sz w:val="24"/>
          <w:szCs w:val="24"/>
        </w:rPr>
        <w:fldChar w:fldCharType="end"/>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pacing w:line="360" w:lineRule="auto"/>
        <w:rPr>
          <w:rFonts w:hint="eastAsia" w:ascii="宋体" w:hAnsi="宋体" w:cs="宋体"/>
          <w:color w:val="000000"/>
          <w:sz w:val="24"/>
          <w:szCs w:val="24"/>
        </w:rPr>
      </w:pPr>
      <w:r>
        <w:rPr>
          <w:rFonts w:ascii="宋体" w:hAnsi="宋体" w:cs="宋体"/>
          <w:color w:val="000000"/>
          <w:sz w:val="24"/>
          <w:szCs w:val="24"/>
        </w:rPr>
        <w:t>点击应标，上传文件之后点击提交。</w:t>
      </w:r>
    </w:p>
    <w:p>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pPr>
        <w:pStyle w:val="2"/>
      </w:pPr>
    </w:p>
    <w:p>
      <w:pPr>
        <w:pStyle w:val="2"/>
      </w:pPr>
      <w:r>
        <w:rPr>
          <w:rFonts w:hint="eastAsia"/>
          <w:b/>
          <w:bCs/>
          <w:lang w:val="en-US"/>
        </w:rPr>
        <w:t>2、应标页面否为代理商请如实选择，若为代理商应标，请在应标后联系商务联系人</w:t>
      </w:r>
    </w:p>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rPr>
          <w:rFonts w:hint="eastAsia"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pStyle w:val="2"/>
        <w:rPr>
          <w:rFonts w:eastAsia="宋体"/>
        </w:rPr>
      </w:pPr>
      <w:r>
        <w:rPr>
          <w:rFonts w:hint="eastAsia" w:hAnsi="宋体" w:eastAsia="宋体" w:cs="宋体"/>
          <w:b/>
          <w:bCs/>
          <w:color w:val="000000"/>
          <w:szCs w:val="28"/>
          <w:highlight w:val="yellow"/>
        </w:rPr>
        <w:t>注意：系统内的投标报价单位为“万元”，如开标现场发现填错报价，即直接淘汰。</w:t>
      </w:r>
    </w:p>
    <w:p>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pacing w:line="360" w:lineRule="auto"/>
        <w:rPr>
          <w:rFonts w:hint="eastAsia" w:ascii="宋体" w:hAnsi="宋体" w:cs="宋体"/>
          <w:sz w:val="24"/>
          <w:szCs w:val="24"/>
        </w:rPr>
      </w:pPr>
      <w:r>
        <w:rPr>
          <w:rFonts w:ascii="宋体" w:hAnsi="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pacing w:line="360" w:lineRule="auto"/>
        <w:rPr>
          <w:rFonts w:hint="eastAsia"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pacing w:line="360" w:lineRule="auto"/>
        <w:rPr>
          <w:rFonts w:hint="eastAsia"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pacing w:line="360" w:lineRule="auto"/>
        <w:rPr>
          <w:rFonts w:hint="eastAsia" w:ascii="宋体" w:hAnsi="宋体" w:cs="宋体"/>
          <w:sz w:val="24"/>
          <w:szCs w:val="24"/>
        </w:rPr>
      </w:pPr>
      <w:r>
        <w:rPr>
          <w:rFonts w:ascii="宋体" w:hAnsi="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pPr>
        <w:pStyle w:val="2"/>
        <w:rPr>
          <w:rFonts w:hint="eastAsia" w:hAnsi="宋体" w:eastAsia="宋体"/>
          <w:b/>
          <w:color w:val="000000"/>
          <w:szCs w:val="24"/>
        </w:rPr>
      </w:pPr>
    </w:p>
    <w:p>
      <w:pPr>
        <w:pStyle w:val="2"/>
        <w:rPr>
          <w:rFonts w:hint="eastAsia" w:hAnsi="宋体" w:eastAsia="宋体"/>
          <w:b/>
          <w:color w:val="000000"/>
          <w:szCs w:val="24"/>
        </w:rPr>
      </w:pPr>
    </w:p>
    <w:p>
      <w:pPr>
        <w:rPr>
          <w:rFonts w:hint="eastAsia" w:ascii="宋体" w:hAnsi="宋体" w:cs="宋体"/>
          <w:sz w:val="24"/>
          <w:szCs w:val="24"/>
        </w:rPr>
      </w:pPr>
    </w:p>
    <w:p>
      <w:pPr>
        <w:pStyle w:val="223"/>
        <w:ind w:right="960" w:firstLine="0" w:firstLineChars="0"/>
        <w:jc w:val="both"/>
        <w:rPr>
          <w:rFonts w:hint="eastAsia" w:asciiTheme="minorEastAsia" w:hAnsiTheme="minorEastAsia" w:eastAsiaTheme="minorEastAsia" w:cstheme="minorEastAsia"/>
        </w:rPr>
      </w:pPr>
    </w:p>
    <w:sectPr>
      <w:headerReference r:id="rId7" w:type="default"/>
      <w:footerReference r:id="rId8" w:type="default"/>
      <w:pgSz w:w="11906" w:h="16838"/>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p>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6" w:space="0"/>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BF83F"/>
    <w:multiLevelType w:val="singleLevel"/>
    <w:tmpl w:val="F54BF83F"/>
    <w:lvl w:ilvl="0" w:tentative="0">
      <w:start w:val="1"/>
      <w:numFmt w:val="decimal"/>
      <w:suff w:val="space"/>
      <w:lvlText w:val="%1."/>
      <w:lvlJc w:val="left"/>
      <w:pPr>
        <w:ind w:left="0" w:firstLine="0"/>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5">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AF0723E"/>
    <w:multiLevelType w:val="singleLevel"/>
    <w:tmpl w:val="4AF0723E"/>
    <w:lvl w:ilvl="0" w:tentative="0">
      <w:start w:val="2"/>
      <w:numFmt w:val="chineseCounting"/>
      <w:suff w:val="nothing"/>
      <w:lvlText w:val="%1、"/>
      <w:lvlJc w:val="left"/>
      <w:rPr>
        <w:rFonts w:hint="eastAsia"/>
      </w:rPr>
    </w:lvl>
  </w:abstractNum>
  <w:abstractNum w:abstractNumId="7">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2"/>
  </w:num>
  <w:num w:numId="3">
    <w:abstractNumId w:val="8"/>
  </w:num>
  <w:num w:numId="4">
    <w:abstractNumId w:val="10"/>
  </w:num>
  <w:num w:numId="5">
    <w:abstractNumId w:val="5"/>
  </w:num>
  <w:num w:numId="6">
    <w:abstractNumId w:val="3"/>
  </w:num>
  <w:num w:numId="7">
    <w:abstractNumId w:val="9"/>
  </w:num>
  <w:num w:numId="8">
    <w:abstractNumId w:val="4"/>
  </w:num>
  <w:num w:numId="9">
    <w:abstractNumId w:val="1"/>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noPunctuationKerning w:val="1"/>
  <w:characterSpacingControl w:val="doNotCompress"/>
  <w:doNotValidateAgainstSchema/>
  <w:doNotDemarcateInvalidXml/>
  <w:compat>
    <w:spaceForUL/>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13D"/>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374"/>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27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5670"/>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0696"/>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4C40"/>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3DF5"/>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C77ED"/>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68F55E3"/>
    <w:rsid w:val="09756E61"/>
    <w:rsid w:val="0AE0655C"/>
    <w:rsid w:val="0BEB0202"/>
    <w:rsid w:val="0D326CC2"/>
    <w:rsid w:val="0EA03360"/>
    <w:rsid w:val="10FE7942"/>
    <w:rsid w:val="13451748"/>
    <w:rsid w:val="1378147A"/>
    <w:rsid w:val="13D35827"/>
    <w:rsid w:val="1868332D"/>
    <w:rsid w:val="1DA82577"/>
    <w:rsid w:val="1E1170AC"/>
    <w:rsid w:val="22910369"/>
    <w:rsid w:val="22A44CDF"/>
    <w:rsid w:val="24552511"/>
    <w:rsid w:val="25F44B01"/>
    <w:rsid w:val="2698099F"/>
    <w:rsid w:val="29C928E7"/>
    <w:rsid w:val="2A7C02EC"/>
    <w:rsid w:val="2A8F7CD5"/>
    <w:rsid w:val="2B3F4DD2"/>
    <w:rsid w:val="2B9654FA"/>
    <w:rsid w:val="2E7345D1"/>
    <w:rsid w:val="353F5A8C"/>
    <w:rsid w:val="36DE1355"/>
    <w:rsid w:val="393D26BB"/>
    <w:rsid w:val="3A5B7C10"/>
    <w:rsid w:val="3C3170AD"/>
    <w:rsid w:val="3D9C2881"/>
    <w:rsid w:val="3F801B0E"/>
    <w:rsid w:val="413C1020"/>
    <w:rsid w:val="41A55A6F"/>
    <w:rsid w:val="422153EC"/>
    <w:rsid w:val="429D2840"/>
    <w:rsid w:val="48A82A9E"/>
    <w:rsid w:val="4A082E0A"/>
    <w:rsid w:val="4AC268B8"/>
    <w:rsid w:val="4CC51E60"/>
    <w:rsid w:val="4CD949FD"/>
    <w:rsid w:val="4F4A4FC8"/>
    <w:rsid w:val="50D74B46"/>
    <w:rsid w:val="51654692"/>
    <w:rsid w:val="54D67D81"/>
    <w:rsid w:val="54D7260C"/>
    <w:rsid w:val="57E02431"/>
    <w:rsid w:val="58055C15"/>
    <w:rsid w:val="58AE4B70"/>
    <w:rsid w:val="5AA3574A"/>
    <w:rsid w:val="5B316C0F"/>
    <w:rsid w:val="5F377063"/>
    <w:rsid w:val="5FF411EE"/>
    <w:rsid w:val="62E50A5D"/>
    <w:rsid w:val="633A3E82"/>
    <w:rsid w:val="673F2C72"/>
    <w:rsid w:val="68C06BDA"/>
    <w:rsid w:val="69F8009E"/>
    <w:rsid w:val="6AB76068"/>
    <w:rsid w:val="6C9132F0"/>
    <w:rsid w:val="6D5B701C"/>
    <w:rsid w:val="6D8937F5"/>
    <w:rsid w:val="736A2597"/>
    <w:rsid w:val="74995770"/>
    <w:rsid w:val="75CD3E17"/>
    <w:rsid w:val="76683156"/>
    <w:rsid w:val="7A8F4EBB"/>
    <w:rsid w:val="7B802C44"/>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88"/>
    <w:qFormat/>
    <w:uiPriority w:val="99"/>
    <w:pPr>
      <w:overflowPunct w:val="0"/>
      <w:spacing w:line="360" w:lineRule="auto"/>
    </w:pPr>
    <w:rPr>
      <w:rFonts w:ascii="宋体" w:hAnsi="Courier New" w:eastAsia="仿宋_GB2312"/>
      <w:sz w:val="24"/>
      <w:lang w:val="zh-CN"/>
    </w:r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link w:val="77"/>
    <w:qFormat/>
    <w:uiPriority w:val="99"/>
    <w:rPr>
      <w:sz w:val="24"/>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0"/>
    <w:link w:val="121"/>
    <w:qFormat/>
    <w:uiPriority w:val="0"/>
    <w:pPr>
      <w:spacing w:after="120"/>
      <w:ind w:firstLine="420" w:firstLineChars="100"/>
    </w:pPr>
    <w:rPr>
      <w:rFonts w:ascii="宋体" w:hAnsi="宋体"/>
      <w:color w:val="000000"/>
      <w:lang w:val="zh-CN"/>
    </w:rPr>
  </w:style>
  <w:style w:type="paragraph" w:styleId="47">
    <w:name w:val="Body Text First Indent 2"/>
    <w:basedOn w:val="21"/>
    <w:next w:val="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文本首行缩进 2 字符"/>
    <w:link w:val="47"/>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文本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
    <w:qFormat/>
    <w:uiPriority w:val="2"/>
    <w:pPr>
      <w:numPr>
        <w:ilvl w:val="0"/>
        <w:numId w:val="1"/>
      </w:numPr>
      <w:outlineLvl w:val="2"/>
    </w:pPr>
    <w:rPr>
      <w:b/>
    </w:rPr>
  </w:style>
  <w:style w:type="paragraph" w:customStyle="1" w:styleId="229">
    <w:name w:val="标书正文格式"/>
    <w:basedOn w:val="2"/>
    <w:qFormat/>
    <w:uiPriority w:val="0"/>
    <w:pPr>
      <w:ind w:firstLine="200" w:firstLineChars="200"/>
    </w:pPr>
    <w:rPr>
      <w:rFonts w:hAnsi="宋体"/>
      <w:color w:val="000000"/>
      <w:szCs w:val="24"/>
    </w:rPr>
  </w:style>
  <w:style w:type="paragraph" w:customStyle="1" w:styleId="230">
    <w:name w:val="（4）级标题"/>
    <w:basedOn w:val="2"/>
    <w:qFormat/>
    <w:uiPriority w:val="8"/>
    <w:pPr>
      <w:numPr>
        <w:ilvl w:val="0"/>
        <w:numId w:val="2"/>
      </w:numPr>
      <w:outlineLvl w:val="4"/>
    </w:pPr>
  </w:style>
  <w:style w:type="paragraph" w:customStyle="1" w:styleId="231">
    <w:name w:val="Table Paragraph"/>
    <w:basedOn w:val="1"/>
    <w:qFormat/>
    <w:uiPriority w:val="1"/>
    <w:rPr>
      <w:rFonts w:ascii="宋体" w:hAnsi="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
    <w:qFormat/>
    <w:uiPriority w:val="1"/>
    <w:pPr>
      <w:numPr>
        <w:ilvl w:val="0"/>
        <w:numId w:val="3"/>
      </w:numPr>
      <w:ind w:left="420"/>
      <w:outlineLvl w:val="1"/>
    </w:pPr>
    <w:rPr>
      <w:rFonts w:ascii="黑体" w:eastAsia="黑体"/>
      <w:b/>
      <w:bCs/>
      <w:sz w:val="28"/>
    </w:rPr>
  </w:style>
  <w:style w:type="character" w:customStyle="1" w:styleId="235">
    <w:name w:val="font21"/>
    <w:basedOn w:val="50"/>
    <w:qFormat/>
    <w:uiPriority w:val="0"/>
    <w:rPr>
      <w:rFonts w:hint="eastAsia" w:ascii="宋体" w:hAnsi="宋体" w:eastAsia="宋体" w:cs="宋体"/>
      <w:color w:val="000000"/>
      <w:sz w:val="24"/>
      <w:szCs w:val="24"/>
      <w:u w:val="none"/>
    </w:rPr>
  </w:style>
  <w:style w:type="character" w:customStyle="1" w:styleId="236">
    <w:name w:val="font11"/>
    <w:basedOn w:val="50"/>
    <w:qFormat/>
    <w:uiPriority w:val="0"/>
    <w:rPr>
      <w:rFonts w:hint="eastAsia" w:ascii="宋体" w:hAnsi="宋体" w:eastAsia="宋体" w:cs="宋体"/>
      <w:color w:val="000000"/>
      <w:sz w:val="24"/>
      <w:szCs w:val="24"/>
      <w:u w:val="single"/>
    </w:rPr>
  </w:style>
  <w:style w:type="paragraph" w:customStyle="1" w:styleId="237">
    <w:name w:val="首行缩进"/>
    <w:basedOn w:val="1"/>
    <w:qFormat/>
    <w:uiPriority w:val="0"/>
    <w:pPr>
      <w:spacing w:line="360" w:lineRule="auto"/>
      <w:ind w:firstLine="480" w:firstLineChars="200"/>
    </w:pPr>
    <w:rPr>
      <w:rFonts w:ascii="宋体" w:hAnsi="宋体" w:cs="宋体"/>
      <w:kern w:val="0"/>
      <w:sz w:val="24"/>
    </w:rPr>
  </w:style>
  <w:style w:type="paragraph" w:customStyle="1" w:styleId="238">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30</Pages>
  <Words>6187</Words>
  <Characters>6622</Characters>
  <Lines>315</Lines>
  <Paragraphs>203</Paragraphs>
  <TotalTime>1</TotalTime>
  <ScaleCrop>false</ScaleCrop>
  <LinksUpToDate>false</LinksUpToDate>
  <CharactersWithSpaces>12606</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Administrator</cp:lastModifiedBy>
  <cp:lastPrinted>2020-01-08T06:44:00Z</cp:lastPrinted>
  <dcterms:modified xsi:type="dcterms:W3CDTF">2025-12-17T02:42:21Z</dcterms:modified>
  <dc:title>招标文件</dc:title>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Base Target">
    <vt:lpwstr>_blank</vt:lpwstr>
  </property>
  <property fmtid="{D5CDD505-2E9C-101B-9397-08002B2CF9AE}" pid="4" name="ICV">
    <vt:lpwstr>9FECC2E08D2549479C02DD5BBA898D27_13</vt:lpwstr>
  </property>
  <property fmtid="{D5CDD505-2E9C-101B-9397-08002B2CF9AE}" pid="5" name="KSOTemplateDocerSaveRecord">
    <vt:lpwstr>eyJoZGlkIjoiYzc3ODk5MWQ2ODkxYjIzNzI1YmVhYjkyYmE4NWMzNGUiLCJ1c2VySWQiOiIyNTA0NTg1ODYifQ==</vt:lpwstr>
  </property>
</Properties>
</file>