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bookmarkStart w:id="0" w:name="_Toc15310"/>
      <w:bookmarkStart w:id="1" w:name="_Toc10987"/>
    </w:p>
    <w:p>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p>
    <w:p>
      <w:pPr>
        <w:autoSpaceDE w:val="0"/>
        <w:autoSpaceDN w:val="0"/>
        <w:adjustRightInd w:val="0"/>
        <w:snapToGrid w:val="0"/>
        <w:spacing w:line="360" w:lineRule="auto"/>
        <w:jc w:val="center"/>
        <w:rPr>
          <w:rFonts w:hint="eastAsia" w:asciiTheme="minorEastAsia" w:hAnsiTheme="minorEastAsia" w:eastAsiaTheme="minorEastAsia" w:cstheme="minorEastAsia"/>
          <w:b/>
          <w:sz w:val="72"/>
          <w:szCs w:val="72"/>
        </w:rPr>
      </w:pPr>
      <w:r>
        <w:rPr>
          <w:rFonts w:hint="eastAsia" w:asciiTheme="minorEastAsia" w:hAnsiTheme="minorEastAsia" w:eastAsiaTheme="minorEastAsia" w:cstheme="minorEastAsia"/>
          <w:b/>
          <w:sz w:val="52"/>
          <w:szCs w:val="52"/>
        </w:rPr>
        <w:t>在线监测设备运维项目</w:t>
      </w:r>
    </w:p>
    <w:p>
      <w:pPr>
        <w:autoSpaceDE w:val="0"/>
        <w:autoSpaceDN w:val="0"/>
        <w:adjustRightInd w:val="0"/>
        <w:snapToGrid w:val="0"/>
        <w:spacing w:line="360" w:lineRule="auto"/>
        <w:rPr>
          <w:rFonts w:hint="eastAsia" w:asciiTheme="minorEastAsia" w:hAnsiTheme="minorEastAsia" w:eastAsiaTheme="minorEastAsia" w:cstheme="minorEastAsia"/>
          <w:b/>
          <w:sz w:val="72"/>
          <w:szCs w:val="72"/>
        </w:rPr>
      </w:pPr>
    </w:p>
    <w:p>
      <w:pPr>
        <w:autoSpaceDE w:val="0"/>
        <w:autoSpaceDN w:val="0"/>
        <w:adjustRightInd w:val="0"/>
        <w:snapToGrid w:val="0"/>
        <w:spacing w:line="360" w:lineRule="auto"/>
        <w:ind w:firstLine="354" w:firstLineChars="49"/>
        <w:jc w:val="center"/>
        <w:rPr>
          <w:rFonts w:hint="eastAsia"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文　件</w:t>
      </w:r>
      <w:r>
        <w:rPr>
          <w:rFonts w:hint="eastAsia" w:asciiTheme="minorEastAsia" w:hAnsiTheme="minorEastAsia" w:eastAsiaTheme="minorEastAsia" w:cstheme="minorEastAsia"/>
          <w:b/>
          <w:spacing w:val="-20"/>
          <w:sz w:val="28"/>
          <w:szCs w:val="28"/>
        </w:rPr>
        <w:t xml:space="preserve">                                       </w:t>
      </w:r>
    </w:p>
    <w:p>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sz w:val="30"/>
          <w:szCs w:val="30"/>
          <w:u w:val="single"/>
        </w:rPr>
      </w:pPr>
      <w:r>
        <w:rPr>
          <w:rFonts w:hint="eastAsia" w:asciiTheme="minorEastAsia" w:hAnsiTheme="minorEastAsia" w:eastAsiaTheme="minorEastAsia" w:cstheme="minorEastAsia"/>
          <w:b/>
          <w:w w:val="99"/>
          <w:sz w:val="30"/>
          <w:szCs w:val="30"/>
        </w:rPr>
        <w:t>招   标  人：中国重汽集团大同齿轮有限公司</w:t>
      </w:r>
    </w:p>
    <w:p>
      <w:pPr>
        <w:pStyle w:val="32"/>
        <w:tabs>
          <w:tab w:val="left" w:pos="900"/>
          <w:tab w:val="right" w:leader="dot" w:pos="9100"/>
        </w:tabs>
        <w:spacing w:line="360" w:lineRule="auto"/>
        <w:ind w:firstLine="60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2025年12月</w:t>
      </w:r>
    </w:p>
    <w:p>
      <w:pPr>
        <w:ind w:firstLine="420"/>
        <w:rPr>
          <w:rFonts w:hint="eastAsia" w:asciiTheme="minorEastAsia" w:hAnsiTheme="minorEastAsia" w:eastAsiaTheme="minorEastAsia" w:cstheme="minorEastAsia"/>
        </w:rPr>
      </w:pPr>
    </w:p>
    <w:p>
      <w:pPr>
        <w:ind w:firstLine="420"/>
        <w:rPr>
          <w:rFonts w:hint="eastAsia" w:asciiTheme="minorEastAsia" w:hAnsiTheme="minorEastAsia" w:eastAsiaTheme="minorEastAsia" w:cstheme="minorEastAsia"/>
        </w:rPr>
      </w:pPr>
    </w:p>
    <w:bookmarkEnd w:id="0"/>
    <w:bookmarkEnd w:id="1"/>
    <w:p>
      <w:pPr>
        <w:widowControl/>
        <w:ind w:firstLine="420"/>
        <w:jc w:val="left"/>
        <w:rPr>
          <w:rFonts w:hint="eastAsia" w:asciiTheme="minorEastAsia" w:hAnsiTheme="minorEastAsia" w:eastAsiaTheme="minorEastAsia" w:cstheme="minorEastAsia"/>
          <w:b/>
          <w:kern w:val="0"/>
          <w:sz w:val="32"/>
          <w:szCs w:val="32"/>
          <w:lang w:val="zh-CN"/>
        </w:rPr>
      </w:pPr>
      <w:bookmarkStart w:id="2" w:name="_Toc16518"/>
      <w:bookmarkStart w:id="3" w:name="_Toc23462"/>
      <w:bookmarkStart w:id="4" w:name="_Toc131406235"/>
      <w:r>
        <w:rPr>
          <w:rFonts w:hint="eastAsia" w:asciiTheme="minorEastAsia" w:hAnsiTheme="minorEastAsia" w:eastAsiaTheme="minorEastAsia" w:cstheme="minorEastAsia"/>
          <w:szCs w:val="32"/>
        </w:rPr>
        <w:br w:type="page"/>
      </w:r>
    </w:p>
    <w:p>
      <w:pPr>
        <w:pStyle w:val="4"/>
        <w:snapToGrid w:val="0"/>
        <w:spacing w:before="0" w:after="0" w:line="360" w:lineRule="auto"/>
        <w:ind w:firstLine="643"/>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szCs w:val="32"/>
        </w:rPr>
        <w:t>招标公告</w:t>
      </w:r>
      <w:bookmarkEnd w:id="2"/>
      <w:bookmarkEnd w:id="3"/>
      <w:bookmarkEnd w:id="4"/>
    </w:p>
    <w:p>
      <w:pPr>
        <w:widowControl/>
        <w:snapToGrid w:val="0"/>
        <w:spacing w:line="360" w:lineRule="auto"/>
        <w:jc w:val="left"/>
        <w:rPr>
          <w:rFonts w:hint="eastAsia" w:asciiTheme="minorEastAsia" w:hAnsiTheme="minorEastAsia" w:eastAsiaTheme="minorEastAsia" w:cstheme="minorEastAsia"/>
          <w:b/>
          <w:kern w:val="0"/>
          <w:sz w:val="24"/>
          <w:szCs w:val="24"/>
          <w:lang w:bidi="en-US"/>
        </w:rPr>
      </w:pPr>
      <w:r>
        <w:rPr>
          <w:rFonts w:hint="eastAsia" w:asciiTheme="minorEastAsia" w:hAnsiTheme="minorEastAsia" w:eastAsiaTheme="minorEastAsia" w:cstheme="minorEastAsia"/>
          <w:b/>
          <w:kern w:val="0"/>
          <w:sz w:val="24"/>
          <w:szCs w:val="24"/>
          <w:lang w:bidi="en-US"/>
        </w:rPr>
        <w:t>一、招标条件</w:t>
      </w:r>
    </w:p>
    <w:p>
      <w:pPr>
        <w:widowControl/>
        <w:snapToGrid w:val="0"/>
        <w:spacing w:line="360" w:lineRule="auto"/>
        <w:ind w:firstLine="480" w:firstLineChars="200"/>
        <w:jc w:val="left"/>
        <w:rPr>
          <w:rFonts w:hint="eastAsia"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sz w:val="24"/>
          <w:szCs w:val="24"/>
          <w:u w:val="single"/>
        </w:rPr>
        <w:t>在线监测设备运维项目</w:t>
      </w:r>
      <w:r>
        <w:rPr>
          <w:rFonts w:hint="eastAsia" w:asciiTheme="minorEastAsia" w:hAnsiTheme="minorEastAsia" w:eastAsiaTheme="minorEastAsia" w:cstheme="minorEastAsia"/>
          <w:kern w:val="0"/>
          <w:sz w:val="24"/>
          <w:szCs w:val="24"/>
          <w:lang w:bidi="en-US"/>
        </w:rPr>
        <w:t>，以公开招标的方式进行采购。本项目业主为</w:t>
      </w:r>
      <w:r>
        <w:rPr>
          <w:rFonts w:hint="eastAsia" w:asciiTheme="minorEastAsia" w:hAnsiTheme="minorEastAsia" w:eastAsiaTheme="minorEastAsia" w:cstheme="minorEastAsia"/>
          <w:sz w:val="24"/>
          <w:szCs w:val="24"/>
          <w:u w:val="single"/>
        </w:rPr>
        <w:t>中国重汽集团大同齿轮有限公司</w:t>
      </w:r>
      <w:r>
        <w:rPr>
          <w:rFonts w:hint="eastAsia" w:asciiTheme="minorEastAsia" w:hAnsiTheme="minorEastAsia" w:eastAsiaTheme="minorEastAsia" w:cstheme="minorEastAsia"/>
          <w:kern w:val="0"/>
          <w:sz w:val="24"/>
          <w:szCs w:val="24"/>
          <w:lang w:bidi="en-US"/>
        </w:rPr>
        <w:t>，项目资金来自</w:t>
      </w:r>
      <w:r>
        <w:rPr>
          <w:rFonts w:hint="eastAsia" w:asciiTheme="minorEastAsia" w:hAnsiTheme="minorEastAsia" w:eastAsiaTheme="minorEastAsia" w:cstheme="minorEastAsia"/>
          <w:kern w:val="0"/>
          <w:sz w:val="24"/>
          <w:szCs w:val="24"/>
          <w:u w:val="single"/>
          <w:lang w:bidi="en-US"/>
        </w:rPr>
        <w:t xml:space="preserve"> 企业自筹 </w:t>
      </w:r>
      <w:r>
        <w:rPr>
          <w:rFonts w:hint="eastAsia" w:asciiTheme="minorEastAsia" w:hAnsiTheme="minorEastAsia" w:eastAsiaTheme="minorEastAsia" w:cstheme="minorEastAsia"/>
          <w:kern w:val="0"/>
          <w:sz w:val="24"/>
          <w:szCs w:val="24"/>
          <w:lang w:bidi="en-US"/>
        </w:rPr>
        <w:t>，出资比例为</w:t>
      </w:r>
      <w:r>
        <w:rPr>
          <w:rFonts w:hint="eastAsia" w:asciiTheme="minorEastAsia" w:hAnsiTheme="minorEastAsia" w:eastAsiaTheme="minorEastAsia" w:cstheme="minorEastAsia"/>
          <w:kern w:val="0"/>
          <w:sz w:val="24"/>
          <w:szCs w:val="24"/>
          <w:u w:val="single"/>
          <w:lang w:bidi="en-US"/>
        </w:rPr>
        <w:t xml:space="preserve"> 100% </w:t>
      </w:r>
      <w:r>
        <w:rPr>
          <w:rFonts w:hint="eastAsia" w:asciiTheme="minorEastAsia" w:hAnsiTheme="minorEastAsia" w:eastAsiaTheme="minorEastAsia" w:cstheme="minorEastAsia"/>
          <w:kern w:val="0"/>
          <w:sz w:val="24"/>
          <w:szCs w:val="24"/>
          <w:lang w:bidi="en-US"/>
        </w:rPr>
        <w:t>。该项目现已具备招标条件，欢迎具备条件的潜在投标人参加投标。</w:t>
      </w:r>
    </w:p>
    <w:p>
      <w:pPr>
        <w:widowControl/>
        <w:snapToGrid w:val="0"/>
        <w:spacing w:line="360" w:lineRule="auto"/>
        <w:jc w:val="left"/>
        <w:rPr>
          <w:rFonts w:hint="eastAsia"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b/>
          <w:bCs/>
          <w:kern w:val="0"/>
          <w:sz w:val="24"/>
          <w:szCs w:val="24"/>
          <w:lang w:bidi="en-US"/>
        </w:rPr>
        <w:t>二、项目概况与招标范围</w:t>
      </w:r>
    </w:p>
    <w:p>
      <w:pPr>
        <w:pStyle w:val="151"/>
        <w:widowControl/>
        <w:adjustRightInd w:val="0"/>
        <w:snapToGrid w:val="0"/>
        <w:spacing w:line="360" w:lineRule="auto"/>
        <w:ind w:firstLine="0" w:firstLineChars="0"/>
        <w:jc w:val="left"/>
        <w:rPr>
          <w:rFonts w:hint="eastAsia" w:asciiTheme="minorEastAsia" w:hAnsiTheme="minorEastAsia" w:eastAsiaTheme="minorEastAsia" w:cstheme="minorEastAsia"/>
          <w:kern w:val="0"/>
          <w:sz w:val="24"/>
          <w:szCs w:val="24"/>
          <w:lang w:bidi="en-US"/>
        </w:rPr>
      </w:pPr>
      <w:bookmarkStart w:id="5" w:name="_Toc179632530"/>
      <w:bookmarkEnd w:id="5"/>
      <w:bookmarkStart w:id="6" w:name="_Toc152045514"/>
      <w:bookmarkEnd w:id="6"/>
      <w:bookmarkStart w:id="7" w:name="_Toc285809451"/>
      <w:bookmarkEnd w:id="7"/>
      <w:bookmarkStart w:id="8" w:name="_Toc144974482"/>
      <w:bookmarkEnd w:id="8"/>
      <w:bookmarkStart w:id="9" w:name="_Toc152042290"/>
      <w:bookmarkEnd w:id="9"/>
      <w:r>
        <w:rPr>
          <w:rFonts w:asciiTheme="minorEastAsia" w:hAnsiTheme="minorEastAsia" w:eastAsiaTheme="minorEastAsia" w:cstheme="minorEastAsia"/>
          <w:kern w:val="0"/>
          <w:sz w:val="24"/>
          <w:szCs w:val="24"/>
          <w:lang w:bidi="en-US"/>
        </w:rPr>
        <w:t>1．</w:t>
      </w:r>
      <w:r>
        <w:rPr>
          <w:rFonts w:hint="eastAsia" w:asciiTheme="minorEastAsia" w:hAnsiTheme="minorEastAsia" w:eastAsiaTheme="minorEastAsia" w:cstheme="minorEastAsia"/>
          <w:kern w:val="0"/>
          <w:sz w:val="24"/>
          <w:szCs w:val="24"/>
          <w:lang w:bidi="en-US"/>
        </w:rPr>
        <w:t>项目名称：</w:t>
      </w:r>
      <w:r>
        <w:rPr>
          <w:rFonts w:hint="eastAsia" w:asciiTheme="minorEastAsia" w:hAnsiTheme="minorEastAsia" w:eastAsiaTheme="minorEastAsia" w:cstheme="minorEastAsia"/>
          <w:kern w:val="0"/>
          <w:sz w:val="24"/>
          <w:szCs w:val="24"/>
          <w:u w:val="single"/>
          <w:lang w:bidi="en-US"/>
        </w:rPr>
        <w:t xml:space="preserve"> 在线监测设备运维项目  </w:t>
      </w:r>
    </w:p>
    <w:p>
      <w:pPr>
        <w:pStyle w:val="151"/>
        <w:widowControl/>
        <w:adjustRightInd w:val="0"/>
        <w:snapToGrid w:val="0"/>
        <w:spacing w:line="360" w:lineRule="auto"/>
        <w:ind w:firstLine="0" w:firstLineChars="0"/>
        <w:jc w:val="left"/>
        <w:rPr>
          <w:rFonts w:hint="eastAsia" w:asciiTheme="minorEastAsia" w:hAnsiTheme="minorEastAsia" w:eastAsiaTheme="minorEastAsia" w:cstheme="minorEastAsia"/>
          <w:kern w:val="0"/>
          <w:sz w:val="24"/>
          <w:szCs w:val="24"/>
        </w:rPr>
      </w:pPr>
      <w:r>
        <w:rPr>
          <w:rFonts w:asciiTheme="minorEastAsia" w:hAnsiTheme="minorEastAsia" w:eastAsiaTheme="minorEastAsia" w:cstheme="minorEastAsia"/>
          <w:kern w:val="0"/>
          <w:sz w:val="24"/>
          <w:szCs w:val="24"/>
        </w:rPr>
        <w:t>2．</w:t>
      </w:r>
      <w:r>
        <w:rPr>
          <w:rFonts w:hint="eastAsia" w:asciiTheme="minorEastAsia" w:hAnsiTheme="minorEastAsia" w:eastAsiaTheme="minorEastAsia" w:cstheme="minorEastAsia"/>
          <w:kern w:val="0"/>
          <w:sz w:val="24"/>
          <w:szCs w:val="24"/>
          <w:lang w:bidi="en-US"/>
        </w:rPr>
        <w:t>采购形式编号：</w:t>
      </w:r>
      <w:r>
        <w:rPr>
          <w:rFonts w:hint="eastAsia" w:asciiTheme="minorEastAsia" w:hAnsiTheme="minorEastAsia" w:eastAsiaTheme="minorEastAsia" w:cstheme="minorEastAsia"/>
          <w:kern w:val="0"/>
          <w:sz w:val="24"/>
          <w:szCs w:val="24"/>
          <w:u w:val="single"/>
          <w:lang w:bidi="en-US"/>
        </w:rPr>
        <w:t>FSCZB2025120164</w:t>
      </w:r>
      <w:r>
        <w:rPr>
          <w:rFonts w:hint="eastAsia" w:asciiTheme="minorEastAsia" w:hAnsiTheme="minorEastAsia" w:eastAsiaTheme="minorEastAsia" w:cstheme="minorEastAsia"/>
          <w:kern w:val="0"/>
          <w:sz w:val="24"/>
          <w:szCs w:val="24"/>
          <w:lang w:bidi="en-US"/>
        </w:rPr>
        <w:t>；</w:t>
      </w:r>
    </w:p>
    <w:p>
      <w:pPr>
        <w:pStyle w:val="151"/>
        <w:widowControl/>
        <w:adjustRightInd w:val="0"/>
        <w:snapToGrid w:val="0"/>
        <w:spacing w:line="360" w:lineRule="auto"/>
        <w:ind w:firstLine="0" w:firstLineChars="0"/>
        <w:jc w:val="left"/>
        <w:rPr>
          <w:color w:val="000000"/>
        </w:rPr>
      </w:pPr>
      <w:r>
        <w:rPr>
          <w:color w:val="000000"/>
        </w:rPr>
        <w:t>3．</w:t>
      </w:r>
      <w:r>
        <w:rPr>
          <w:rFonts w:hint="eastAsia" w:asciiTheme="minorEastAsia" w:hAnsiTheme="minorEastAsia" w:eastAsiaTheme="minorEastAsia" w:cstheme="minorEastAsia"/>
          <w:kern w:val="0"/>
          <w:sz w:val="24"/>
          <w:szCs w:val="24"/>
          <w:lang w:bidi="en-US"/>
        </w:rPr>
        <w:t>项目地点：</w:t>
      </w:r>
      <w:r>
        <w:rPr>
          <w:rFonts w:hint="eastAsia" w:asciiTheme="minorEastAsia" w:hAnsiTheme="minorEastAsia" w:eastAsiaTheme="minorEastAsia" w:cstheme="minorEastAsia"/>
          <w:kern w:val="0"/>
          <w:sz w:val="24"/>
          <w:szCs w:val="24"/>
          <w:highlight w:val="green"/>
          <w:u w:val="single"/>
          <w:lang w:bidi="en-US"/>
        </w:rPr>
        <w:t>中国重汽集团大同齿轮有限公司，山西省大同市云州街99号</w:t>
      </w:r>
      <w:r>
        <w:rPr>
          <w:rFonts w:hint="eastAsia" w:asciiTheme="minorEastAsia" w:hAnsiTheme="minorEastAsia" w:eastAsiaTheme="minorEastAsia" w:cstheme="minorEastAsia"/>
          <w:kern w:val="0"/>
          <w:sz w:val="24"/>
          <w:szCs w:val="24"/>
          <w:u w:val="single"/>
          <w:lang w:bidi="en-US"/>
        </w:rPr>
        <w:t>；</w:t>
      </w:r>
    </w:p>
    <w:p>
      <w:pPr>
        <w:pStyle w:val="151"/>
        <w:widowControl/>
        <w:adjustRightInd w:val="0"/>
        <w:snapToGrid w:val="0"/>
        <w:spacing w:line="360" w:lineRule="auto"/>
        <w:ind w:firstLine="0" w:firstLineChars="0"/>
        <w:jc w:val="left"/>
        <w:rPr>
          <w:rFonts w:hint="eastAsia" w:asciiTheme="minorEastAsia" w:hAnsiTheme="minorEastAsia" w:eastAsiaTheme="minorEastAsia" w:cstheme="minorEastAsia"/>
          <w:kern w:val="0"/>
          <w:sz w:val="24"/>
          <w:szCs w:val="24"/>
          <w:lang w:bidi="en-US"/>
        </w:rPr>
      </w:pPr>
      <w:r>
        <w:rPr>
          <w:rFonts w:ascii="宋体" w:hAnsi="宋体"/>
          <w:color w:val="000000"/>
          <w:sz w:val="24"/>
          <w:szCs w:val="24"/>
          <w:lang w:bidi="zh-CN"/>
        </w:rPr>
        <w:t>4．</w:t>
      </w:r>
      <w:r>
        <w:rPr>
          <w:rFonts w:hint="eastAsia" w:asciiTheme="minorEastAsia" w:hAnsiTheme="minorEastAsia" w:eastAsiaTheme="minorEastAsia" w:cstheme="minorEastAsia"/>
          <w:kern w:val="0"/>
          <w:sz w:val="24"/>
          <w:szCs w:val="24"/>
          <w:lang w:bidi="en-US"/>
        </w:rPr>
        <w:t>项目内容：</w:t>
      </w:r>
    </w:p>
    <w:p>
      <w:pPr>
        <w:pStyle w:val="2"/>
        <w:rPr>
          <w:rFonts w:hint="eastAsia" w:hAnsi="宋体" w:eastAsia="宋体" w:cs="宋体"/>
          <w:szCs w:val="24"/>
          <w:lang w:val="en-US"/>
        </w:rPr>
      </w:pPr>
      <w:r>
        <w:rPr>
          <w:rFonts w:hint="eastAsia" w:hAnsi="宋体" w:eastAsia="宋体" w:cs="宋体"/>
          <w:szCs w:val="24"/>
          <w:lang w:val="en-US"/>
        </w:rPr>
        <w:t>①VOC</w:t>
      </w:r>
      <w:r>
        <w:rPr>
          <w:rFonts w:hint="eastAsia" w:hAnsi="宋体" w:eastAsia="宋体" w:cs="宋体"/>
          <w:szCs w:val="24"/>
        </w:rPr>
        <w:t>在线监测设备运维</w:t>
      </w:r>
    </w:p>
    <w:tbl>
      <w:tblPr>
        <w:tblStyle w:val="48"/>
        <w:tblW w:w="10525"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5" w:type="dxa"/>
          <w:left w:w="15" w:type="dxa"/>
          <w:bottom w:w="15" w:type="dxa"/>
          <w:right w:w="15" w:type="dxa"/>
        </w:tblCellMar>
      </w:tblPr>
      <w:tblGrid>
        <w:gridCol w:w="1530"/>
        <w:gridCol w:w="1200"/>
        <w:gridCol w:w="2436"/>
        <w:gridCol w:w="1545"/>
        <w:gridCol w:w="1350"/>
        <w:gridCol w:w="1485"/>
        <w:gridCol w:w="979"/>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5" w:type="dxa"/>
            <w:left w:w="15" w:type="dxa"/>
            <w:bottom w:w="15" w:type="dxa"/>
            <w:right w:w="15" w:type="dxa"/>
          </w:tblCellMar>
        </w:tblPrEx>
        <w:trPr>
          <w:trHeight w:val="510" w:hRule="atLeast"/>
          <w:jc w:val="center"/>
        </w:trPr>
        <w:tc>
          <w:tcPr>
            <w:tcW w:w="1530" w:type="dxa"/>
            <w:vAlign w:val="center"/>
          </w:tcPr>
          <w:p>
            <w:pPr>
              <w:widowControl/>
              <w:jc w:val="center"/>
              <w:textAlignment w:val="center"/>
              <w:rPr>
                <w:rFonts w:hint="eastAsia" w:ascii="宋体" w:hAnsi="宋体" w:cs="宋体"/>
                <w:b/>
                <w:bCs/>
                <w:color w:val="000000"/>
                <w:sz w:val="24"/>
              </w:rPr>
            </w:pPr>
            <w:r>
              <w:rPr>
                <w:rFonts w:hint="eastAsia" w:ascii="宋体" w:hAnsi="宋体" w:cs="宋体"/>
                <w:b/>
                <w:bCs/>
                <w:color w:val="000000"/>
                <w:kern w:val="0"/>
                <w:sz w:val="24"/>
                <w:lang w:bidi="ar"/>
              </w:rPr>
              <w:t>项目名称</w:t>
            </w:r>
          </w:p>
        </w:tc>
        <w:tc>
          <w:tcPr>
            <w:tcW w:w="1200" w:type="dxa"/>
            <w:vAlign w:val="center"/>
          </w:tcPr>
          <w:p>
            <w:pPr>
              <w:widowControl/>
              <w:jc w:val="center"/>
              <w:textAlignment w:val="center"/>
              <w:rPr>
                <w:rFonts w:hint="eastAsia" w:ascii="宋体" w:hAnsi="宋体" w:cs="宋体"/>
                <w:b/>
                <w:bCs/>
                <w:color w:val="000000"/>
                <w:sz w:val="24"/>
              </w:rPr>
            </w:pPr>
            <w:r>
              <w:rPr>
                <w:rFonts w:hint="eastAsia" w:ascii="宋体" w:hAnsi="宋体" w:cs="宋体"/>
                <w:b/>
                <w:bCs/>
                <w:color w:val="000000"/>
                <w:kern w:val="0"/>
                <w:sz w:val="24"/>
                <w:lang w:bidi="ar"/>
              </w:rPr>
              <w:t>类别</w:t>
            </w:r>
          </w:p>
        </w:tc>
        <w:tc>
          <w:tcPr>
            <w:tcW w:w="2436" w:type="dxa"/>
            <w:vAlign w:val="center"/>
          </w:tcPr>
          <w:p>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设备名称</w:t>
            </w:r>
          </w:p>
        </w:tc>
        <w:tc>
          <w:tcPr>
            <w:tcW w:w="1545" w:type="dxa"/>
            <w:vAlign w:val="center"/>
          </w:tcPr>
          <w:p>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监测因子</w:t>
            </w:r>
          </w:p>
        </w:tc>
        <w:tc>
          <w:tcPr>
            <w:tcW w:w="1350" w:type="dxa"/>
            <w:vAlign w:val="center"/>
          </w:tcPr>
          <w:p>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生产厂商</w:t>
            </w:r>
          </w:p>
        </w:tc>
        <w:tc>
          <w:tcPr>
            <w:tcW w:w="1485" w:type="dxa"/>
            <w:vAlign w:val="center"/>
          </w:tcPr>
          <w:p>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型号</w:t>
            </w:r>
          </w:p>
        </w:tc>
        <w:tc>
          <w:tcPr>
            <w:tcW w:w="979" w:type="dxa"/>
            <w:vAlign w:val="center"/>
          </w:tcPr>
          <w:p>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5" w:type="dxa"/>
            <w:left w:w="15" w:type="dxa"/>
            <w:bottom w:w="15" w:type="dxa"/>
            <w:right w:w="15" w:type="dxa"/>
          </w:tblCellMar>
        </w:tblPrEx>
        <w:trPr>
          <w:trHeight w:val="493" w:hRule="atLeast"/>
          <w:jc w:val="center"/>
        </w:trPr>
        <w:tc>
          <w:tcPr>
            <w:tcW w:w="1530" w:type="dxa"/>
            <w:vMerge w:val="restart"/>
            <w:vAlign w:val="center"/>
          </w:tcPr>
          <w:p>
            <w:pPr>
              <w:widowControl/>
              <w:jc w:val="center"/>
              <w:textAlignment w:val="center"/>
              <w:rPr>
                <w:rFonts w:hint="eastAsia" w:ascii="宋体" w:hAnsi="宋体" w:cs="宋体"/>
                <w:b/>
                <w:bCs/>
                <w:color w:val="000000"/>
                <w:kern w:val="0"/>
                <w:sz w:val="24"/>
                <w:lang w:bidi="ar"/>
              </w:rPr>
            </w:pPr>
            <w:r>
              <w:rPr>
                <w:rFonts w:hint="eastAsia" w:ascii="宋体" w:hAnsi="宋体" w:cs="宋体"/>
                <w:color w:val="000000"/>
                <w:kern w:val="0"/>
                <w:sz w:val="24"/>
                <w:lang w:bidi="ar"/>
              </w:rPr>
              <w:t>VOC在线监测系统设备运维技术服务</w:t>
            </w:r>
          </w:p>
        </w:tc>
        <w:tc>
          <w:tcPr>
            <w:tcW w:w="1200" w:type="dxa"/>
            <w:vMerge w:val="restart"/>
            <w:vAlign w:val="center"/>
          </w:tcPr>
          <w:p>
            <w:pPr>
              <w:widowControl/>
              <w:jc w:val="center"/>
              <w:textAlignment w:val="center"/>
              <w:rPr>
                <w:rFonts w:hint="eastAsia" w:ascii="宋体" w:hAnsi="宋体" w:cs="宋体"/>
                <w:b/>
                <w:bCs/>
                <w:color w:val="000000"/>
                <w:kern w:val="0"/>
                <w:sz w:val="24"/>
                <w:lang w:bidi="ar"/>
              </w:rPr>
            </w:pPr>
            <w:r>
              <w:rPr>
                <w:rFonts w:hint="eastAsia" w:ascii="宋体" w:hAnsi="宋体" w:cs="宋体"/>
                <w:color w:val="000000"/>
                <w:kern w:val="0"/>
                <w:sz w:val="24"/>
                <w:lang w:bidi="ar"/>
              </w:rPr>
              <w:t>挥发性有机物在线监测系统</w:t>
            </w:r>
          </w:p>
        </w:tc>
        <w:tc>
          <w:tcPr>
            <w:tcW w:w="2436" w:type="dxa"/>
            <w:vAlign w:val="center"/>
          </w:tcPr>
          <w:p>
            <w:pPr>
              <w:pStyle w:val="151"/>
              <w:spacing w:line="280" w:lineRule="exact"/>
              <w:ind w:firstLine="0" w:firstLineChars="0"/>
              <w:jc w:val="center"/>
              <w:rPr>
                <w:rFonts w:hint="eastAsia" w:ascii="宋体" w:hAnsi="宋体" w:cs="宋体"/>
                <w:color w:val="000000"/>
                <w:kern w:val="0"/>
                <w:sz w:val="24"/>
                <w:lang w:bidi="ar"/>
              </w:rPr>
            </w:pPr>
            <w:r>
              <w:rPr>
                <w:rFonts w:hint="eastAsia" w:ascii="宋体" w:hAnsi="宋体" w:cs="宋体"/>
                <w:color w:val="000000"/>
                <w:kern w:val="0"/>
                <w:sz w:val="24"/>
                <w:lang w:bidi="ar"/>
              </w:rPr>
              <w:t>挥发性有机物VOCs在线监测系统</w:t>
            </w:r>
          </w:p>
        </w:tc>
        <w:tc>
          <w:tcPr>
            <w:tcW w:w="1545" w:type="dxa"/>
            <w:vAlign w:val="center"/>
          </w:tcPr>
          <w:p>
            <w:pPr>
              <w:adjustRightInd w:val="0"/>
              <w:snapToGrid w:val="0"/>
              <w:spacing w:line="276" w:lineRule="auto"/>
              <w:jc w:val="center"/>
              <w:rPr>
                <w:rFonts w:hint="eastAsia" w:ascii="宋体" w:hAnsi="宋体" w:cs="宋体"/>
                <w:color w:val="000000"/>
                <w:kern w:val="0"/>
                <w:sz w:val="24"/>
                <w:lang w:bidi="ar"/>
              </w:rPr>
            </w:pPr>
            <w:r>
              <w:rPr>
                <w:rFonts w:hint="eastAsia" w:ascii="宋体" w:hAnsi="宋体" w:cs="宋体"/>
                <w:color w:val="000000"/>
                <w:kern w:val="0"/>
                <w:sz w:val="24"/>
                <w:lang w:bidi="ar"/>
              </w:rPr>
              <w:t>非甲烷总烃</w:t>
            </w:r>
          </w:p>
        </w:tc>
        <w:tc>
          <w:tcPr>
            <w:tcW w:w="1350" w:type="dxa"/>
            <w:vAlign w:val="center"/>
          </w:tcPr>
          <w:p>
            <w:pPr>
              <w:jc w:val="center"/>
              <w:rPr>
                <w:rFonts w:hint="eastAsia" w:ascii="宋体" w:hAnsi="宋体" w:cs="宋体"/>
                <w:color w:val="000000"/>
                <w:kern w:val="0"/>
                <w:sz w:val="24"/>
                <w:lang w:bidi="ar"/>
              </w:rPr>
            </w:pPr>
            <w:r>
              <w:rPr>
                <w:rFonts w:hint="eastAsia" w:ascii="宋体" w:hAnsi="宋体" w:cs="宋体"/>
                <w:color w:val="000000"/>
                <w:kern w:val="0"/>
                <w:sz w:val="24"/>
                <w:lang w:bidi="ar"/>
              </w:rPr>
              <w:t>万维盈创</w:t>
            </w:r>
          </w:p>
        </w:tc>
        <w:tc>
          <w:tcPr>
            <w:tcW w:w="1485" w:type="dxa"/>
            <w:vAlign w:val="center"/>
          </w:tcPr>
          <w:p>
            <w:pPr>
              <w:jc w:val="center"/>
              <w:rPr>
                <w:rFonts w:hint="eastAsia" w:ascii="宋体" w:hAnsi="宋体" w:cs="宋体"/>
                <w:color w:val="000000"/>
                <w:kern w:val="0"/>
                <w:sz w:val="24"/>
                <w:lang w:bidi="ar"/>
              </w:rPr>
            </w:pPr>
            <w:r>
              <w:rPr>
                <w:rFonts w:hint="eastAsia" w:ascii="宋体" w:hAnsi="宋体" w:cs="宋体"/>
                <w:color w:val="000000"/>
                <w:kern w:val="0"/>
                <w:sz w:val="24"/>
                <w:lang w:bidi="ar"/>
              </w:rPr>
              <w:t>SmartEM4000</w:t>
            </w:r>
          </w:p>
        </w:tc>
        <w:tc>
          <w:tcPr>
            <w:tcW w:w="979"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5" w:type="dxa"/>
            <w:left w:w="15" w:type="dxa"/>
            <w:bottom w:w="15" w:type="dxa"/>
            <w:right w:w="15" w:type="dxa"/>
          </w:tblCellMar>
        </w:tblPrEx>
        <w:trPr>
          <w:trHeight w:val="419" w:hRule="atLeast"/>
          <w:jc w:val="center"/>
        </w:trPr>
        <w:tc>
          <w:tcPr>
            <w:tcW w:w="153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120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2436"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数采仪</w:t>
            </w:r>
          </w:p>
        </w:tc>
        <w:tc>
          <w:tcPr>
            <w:tcW w:w="154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w:t>
            </w:r>
          </w:p>
        </w:tc>
        <w:tc>
          <w:tcPr>
            <w:tcW w:w="1350"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万维盈创</w:t>
            </w:r>
          </w:p>
        </w:tc>
        <w:tc>
          <w:tcPr>
            <w:tcW w:w="148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W5100HB-Ⅲ</w:t>
            </w:r>
          </w:p>
        </w:tc>
        <w:tc>
          <w:tcPr>
            <w:tcW w:w="979"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r>
    </w:tbl>
    <w:p>
      <w:pPr>
        <w:pStyle w:val="2"/>
        <w:rPr>
          <w:rFonts w:hint="eastAsia" w:hAnsi="宋体" w:eastAsia="宋体" w:cs="宋体"/>
          <w:sz w:val="10"/>
          <w:szCs w:val="10"/>
          <w:lang w:val="en-US"/>
        </w:rPr>
      </w:pPr>
    </w:p>
    <w:tbl>
      <w:tblPr>
        <w:tblStyle w:val="48"/>
        <w:tblW w:w="9209" w:type="dxa"/>
        <w:jc w:val="center"/>
        <w:tblLayout w:type="fixed"/>
        <w:tblCellMar>
          <w:top w:w="0" w:type="dxa"/>
          <w:left w:w="108" w:type="dxa"/>
          <w:bottom w:w="0" w:type="dxa"/>
          <w:right w:w="108" w:type="dxa"/>
        </w:tblCellMar>
      </w:tblPr>
      <w:tblGrid>
        <w:gridCol w:w="1190"/>
        <w:gridCol w:w="1273"/>
        <w:gridCol w:w="2271"/>
        <w:gridCol w:w="1817"/>
        <w:gridCol w:w="2658"/>
      </w:tblGrid>
      <w:tr>
        <w:tblPrEx>
          <w:tblCellMar>
            <w:top w:w="0" w:type="dxa"/>
            <w:left w:w="108" w:type="dxa"/>
            <w:bottom w:w="0" w:type="dxa"/>
            <w:right w:w="108" w:type="dxa"/>
          </w:tblCellMar>
        </w:tblPrEx>
        <w:trPr>
          <w:trHeight w:val="293"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sz w:val="24"/>
              </w:rPr>
            </w:pPr>
            <w:r>
              <w:rPr>
                <w:rFonts w:hint="eastAsia" w:ascii="黑体" w:hAnsi="宋体" w:eastAsia="黑体" w:cs="黑体"/>
                <w:kern w:val="0"/>
                <w:sz w:val="24"/>
                <w:lang w:bidi="ar"/>
              </w:rPr>
              <w:t>序号</w:t>
            </w:r>
          </w:p>
        </w:tc>
        <w:tc>
          <w:tcPr>
            <w:tcW w:w="354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项目名称</w:t>
            </w:r>
          </w:p>
        </w:tc>
        <w:tc>
          <w:tcPr>
            <w:tcW w:w="181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计量单位</w:t>
            </w:r>
          </w:p>
        </w:tc>
        <w:tc>
          <w:tcPr>
            <w:tcW w:w="2658"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备注</w:t>
            </w:r>
          </w:p>
        </w:tc>
      </w:tr>
      <w:tr>
        <w:tblPrEx>
          <w:tblCellMar>
            <w:top w:w="0" w:type="dxa"/>
            <w:left w:w="108" w:type="dxa"/>
            <w:bottom w:w="0" w:type="dxa"/>
            <w:right w:w="108" w:type="dxa"/>
          </w:tblCellMar>
        </w:tblPrEx>
        <w:trPr>
          <w:trHeight w:val="255"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b/>
                <w:bCs/>
                <w:sz w:val="24"/>
              </w:rPr>
            </w:pPr>
            <w:r>
              <w:rPr>
                <w:rFonts w:hint="eastAsia" w:ascii="宋体" w:hAnsi="宋体" w:cs="宋体"/>
                <w:b/>
                <w:bCs/>
                <w:kern w:val="0"/>
                <w:sz w:val="24"/>
                <w:lang w:bidi="ar"/>
              </w:rPr>
              <w:t>一</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b/>
                <w:bCs/>
                <w:kern w:val="0"/>
                <w:sz w:val="24"/>
                <w:lang w:bidi="ar"/>
              </w:rPr>
              <w:t>验收</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265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217"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1.1</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color w:val="000000"/>
                <w:sz w:val="24"/>
                <w:szCs w:val="24"/>
              </w:rPr>
            </w:pPr>
            <w:r>
              <w:rPr>
                <w:rFonts w:hint="eastAsia" w:ascii="宋体" w:hAnsi="宋体" w:cs="宋体"/>
                <w:kern w:val="0"/>
                <w:sz w:val="24"/>
                <w:lang w:bidi="ar"/>
              </w:rPr>
              <w:t>调试</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color w:val="000000"/>
                <w:sz w:val="24"/>
                <w:szCs w:val="24"/>
              </w:rPr>
            </w:pPr>
            <w:r>
              <w:rPr>
                <w:rFonts w:hint="eastAsia" w:ascii="宋体" w:hAnsi="宋体" w:cs="宋体"/>
                <w:color w:val="000000"/>
                <w:sz w:val="24"/>
                <w:szCs w:val="24"/>
              </w:rPr>
              <w:t>次</w:t>
            </w:r>
          </w:p>
        </w:tc>
        <w:tc>
          <w:tcPr>
            <w:tcW w:w="2658" w:type="dxa"/>
            <w:vMerge w:val="restart"/>
            <w:tcBorders>
              <w:top w:val="single" w:color="000000" w:sz="4" w:space="0"/>
              <w:left w:val="single" w:color="000000" w:sz="4" w:space="0"/>
              <w:right w:val="single" w:color="000000" w:sz="4" w:space="0"/>
            </w:tcBorders>
            <w:noWrap/>
            <w:vAlign w:val="center"/>
          </w:tcPr>
          <w:p>
            <w:pPr>
              <w:widowControl/>
              <w:jc w:val="center"/>
              <w:textAlignment w:val="center"/>
              <w:rPr>
                <w:rFonts w:hint="eastAsia" w:ascii="宋体" w:hAnsi="宋体" w:cs="宋体"/>
                <w:color w:val="000000"/>
                <w:sz w:val="24"/>
                <w:szCs w:val="24"/>
              </w:rPr>
            </w:pPr>
            <w:r>
              <w:rPr>
                <w:rFonts w:hint="eastAsia" w:ascii="宋体" w:hAnsi="宋体" w:cs="宋体"/>
                <w:color w:val="000000"/>
                <w:sz w:val="24"/>
                <w:szCs w:val="24"/>
              </w:rPr>
              <w:t>按实际情况足量直到验收</w:t>
            </w:r>
          </w:p>
        </w:tc>
      </w:tr>
      <w:tr>
        <w:tblPrEx>
          <w:tblCellMar>
            <w:top w:w="0" w:type="dxa"/>
            <w:left w:w="108" w:type="dxa"/>
            <w:bottom w:w="0" w:type="dxa"/>
            <w:right w:w="108" w:type="dxa"/>
          </w:tblCellMar>
        </w:tblPrEx>
        <w:trPr>
          <w:trHeight w:val="122"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1.2</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比对</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次</w:t>
            </w:r>
          </w:p>
        </w:tc>
        <w:tc>
          <w:tcPr>
            <w:tcW w:w="2658" w:type="dxa"/>
            <w:vMerge w:val="continue"/>
            <w:tcBorders>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299"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1.3</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color w:val="000000"/>
                <w:sz w:val="24"/>
                <w:szCs w:val="24"/>
              </w:rPr>
            </w:pPr>
            <w:r>
              <w:rPr>
                <w:rFonts w:hint="eastAsia" w:ascii="宋体" w:hAnsi="宋体" w:cs="宋体"/>
                <w:kern w:val="0"/>
                <w:sz w:val="24"/>
                <w:lang w:bidi="ar"/>
              </w:rPr>
              <w:t>专家费</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color w:val="000000"/>
                <w:sz w:val="24"/>
                <w:szCs w:val="24"/>
              </w:rPr>
            </w:pPr>
            <w:r>
              <w:rPr>
                <w:rFonts w:hint="eastAsia" w:ascii="宋体" w:hAnsi="宋体" w:cs="宋体"/>
                <w:color w:val="000000"/>
                <w:sz w:val="24"/>
                <w:szCs w:val="24"/>
              </w:rPr>
              <w:t>人</w:t>
            </w:r>
          </w:p>
        </w:tc>
        <w:tc>
          <w:tcPr>
            <w:tcW w:w="265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color w:val="000000"/>
                <w:sz w:val="24"/>
                <w:szCs w:val="24"/>
              </w:rPr>
            </w:pPr>
            <w:r>
              <w:rPr>
                <w:rFonts w:hint="eastAsia" w:ascii="宋体" w:hAnsi="宋体" w:cs="宋体"/>
                <w:color w:val="000000"/>
                <w:sz w:val="24"/>
                <w:szCs w:val="24"/>
              </w:rPr>
              <w:t>3-5</w:t>
            </w:r>
          </w:p>
        </w:tc>
      </w:tr>
      <w:tr>
        <w:tblPrEx>
          <w:tblCellMar>
            <w:top w:w="0" w:type="dxa"/>
            <w:left w:w="108" w:type="dxa"/>
            <w:bottom w:w="0" w:type="dxa"/>
            <w:right w:w="108" w:type="dxa"/>
          </w:tblCellMar>
        </w:tblPrEx>
        <w:trPr>
          <w:trHeight w:val="102"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b/>
                <w:bCs/>
                <w:sz w:val="24"/>
              </w:rPr>
            </w:pPr>
            <w:r>
              <w:rPr>
                <w:rFonts w:hint="eastAsia" w:ascii="宋体" w:hAnsi="宋体" w:cs="宋体"/>
                <w:b/>
                <w:bCs/>
                <w:kern w:val="0"/>
                <w:sz w:val="24"/>
                <w:lang w:bidi="ar"/>
              </w:rPr>
              <w:t>二</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b/>
                <w:bCs/>
                <w:kern w:val="0"/>
                <w:sz w:val="24"/>
                <w:lang w:bidi="ar"/>
              </w:rPr>
              <w:t>运维</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265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83" w:hRule="atLeast"/>
          <w:jc w:val="center"/>
        </w:trPr>
        <w:tc>
          <w:tcPr>
            <w:tcW w:w="1190" w:type="dxa"/>
            <w:vMerge w:val="restart"/>
            <w:tcBorders>
              <w:top w:val="single" w:color="000000" w:sz="4" w:space="0"/>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2.1</w:t>
            </w:r>
          </w:p>
        </w:tc>
        <w:tc>
          <w:tcPr>
            <w:tcW w:w="1273" w:type="dxa"/>
            <w:vMerge w:val="restart"/>
            <w:tcBorders>
              <w:top w:val="single" w:color="000000" w:sz="4" w:space="0"/>
              <w:left w:val="single" w:color="000000" w:sz="4" w:space="0"/>
              <w:right w:val="single" w:color="000000" w:sz="4" w:space="0"/>
            </w:tcBorders>
            <w:noWrap/>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耗材</w:t>
            </w:r>
          </w:p>
        </w:tc>
        <w:tc>
          <w:tcPr>
            <w:tcW w:w="227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纯净水</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瓶</w:t>
            </w:r>
          </w:p>
        </w:tc>
        <w:tc>
          <w:tcPr>
            <w:tcW w:w="2658" w:type="dxa"/>
            <w:vMerge w:val="restart"/>
            <w:tcBorders>
              <w:top w:val="single" w:color="000000" w:sz="4" w:space="0"/>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全年足量使用</w:t>
            </w:r>
          </w:p>
        </w:tc>
      </w:tr>
      <w:tr>
        <w:tblPrEx>
          <w:tblCellMar>
            <w:top w:w="0" w:type="dxa"/>
            <w:left w:w="108" w:type="dxa"/>
            <w:bottom w:w="0" w:type="dxa"/>
            <w:right w:w="108" w:type="dxa"/>
          </w:tblCellMar>
        </w:tblPrEx>
        <w:trPr>
          <w:trHeight w:val="83" w:hRule="atLeast"/>
          <w:jc w:val="center"/>
        </w:trPr>
        <w:tc>
          <w:tcPr>
            <w:tcW w:w="1190" w:type="dxa"/>
            <w:vMerge w:val="continue"/>
            <w:tcBorders>
              <w:left w:val="single" w:color="000000" w:sz="4" w:space="0"/>
              <w:right w:val="single" w:color="000000" w:sz="4" w:space="0"/>
            </w:tcBorders>
            <w:shd w:val="clear" w:color="FFFFFF" w:fill="FFFFFF"/>
            <w:vAlign w:val="center"/>
          </w:tcPr>
          <w:p>
            <w:pPr>
              <w:widowControl/>
              <w:jc w:val="center"/>
              <w:textAlignment w:val="center"/>
            </w:pPr>
          </w:p>
        </w:tc>
        <w:tc>
          <w:tcPr>
            <w:tcW w:w="1273" w:type="dxa"/>
            <w:vMerge w:val="continue"/>
            <w:tcBorders>
              <w:left w:val="single" w:color="000000" w:sz="4" w:space="0"/>
              <w:right w:val="single" w:color="000000" w:sz="4" w:space="0"/>
            </w:tcBorders>
            <w:noWrap/>
            <w:vAlign w:val="center"/>
          </w:tcPr>
          <w:p>
            <w:pPr>
              <w:widowControl/>
              <w:jc w:val="center"/>
              <w:textAlignment w:val="center"/>
            </w:pPr>
          </w:p>
        </w:tc>
        <w:tc>
          <w:tcPr>
            <w:tcW w:w="227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变色硅胶</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瓶</w:t>
            </w:r>
          </w:p>
        </w:tc>
        <w:tc>
          <w:tcPr>
            <w:tcW w:w="2658"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83" w:hRule="atLeast"/>
          <w:jc w:val="center"/>
        </w:trPr>
        <w:tc>
          <w:tcPr>
            <w:tcW w:w="1190" w:type="dxa"/>
            <w:vMerge w:val="continue"/>
            <w:tcBorders>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1273"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227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氢氧化钾</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瓶</w:t>
            </w:r>
          </w:p>
        </w:tc>
        <w:tc>
          <w:tcPr>
            <w:tcW w:w="2658"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83" w:hRule="atLeast"/>
          <w:jc w:val="center"/>
        </w:trPr>
        <w:tc>
          <w:tcPr>
            <w:tcW w:w="1190" w:type="dxa"/>
            <w:vMerge w:val="continue"/>
            <w:tcBorders>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1273"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227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标气（非甲烷）</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瓶</w:t>
            </w:r>
          </w:p>
        </w:tc>
        <w:tc>
          <w:tcPr>
            <w:tcW w:w="2658"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83" w:hRule="atLeast"/>
          <w:jc w:val="center"/>
        </w:trPr>
        <w:tc>
          <w:tcPr>
            <w:tcW w:w="1190" w:type="dxa"/>
            <w:vMerge w:val="continue"/>
            <w:tcBorders>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1273"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227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标气（苯系物）</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瓶</w:t>
            </w:r>
          </w:p>
        </w:tc>
        <w:tc>
          <w:tcPr>
            <w:tcW w:w="2658"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83" w:hRule="atLeast"/>
          <w:jc w:val="center"/>
        </w:trPr>
        <w:tc>
          <w:tcPr>
            <w:tcW w:w="1190" w:type="dxa"/>
            <w:vMerge w:val="continue"/>
            <w:tcBorders>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1273"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227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氮气</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瓶</w:t>
            </w:r>
          </w:p>
        </w:tc>
        <w:tc>
          <w:tcPr>
            <w:tcW w:w="2658" w:type="dxa"/>
            <w:vMerge w:val="continue"/>
            <w:tcBorders>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279"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2.2</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运维</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人/次</w:t>
            </w:r>
          </w:p>
        </w:tc>
        <w:tc>
          <w:tcPr>
            <w:tcW w:w="265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2人/52次</w:t>
            </w:r>
          </w:p>
        </w:tc>
      </w:tr>
      <w:tr>
        <w:tblPrEx>
          <w:tblCellMar>
            <w:top w:w="0" w:type="dxa"/>
            <w:left w:w="108" w:type="dxa"/>
            <w:bottom w:w="0" w:type="dxa"/>
            <w:right w:w="108" w:type="dxa"/>
          </w:tblCellMar>
        </w:tblPrEx>
        <w:trPr>
          <w:trHeight w:val="215"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2.3</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车辆</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265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包年</w:t>
            </w:r>
          </w:p>
        </w:tc>
      </w:tr>
      <w:tr>
        <w:tblPrEx>
          <w:tblCellMar>
            <w:top w:w="0" w:type="dxa"/>
            <w:left w:w="108" w:type="dxa"/>
            <w:bottom w:w="0" w:type="dxa"/>
            <w:right w:w="108" w:type="dxa"/>
          </w:tblCellMar>
        </w:tblPrEx>
        <w:trPr>
          <w:trHeight w:val="247"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2.4</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办公</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265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包年</w:t>
            </w:r>
          </w:p>
        </w:tc>
      </w:tr>
      <w:tr>
        <w:tblPrEx>
          <w:tblCellMar>
            <w:top w:w="0" w:type="dxa"/>
            <w:left w:w="108" w:type="dxa"/>
            <w:bottom w:w="0" w:type="dxa"/>
            <w:right w:w="108" w:type="dxa"/>
          </w:tblCellMar>
        </w:tblPrEx>
        <w:trPr>
          <w:trHeight w:val="247"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2.5</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标识</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265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包年</w:t>
            </w:r>
          </w:p>
        </w:tc>
      </w:tr>
      <w:tr>
        <w:tblPrEx>
          <w:tblCellMar>
            <w:top w:w="0" w:type="dxa"/>
            <w:left w:w="108" w:type="dxa"/>
            <w:bottom w:w="0" w:type="dxa"/>
            <w:right w:w="108" w:type="dxa"/>
          </w:tblCellMar>
        </w:tblPrEx>
        <w:trPr>
          <w:trHeight w:val="269"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2.6</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专线</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条</w:t>
            </w:r>
          </w:p>
        </w:tc>
        <w:tc>
          <w:tcPr>
            <w:tcW w:w="265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1</w:t>
            </w:r>
          </w:p>
        </w:tc>
      </w:tr>
      <w:tr>
        <w:tblPrEx>
          <w:tblCellMar>
            <w:top w:w="0" w:type="dxa"/>
            <w:left w:w="108" w:type="dxa"/>
            <w:bottom w:w="0" w:type="dxa"/>
            <w:right w:w="108" w:type="dxa"/>
          </w:tblCellMar>
        </w:tblPrEx>
        <w:trPr>
          <w:trHeight w:val="430"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2.7</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维修费</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2658" w:type="dxa"/>
            <w:tcBorders>
              <w:top w:val="single" w:color="000000" w:sz="4" w:space="0"/>
              <w:left w:val="single" w:color="000000" w:sz="4" w:space="0"/>
              <w:bottom w:val="single" w:color="000000" w:sz="4" w:space="0"/>
              <w:right w:val="single" w:color="000000" w:sz="4" w:space="0"/>
            </w:tcBorders>
            <w:noWrap/>
            <w:vAlign w:val="center"/>
          </w:tcPr>
          <w:p>
            <w:pPr>
              <w:pStyle w:val="2"/>
              <w:spacing w:line="240" w:lineRule="auto"/>
              <w:rPr>
                <w:rFonts w:hint="eastAsia" w:hAnsi="宋体" w:eastAsia="宋体" w:cs="宋体"/>
                <w:kern w:val="0"/>
                <w:lang w:val="en-US" w:bidi="ar"/>
              </w:rPr>
            </w:pPr>
            <w:r>
              <w:rPr>
                <w:rFonts w:hint="eastAsia" w:hAnsi="宋体" w:eastAsia="宋体" w:cs="宋体"/>
                <w:kern w:val="0"/>
                <w:lang w:val="en-US" w:bidi="ar"/>
              </w:rPr>
              <w:t>含单次2000元及2000以下耗材和配件费</w:t>
            </w:r>
          </w:p>
        </w:tc>
      </w:tr>
      <w:tr>
        <w:tblPrEx>
          <w:tblCellMar>
            <w:top w:w="0" w:type="dxa"/>
            <w:left w:w="108" w:type="dxa"/>
            <w:bottom w:w="0" w:type="dxa"/>
            <w:right w:w="108" w:type="dxa"/>
          </w:tblCellMar>
        </w:tblPrEx>
        <w:trPr>
          <w:trHeight w:val="132"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2.8</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流量卡</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265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包年</w:t>
            </w:r>
          </w:p>
        </w:tc>
      </w:tr>
    </w:tbl>
    <w:p>
      <w:pPr>
        <w:pStyle w:val="2"/>
        <w:rPr>
          <w:rFonts w:hint="eastAsia" w:hAnsi="宋体"/>
          <w:sz w:val="28"/>
          <w:lang w:val="en-US"/>
        </w:rPr>
      </w:pPr>
      <w:r>
        <w:rPr>
          <w:rFonts w:hint="eastAsia" w:hAnsi="宋体" w:eastAsia="宋体" w:cs="宋体"/>
          <w:szCs w:val="22"/>
          <w:lang w:val="en-US"/>
        </w:rPr>
        <w:t>②废水</w:t>
      </w:r>
      <w:r>
        <w:rPr>
          <w:rFonts w:hint="eastAsia" w:hAnsi="宋体" w:eastAsia="宋体" w:cs="宋体"/>
          <w:szCs w:val="24"/>
        </w:rPr>
        <w:t>在线监测设备运维</w:t>
      </w:r>
    </w:p>
    <w:tbl>
      <w:tblPr>
        <w:tblStyle w:val="48"/>
        <w:tblW w:w="10525"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5" w:type="dxa"/>
          <w:left w:w="15" w:type="dxa"/>
          <w:bottom w:w="15" w:type="dxa"/>
          <w:right w:w="15" w:type="dxa"/>
        </w:tblCellMar>
      </w:tblPr>
      <w:tblGrid>
        <w:gridCol w:w="1530"/>
        <w:gridCol w:w="1200"/>
        <w:gridCol w:w="2436"/>
        <w:gridCol w:w="1545"/>
        <w:gridCol w:w="1350"/>
        <w:gridCol w:w="1485"/>
        <w:gridCol w:w="979"/>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5" w:type="dxa"/>
            <w:left w:w="15" w:type="dxa"/>
            <w:bottom w:w="15" w:type="dxa"/>
            <w:right w:w="15" w:type="dxa"/>
          </w:tblCellMar>
        </w:tblPrEx>
        <w:trPr>
          <w:trHeight w:val="510" w:hRule="atLeast"/>
          <w:jc w:val="center"/>
        </w:trPr>
        <w:tc>
          <w:tcPr>
            <w:tcW w:w="1530" w:type="dxa"/>
            <w:vAlign w:val="center"/>
          </w:tcPr>
          <w:p>
            <w:pPr>
              <w:widowControl/>
              <w:jc w:val="center"/>
              <w:textAlignment w:val="center"/>
              <w:rPr>
                <w:rFonts w:hint="eastAsia" w:ascii="宋体" w:hAnsi="宋体" w:cs="宋体"/>
                <w:b/>
                <w:bCs/>
                <w:color w:val="000000"/>
                <w:sz w:val="24"/>
              </w:rPr>
            </w:pPr>
            <w:r>
              <w:rPr>
                <w:rFonts w:hint="eastAsia" w:ascii="宋体" w:hAnsi="宋体" w:cs="宋体"/>
                <w:b/>
                <w:bCs/>
                <w:color w:val="000000"/>
                <w:kern w:val="0"/>
                <w:sz w:val="24"/>
                <w:lang w:bidi="ar"/>
              </w:rPr>
              <w:t>项目名称</w:t>
            </w:r>
          </w:p>
        </w:tc>
        <w:tc>
          <w:tcPr>
            <w:tcW w:w="1200" w:type="dxa"/>
            <w:vAlign w:val="center"/>
          </w:tcPr>
          <w:p>
            <w:pPr>
              <w:widowControl/>
              <w:jc w:val="center"/>
              <w:textAlignment w:val="center"/>
              <w:rPr>
                <w:rFonts w:hint="eastAsia" w:ascii="宋体" w:hAnsi="宋体" w:cs="宋体"/>
                <w:b/>
                <w:bCs/>
                <w:color w:val="000000"/>
                <w:sz w:val="24"/>
              </w:rPr>
            </w:pPr>
            <w:r>
              <w:rPr>
                <w:rFonts w:hint="eastAsia" w:ascii="宋体" w:hAnsi="宋体" w:cs="宋体"/>
                <w:b/>
                <w:bCs/>
                <w:color w:val="000000"/>
                <w:kern w:val="0"/>
                <w:sz w:val="24"/>
                <w:lang w:bidi="ar"/>
              </w:rPr>
              <w:t>类别</w:t>
            </w:r>
          </w:p>
        </w:tc>
        <w:tc>
          <w:tcPr>
            <w:tcW w:w="2436" w:type="dxa"/>
            <w:vAlign w:val="center"/>
          </w:tcPr>
          <w:p>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设备名称</w:t>
            </w:r>
          </w:p>
        </w:tc>
        <w:tc>
          <w:tcPr>
            <w:tcW w:w="1545" w:type="dxa"/>
            <w:vAlign w:val="center"/>
          </w:tcPr>
          <w:p>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监测因子</w:t>
            </w:r>
          </w:p>
        </w:tc>
        <w:tc>
          <w:tcPr>
            <w:tcW w:w="1350" w:type="dxa"/>
            <w:vAlign w:val="center"/>
          </w:tcPr>
          <w:p>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生产厂商</w:t>
            </w:r>
          </w:p>
        </w:tc>
        <w:tc>
          <w:tcPr>
            <w:tcW w:w="1485" w:type="dxa"/>
            <w:vAlign w:val="center"/>
          </w:tcPr>
          <w:p>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型号</w:t>
            </w:r>
          </w:p>
        </w:tc>
        <w:tc>
          <w:tcPr>
            <w:tcW w:w="979" w:type="dxa"/>
            <w:vAlign w:val="center"/>
          </w:tcPr>
          <w:p>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5" w:type="dxa"/>
            <w:left w:w="15" w:type="dxa"/>
            <w:bottom w:w="15" w:type="dxa"/>
            <w:right w:w="15" w:type="dxa"/>
          </w:tblCellMar>
        </w:tblPrEx>
        <w:trPr>
          <w:trHeight w:val="355" w:hRule="atLeast"/>
          <w:jc w:val="center"/>
        </w:trPr>
        <w:tc>
          <w:tcPr>
            <w:tcW w:w="1530" w:type="dxa"/>
            <w:vMerge w:val="restart"/>
            <w:vAlign w:val="center"/>
          </w:tcPr>
          <w:p>
            <w:pPr>
              <w:widowControl/>
              <w:jc w:val="center"/>
              <w:textAlignment w:val="center"/>
              <w:rPr>
                <w:rFonts w:hint="eastAsia" w:ascii="宋体" w:hAnsi="宋体" w:cs="宋体"/>
                <w:b/>
                <w:bCs/>
                <w:color w:val="000000"/>
                <w:kern w:val="0"/>
                <w:sz w:val="24"/>
                <w:lang w:bidi="ar"/>
              </w:rPr>
            </w:pPr>
            <w:r>
              <w:rPr>
                <w:rFonts w:hint="eastAsia" w:ascii="宋体" w:hAnsi="宋体" w:cs="宋体"/>
                <w:color w:val="000000"/>
                <w:kern w:val="0"/>
                <w:sz w:val="24"/>
                <w:lang w:bidi="ar"/>
              </w:rPr>
              <w:t>废水在线监测系统设备运维技术服务</w:t>
            </w:r>
          </w:p>
        </w:tc>
        <w:tc>
          <w:tcPr>
            <w:tcW w:w="1200" w:type="dxa"/>
            <w:vMerge w:val="restart"/>
            <w:vAlign w:val="center"/>
          </w:tcPr>
          <w:p>
            <w:pPr>
              <w:widowControl/>
              <w:jc w:val="center"/>
              <w:textAlignment w:val="center"/>
              <w:rPr>
                <w:rFonts w:hint="eastAsia" w:ascii="宋体" w:hAnsi="宋体" w:cs="宋体"/>
                <w:b/>
                <w:bCs/>
                <w:color w:val="000000"/>
                <w:kern w:val="0"/>
                <w:sz w:val="24"/>
                <w:lang w:bidi="ar"/>
              </w:rPr>
            </w:pPr>
            <w:r>
              <w:rPr>
                <w:rFonts w:hint="eastAsia" w:ascii="宋体" w:hAnsi="宋体" w:cs="宋体"/>
                <w:color w:val="000000"/>
                <w:kern w:val="0"/>
                <w:sz w:val="24"/>
                <w:lang w:bidi="ar"/>
              </w:rPr>
              <w:t>废水在线监测系统</w:t>
            </w:r>
          </w:p>
        </w:tc>
        <w:tc>
          <w:tcPr>
            <w:tcW w:w="2436" w:type="dxa"/>
            <w:vAlign w:val="center"/>
          </w:tcPr>
          <w:p>
            <w:pPr>
              <w:pStyle w:val="151"/>
              <w:spacing w:line="280" w:lineRule="exact"/>
              <w:ind w:firstLine="0" w:firstLineChars="0"/>
              <w:jc w:val="center"/>
              <w:rPr>
                <w:rFonts w:hint="eastAsia" w:ascii="宋体" w:hAnsi="宋体" w:cs="宋体"/>
                <w:color w:val="000000"/>
                <w:kern w:val="0"/>
                <w:sz w:val="24"/>
                <w:lang w:bidi="ar"/>
              </w:rPr>
            </w:pPr>
            <w:r>
              <w:rPr>
                <w:rFonts w:hint="eastAsia" w:ascii="宋体" w:hAnsi="宋体" w:cs="宋体"/>
                <w:color w:val="000000"/>
                <w:kern w:val="0"/>
                <w:sz w:val="24"/>
                <w:lang w:bidi="ar"/>
              </w:rPr>
              <w:t>COD在线监测仪</w:t>
            </w:r>
          </w:p>
        </w:tc>
        <w:tc>
          <w:tcPr>
            <w:tcW w:w="1545" w:type="dxa"/>
            <w:vAlign w:val="center"/>
          </w:tcPr>
          <w:p>
            <w:pPr>
              <w:adjustRightInd w:val="0"/>
              <w:snapToGrid w:val="0"/>
              <w:spacing w:line="276" w:lineRule="auto"/>
              <w:jc w:val="center"/>
              <w:rPr>
                <w:rFonts w:hint="eastAsia" w:ascii="宋体" w:hAnsi="宋体" w:cs="宋体"/>
                <w:color w:val="000000"/>
                <w:kern w:val="0"/>
                <w:sz w:val="24"/>
                <w:lang w:bidi="ar"/>
              </w:rPr>
            </w:pPr>
            <w:r>
              <w:rPr>
                <w:rFonts w:hint="eastAsia" w:ascii="宋体" w:hAnsi="宋体" w:cs="宋体"/>
                <w:color w:val="000000"/>
                <w:kern w:val="0"/>
                <w:sz w:val="24"/>
                <w:lang w:bidi="ar"/>
              </w:rPr>
              <w:t>COD</w:t>
            </w:r>
          </w:p>
        </w:tc>
        <w:tc>
          <w:tcPr>
            <w:tcW w:w="1350" w:type="dxa"/>
            <w:vAlign w:val="center"/>
          </w:tcPr>
          <w:p>
            <w:pPr>
              <w:jc w:val="center"/>
              <w:rPr>
                <w:rFonts w:hint="eastAsia" w:ascii="宋体" w:hAnsi="宋体" w:cs="宋体"/>
                <w:color w:val="000000"/>
                <w:kern w:val="0"/>
                <w:sz w:val="24"/>
                <w:lang w:bidi="ar"/>
              </w:rPr>
            </w:pPr>
            <w:r>
              <w:rPr>
                <w:rFonts w:hint="eastAsia" w:ascii="宋体" w:hAnsi="宋体" w:cs="宋体"/>
                <w:color w:val="000000"/>
                <w:kern w:val="0"/>
                <w:sz w:val="24"/>
                <w:lang w:bidi="ar"/>
              </w:rPr>
              <w:t>微兰</w:t>
            </w:r>
          </w:p>
        </w:tc>
        <w:tc>
          <w:tcPr>
            <w:tcW w:w="1485" w:type="dxa"/>
            <w:vAlign w:val="center"/>
          </w:tcPr>
          <w:p>
            <w:pPr>
              <w:jc w:val="center"/>
              <w:rPr>
                <w:rFonts w:hint="eastAsia" w:ascii="宋体" w:hAnsi="宋体" w:cs="宋体"/>
                <w:color w:val="000000"/>
                <w:kern w:val="0"/>
                <w:sz w:val="24"/>
                <w:lang w:bidi="ar"/>
              </w:rPr>
            </w:pPr>
            <w:r>
              <w:rPr>
                <w:rFonts w:hint="eastAsia" w:ascii="宋体" w:hAnsi="宋体" w:cs="宋体"/>
                <w:color w:val="000000"/>
                <w:kern w:val="0"/>
                <w:sz w:val="24"/>
                <w:lang w:bidi="ar"/>
              </w:rPr>
              <w:t>VL-COD-1007</w:t>
            </w:r>
          </w:p>
        </w:tc>
        <w:tc>
          <w:tcPr>
            <w:tcW w:w="979"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5" w:type="dxa"/>
            <w:left w:w="15" w:type="dxa"/>
            <w:bottom w:w="15" w:type="dxa"/>
            <w:right w:w="15" w:type="dxa"/>
          </w:tblCellMar>
        </w:tblPrEx>
        <w:trPr>
          <w:trHeight w:val="737" w:hRule="atLeast"/>
          <w:jc w:val="center"/>
        </w:trPr>
        <w:tc>
          <w:tcPr>
            <w:tcW w:w="153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120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2436"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氨氮在线监测仪</w:t>
            </w:r>
          </w:p>
        </w:tc>
        <w:tc>
          <w:tcPr>
            <w:tcW w:w="154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氨氮</w:t>
            </w:r>
          </w:p>
        </w:tc>
        <w:tc>
          <w:tcPr>
            <w:tcW w:w="1350"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微兰</w:t>
            </w:r>
          </w:p>
        </w:tc>
        <w:tc>
          <w:tcPr>
            <w:tcW w:w="148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VL-AN-201-X</w:t>
            </w:r>
          </w:p>
        </w:tc>
        <w:tc>
          <w:tcPr>
            <w:tcW w:w="979"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5" w:type="dxa"/>
            <w:left w:w="15" w:type="dxa"/>
            <w:bottom w:w="15" w:type="dxa"/>
            <w:right w:w="15" w:type="dxa"/>
          </w:tblCellMar>
        </w:tblPrEx>
        <w:trPr>
          <w:trHeight w:val="300" w:hRule="atLeast"/>
          <w:jc w:val="center"/>
        </w:trPr>
        <w:tc>
          <w:tcPr>
            <w:tcW w:w="153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120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2436"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kern w:val="0"/>
                <w:sz w:val="24"/>
                <w:szCs w:val="24"/>
              </w:rPr>
              <w:t>磷酸盐在线监测仪</w:t>
            </w:r>
          </w:p>
        </w:tc>
        <w:tc>
          <w:tcPr>
            <w:tcW w:w="154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kern w:val="0"/>
                <w:sz w:val="24"/>
                <w:szCs w:val="24"/>
              </w:rPr>
              <w:t>磷酸盐</w:t>
            </w:r>
          </w:p>
        </w:tc>
        <w:tc>
          <w:tcPr>
            <w:tcW w:w="1350"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微兰</w:t>
            </w:r>
          </w:p>
        </w:tc>
        <w:tc>
          <w:tcPr>
            <w:tcW w:w="148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kern w:val="0"/>
                <w:sz w:val="24"/>
                <w:szCs w:val="24"/>
              </w:rPr>
              <w:t>VL-PO-101</w:t>
            </w:r>
          </w:p>
        </w:tc>
        <w:tc>
          <w:tcPr>
            <w:tcW w:w="979"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5" w:type="dxa"/>
            <w:left w:w="15" w:type="dxa"/>
            <w:bottom w:w="15" w:type="dxa"/>
            <w:right w:w="15" w:type="dxa"/>
          </w:tblCellMar>
        </w:tblPrEx>
        <w:trPr>
          <w:trHeight w:val="737" w:hRule="atLeast"/>
          <w:jc w:val="center"/>
        </w:trPr>
        <w:tc>
          <w:tcPr>
            <w:tcW w:w="153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120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2436"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kern w:val="0"/>
                <w:sz w:val="24"/>
                <w:szCs w:val="24"/>
              </w:rPr>
              <w:t>巴歇尔槽取水泵</w:t>
            </w:r>
          </w:p>
        </w:tc>
        <w:tc>
          <w:tcPr>
            <w:tcW w:w="154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szCs w:val="24"/>
              </w:rPr>
              <w:t>抽取巴歇尔槽内出水水样</w:t>
            </w:r>
          </w:p>
        </w:tc>
        <w:tc>
          <w:tcPr>
            <w:tcW w:w="1350"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w:t>
            </w:r>
          </w:p>
        </w:tc>
        <w:tc>
          <w:tcPr>
            <w:tcW w:w="148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w:t>
            </w:r>
          </w:p>
        </w:tc>
        <w:tc>
          <w:tcPr>
            <w:tcW w:w="979"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5" w:type="dxa"/>
            <w:left w:w="15" w:type="dxa"/>
            <w:bottom w:w="15" w:type="dxa"/>
            <w:right w:w="15" w:type="dxa"/>
          </w:tblCellMar>
        </w:tblPrEx>
        <w:trPr>
          <w:trHeight w:val="274" w:hRule="atLeast"/>
          <w:jc w:val="center"/>
        </w:trPr>
        <w:tc>
          <w:tcPr>
            <w:tcW w:w="153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120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2436"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PH计</w:t>
            </w:r>
          </w:p>
        </w:tc>
        <w:tc>
          <w:tcPr>
            <w:tcW w:w="154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PH</w:t>
            </w:r>
          </w:p>
        </w:tc>
        <w:tc>
          <w:tcPr>
            <w:tcW w:w="1350"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博克斯</w:t>
            </w:r>
          </w:p>
        </w:tc>
        <w:tc>
          <w:tcPr>
            <w:tcW w:w="148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ASP660M1-SP200</w:t>
            </w:r>
          </w:p>
        </w:tc>
        <w:tc>
          <w:tcPr>
            <w:tcW w:w="979"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5" w:type="dxa"/>
            <w:left w:w="15" w:type="dxa"/>
            <w:bottom w:w="15" w:type="dxa"/>
            <w:right w:w="15" w:type="dxa"/>
          </w:tblCellMar>
        </w:tblPrEx>
        <w:trPr>
          <w:trHeight w:val="454" w:hRule="atLeast"/>
          <w:jc w:val="center"/>
        </w:trPr>
        <w:tc>
          <w:tcPr>
            <w:tcW w:w="153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120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2436"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kern w:val="0"/>
                <w:sz w:val="24"/>
                <w:szCs w:val="24"/>
              </w:rPr>
              <w:t>智能水质采样器</w:t>
            </w:r>
          </w:p>
        </w:tc>
        <w:tc>
          <w:tcPr>
            <w:tcW w:w="154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流量</w:t>
            </w:r>
          </w:p>
        </w:tc>
        <w:tc>
          <w:tcPr>
            <w:tcW w:w="1350"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万维盈创</w:t>
            </w:r>
          </w:p>
        </w:tc>
        <w:tc>
          <w:tcPr>
            <w:tcW w:w="148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kern w:val="0"/>
                <w:sz w:val="24"/>
                <w:szCs w:val="24"/>
              </w:rPr>
              <w:t>Smart wQ82000</w:t>
            </w:r>
          </w:p>
        </w:tc>
        <w:tc>
          <w:tcPr>
            <w:tcW w:w="979"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5" w:type="dxa"/>
            <w:left w:w="15" w:type="dxa"/>
            <w:bottom w:w="15" w:type="dxa"/>
            <w:right w:w="15" w:type="dxa"/>
          </w:tblCellMar>
        </w:tblPrEx>
        <w:trPr>
          <w:trHeight w:val="308" w:hRule="atLeast"/>
          <w:jc w:val="center"/>
        </w:trPr>
        <w:tc>
          <w:tcPr>
            <w:tcW w:w="153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120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2436"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环保数采仪</w:t>
            </w:r>
          </w:p>
        </w:tc>
        <w:tc>
          <w:tcPr>
            <w:tcW w:w="154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w:t>
            </w:r>
          </w:p>
        </w:tc>
        <w:tc>
          <w:tcPr>
            <w:tcW w:w="1350"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万维盈创</w:t>
            </w:r>
          </w:p>
        </w:tc>
        <w:tc>
          <w:tcPr>
            <w:tcW w:w="148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W5100HB-III</w:t>
            </w:r>
          </w:p>
        </w:tc>
        <w:tc>
          <w:tcPr>
            <w:tcW w:w="979"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r>
    </w:tbl>
    <w:p>
      <w:pPr>
        <w:pStyle w:val="2"/>
        <w:rPr>
          <w:rFonts w:hint="eastAsia" w:hAnsi="宋体" w:eastAsia="宋体" w:cs="宋体"/>
          <w:szCs w:val="24"/>
          <w:lang w:val="en-US"/>
        </w:rPr>
      </w:pPr>
    </w:p>
    <w:tbl>
      <w:tblPr>
        <w:tblStyle w:val="48"/>
        <w:tblW w:w="10683" w:type="dxa"/>
        <w:jc w:val="center"/>
        <w:tblLayout w:type="fixed"/>
        <w:tblCellMar>
          <w:top w:w="0" w:type="dxa"/>
          <w:left w:w="108" w:type="dxa"/>
          <w:bottom w:w="0" w:type="dxa"/>
          <w:right w:w="108" w:type="dxa"/>
        </w:tblCellMar>
      </w:tblPr>
      <w:tblGrid>
        <w:gridCol w:w="828"/>
        <w:gridCol w:w="1009"/>
        <w:gridCol w:w="955"/>
        <w:gridCol w:w="2448"/>
        <w:gridCol w:w="2126"/>
        <w:gridCol w:w="1276"/>
        <w:gridCol w:w="2041"/>
      </w:tblGrid>
      <w:tr>
        <w:tblPrEx>
          <w:tblCellMar>
            <w:top w:w="0" w:type="dxa"/>
            <w:left w:w="108" w:type="dxa"/>
            <w:bottom w:w="0" w:type="dxa"/>
            <w:right w:w="108" w:type="dxa"/>
          </w:tblCellMar>
        </w:tblPrEx>
        <w:trPr>
          <w:trHeight w:val="173" w:hRule="atLeast"/>
          <w:jc w:val="center"/>
        </w:trPr>
        <w:tc>
          <w:tcPr>
            <w:tcW w:w="828"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sz w:val="24"/>
              </w:rPr>
            </w:pPr>
            <w:r>
              <w:rPr>
                <w:rFonts w:hint="eastAsia" w:ascii="黑体" w:hAnsi="宋体" w:eastAsia="黑体" w:cs="黑体"/>
                <w:kern w:val="0"/>
                <w:sz w:val="24"/>
                <w:lang w:bidi="ar"/>
              </w:rPr>
              <w:t>序号</w:t>
            </w:r>
          </w:p>
        </w:tc>
        <w:tc>
          <w:tcPr>
            <w:tcW w:w="4412" w:type="dxa"/>
            <w:gridSpan w:val="3"/>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项目名称</w:t>
            </w:r>
          </w:p>
        </w:tc>
        <w:tc>
          <w:tcPr>
            <w:tcW w:w="212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试剂</w:t>
            </w:r>
          </w:p>
        </w:tc>
        <w:tc>
          <w:tcPr>
            <w:tcW w:w="127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计量单位</w:t>
            </w:r>
          </w:p>
        </w:tc>
        <w:tc>
          <w:tcPr>
            <w:tcW w:w="2041"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备注</w:t>
            </w:r>
          </w:p>
        </w:tc>
      </w:tr>
      <w:tr>
        <w:tblPrEx>
          <w:tblCellMar>
            <w:top w:w="0" w:type="dxa"/>
            <w:left w:w="108" w:type="dxa"/>
            <w:bottom w:w="0" w:type="dxa"/>
            <w:right w:w="108" w:type="dxa"/>
          </w:tblCellMar>
        </w:tblPrEx>
        <w:trPr>
          <w:trHeight w:val="277" w:hRule="atLeast"/>
          <w:jc w:val="center"/>
        </w:trPr>
        <w:tc>
          <w:tcPr>
            <w:tcW w:w="828"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b/>
                <w:bCs/>
                <w:sz w:val="24"/>
              </w:rPr>
            </w:pPr>
            <w:r>
              <w:rPr>
                <w:rFonts w:hint="eastAsia" w:ascii="宋体" w:hAnsi="宋体" w:cs="宋体"/>
                <w:b/>
                <w:bCs/>
                <w:kern w:val="0"/>
                <w:sz w:val="24"/>
                <w:lang w:bidi="ar"/>
              </w:rPr>
              <w:t>一</w:t>
            </w:r>
          </w:p>
        </w:tc>
        <w:tc>
          <w:tcPr>
            <w:tcW w:w="4412"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运维</w:t>
            </w:r>
          </w:p>
        </w:tc>
        <w:tc>
          <w:tcPr>
            <w:tcW w:w="212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w:t>
            </w: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次/人</w:t>
            </w:r>
          </w:p>
        </w:tc>
        <w:tc>
          <w:tcPr>
            <w:tcW w:w="2041" w:type="dxa"/>
            <w:tcBorders>
              <w:top w:val="single" w:color="000000"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2人/52次</w:t>
            </w:r>
          </w:p>
        </w:tc>
      </w:tr>
      <w:tr>
        <w:tblPrEx>
          <w:tblCellMar>
            <w:top w:w="0" w:type="dxa"/>
            <w:left w:w="108" w:type="dxa"/>
            <w:bottom w:w="0" w:type="dxa"/>
            <w:right w:w="108" w:type="dxa"/>
          </w:tblCellMar>
        </w:tblPrEx>
        <w:trPr>
          <w:trHeight w:val="98" w:hRule="atLeast"/>
          <w:jc w:val="center"/>
        </w:trPr>
        <w:tc>
          <w:tcPr>
            <w:tcW w:w="828" w:type="dxa"/>
            <w:vMerge w:val="restart"/>
            <w:tcBorders>
              <w:top w:val="single" w:color="000000" w:sz="4" w:space="0"/>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b/>
                <w:bCs/>
                <w:kern w:val="0"/>
                <w:sz w:val="24"/>
                <w:lang w:bidi="ar"/>
              </w:rPr>
              <w:t>二</w:t>
            </w:r>
          </w:p>
        </w:tc>
        <w:tc>
          <w:tcPr>
            <w:tcW w:w="1009" w:type="dxa"/>
            <w:vMerge w:val="restart"/>
            <w:tcBorders>
              <w:top w:val="single" w:color="000000" w:sz="4" w:space="0"/>
              <w:left w:val="single" w:color="000000" w:sz="4" w:space="0"/>
              <w:right w:val="single" w:color="000000" w:sz="4" w:space="0"/>
            </w:tcBorders>
            <w:noWrap/>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耗材</w:t>
            </w:r>
          </w:p>
        </w:tc>
        <w:tc>
          <w:tcPr>
            <w:tcW w:w="3403"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纯净水</w:t>
            </w:r>
          </w:p>
        </w:tc>
        <w:tc>
          <w:tcPr>
            <w:tcW w:w="2126" w:type="dxa"/>
            <w:tcBorders>
              <w:top w:val="single" w:color="000000"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w:t>
            </w:r>
          </w:p>
        </w:tc>
        <w:tc>
          <w:tcPr>
            <w:tcW w:w="1276" w:type="dxa"/>
            <w:tcBorders>
              <w:top w:val="single" w:color="000000" w:sz="4" w:space="0"/>
              <w:left w:val="single" w:color="000000"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restart"/>
            <w:tcBorders>
              <w:top w:val="single" w:color="auto" w:sz="4" w:space="0"/>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全年足量提供</w:t>
            </w:r>
          </w:p>
        </w:tc>
      </w:tr>
      <w:tr>
        <w:tblPrEx>
          <w:tblCellMar>
            <w:top w:w="0" w:type="dxa"/>
            <w:left w:w="108" w:type="dxa"/>
            <w:bottom w:w="0" w:type="dxa"/>
            <w:right w:w="108" w:type="dxa"/>
          </w:tblCellMar>
        </w:tblPrEx>
        <w:trPr>
          <w:trHeight w:val="161"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pPr>
          </w:p>
        </w:tc>
        <w:tc>
          <w:tcPr>
            <w:tcW w:w="1009" w:type="dxa"/>
            <w:vMerge w:val="continue"/>
            <w:tcBorders>
              <w:left w:val="single" w:color="000000" w:sz="4" w:space="0"/>
              <w:right w:val="single" w:color="000000" w:sz="4" w:space="0"/>
            </w:tcBorders>
            <w:noWrap/>
            <w:vAlign w:val="center"/>
          </w:tcPr>
          <w:p>
            <w:pPr>
              <w:widowControl/>
              <w:jc w:val="center"/>
              <w:textAlignment w:val="center"/>
            </w:pPr>
          </w:p>
        </w:tc>
        <w:tc>
          <w:tcPr>
            <w:tcW w:w="955" w:type="dxa"/>
            <w:vMerge w:val="restart"/>
            <w:tcBorders>
              <w:top w:val="single" w:color="000000" w:sz="4" w:space="0"/>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试剂</w:t>
            </w:r>
          </w:p>
        </w:tc>
        <w:tc>
          <w:tcPr>
            <w:tcW w:w="2448" w:type="dxa"/>
            <w:vMerge w:val="restart"/>
            <w:tcBorders>
              <w:top w:val="single" w:color="000000" w:sz="4" w:space="0"/>
              <w:left w:val="single" w:color="000000"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COD试剂</w:t>
            </w:r>
          </w:p>
        </w:tc>
        <w:tc>
          <w:tcPr>
            <w:tcW w:w="212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重铬酸钾</w:t>
            </w:r>
          </w:p>
        </w:tc>
        <w:tc>
          <w:tcPr>
            <w:tcW w:w="127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161"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pPr>
          </w:p>
        </w:tc>
        <w:tc>
          <w:tcPr>
            <w:tcW w:w="1009" w:type="dxa"/>
            <w:vMerge w:val="continue"/>
            <w:tcBorders>
              <w:left w:val="single" w:color="000000" w:sz="4" w:space="0"/>
              <w:right w:val="single" w:color="000000" w:sz="4" w:space="0"/>
            </w:tcBorders>
            <w:noWrap/>
            <w:vAlign w:val="center"/>
          </w:tcPr>
          <w:p>
            <w:pPr>
              <w:widowControl/>
              <w:jc w:val="center"/>
              <w:textAlignment w:val="center"/>
            </w:pPr>
          </w:p>
        </w:tc>
        <w:tc>
          <w:tcPr>
            <w:tcW w:w="955" w:type="dxa"/>
            <w:vMerge w:val="continue"/>
            <w:tcBorders>
              <w:left w:val="single" w:color="000000" w:sz="4" w:space="0"/>
              <w:right w:val="single" w:color="000000" w:sz="4" w:space="0"/>
            </w:tcBorders>
            <w:noWrap/>
            <w:vAlign w:val="center"/>
          </w:tcPr>
          <w:p>
            <w:pPr>
              <w:widowControl/>
              <w:jc w:val="center"/>
              <w:textAlignment w:val="center"/>
            </w:pPr>
          </w:p>
        </w:tc>
        <w:tc>
          <w:tcPr>
            <w:tcW w:w="2448" w:type="dxa"/>
            <w:vMerge w:val="continue"/>
            <w:tcBorders>
              <w:left w:val="single" w:color="000000" w:sz="4" w:space="0"/>
              <w:bottom w:val="single" w:color="000000" w:sz="4" w:space="0"/>
              <w:right w:val="single" w:color="auto" w:sz="4" w:space="0"/>
            </w:tcBorders>
            <w:noWrap/>
            <w:vAlign w:val="center"/>
          </w:tcPr>
          <w:p>
            <w:pPr>
              <w:widowControl/>
              <w:jc w:val="center"/>
              <w:textAlignment w:val="center"/>
            </w:pPr>
          </w:p>
        </w:tc>
        <w:tc>
          <w:tcPr>
            <w:tcW w:w="212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硫酸银</w:t>
            </w:r>
          </w:p>
        </w:tc>
        <w:tc>
          <w:tcPr>
            <w:tcW w:w="127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80"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pPr>
          </w:p>
        </w:tc>
        <w:tc>
          <w:tcPr>
            <w:tcW w:w="1009" w:type="dxa"/>
            <w:vMerge w:val="continue"/>
            <w:tcBorders>
              <w:left w:val="single" w:color="000000" w:sz="4" w:space="0"/>
              <w:right w:val="single" w:color="000000" w:sz="4" w:space="0"/>
            </w:tcBorders>
            <w:noWrap/>
            <w:vAlign w:val="center"/>
          </w:tcPr>
          <w:p>
            <w:pPr>
              <w:widowControl/>
              <w:jc w:val="center"/>
              <w:textAlignment w:val="center"/>
            </w:pPr>
          </w:p>
        </w:tc>
        <w:tc>
          <w:tcPr>
            <w:tcW w:w="955" w:type="dxa"/>
            <w:vMerge w:val="continue"/>
            <w:tcBorders>
              <w:left w:val="single" w:color="000000" w:sz="4" w:space="0"/>
              <w:right w:val="single" w:color="000000" w:sz="4" w:space="0"/>
            </w:tcBorders>
            <w:noWrap/>
            <w:vAlign w:val="center"/>
          </w:tcPr>
          <w:p>
            <w:pPr>
              <w:widowControl/>
              <w:jc w:val="center"/>
              <w:textAlignment w:val="center"/>
            </w:pPr>
          </w:p>
        </w:tc>
        <w:tc>
          <w:tcPr>
            <w:tcW w:w="2448" w:type="dxa"/>
            <w:vMerge w:val="restart"/>
            <w:tcBorders>
              <w:top w:val="single" w:color="000000" w:sz="4" w:space="0"/>
              <w:left w:val="single" w:color="000000"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氨氮试剂</w:t>
            </w:r>
          </w:p>
        </w:tc>
        <w:tc>
          <w:tcPr>
            <w:tcW w:w="212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水杨酸</w:t>
            </w:r>
          </w:p>
        </w:tc>
        <w:tc>
          <w:tcPr>
            <w:tcW w:w="127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80"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pPr>
          </w:p>
        </w:tc>
        <w:tc>
          <w:tcPr>
            <w:tcW w:w="1009" w:type="dxa"/>
            <w:vMerge w:val="continue"/>
            <w:tcBorders>
              <w:left w:val="single" w:color="000000" w:sz="4" w:space="0"/>
              <w:right w:val="single" w:color="000000" w:sz="4" w:space="0"/>
            </w:tcBorders>
            <w:noWrap/>
            <w:vAlign w:val="center"/>
          </w:tcPr>
          <w:p>
            <w:pPr>
              <w:widowControl/>
              <w:jc w:val="center"/>
              <w:textAlignment w:val="center"/>
            </w:pPr>
          </w:p>
        </w:tc>
        <w:tc>
          <w:tcPr>
            <w:tcW w:w="955" w:type="dxa"/>
            <w:vMerge w:val="continue"/>
            <w:tcBorders>
              <w:left w:val="single" w:color="000000" w:sz="4" w:space="0"/>
              <w:right w:val="single" w:color="000000" w:sz="4" w:space="0"/>
            </w:tcBorders>
            <w:noWrap/>
            <w:vAlign w:val="center"/>
          </w:tcPr>
          <w:p>
            <w:pPr>
              <w:widowControl/>
              <w:jc w:val="center"/>
              <w:textAlignment w:val="center"/>
            </w:pPr>
          </w:p>
        </w:tc>
        <w:tc>
          <w:tcPr>
            <w:tcW w:w="2448" w:type="dxa"/>
            <w:vMerge w:val="continue"/>
            <w:tcBorders>
              <w:left w:val="single" w:color="000000" w:sz="4" w:space="0"/>
              <w:right w:val="single" w:color="auto" w:sz="4" w:space="0"/>
            </w:tcBorders>
            <w:noWrap/>
            <w:vAlign w:val="center"/>
          </w:tcPr>
          <w:p>
            <w:pPr>
              <w:widowControl/>
              <w:jc w:val="center"/>
              <w:textAlignment w:val="center"/>
            </w:pPr>
          </w:p>
        </w:tc>
        <w:tc>
          <w:tcPr>
            <w:tcW w:w="212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ascii="宋体" w:hAnsi="宋体" w:cs="宋体"/>
                <w:color w:val="000000"/>
                <w:sz w:val="23"/>
                <w:szCs w:val="23"/>
              </w:rPr>
              <w:t>亚硝基</w:t>
            </w:r>
            <w:r>
              <w:rPr>
                <w:rFonts w:hint="eastAsia" w:ascii="宋体" w:hAnsi="宋体" w:cs="宋体"/>
                <w:color w:val="000000"/>
                <w:sz w:val="23"/>
                <w:szCs w:val="23"/>
              </w:rPr>
              <w:t>亚</w:t>
            </w:r>
            <w:r>
              <w:rPr>
                <w:rFonts w:ascii="宋体" w:hAnsi="宋体" w:cs="宋体"/>
                <w:color w:val="000000"/>
                <w:sz w:val="23"/>
                <w:szCs w:val="23"/>
              </w:rPr>
              <w:t>铁</w:t>
            </w:r>
            <w:r>
              <w:rPr>
                <w:rFonts w:hint="eastAsia" w:ascii="宋体" w:hAnsi="宋体" w:cs="宋体"/>
                <w:color w:val="000000"/>
                <w:sz w:val="23"/>
                <w:szCs w:val="23"/>
              </w:rPr>
              <w:t>氰</w:t>
            </w:r>
            <w:r>
              <w:rPr>
                <w:rFonts w:ascii="宋体" w:hAnsi="宋体" w:cs="宋体"/>
                <w:color w:val="000000"/>
                <w:sz w:val="23"/>
                <w:szCs w:val="23"/>
              </w:rPr>
              <w:t>化钠</w:t>
            </w:r>
          </w:p>
        </w:tc>
        <w:tc>
          <w:tcPr>
            <w:tcW w:w="127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80"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1009"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955"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2448" w:type="dxa"/>
            <w:vMerge w:val="continue"/>
            <w:tcBorders>
              <w:left w:val="single" w:color="000000"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212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ascii="宋体" w:hAnsi="宋体" w:cs="宋体"/>
                <w:color w:val="000000"/>
                <w:sz w:val="23"/>
                <w:szCs w:val="23"/>
              </w:rPr>
              <w:t>柠檬酸三钠</w:t>
            </w:r>
          </w:p>
        </w:tc>
        <w:tc>
          <w:tcPr>
            <w:tcW w:w="127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80"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1009"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955"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2448" w:type="dxa"/>
            <w:vMerge w:val="continue"/>
            <w:tcBorders>
              <w:left w:val="single" w:color="000000" w:sz="4" w:space="0"/>
              <w:bottom w:val="single" w:color="000000"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212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盐酸</w:t>
            </w:r>
          </w:p>
        </w:tc>
        <w:tc>
          <w:tcPr>
            <w:tcW w:w="127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107"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pPr>
          </w:p>
        </w:tc>
        <w:tc>
          <w:tcPr>
            <w:tcW w:w="1009" w:type="dxa"/>
            <w:vMerge w:val="continue"/>
            <w:tcBorders>
              <w:left w:val="single" w:color="000000" w:sz="4" w:space="0"/>
              <w:right w:val="single" w:color="000000" w:sz="4" w:space="0"/>
            </w:tcBorders>
            <w:noWrap/>
            <w:vAlign w:val="center"/>
          </w:tcPr>
          <w:p>
            <w:pPr>
              <w:widowControl/>
              <w:jc w:val="center"/>
              <w:textAlignment w:val="center"/>
            </w:pPr>
          </w:p>
        </w:tc>
        <w:tc>
          <w:tcPr>
            <w:tcW w:w="955" w:type="dxa"/>
            <w:vMerge w:val="continue"/>
            <w:tcBorders>
              <w:left w:val="single" w:color="000000" w:sz="4" w:space="0"/>
              <w:bottom w:val="single" w:color="000000" w:sz="4" w:space="0"/>
              <w:right w:val="single" w:color="000000" w:sz="4" w:space="0"/>
            </w:tcBorders>
            <w:noWrap/>
            <w:vAlign w:val="center"/>
          </w:tcPr>
          <w:p>
            <w:pPr>
              <w:widowControl/>
              <w:jc w:val="center"/>
              <w:textAlignment w:val="center"/>
            </w:pPr>
          </w:p>
        </w:tc>
        <w:tc>
          <w:tcPr>
            <w:tcW w:w="2448" w:type="dxa"/>
            <w:vMerge w:val="restart"/>
            <w:tcBorders>
              <w:left w:val="single" w:color="000000" w:sz="4" w:space="0"/>
              <w:right w:val="single" w:color="auto" w:sz="4" w:space="0"/>
            </w:tcBorders>
            <w:noWrap/>
            <w:vAlign w:val="center"/>
          </w:tcPr>
          <w:p>
            <w:pPr>
              <w:widowControl/>
              <w:jc w:val="center"/>
              <w:textAlignment w:val="center"/>
            </w:pPr>
            <w:r>
              <w:rPr>
                <w:rFonts w:hint="eastAsia" w:ascii="宋体" w:hAnsi="宋体" w:cs="宋体"/>
                <w:kern w:val="0"/>
                <w:sz w:val="24"/>
                <w:lang w:bidi="ar"/>
              </w:rPr>
              <w:t>磷酸盐试剂</w:t>
            </w:r>
          </w:p>
        </w:tc>
        <w:tc>
          <w:tcPr>
            <w:tcW w:w="212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ascii="宋体" w:hAnsi="宋体" w:cs="宋体"/>
                <w:color w:val="000000"/>
                <w:sz w:val="23"/>
                <w:szCs w:val="23"/>
              </w:rPr>
              <w:t>硫酸钾</w:t>
            </w:r>
          </w:p>
        </w:tc>
        <w:tc>
          <w:tcPr>
            <w:tcW w:w="127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107"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pPr>
          </w:p>
        </w:tc>
        <w:tc>
          <w:tcPr>
            <w:tcW w:w="1009" w:type="dxa"/>
            <w:vMerge w:val="continue"/>
            <w:tcBorders>
              <w:left w:val="single" w:color="000000" w:sz="4" w:space="0"/>
              <w:right w:val="single" w:color="000000" w:sz="4" w:space="0"/>
            </w:tcBorders>
            <w:noWrap/>
            <w:vAlign w:val="center"/>
          </w:tcPr>
          <w:p>
            <w:pPr>
              <w:widowControl/>
              <w:jc w:val="center"/>
              <w:textAlignment w:val="center"/>
            </w:pPr>
          </w:p>
        </w:tc>
        <w:tc>
          <w:tcPr>
            <w:tcW w:w="955" w:type="dxa"/>
            <w:vMerge w:val="continue"/>
            <w:tcBorders>
              <w:left w:val="single" w:color="000000" w:sz="4" w:space="0"/>
              <w:bottom w:val="single" w:color="000000" w:sz="4" w:space="0"/>
              <w:right w:val="single" w:color="000000" w:sz="4" w:space="0"/>
            </w:tcBorders>
            <w:noWrap/>
            <w:vAlign w:val="center"/>
          </w:tcPr>
          <w:p>
            <w:pPr>
              <w:widowControl/>
              <w:jc w:val="center"/>
              <w:textAlignment w:val="center"/>
            </w:pPr>
          </w:p>
        </w:tc>
        <w:tc>
          <w:tcPr>
            <w:tcW w:w="2448" w:type="dxa"/>
            <w:vMerge w:val="continue"/>
            <w:tcBorders>
              <w:left w:val="single" w:color="000000" w:sz="4" w:space="0"/>
              <w:right w:val="single" w:color="auto" w:sz="4" w:space="0"/>
            </w:tcBorders>
            <w:noWrap/>
            <w:vAlign w:val="center"/>
          </w:tcPr>
          <w:p>
            <w:pPr>
              <w:widowControl/>
              <w:jc w:val="center"/>
              <w:textAlignment w:val="center"/>
            </w:pPr>
          </w:p>
        </w:tc>
        <w:tc>
          <w:tcPr>
            <w:tcW w:w="212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钼酸胺</w:t>
            </w:r>
          </w:p>
        </w:tc>
        <w:tc>
          <w:tcPr>
            <w:tcW w:w="127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107"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1009"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955" w:type="dxa"/>
            <w:vMerge w:val="continue"/>
            <w:tcBorders>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2448" w:type="dxa"/>
            <w:vMerge w:val="continue"/>
            <w:tcBorders>
              <w:left w:val="single" w:color="000000" w:sz="4" w:space="0"/>
              <w:bottom w:val="single" w:color="000000"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212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抗坏血酸</w:t>
            </w:r>
          </w:p>
        </w:tc>
        <w:tc>
          <w:tcPr>
            <w:tcW w:w="127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107"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1009"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955" w:type="dxa"/>
            <w:vMerge w:val="restart"/>
            <w:tcBorders>
              <w:top w:val="single" w:color="000000" w:sz="4" w:space="0"/>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标准溶液</w:t>
            </w:r>
          </w:p>
        </w:tc>
        <w:tc>
          <w:tcPr>
            <w:tcW w:w="244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COD量程液、核查液</w:t>
            </w:r>
          </w:p>
        </w:tc>
        <w:tc>
          <w:tcPr>
            <w:tcW w:w="2126" w:type="dxa"/>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w:t>
            </w:r>
          </w:p>
        </w:tc>
        <w:tc>
          <w:tcPr>
            <w:tcW w:w="1276" w:type="dxa"/>
            <w:tcBorders>
              <w:top w:val="single" w:color="auto" w:sz="4" w:space="0"/>
              <w:left w:val="single" w:color="000000"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107"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pPr>
          </w:p>
        </w:tc>
        <w:tc>
          <w:tcPr>
            <w:tcW w:w="1009" w:type="dxa"/>
            <w:vMerge w:val="continue"/>
            <w:tcBorders>
              <w:left w:val="single" w:color="000000" w:sz="4" w:space="0"/>
              <w:right w:val="single" w:color="000000" w:sz="4" w:space="0"/>
            </w:tcBorders>
            <w:noWrap/>
            <w:vAlign w:val="center"/>
          </w:tcPr>
          <w:p>
            <w:pPr>
              <w:widowControl/>
              <w:jc w:val="center"/>
              <w:textAlignment w:val="center"/>
            </w:pPr>
          </w:p>
        </w:tc>
        <w:tc>
          <w:tcPr>
            <w:tcW w:w="955" w:type="dxa"/>
            <w:vMerge w:val="continue"/>
            <w:tcBorders>
              <w:left w:val="single" w:color="000000" w:sz="4" w:space="0"/>
              <w:right w:val="single" w:color="000000" w:sz="4" w:space="0"/>
            </w:tcBorders>
            <w:noWrap/>
            <w:vAlign w:val="center"/>
          </w:tcPr>
          <w:p>
            <w:pPr>
              <w:widowControl/>
              <w:jc w:val="center"/>
              <w:textAlignment w:val="center"/>
            </w:pPr>
          </w:p>
        </w:tc>
        <w:tc>
          <w:tcPr>
            <w:tcW w:w="244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氨氮量程液、核查液</w:t>
            </w:r>
          </w:p>
        </w:tc>
        <w:tc>
          <w:tcPr>
            <w:tcW w:w="2126" w:type="dxa"/>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w:t>
            </w:r>
          </w:p>
        </w:tc>
        <w:tc>
          <w:tcPr>
            <w:tcW w:w="1276" w:type="dxa"/>
            <w:tcBorders>
              <w:top w:val="single" w:color="auto" w:sz="4" w:space="0"/>
              <w:left w:val="single" w:color="000000"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107"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1009"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955" w:type="dxa"/>
            <w:vMerge w:val="continue"/>
            <w:tcBorders>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244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磷酸盐量程液、核查液</w:t>
            </w:r>
          </w:p>
        </w:tc>
        <w:tc>
          <w:tcPr>
            <w:tcW w:w="2126" w:type="dxa"/>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w:t>
            </w:r>
          </w:p>
        </w:tc>
        <w:tc>
          <w:tcPr>
            <w:tcW w:w="1276" w:type="dxa"/>
            <w:tcBorders>
              <w:top w:val="single" w:color="auto" w:sz="4" w:space="0"/>
              <w:left w:val="single" w:color="000000"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289" w:hRule="atLeast"/>
          <w:jc w:val="center"/>
        </w:trPr>
        <w:tc>
          <w:tcPr>
            <w:tcW w:w="828"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b/>
                <w:bCs/>
                <w:kern w:val="0"/>
                <w:sz w:val="24"/>
                <w:lang w:bidi="ar"/>
              </w:rPr>
              <w:t>三</w:t>
            </w:r>
          </w:p>
        </w:tc>
        <w:tc>
          <w:tcPr>
            <w:tcW w:w="4412"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维修</w:t>
            </w:r>
          </w:p>
        </w:tc>
        <w:tc>
          <w:tcPr>
            <w:tcW w:w="2126" w:type="dxa"/>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76" w:type="dxa"/>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2041" w:type="dxa"/>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含单次2000元</w:t>
            </w:r>
            <w:r>
              <w:rPr>
                <w:rFonts w:hint="eastAsia" w:hAnsi="宋体" w:cs="宋体"/>
                <w:kern w:val="0"/>
                <w:sz w:val="24"/>
                <w:lang w:bidi="ar"/>
              </w:rPr>
              <w:t>及2000</w:t>
            </w:r>
            <w:r>
              <w:rPr>
                <w:rFonts w:hint="eastAsia" w:ascii="宋体" w:hAnsi="宋体" w:cs="宋体"/>
                <w:kern w:val="0"/>
                <w:sz w:val="24"/>
                <w:lang w:bidi="ar"/>
              </w:rPr>
              <w:t>以下耗材和配件费</w:t>
            </w:r>
          </w:p>
        </w:tc>
      </w:tr>
      <w:tr>
        <w:tblPrEx>
          <w:tblCellMar>
            <w:top w:w="0" w:type="dxa"/>
            <w:left w:w="108" w:type="dxa"/>
            <w:bottom w:w="0" w:type="dxa"/>
            <w:right w:w="108" w:type="dxa"/>
          </w:tblCellMar>
        </w:tblPrEx>
        <w:trPr>
          <w:trHeight w:val="251" w:hRule="atLeast"/>
          <w:jc w:val="center"/>
        </w:trPr>
        <w:tc>
          <w:tcPr>
            <w:tcW w:w="828"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四</w:t>
            </w:r>
          </w:p>
        </w:tc>
        <w:tc>
          <w:tcPr>
            <w:tcW w:w="4412"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交通</w:t>
            </w:r>
          </w:p>
        </w:tc>
        <w:tc>
          <w:tcPr>
            <w:tcW w:w="212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2041" w:type="dxa"/>
            <w:tcBorders>
              <w:top w:val="single" w:color="000000" w:sz="4" w:space="0"/>
              <w:left w:val="single" w:color="000000" w:sz="4" w:space="0"/>
              <w:bottom w:val="single" w:color="000000" w:sz="4" w:space="0"/>
              <w:right w:val="single" w:color="000000" w:sz="4" w:space="0"/>
            </w:tcBorders>
            <w:noWrap/>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包年</w:t>
            </w:r>
          </w:p>
        </w:tc>
      </w:tr>
      <w:tr>
        <w:tblPrEx>
          <w:tblCellMar>
            <w:top w:w="0" w:type="dxa"/>
            <w:left w:w="108" w:type="dxa"/>
            <w:bottom w:w="0" w:type="dxa"/>
            <w:right w:w="108" w:type="dxa"/>
          </w:tblCellMar>
        </w:tblPrEx>
        <w:trPr>
          <w:trHeight w:val="343" w:hRule="atLeast"/>
          <w:jc w:val="center"/>
        </w:trPr>
        <w:tc>
          <w:tcPr>
            <w:tcW w:w="828"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五</w:t>
            </w:r>
          </w:p>
        </w:tc>
        <w:tc>
          <w:tcPr>
            <w:tcW w:w="4412"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标识</w:t>
            </w:r>
          </w:p>
        </w:tc>
        <w:tc>
          <w:tcPr>
            <w:tcW w:w="212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项</w:t>
            </w:r>
          </w:p>
        </w:tc>
        <w:tc>
          <w:tcPr>
            <w:tcW w:w="2041" w:type="dxa"/>
            <w:tcBorders>
              <w:top w:val="single" w:color="000000" w:sz="4" w:space="0"/>
              <w:left w:val="single" w:color="000000" w:sz="4" w:space="0"/>
              <w:bottom w:val="single" w:color="000000" w:sz="4" w:space="0"/>
              <w:right w:val="single" w:color="000000" w:sz="4" w:space="0"/>
            </w:tcBorders>
            <w:noWrap/>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包年</w:t>
            </w:r>
          </w:p>
        </w:tc>
      </w:tr>
      <w:tr>
        <w:tblPrEx>
          <w:tblCellMar>
            <w:top w:w="0" w:type="dxa"/>
            <w:left w:w="108" w:type="dxa"/>
            <w:bottom w:w="0" w:type="dxa"/>
            <w:right w:w="108" w:type="dxa"/>
          </w:tblCellMar>
        </w:tblPrEx>
        <w:trPr>
          <w:trHeight w:val="276" w:hRule="atLeast"/>
          <w:jc w:val="center"/>
        </w:trPr>
        <w:tc>
          <w:tcPr>
            <w:tcW w:w="828"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六</w:t>
            </w:r>
          </w:p>
        </w:tc>
        <w:tc>
          <w:tcPr>
            <w:tcW w:w="4412"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资料</w:t>
            </w:r>
          </w:p>
        </w:tc>
        <w:tc>
          <w:tcPr>
            <w:tcW w:w="212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项</w:t>
            </w:r>
          </w:p>
        </w:tc>
        <w:tc>
          <w:tcPr>
            <w:tcW w:w="2041" w:type="dxa"/>
            <w:tcBorders>
              <w:top w:val="single" w:color="000000" w:sz="4" w:space="0"/>
              <w:left w:val="single" w:color="000000" w:sz="4" w:space="0"/>
              <w:bottom w:val="single" w:color="000000" w:sz="4" w:space="0"/>
              <w:right w:val="single" w:color="000000" w:sz="4" w:space="0"/>
            </w:tcBorders>
            <w:noWrap/>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包年</w:t>
            </w:r>
          </w:p>
        </w:tc>
      </w:tr>
      <w:tr>
        <w:tblPrEx>
          <w:tblCellMar>
            <w:top w:w="0" w:type="dxa"/>
            <w:left w:w="108" w:type="dxa"/>
            <w:bottom w:w="0" w:type="dxa"/>
            <w:right w:w="108" w:type="dxa"/>
          </w:tblCellMar>
        </w:tblPrEx>
        <w:trPr>
          <w:trHeight w:val="237" w:hRule="atLeast"/>
          <w:jc w:val="center"/>
        </w:trPr>
        <w:tc>
          <w:tcPr>
            <w:tcW w:w="828"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七</w:t>
            </w:r>
          </w:p>
        </w:tc>
        <w:tc>
          <w:tcPr>
            <w:tcW w:w="4412"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办公</w:t>
            </w:r>
          </w:p>
        </w:tc>
        <w:tc>
          <w:tcPr>
            <w:tcW w:w="212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204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包年</w:t>
            </w:r>
          </w:p>
        </w:tc>
      </w:tr>
      <w:tr>
        <w:tblPrEx>
          <w:tblCellMar>
            <w:top w:w="0" w:type="dxa"/>
            <w:left w:w="108" w:type="dxa"/>
            <w:bottom w:w="0" w:type="dxa"/>
            <w:right w:w="108" w:type="dxa"/>
          </w:tblCellMar>
        </w:tblPrEx>
        <w:trPr>
          <w:trHeight w:val="213" w:hRule="atLeast"/>
          <w:jc w:val="center"/>
        </w:trPr>
        <w:tc>
          <w:tcPr>
            <w:tcW w:w="828"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八</w:t>
            </w:r>
          </w:p>
        </w:tc>
        <w:tc>
          <w:tcPr>
            <w:tcW w:w="4412"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专线</w:t>
            </w:r>
          </w:p>
        </w:tc>
        <w:tc>
          <w:tcPr>
            <w:tcW w:w="212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条</w:t>
            </w:r>
          </w:p>
        </w:tc>
        <w:tc>
          <w:tcPr>
            <w:tcW w:w="204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1</w:t>
            </w:r>
          </w:p>
        </w:tc>
      </w:tr>
      <w:tr>
        <w:tblPrEx>
          <w:tblCellMar>
            <w:top w:w="0" w:type="dxa"/>
            <w:left w:w="108" w:type="dxa"/>
            <w:bottom w:w="0" w:type="dxa"/>
            <w:right w:w="108" w:type="dxa"/>
          </w:tblCellMar>
        </w:tblPrEx>
        <w:trPr>
          <w:trHeight w:val="124" w:hRule="atLeast"/>
          <w:jc w:val="center"/>
        </w:trPr>
        <w:tc>
          <w:tcPr>
            <w:tcW w:w="828"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九</w:t>
            </w:r>
          </w:p>
        </w:tc>
        <w:tc>
          <w:tcPr>
            <w:tcW w:w="4412"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流量卡</w:t>
            </w:r>
          </w:p>
        </w:tc>
        <w:tc>
          <w:tcPr>
            <w:tcW w:w="212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204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1</w:t>
            </w:r>
          </w:p>
        </w:tc>
      </w:tr>
    </w:tbl>
    <w:p>
      <w:pPr>
        <w:pStyle w:val="151"/>
        <w:widowControl/>
        <w:adjustRightInd w:val="0"/>
        <w:snapToGrid w:val="0"/>
        <w:spacing w:line="360" w:lineRule="auto"/>
        <w:ind w:firstLine="0" w:firstLineChars="0"/>
        <w:jc w:val="left"/>
        <w:rPr>
          <w:rFonts w:hint="eastAsia" w:ascii="宋体" w:hAnsi="宋体"/>
          <w:color w:val="000000"/>
          <w:sz w:val="24"/>
          <w:szCs w:val="24"/>
          <w:lang w:bidi="zh-CN"/>
        </w:rPr>
      </w:pPr>
    </w:p>
    <w:p>
      <w:pPr>
        <w:pStyle w:val="151"/>
        <w:widowControl/>
        <w:adjustRightInd w:val="0"/>
        <w:snapToGrid w:val="0"/>
        <w:spacing w:line="360" w:lineRule="auto"/>
        <w:ind w:firstLine="0" w:firstLineChars="0"/>
        <w:jc w:val="left"/>
        <w:rPr>
          <w:rFonts w:hint="eastAsia" w:asciiTheme="minorEastAsia" w:hAnsiTheme="minorEastAsia" w:eastAsiaTheme="minorEastAsia" w:cstheme="minorEastAsia"/>
          <w:kern w:val="0"/>
          <w:sz w:val="24"/>
          <w:szCs w:val="24"/>
          <w:u w:val="single"/>
          <w:lang w:bidi="en-US"/>
        </w:rPr>
      </w:pPr>
      <w:r>
        <w:rPr>
          <w:rFonts w:hint="eastAsia" w:asciiTheme="minorEastAsia" w:hAnsiTheme="minorEastAsia" w:eastAsiaTheme="minorEastAsia" w:cstheme="minorEastAsia"/>
          <w:kern w:val="0"/>
          <w:sz w:val="24"/>
          <w:szCs w:val="24"/>
          <w:lang w:bidi="en-US"/>
        </w:rPr>
        <w:t>5</w:t>
      </w:r>
      <w:r>
        <w:rPr>
          <w:rFonts w:asciiTheme="minorEastAsia" w:hAnsiTheme="minorEastAsia" w:eastAsiaTheme="minorEastAsia" w:cstheme="minorEastAsia"/>
          <w:kern w:val="0"/>
          <w:sz w:val="24"/>
          <w:szCs w:val="24"/>
          <w:lang w:bidi="en-US"/>
        </w:rPr>
        <w:t>．</w:t>
      </w:r>
      <w:r>
        <w:rPr>
          <w:rFonts w:hint="eastAsia" w:asciiTheme="minorEastAsia" w:hAnsiTheme="minorEastAsia" w:eastAsiaTheme="minorEastAsia" w:cstheme="minorEastAsia"/>
          <w:kern w:val="0"/>
          <w:sz w:val="24"/>
          <w:szCs w:val="24"/>
          <w:lang w:bidi="en-US"/>
        </w:rPr>
        <w:t>资金来源：</w:t>
      </w:r>
      <w:r>
        <w:rPr>
          <w:rFonts w:hint="eastAsia" w:asciiTheme="minorEastAsia" w:hAnsiTheme="minorEastAsia" w:eastAsiaTheme="minorEastAsia" w:cstheme="minorEastAsia"/>
          <w:kern w:val="0"/>
          <w:sz w:val="24"/>
          <w:szCs w:val="24"/>
          <w:u w:val="single"/>
          <w:lang w:bidi="en-US"/>
        </w:rPr>
        <w:t>企业自筹，已落实</w:t>
      </w:r>
      <w:r>
        <w:rPr>
          <w:rFonts w:hint="eastAsia" w:asciiTheme="minorEastAsia" w:hAnsiTheme="minorEastAsia" w:eastAsiaTheme="minorEastAsia" w:cstheme="minorEastAsia"/>
          <w:kern w:val="0"/>
          <w:sz w:val="24"/>
          <w:szCs w:val="24"/>
          <w:lang w:bidi="en-US"/>
        </w:rPr>
        <w:t>；</w:t>
      </w:r>
    </w:p>
    <w:p>
      <w:pPr>
        <w:widowControl/>
        <w:snapToGrid w:val="0"/>
        <w:spacing w:line="360" w:lineRule="auto"/>
        <w:jc w:val="left"/>
        <w:rPr>
          <w:rFonts w:hint="eastAsia"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三、投标人资格要求</w:t>
      </w:r>
    </w:p>
    <w:p>
      <w:pPr>
        <w:keepNext/>
        <w:keepLines/>
        <w:spacing w:line="360" w:lineRule="auto"/>
        <w:ind w:firstLine="420" w:firstLineChars="200"/>
        <w:outlineLvl w:val="2"/>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1. 投标方企业营业执照成立三年以上（以营业执照成立日期到开标当日满三年为准），经营范围满足招标项目需求；注册资本符合项目要求，原则上投标人注册资金不得低于500万元。</w:t>
      </w:r>
    </w:p>
    <w:p>
      <w:pPr>
        <w:keepNext/>
        <w:keepLines/>
        <w:spacing w:line="360" w:lineRule="auto"/>
        <w:ind w:firstLine="420" w:firstLineChars="200"/>
        <w:outlineLvl w:val="2"/>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2.运维人员有废气、废水在线监测运维资质,且废气、废水资质证件各不少于3个（允许一人双证）。</w:t>
      </w:r>
    </w:p>
    <w:p>
      <w:pPr>
        <w:keepNext/>
        <w:keepLines/>
        <w:spacing w:line="360" w:lineRule="auto"/>
        <w:ind w:firstLine="420" w:firstLineChars="200"/>
        <w:outlineLvl w:val="2"/>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 xml:space="preserve">3.满足技术、质量、资金等要求，财务状况良好、经营稳定，具有全面履约的能力，能提供相关信用等级和完税证明。 </w:t>
      </w:r>
    </w:p>
    <w:p>
      <w:pPr>
        <w:keepNext/>
        <w:keepLines/>
        <w:spacing w:line="360" w:lineRule="auto"/>
        <w:ind w:firstLine="420" w:firstLineChars="200"/>
        <w:outlineLvl w:val="2"/>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4.投标人之间必须具有充分的竞争关系。</w:t>
      </w:r>
    </w:p>
    <w:p>
      <w:pPr>
        <w:keepNext/>
        <w:keepLines/>
        <w:spacing w:line="360" w:lineRule="auto"/>
        <w:ind w:firstLine="420" w:firstLineChars="200"/>
        <w:outlineLvl w:val="2"/>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5.在“国家企业信用信息公示系统”、“中国执行信息公开网”、“信用中国”、“天眼查”“裁判文书网”等信息平台中，无行政处罚及失信记录等信息。</w:t>
      </w:r>
    </w:p>
    <w:p>
      <w:pPr>
        <w:keepNext/>
        <w:keepLines/>
        <w:spacing w:line="360" w:lineRule="auto"/>
        <w:ind w:firstLine="420" w:firstLineChars="200"/>
        <w:outlineLvl w:val="2"/>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6.无招标违规、谎报年度报告信息、提供虚假资质资料等行为或其他行政处罚记录。</w:t>
      </w:r>
    </w:p>
    <w:p>
      <w:pPr>
        <w:keepNext/>
        <w:keepLines/>
        <w:spacing w:line="360" w:lineRule="auto"/>
        <w:ind w:firstLine="420" w:firstLineChars="200"/>
        <w:outlineLvl w:val="2"/>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7.没有被公司列入黑名单。</w:t>
      </w:r>
    </w:p>
    <w:p>
      <w:pPr>
        <w:keepNext/>
        <w:keepLines/>
        <w:spacing w:line="360" w:lineRule="auto"/>
        <w:ind w:firstLine="420" w:firstLineChars="200"/>
        <w:outlineLvl w:val="2"/>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8.投标方的直接或间接股东、法定代表人、董事、监事、高管非重汽员工及其亲属。</w:t>
      </w:r>
    </w:p>
    <w:p>
      <w:pPr>
        <w:keepNext/>
        <w:keepLines/>
        <w:spacing w:line="360" w:lineRule="auto"/>
        <w:ind w:firstLine="420" w:firstLineChars="200"/>
        <w:outlineLvl w:val="2"/>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9.按规定缴纳本项目投标保证金。</w:t>
      </w:r>
    </w:p>
    <w:p>
      <w:pPr>
        <w:pStyle w:val="2"/>
        <w:ind w:firstLine="420" w:firstLineChars="200"/>
        <w:rPr>
          <w:rFonts w:hint="eastAsia" w:asciiTheme="minorEastAsia" w:hAnsiTheme="minorEastAsia" w:eastAsiaTheme="minorEastAsia" w:cstheme="minorEastAsia"/>
          <w:sz w:val="21"/>
          <w:szCs w:val="21"/>
          <w:lang w:val="en-US"/>
        </w:rPr>
      </w:pPr>
      <w:r>
        <w:rPr>
          <w:rFonts w:hint="eastAsia" w:asciiTheme="minorEastAsia" w:hAnsiTheme="minorEastAsia" w:eastAsiaTheme="minorEastAsia" w:cstheme="minorEastAsia"/>
          <w:sz w:val="21"/>
          <w:szCs w:val="21"/>
          <w:lang w:val="en-US"/>
        </w:rPr>
        <w:t>10.投标方应严格按照国家有关环保法律法规、技术标准进行运维。</w:t>
      </w:r>
    </w:p>
    <w:p>
      <w:pPr>
        <w:pStyle w:val="2"/>
        <w:ind w:firstLine="420" w:firstLineChars="200"/>
        <w:rPr>
          <w:rFonts w:hint="eastAsia" w:asciiTheme="minorEastAsia" w:hAnsiTheme="minorEastAsia" w:eastAsiaTheme="minorEastAsia" w:cstheme="minorEastAsia"/>
          <w:sz w:val="21"/>
          <w:szCs w:val="21"/>
          <w:lang w:val="en-US"/>
        </w:rPr>
      </w:pPr>
      <w:r>
        <w:rPr>
          <w:rFonts w:hint="eastAsia" w:asciiTheme="minorEastAsia" w:hAnsiTheme="minorEastAsia" w:eastAsiaTheme="minorEastAsia" w:cstheme="minorEastAsia"/>
          <w:sz w:val="21"/>
          <w:szCs w:val="21"/>
          <w:lang w:val="en-US"/>
        </w:rPr>
        <w:t>11.能够正常传输数据，与大同市生态环境局联网。</w:t>
      </w:r>
    </w:p>
    <w:p>
      <w:pPr>
        <w:pStyle w:val="2"/>
        <w:ind w:firstLine="420" w:firstLineChars="200"/>
        <w:rPr>
          <w:rFonts w:hint="eastAsia" w:asciiTheme="minorEastAsia" w:hAnsiTheme="minorEastAsia" w:eastAsiaTheme="minorEastAsia" w:cstheme="minorEastAsia"/>
          <w:sz w:val="21"/>
          <w:szCs w:val="21"/>
          <w:lang w:val="en-US"/>
        </w:rPr>
      </w:pPr>
      <w:r>
        <w:rPr>
          <w:rFonts w:hint="eastAsia" w:asciiTheme="minorEastAsia" w:hAnsiTheme="minorEastAsia" w:eastAsiaTheme="minorEastAsia" w:cstheme="minorEastAsia"/>
          <w:sz w:val="21"/>
          <w:szCs w:val="21"/>
          <w:lang w:val="en-US"/>
        </w:rPr>
        <w:t>12.在大同市内有实验室或办公驻点。</w:t>
      </w:r>
    </w:p>
    <w:p>
      <w:pPr>
        <w:keepNext/>
        <w:keepLines/>
        <w:spacing w:line="360" w:lineRule="auto"/>
        <w:ind w:firstLine="482" w:firstLineChars="200"/>
        <w:outlineLvl w:val="2"/>
        <w:rPr>
          <w:rFonts w:hint="eastAsia" w:ascii="宋体" w:hAnsi="宋体" w:cs="宋体"/>
          <w:b/>
          <w:bCs/>
          <w:color w:val="000000"/>
          <w:sz w:val="24"/>
          <w:szCs w:val="24"/>
        </w:rPr>
      </w:pPr>
      <w:r>
        <w:rPr>
          <w:rFonts w:hint="eastAsia" w:ascii="宋体" w:hAnsi="宋体" w:cs="宋体"/>
          <w:b/>
          <w:bCs/>
          <w:color w:val="000000"/>
          <w:sz w:val="24"/>
          <w:szCs w:val="24"/>
        </w:rPr>
        <w:t>1.报名</w:t>
      </w:r>
    </w:p>
    <w:p>
      <w:pPr>
        <w:keepNext/>
        <w:keepLines/>
        <w:spacing w:line="360" w:lineRule="auto"/>
        <w:ind w:firstLine="482" w:firstLineChars="200"/>
        <w:outlineLvl w:val="2"/>
        <w:rPr>
          <w:rFonts w:hint="eastAsia" w:ascii="宋体" w:hAnsi="宋体" w:cs="宋体"/>
          <w:b/>
          <w:bCs/>
          <w:color w:val="000000"/>
          <w:sz w:val="24"/>
          <w:szCs w:val="24"/>
          <w:highlight w:val="yellow"/>
        </w:rPr>
      </w:pPr>
      <w:r>
        <w:rPr>
          <w:rFonts w:hint="eastAsia" w:ascii="宋体" w:hAnsi="宋体" w:cs="宋体"/>
          <w:b/>
          <w:bCs/>
          <w:color w:val="000000"/>
          <w:sz w:val="24"/>
          <w:szCs w:val="24"/>
          <w:highlight w:val="yellow"/>
        </w:rPr>
        <w:t>报名截止时间：2025年12月2</w:t>
      </w:r>
      <w:r>
        <w:rPr>
          <w:rFonts w:hint="eastAsia" w:ascii="宋体" w:hAnsi="宋体" w:cs="宋体"/>
          <w:b/>
          <w:bCs/>
          <w:color w:val="000000"/>
          <w:sz w:val="24"/>
          <w:szCs w:val="24"/>
          <w:highlight w:val="yellow"/>
          <w:lang w:val="en-US" w:eastAsia="zh-CN"/>
        </w:rPr>
        <w:t>2</w:t>
      </w:r>
      <w:r>
        <w:rPr>
          <w:rFonts w:hint="eastAsia" w:ascii="宋体" w:hAnsi="宋体" w:cs="宋体"/>
          <w:b/>
          <w:bCs/>
          <w:color w:val="000000"/>
          <w:sz w:val="24"/>
          <w:szCs w:val="24"/>
          <w:highlight w:val="yellow"/>
        </w:rPr>
        <w:t>日17：00</w:t>
      </w:r>
    </w:p>
    <w:p>
      <w:pPr>
        <w:keepNext/>
        <w:keepLines/>
        <w:spacing w:line="360" w:lineRule="auto"/>
        <w:ind w:firstLine="482" w:firstLineChars="200"/>
        <w:outlineLvl w:val="2"/>
        <w:rPr>
          <w:rFonts w:ascii="宋体" w:hAnsi="Courier New"/>
          <w:sz w:val="24"/>
          <w:szCs w:val="24"/>
        </w:rPr>
      </w:pPr>
      <w:r>
        <w:rPr>
          <w:rFonts w:hint="eastAsia" w:ascii="宋体" w:hAnsi="宋体" w:cs="宋体"/>
          <w:b/>
          <w:bCs/>
          <w:sz w:val="24"/>
          <w:szCs w:val="24"/>
          <w:lang w:bidi="ar"/>
        </w:rPr>
        <w:t>报名方式</w:t>
      </w:r>
      <w:r>
        <w:rPr>
          <w:rFonts w:hint="eastAsia" w:ascii="宋体" w:hAnsi="宋体" w:cs="宋体"/>
          <w:sz w:val="24"/>
          <w:szCs w:val="24"/>
          <w:lang w:bidi="ar"/>
        </w:rPr>
        <w:t>：</w:t>
      </w:r>
    </w:p>
    <w:p>
      <w:pPr>
        <w:pStyle w:val="43"/>
        <w:autoSpaceDE w:val="0"/>
        <w:spacing w:line="360" w:lineRule="auto"/>
        <w:ind w:firstLine="480" w:firstLineChars="200"/>
        <w:rPr>
          <w:rFonts w:hint="eastAsia"/>
          <w:b/>
          <w:bCs/>
          <w:lang w:bidi="ar"/>
        </w:rPr>
      </w:pPr>
      <w:r>
        <w:rPr>
          <w:rFonts w:hint="eastAsia"/>
          <w:lang w:bidi="ar"/>
        </w:rPr>
        <w:t>拟投标人根据招标人在中国重汽官网公开媒体上发布的招标信息，</w:t>
      </w:r>
      <w:r>
        <w:rPr>
          <w:rFonts w:hint="eastAsia"/>
          <w:color w:val="000000"/>
          <w:lang w:bidi="ar"/>
        </w:rPr>
        <w:t>在“中国重汽e采通”平台报名，具体流程如下：</w:t>
      </w:r>
      <w:r>
        <w:rPr>
          <w:rFonts w:hint="eastAsia"/>
          <w:lang w:bidi="ar"/>
        </w:rPr>
        <w:br w:type="textWrapping"/>
      </w:r>
      <w:r>
        <w:rPr>
          <w:rFonts w:hint="eastAsia"/>
          <w:b/>
          <w:bCs/>
          <w:lang w:bidi="ar"/>
        </w:rPr>
        <w:t>①系统注册与信息维护</w:t>
      </w:r>
    </w:p>
    <w:p>
      <w:pPr>
        <w:pStyle w:val="43"/>
        <w:autoSpaceDE w:val="0"/>
        <w:spacing w:line="360" w:lineRule="auto"/>
        <w:ind w:firstLine="482" w:firstLineChars="200"/>
        <w:rPr>
          <w:rFonts w:hint="eastAsia"/>
          <w:lang w:bidi="ar"/>
        </w:rPr>
      </w:pPr>
      <w:r>
        <w:rPr>
          <w:rFonts w:hint="eastAsia"/>
          <w:b/>
          <w:bCs/>
          <w:lang w:bidi="ar"/>
        </w:rPr>
        <w:t>首次注册供应商</w:t>
      </w:r>
      <w:r>
        <w:rPr>
          <w:rFonts w:hint="eastAsia"/>
          <w:lang w:bidi="ar"/>
        </w:rPr>
        <w:t>：请根据《SRM非生产供应商注册手册》（附件一）完成平台账号注册。</w:t>
      </w:r>
    </w:p>
    <w:p>
      <w:pPr>
        <w:pStyle w:val="43"/>
        <w:autoSpaceDE w:val="0"/>
        <w:spacing w:line="360" w:lineRule="auto"/>
        <w:ind w:firstLine="482" w:firstLineChars="200"/>
        <w:rPr>
          <w:rFonts w:hint="eastAsia"/>
        </w:rPr>
      </w:pPr>
      <w:r>
        <w:rPr>
          <w:rFonts w:hint="eastAsia"/>
          <w:b/>
          <w:bCs/>
          <w:lang w:bidi="ar"/>
        </w:rPr>
        <w:t>已注册供应商</w:t>
      </w:r>
      <w:r>
        <w:rPr>
          <w:rFonts w:hint="eastAsia"/>
          <w:lang w:bidi="ar"/>
        </w:rPr>
        <w:t>：请登录系统核对系统中2022-2024年度财务数据。如尚未填写或信息不全，请参照《SRM非生产供应商注册手册》（附件二）及时进行补充与更新，确保信息真实、完整。</w:t>
      </w:r>
      <w:r>
        <w:rPr>
          <w:rFonts w:hint="eastAsia"/>
          <w:lang w:bidi="ar"/>
        </w:rPr>
        <w:br w:type="textWrapping"/>
      </w:r>
      <w:r>
        <w:rPr>
          <w:rFonts w:hint="eastAsia"/>
          <w:b/>
          <w:bCs/>
          <w:lang w:bidi="ar"/>
        </w:rPr>
        <w:t>②应标流程</w:t>
      </w:r>
    </w:p>
    <w:p>
      <w:pPr>
        <w:pStyle w:val="43"/>
        <w:autoSpaceDE w:val="0"/>
        <w:spacing w:line="360" w:lineRule="auto"/>
        <w:ind w:firstLine="480" w:firstLineChars="200"/>
        <w:rPr>
          <w:rFonts w:hint="eastAsia"/>
        </w:rPr>
      </w:pPr>
      <w:r>
        <w:rPr>
          <w:rFonts w:hint="eastAsia"/>
          <w:lang w:bidi="ar"/>
        </w:rPr>
        <w:t>注册及财务数据维护完成后，参照《SRM系统供应商用户手册》（附件三）登录平台，进入“供应商应标”模块，选择对应项目点击“应标”，并按照本公告第四部分“应标文件编制”要求准备资料并上传。资质审查通过后，视为报名成功（是否为代理商请如实选择）。</w:t>
      </w:r>
    </w:p>
    <w:p>
      <w:pPr>
        <w:pStyle w:val="43"/>
        <w:autoSpaceDE w:val="0"/>
        <w:spacing w:line="360" w:lineRule="auto"/>
        <w:ind w:firstLine="480" w:firstLineChars="200"/>
        <w:rPr>
          <w:rFonts w:hint="eastAsia"/>
        </w:rPr>
      </w:pPr>
      <w:r>
        <w:rPr>
          <w:rFonts w:hint="eastAsia"/>
          <w:lang w:bidi="ar"/>
        </w:rPr>
        <w:t>若为</w:t>
      </w:r>
      <w:r>
        <w:rPr>
          <w:rFonts w:hint="eastAsia"/>
          <w:b/>
          <w:bCs/>
          <w:lang w:bidi="ar"/>
        </w:rPr>
        <w:t>代理商应标</w:t>
      </w:r>
      <w:r>
        <w:rPr>
          <w:rFonts w:hint="eastAsia"/>
          <w:lang w:bidi="ar"/>
        </w:rPr>
        <w:t>，请在应标后</w:t>
      </w:r>
      <w:r>
        <w:rPr>
          <w:rFonts w:hint="eastAsia"/>
          <w:b/>
          <w:bCs/>
          <w:lang w:bidi="ar"/>
        </w:rPr>
        <w:t>主动联系商务联系人</w:t>
      </w:r>
      <w:r>
        <w:rPr>
          <w:rFonts w:hint="eastAsia"/>
          <w:lang w:bidi="ar"/>
        </w:rPr>
        <w:t>。</w:t>
      </w:r>
    </w:p>
    <w:p>
      <w:pPr>
        <w:pStyle w:val="43"/>
        <w:autoSpaceDE w:val="0"/>
        <w:spacing w:line="360" w:lineRule="auto"/>
        <w:ind w:firstLine="480" w:firstLineChars="200"/>
        <w:rPr>
          <w:rFonts w:hAnsi="Courier New"/>
          <w:sz w:val="21"/>
          <w:szCs w:val="21"/>
        </w:rPr>
      </w:pPr>
      <w:r>
        <w:rPr>
          <w:rFonts w:hint="eastAsia"/>
          <w:lang w:bidi="ar"/>
        </w:rPr>
        <w:t>如资质审查未通过，请按审核意见修改后重新上传。请注意：应标截止时间后将无法再次上传或修改应标文件。</w:t>
      </w:r>
    </w:p>
    <w:p>
      <w:pPr>
        <w:spacing w:line="360" w:lineRule="auto"/>
        <w:ind w:firstLine="480" w:firstLineChars="200"/>
        <w:rPr>
          <w:rFonts w:hint="eastAsia" w:ascii="宋体" w:hAnsi="宋体" w:cs="宋体"/>
          <w:color w:val="000000"/>
          <w:sz w:val="24"/>
          <w:szCs w:val="24"/>
        </w:rPr>
      </w:pPr>
      <w:r>
        <w:rPr>
          <w:rFonts w:hint="eastAsia" w:asciiTheme="minorEastAsia" w:hAnsiTheme="minorEastAsia" w:eastAsiaTheme="minorEastAsia" w:cstheme="minorEastAsia"/>
          <w:bCs/>
          <w:sz w:val="24"/>
          <w:szCs w:val="24"/>
        </w:rPr>
        <w:t>投标人应按资质文件格式要求组成应标资质文件（对以下所要求的投标文件如有任何一项未实质性响应，将可能导致其投标文件被拒绝）</w:t>
      </w:r>
      <w:r>
        <w:rPr>
          <w:rFonts w:hint="eastAsia" w:asciiTheme="minorEastAsia" w:hAnsiTheme="minorEastAsia" w:eastAsiaTheme="minorEastAsia" w:cstheme="minorEastAsia"/>
          <w:b/>
          <w:sz w:val="24"/>
          <w:szCs w:val="24"/>
        </w:rPr>
        <w:t>要求每页都需加盖公章</w:t>
      </w:r>
      <w:r>
        <w:rPr>
          <w:rFonts w:hint="eastAsia" w:ascii="宋体" w:hAnsi="宋体" w:cs="宋体"/>
          <w:color w:val="000000"/>
          <w:sz w:val="24"/>
          <w:szCs w:val="24"/>
        </w:rPr>
        <w:t>：</w:t>
      </w:r>
    </w:p>
    <w:p>
      <w:pPr>
        <w:pStyle w:val="20"/>
        <w:spacing w:line="360" w:lineRule="auto"/>
        <w:ind w:firstLine="480" w:firstLineChars="200"/>
        <w:rPr>
          <w:rFonts w:hint="eastAsia" w:asciiTheme="minorEastAsia" w:hAnsiTheme="minorEastAsia" w:eastAsiaTheme="minorEastAsia" w:cstheme="minorEastAsia"/>
          <w:bCs/>
          <w:szCs w:val="24"/>
        </w:rPr>
      </w:pPr>
      <w:r>
        <w:rPr>
          <w:rFonts w:hint="eastAsia" w:asciiTheme="minorEastAsia" w:hAnsiTheme="minorEastAsia" w:eastAsiaTheme="minorEastAsia" w:cstheme="minorEastAsia"/>
          <w:bCs/>
          <w:szCs w:val="24"/>
        </w:rPr>
        <w:t>（1）企业资质：营业执照副本复印件、投标保证金缴纳凭证；废气、废水在线监测运维人员资质复印件；法定代表人参加投标的，需提供法人身份证复印件；派授权人参加投标的，需提供法定代表人授权委托书及法人、被授权人身份证复印件；近三年内在经营活动中没有违法违纪行为的声明；投标单位在国家企业信用信息公示系统中无行政处罚、经营异常或失信信息或上述信息已被移除的声明。投标单位可提供所有运维人员的资格证书复印件；投标单位具备大同市环境监测监控系统V6.0平台运维账号；投标单位需提供近三年经审计的财务报告，如投标单位公司规模较小，未有审计报告，可提供财务报表；a.近三年的财务审计报告原件，并加盖公章，包括但不限于报告页、经审计的资产负债表、利润表、现金流量表及报表附注。b.企业最近半年完税证明、信用证明材料（中国人民银行信用代码证+征信报告）；c.年度纳税信用评价信息（可从电子税务局查询截图，需加盖公章）；d.企业对外担保说明（写明贵单位对外有无对外担保和质押业务，需加盖公章）。</w:t>
      </w:r>
    </w:p>
    <w:p>
      <w:pPr>
        <w:pStyle w:val="20"/>
        <w:spacing w:line="360" w:lineRule="auto"/>
        <w:ind w:firstLine="480" w:firstLineChars="200"/>
        <w:rPr>
          <w:rFonts w:hint="eastAsia" w:asciiTheme="minorEastAsia" w:hAnsiTheme="minorEastAsia" w:eastAsiaTheme="minorEastAsia" w:cstheme="minorEastAsia"/>
          <w:bCs/>
          <w:szCs w:val="24"/>
        </w:rPr>
      </w:pPr>
      <w:r>
        <w:rPr>
          <w:rFonts w:hint="eastAsia" w:asciiTheme="minorEastAsia" w:hAnsiTheme="minorEastAsia" w:eastAsiaTheme="minorEastAsia" w:cstheme="minorEastAsia"/>
          <w:bCs/>
          <w:szCs w:val="24"/>
        </w:rPr>
        <w:t>（2）企业简介：PDF版企业简介；</w:t>
      </w:r>
    </w:p>
    <w:p>
      <w:pPr>
        <w:pStyle w:val="20"/>
        <w:spacing w:line="360" w:lineRule="auto"/>
        <w:ind w:firstLine="480" w:firstLineChars="200"/>
        <w:rPr>
          <w:rFonts w:hint="eastAsia" w:asciiTheme="minorEastAsia" w:hAnsiTheme="minorEastAsia" w:eastAsiaTheme="minorEastAsia" w:cstheme="minorEastAsia"/>
          <w:bCs/>
          <w:szCs w:val="24"/>
        </w:rPr>
      </w:pPr>
      <w:r>
        <w:rPr>
          <w:rFonts w:hint="eastAsia" w:asciiTheme="minorEastAsia" w:hAnsiTheme="minorEastAsia" w:eastAsiaTheme="minorEastAsia" w:cstheme="minorEastAsia"/>
          <w:bCs/>
          <w:szCs w:val="24"/>
        </w:rPr>
        <w:t>（3）企业业绩：证明投标人满足投标资料表中列出的业绩要求的文件：近三年（2022年1月1日至今）类似项目业绩及合同复印件（加盖公章，须有客户联系方式及联系人以供招标人核实确认）；</w:t>
      </w:r>
    </w:p>
    <w:p>
      <w:pPr>
        <w:pStyle w:val="20"/>
        <w:spacing w:line="360" w:lineRule="auto"/>
        <w:ind w:firstLine="480" w:firstLineChars="200"/>
        <w:rPr>
          <w:rFonts w:hint="eastAsia" w:asciiTheme="minorEastAsia" w:hAnsiTheme="minorEastAsia" w:eastAsiaTheme="minorEastAsia" w:cstheme="minorEastAsia"/>
          <w:bCs/>
          <w:szCs w:val="24"/>
        </w:rPr>
      </w:pPr>
      <w:r>
        <w:rPr>
          <w:rFonts w:hint="eastAsia" w:asciiTheme="minorEastAsia" w:hAnsiTheme="minorEastAsia" w:eastAsiaTheme="minorEastAsia" w:cstheme="minorEastAsia"/>
          <w:bCs/>
          <w:szCs w:val="24"/>
        </w:rPr>
        <w:t>（4）其他：投标报名表等。</w:t>
      </w:r>
    </w:p>
    <w:p>
      <w:pPr>
        <w:pStyle w:val="20"/>
        <w:spacing w:line="360" w:lineRule="auto"/>
        <w:ind w:firstLine="480" w:firstLineChars="200"/>
        <w:rPr>
          <w:rFonts w:hint="eastAsia" w:ascii="宋体" w:hAnsi="宋体" w:cs="宋体"/>
          <w:color w:val="000000"/>
          <w:szCs w:val="24"/>
        </w:rPr>
      </w:pPr>
      <w:r>
        <w:rPr>
          <w:rFonts w:hint="eastAsia" w:asciiTheme="minorEastAsia" w:hAnsiTheme="minorEastAsia" w:eastAsiaTheme="minorEastAsia" w:cstheme="minorEastAsia"/>
          <w:bCs/>
          <w:szCs w:val="24"/>
        </w:rPr>
        <w:t>备注：提供上述资料均须加盖单位公章，以PDF的形式在规定时间内上传至重汽e采通内。</w:t>
      </w:r>
    </w:p>
    <w:p>
      <w:pPr>
        <w:spacing w:line="360" w:lineRule="auto"/>
        <w:ind w:firstLine="482" w:firstLineChars="200"/>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
          <w:sz w:val="24"/>
          <w:szCs w:val="24"/>
        </w:rPr>
        <w:t>以上内容合定扫描到资质文件当中。投标人提供的以上材料必须真实有效，任何一项的虚假将导致其应标文件被拒绝，请投标人确认中国重汽e采通系统中供应商信息完整、准确，因供应商信息不全或错误导致的报名不成功，由投标人自行承担。</w:t>
      </w:r>
    </w:p>
    <w:p>
      <w:pPr>
        <w:pStyle w:val="151"/>
        <w:adjustRightInd w:val="0"/>
        <w:snapToGrid w:val="0"/>
        <w:spacing w:line="360" w:lineRule="auto"/>
        <w:ind w:firstLine="482"/>
        <w:jc w:val="left"/>
        <w:rPr>
          <w:rFonts w:hint="eastAsia" w:ascii="宋体" w:hAnsi="宋体" w:cs="宋体"/>
          <w:b/>
          <w:bCs/>
          <w:color w:val="000000"/>
          <w:sz w:val="24"/>
          <w:szCs w:val="24"/>
        </w:rPr>
      </w:pPr>
      <w:r>
        <w:rPr>
          <w:rFonts w:hint="eastAsia" w:ascii="宋体" w:hAnsi="宋体" w:cs="宋体"/>
          <w:b/>
          <w:bCs/>
          <w:color w:val="000000"/>
          <w:sz w:val="24"/>
          <w:szCs w:val="24"/>
        </w:rPr>
        <w:t>2.投标</w:t>
      </w:r>
    </w:p>
    <w:p>
      <w:pPr>
        <w:pStyle w:val="151"/>
        <w:adjustRightInd w:val="0"/>
        <w:snapToGrid w:val="0"/>
        <w:spacing w:line="360" w:lineRule="auto"/>
        <w:ind w:firstLine="480"/>
        <w:jc w:val="left"/>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 xml:space="preserve">，超过投标截止时间将视为参与失败。 </w:t>
      </w:r>
    </w:p>
    <w:p>
      <w:pPr>
        <w:pStyle w:val="151"/>
        <w:adjustRightInd w:val="0"/>
        <w:snapToGrid w:val="0"/>
        <w:spacing w:line="360" w:lineRule="auto"/>
        <w:ind w:firstLine="0" w:firstLineChars="0"/>
        <w:jc w:val="left"/>
        <w:rPr>
          <w:rFonts w:hint="eastAsia" w:asciiTheme="minorEastAsia" w:hAnsiTheme="minorEastAsia" w:eastAsiaTheme="minorEastAsia" w:cstheme="minorEastAsia"/>
          <w:bCs/>
          <w:sz w:val="24"/>
          <w:szCs w:val="24"/>
          <w:highlight w:val="green"/>
        </w:rPr>
      </w:pPr>
      <w:r>
        <w:rPr>
          <w:rFonts w:hint="eastAsia" w:asciiTheme="minorEastAsia" w:hAnsiTheme="minorEastAsia" w:eastAsiaTheme="minorEastAsia" w:cstheme="minorEastAsia"/>
          <w:bCs/>
          <w:sz w:val="24"/>
          <w:szCs w:val="24"/>
        </w:rPr>
        <w:t>投标截止时间：</w:t>
      </w:r>
      <w:r>
        <w:rPr>
          <w:rFonts w:hint="eastAsia" w:asciiTheme="minorEastAsia" w:hAnsiTheme="minorEastAsia" w:eastAsiaTheme="minorEastAsia" w:cstheme="minorEastAsia"/>
          <w:b/>
          <w:sz w:val="24"/>
          <w:szCs w:val="24"/>
          <w:highlight w:val="yellow"/>
        </w:rPr>
        <w:t>2025年12月27日9:00</w:t>
      </w:r>
    </w:p>
    <w:p>
      <w:pPr>
        <w:tabs>
          <w:tab w:val="left" w:pos="1050"/>
          <w:tab w:val="left" w:pos="1470"/>
        </w:tabs>
        <w:autoSpaceDE w:val="0"/>
        <w:autoSpaceDN w:val="0"/>
        <w:adjustRightInd w:val="0"/>
        <w:snapToGrid w:val="0"/>
        <w:spacing w:line="360" w:lineRule="auto"/>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五、开标</w:t>
      </w:r>
    </w:p>
    <w:p>
      <w:pPr>
        <w:pStyle w:val="151"/>
        <w:adjustRightInd w:val="0"/>
        <w:snapToGrid w:val="0"/>
        <w:spacing w:line="360" w:lineRule="auto"/>
        <w:ind w:firstLine="0" w:firstLineChars="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Cs/>
          <w:sz w:val="24"/>
          <w:szCs w:val="24"/>
        </w:rPr>
        <w:t>1.开标时间：</w:t>
      </w:r>
      <w:r>
        <w:rPr>
          <w:rFonts w:hint="eastAsia" w:asciiTheme="minorEastAsia" w:hAnsiTheme="minorEastAsia" w:eastAsiaTheme="minorEastAsia" w:cstheme="minorEastAsia"/>
          <w:b/>
          <w:sz w:val="24"/>
          <w:szCs w:val="24"/>
          <w:highlight w:val="yellow"/>
        </w:rPr>
        <w:t>2025年12月29日9:00时</w:t>
      </w:r>
      <w:r>
        <w:rPr>
          <w:rFonts w:hint="eastAsia" w:asciiTheme="minorEastAsia" w:hAnsiTheme="minorEastAsia" w:eastAsiaTheme="minorEastAsia" w:cstheme="minorEastAsia"/>
          <w:b/>
          <w:sz w:val="24"/>
          <w:szCs w:val="24"/>
        </w:rPr>
        <w:t>。待定(投标完成后联系商务联系人，发送投标保证金缴纳凭证获取会议链接号)）</w:t>
      </w:r>
    </w:p>
    <w:p>
      <w:pPr>
        <w:pStyle w:val="151"/>
        <w:adjustRightInd w:val="0"/>
        <w:snapToGrid w:val="0"/>
        <w:spacing w:line="360" w:lineRule="auto"/>
        <w:ind w:firstLine="0" w:firstLineChars="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2</w:t>
      </w:r>
      <w:r>
        <w:rPr>
          <w:rFonts w:hint="eastAsia" w:asciiTheme="minorEastAsia" w:hAnsiTheme="minorEastAsia" w:eastAsiaTheme="minorEastAsia" w:cstheme="minorEastAsia"/>
          <w:bCs/>
          <w:sz w:val="24"/>
          <w:szCs w:val="24"/>
        </w:rPr>
        <w:t>.开标地点：线上会议</w:t>
      </w:r>
    </w:p>
    <w:p>
      <w:pPr>
        <w:pStyle w:val="151"/>
        <w:adjustRightInd w:val="0"/>
        <w:snapToGrid w:val="0"/>
        <w:spacing w:line="360" w:lineRule="auto"/>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3.商务联系人：卜老师 15542226228 bujianfeng@sinotruk.com</w:t>
      </w:r>
    </w:p>
    <w:p>
      <w:pPr>
        <w:pStyle w:val="151"/>
        <w:adjustRightInd w:val="0"/>
        <w:snapToGrid w:val="0"/>
        <w:spacing w:line="360" w:lineRule="auto"/>
        <w:ind w:firstLine="240" w:firstLineChars="1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技术联系人：赫老师 13653425867 2518968528@qq.com</w:t>
      </w:r>
    </w:p>
    <w:p>
      <w:pPr>
        <w:adjustRightInd w:val="0"/>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六、评标办法</w:t>
      </w:r>
    </w:p>
    <w:p>
      <w:pPr>
        <w:adjustRightInd w:val="0"/>
        <w:snapToGrid w:val="0"/>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本项目采用合理最低价评标法，在满足招标人资格和技术要求的前提下</w:t>
      </w:r>
      <w:r>
        <w:rPr>
          <w:rFonts w:hint="eastAsia" w:asciiTheme="minorEastAsia" w:hAnsiTheme="minorEastAsia" w:eastAsiaTheme="minorEastAsia" w:cstheme="minorEastAsia"/>
          <w:bCs/>
          <w:sz w:val="24"/>
          <w:szCs w:val="24"/>
        </w:rPr>
        <w:t>。</w:t>
      </w:r>
      <w:r>
        <w:rPr>
          <w:rFonts w:hint="eastAsia" w:asciiTheme="minorEastAsia" w:hAnsiTheme="minorEastAsia" w:eastAsiaTheme="minorEastAsia" w:cstheme="minorEastAsia"/>
          <w:sz w:val="24"/>
          <w:szCs w:val="24"/>
        </w:rPr>
        <w:t>选取商务谈判后合理最低价为本项目中标人。</w:t>
      </w:r>
    </w:p>
    <w:p>
      <w:pPr>
        <w:pStyle w:val="151"/>
        <w:adjustRightInd w:val="0"/>
        <w:snapToGrid w:val="0"/>
        <w:spacing w:line="360" w:lineRule="auto"/>
        <w:ind w:firstLine="0" w:firstLine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1、本次评标e采通上进行报价，评标专家组将与投标人进行多轮商务谈判，每轮谈判价格不得高于上一轮报价。</w:t>
      </w:r>
    </w:p>
    <w:p>
      <w:pPr>
        <w:pStyle w:val="151"/>
        <w:adjustRightInd w:val="0"/>
        <w:snapToGrid w:val="0"/>
        <w:spacing w:line="360" w:lineRule="auto"/>
        <w:ind w:firstLine="0" w:firstLine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2、招标人不接受任何选择性报价，对投标人的每一种投标方案只允许有一个投标价。所有投标价均以人民币报价。</w:t>
      </w:r>
    </w:p>
    <w:p>
      <w:pPr>
        <w:tabs>
          <w:tab w:val="left" w:pos="1134"/>
        </w:tabs>
        <w:snapToGrid w:val="0"/>
        <w:spacing w:line="360" w:lineRule="auto"/>
        <w:rPr>
          <w:rFonts w:hint="eastAsia" w:asciiTheme="majorEastAsia" w:hAnsiTheme="majorEastAsia" w:eastAsiaTheme="majorEastAsia"/>
          <w:sz w:val="24"/>
          <w:szCs w:val="24"/>
        </w:rPr>
      </w:pPr>
      <w:r>
        <w:rPr>
          <w:rFonts w:hint="eastAsia" w:asciiTheme="minorEastAsia" w:hAnsiTheme="minorEastAsia" w:eastAsiaTheme="minorEastAsia" w:cstheme="minorEastAsia"/>
          <w:b/>
          <w:sz w:val="24"/>
          <w:szCs w:val="24"/>
        </w:rPr>
        <w:t>七、</w:t>
      </w:r>
      <w:r>
        <w:rPr>
          <w:rFonts w:hint="eastAsia" w:asciiTheme="majorEastAsia" w:hAnsiTheme="majorEastAsia" w:eastAsiaTheme="majorEastAsia"/>
          <w:b/>
          <w:sz w:val="24"/>
          <w:szCs w:val="24"/>
        </w:rPr>
        <w:t>技术要求</w:t>
      </w:r>
    </w:p>
    <w:p>
      <w:pPr>
        <w:spacing w:line="360" w:lineRule="auto"/>
        <w:ind w:firstLine="482" w:firstLineChars="200"/>
        <w:rPr>
          <w:rFonts w:hint="eastAsia" w:asciiTheme="minorEastAsia" w:hAnsiTheme="minorEastAsia" w:eastAsiaTheme="minorEastAsia" w:cstheme="minorEastAsia"/>
          <w:b/>
          <w:sz w:val="24"/>
          <w:szCs w:val="24"/>
        </w:rPr>
      </w:pPr>
      <w:r>
        <w:rPr>
          <w:rFonts w:hint="eastAsia" w:ascii="宋体" w:hAnsi="宋体"/>
          <w:b/>
          <w:bCs/>
          <w:color w:val="000000"/>
          <w:sz w:val="24"/>
          <w:szCs w:val="24"/>
          <w:lang w:bidi="zh-CN"/>
        </w:rPr>
        <w:t>技术要求详见“技术文件”</w:t>
      </w:r>
    </w:p>
    <w:p>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八、投标文件</w:t>
      </w:r>
    </w:p>
    <w:p>
      <w:pPr>
        <w:tabs>
          <w:tab w:val="left" w:pos="454"/>
        </w:tabs>
        <w:snapToGrid w:val="0"/>
        <w:spacing w:line="360" w:lineRule="auto"/>
        <w:ind w:firstLine="480"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w:t>
      </w:r>
    </w:p>
    <w:p>
      <w:pPr>
        <w:pStyle w:val="151"/>
        <w:numPr>
          <w:ilvl w:val="0"/>
          <w:numId w:val="4"/>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rPr>
        <w:t>资格证明文件</w:t>
      </w:r>
      <w:r>
        <w:rPr>
          <w:rFonts w:hint="eastAsia" w:asciiTheme="minorEastAsia" w:hAnsiTheme="minorEastAsia" w:eastAsiaTheme="minorEastAsia" w:cstheme="minorEastAsia"/>
          <w:sz w:val="24"/>
          <w:szCs w:val="24"/>
        </w:rPr>
        <w:t>包括（以下文件均需加盖公章）：</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1、资质文件</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（1）营业执照副本复印件；</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（2）废气、废水在线监测运维人员资质复印件；</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（3）法定代表人参加投标的，需提供法人身份证复印件；派授权人参加投标的，需提供法定代表人授权委托书及法人、被授权人身份证复印件；</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（4）近三年内在经营活动中没有违法违纪行为的声明；</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（5）投标单位在国家企业信用信息公示系统中无行政处罚、经营异常或失信信息或上述信息已被移除的声明。</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（6）投标单位可提供所有运维人员的资格证书复印件；投标单位具备大同市环境监测监控系统V6.0平台运维账号。</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（7）投标单位需提供近三年经审计的财务报告，如投标单位公司规模较小，未有审计报告，可提供财务报表。</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8）a.近三年的财务审计报告原件，并加盖公章，包括但不限于报告页、经审计的资产负债表、利润表、现金流量表及报表附注。b.企业最近半年完税证明、信用证明材料（中国人民银行信用代码证+征信报告）；c.年度纳税信用评价信息（可从电子税务局查询截图，需加盖公章）；d.企业对外担保说明（写明贵单位对外有无对外担保和质押业务，需加盖公章）。</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（8）投标保证金缴纳凭证（应标时不做要求，投标时需随资质文件一同上传）。</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2、商务标文件</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（1）投标函；</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（2）开标一览表；</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（3）商务条款偏离表；</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（4）其他需要说明的事项。</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备注：提供上述资料均须加盖单位公章，扫描后上传e采通系统中。</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4、其他</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（1）</w:t>
      </w:r>
      <w:r>
        <w:rPr>
          <w:rFonts w:asciiTheme="minorEastAsia" w:hAnsiTheme="minorEastAsia" w:eastAsiaTheme="minorEastAsia" w:cstheme="minorEastAsia"/>
          <w:szCs w:val="24"/>
          <w:lang w:val="en-US"/>
        </w:rPr>
        <w:t>投标人应与招标人指派的答疑人员充分沟通，理解认可并接受相关技术规范及服务要求；</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（2）</w:t>
      </w:r>
      <w:r>
        <w:rPr>
          <w:rFonts w:asciiTheme="minorEastAsia" w:hAnsiTheme="minorEastAsia" w:eastAsiaTheme="minorEastAsia" w:cstheme="minorEastAsia"/>
          <w:szCs w:val="24"/>
          <w:lang w:val="en-US"/>
        </w:rPr>
        <w:t>投标人可免费提供的、包含但不限于招标人所要求的其他相关服务内容，在其“开标一览表”中一并说明。</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（3）投标人须认可招标人由于招标人上级集团公司政策变化引起的合同签订前终止项目的要求。如投标人不认可、不接受，则投标人相关商务条款偏离表中注明“不接受”字。</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（4）要求招标人或相关合同签订单位提供的配合，在标书文件中说明。</w:t>
      </w:r>
    </w:p>
    <w:p>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九、付款方式</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（1）本次招标为公开招标，报价应为：</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经与招标人或其指派的答疑人员充分沟通确认基础上，由投标人在满足招标人所提出的、与本项目所有相关环节有关的所有费用；</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（2）所有报价货币单位为：万元（人民币），含税；</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（3）付款结算方式：</w:t>
      </w:r>
      <w:r>
        <w:rPr>
          <w:rFonts w:hint="eastAsia" w:asciiTheme="minorEastAsia" w:hAnsiTheme="minorEastAsia" w:eastAsiaTheme="minorEastAsia" w:cstheme="minorEastAsia"/>
          <w:szCs w:val="24"/>
          <w:highlight w:val="yellow"/>
          <w:lang w:val="en-US"/>
        </w:rPr>
        <w:t>半年期商业汇票（包括银行承兑汇票和商业承兑汇票）</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按季度支付，拟中标方按合同约定完成工作后，每季度最后一个月，拟中标方开具增值税专用发票，招标方在发票上账 30 日内以电子承兑汇票方式支付拟中标方季度费用。</w:t>
      </w:r>
    </w:p>
    <w:p>
      <w:pPr>
        <w:pStyle w:val="2"/>
        <w:adjustRightInd w:val="0"/>
        <w:snapToGrid w:val="0"/>
        <w:ind w:firstLine="480" w:firstLineChars="200"/>
        <w:rPr>
          <w:rFonts w:hint="eastAsia" w:asciiTheme="minorEastAsia" w:hAnsiTheme="minorEastAsia" w:eastAsiaTheme="minorEastAsia" w:cstheme="minorEastAsia"/>
          <w:szCs w:val="24"/>
          <w:lang w:val="en-US"/>
        </w:rPr>
      </w:pPr>
      <w:r>
        <w:rPr>
          <w:rFonts w:hint="eastAsia" w:asciiTheme="minorEastAsia" w:hAnsiTheme="minorEastAsia" w:eastAsiaTheme="minorEastAsia" w:cstheme="minorEastAsia"/>
          <w:szCs w:val="24"/>
          <w:lang w:val="en-US"/>
        </w:rPr>
        <w:t>（4）项目限价：含税15.051万元，超过投标限价无法投标。</w:t>
      </w:r>
    </w:p>
    <w:p>
      <w:pPr>
        <w:pStyle w:val="57"/>
        <w:snapToGrid w:val="0"/>
        <w:spacing w:line="360" w:lineRule="auto"/>
        <w:ind w:firstLine="482" w:firstLineChars="200"/>
        <w:rPr>
          <w:rFonts w:hint="eastAsia" w:asciiTheme="minorEastAsia" w:hAnsiTheme="minorEastAsia" w:eastAsiaTheme="minorEastAsia" w:cstheme="minorEastAsia"/>
          <w:b/>
          <w:color w:val="auto"/>
          <w:kern w:val="2"/>
        </w:rPr>
      </w:pPr>
      <w:r>
        <w:rPr>
          <w:rFonts w:hint="eastAsia" w:asciiTheme="minorEastAsia" w:hAnsiTheme="minorEastAsia" w:eastAsiaTheme="minorEastAsia" w:cstheme="minorEastAsia"/>
          <w:b/>
          <w:color w:val="auto"/>
          <w:kern w:val="2"/>
        </w:rPr>
        <w:t>注：付款方式和付款比例不允许偏离。</w:t>
      </w:r>
    </w:p>
    <w:p>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十、投标保证金</w:t>
      </w:r>
    </w:p>
    <w:p>
      <w:pPr>
        <w:pStyle w:val="151"/>
        <w:numPr>
          <w:ilvl w:val="0"/>
          <w:numId w:val="5"/>
        </w:numPr>
        <w:tabs>
          <w:tab w:val="left" w:pos="454"/>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cs="宋体"/>
          <w:b/>
          <w:bCs/>
          <w:sz w:val="24"/>
          <w:szCs w:val="24"/>
        </w:rPr>
        <w:t>投标保证金的缴纳形式：</w:t>
      </w:r>
      <w:r>
        <w:rPr>
          <w:rFonts w:hint="eastAsia" w:ascii="宋体" w:hAnsi="宋体" w:cs="宋体"/>
          <w:sz w:val="24"/>
          <w:szCs w:val="24"/>
        </w:rPr>
        <w:t>银行基本账户转账</w:t>
      </w:r>
      <w:r>
        <w:rPr>
          <w:rFonts w:hint="eastAsia" w:asciiTheme="minorEastAsia" w:hAnsiTheme="minorEastAsia" w:eastAsiaTheme="minorEastAsia" w:cstheme="minorEastAsia"/>
          <w:color w:val="000000"/>
          <w:sz w:val="24"/>
          <w:szCs w:val="24"/>
        </w:rPr>
        <w:t>。</w:t>
      </w:r>
    </w:p>
    <w:p>
      <w:pPr>
        <w:pStyle w:val="151"/>
        <w:numPr>
          <w:ilvl w:val="0"/>
          <w:numId w:val="5"/>
        </w:numPr>
        <w:tabs>
          <w:tab w:val="left" w:pos="454"/>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投标保证金缴纳截止时间：</w:t>
      </w:r>
      <w:r>
        <w:rPr>
          <w:rFonts w:hint="eastAsia" w:asciiTheme="minorEastAsia" w:hAnsiTheme="minorEastAsia" w:eastAsiaTheme="minorEastAsia" w:cstheme="minorEastAsia"/>
          <w:b/>
          <w:bCs/>
          <w:color w:val="000000"/>
          <w:sz w:val="24"/>
          <w:szCs w:val="24"/>
          <w:u w:val="single"/>
        </w:rPr>
        <w:t xml:space="preserve">2025年12月27日9:00 </w:t>
      </w:r>
      <w:r>
        <w:rPr>
          <w:rFonts w:hint="eastAsia" w:asciiTheme="minorEastAsia" w:hAnsiTheme="minorEastAsia" w:eastAsiaTheme="minorEastAsia" w:cstheme="minorEastAsia"/>
          <w:b/>
          <w:color w:val="000000"/>
          <w:sz w:val="24"/>
          <w:szCs w:val="24"/>
          <w:u w:val="single"/>
        </w:rPr>
        <w:t>。（投标保证金缴纳凭证需随资质投标文件一起上传）</w:t>
      </w:r>
      <w:r>
        <w:rPr>
          <w:rFonts w:hint="eastAsia" w:asciiTheme="minorEastAsia" w:hAnsiTheme="minorEastAsia" w:eastAsiaTheme="minorEastAsia" w:cstheme="minorEastAsia"/>
          <w:bCs/>
          <w:color w:val="000000"/>
          <w:sz w:val="24"/>
          <w:szCs w:val="24"/>
          <w:u w:val="single"/>
        </w:rPr>
        <w:t>投标方</w:t>
      </w:r>
      <w:r>
        <w:rPr>
          <w:rFonts w:hint="eastAsia" w:ascii="宋体" w:hAnsi="宋体" w:cs="宋体"/>
          <w:sz w:val="24"/>
          <w:szCs w:val="24"/>
        </w:rPr>
        <w:t>应充分考虑银行信息交换时间，由此带来的保证金不能按时到帐的责任由投标方自行承担。</w:t>
      </w:r>
    </w:p>
    <w:p>
      <w:pPr>
        <w:tabs>
          <w:tab w:val="left" w:pos="932"/>
        </w:tabs>
        <w:spacing w:line="360" w:lineRule="auto"/>
        <w:ind w:firstLine="482" w:firstLineChars="200"/>
        <w:rPr>
          <w:rFonts w:hint="eastAsia" w:ascii="宋体" w:hAnsi="宋体" w:cs="宋体"/>
          <w:b/>
          <w:bCs/>
          <w:sz w:val="24"/>
          <w:szCs w:val="24"/>
          <w:highlight w:val="yellow"/>
        </w:rPr>
      </w:pPr>
      <w:r>
        <w:rPr>
          <w:rFonts w:hint="eastAsia" w:ascii="宋体" w:hAnsi="宋体" w:cs="宋体"/>
          <w:b/>
          <w:bCs/>
          <w:sz w:val="24"/>
          <w:szCs w:val="24"/>
          <w:highlight w:val="yellow"/>
        </w:rPr>
        <w:t>投标保证金的金额：人民币5000元</w:t>
      </w:r>
    </w:p>
    <w:p>
      <w:pPr>
        <w:spacing w:line="360" w:lineRule="auto"/>
        <w:ind w:firstLine="482" w:firstLineChars="200"/>
        <w:rPr>
          <w:rFonts w:hint="eastAsia" w:ascii="宋体" w:hAnsi="宋体" w:cs="宋体"/>
          <w:b/>
          <w:bCs/>
          <w:sz w:val="24"/>
          <w:szCs w:val="24"/>
          <w:highlight w:val="yellow"/>
        </w:rPr>
      </w:pPr>
      <w:r>
        <w:rPr>
          <w:rFonts w:ascii="宋体" w:hAnsi="宋体" w:cs="宋体"/>
          <w:b/>
          <w:bCs/>
          <w:sz w:val="24"/>
          <w:szCs w:val="24"/>
          <w:highlight w:val="yellow"/>
        </w:rPr>
        <w:t>单位名称：</w:t>
      </w:r>
      <w:r>
        <w:rPr>
          <w:rFonts w:hint="eastAsia" w:ascii="宋体" w:hAnsi="宋体" w:cs="宋体"/>
          <w:b/>
          <w:bCs/>
          <w:sz w:val="24"/>
          <w:szCs w:val="24"/>
          <w:highlight w:val="yellow"/>
        </w:rPr>
        <w:t>中国重汽集团大同齿轮有限公司</w:t>
      </w:r>
    </w:p>
    <w:p>
      <w:pPr>
        <w:spacing w:line="360" w:lineRule="auto"/>
        <w:ind w:firstLine="482" w:firstLineChars="200"/>
        <w:rPr>
          <w:rFonts w:hint="eastAsia" w:ascii="宋体" w:hAnsi="宋体" w:cs="宋体"/>
          <w:b/>
          <w:bCs/>
          <w:sz w:val="24"/>
          <w:szCs w:val="24"/>
          <w:highlight w:val="yellow"/>
        </w:rPr>
      </w:pPr>
      <w:r>
        <w:rPr>
          <w:rFonts w:ascii="宋体" w:hAnsi="宋体" w:cs="宋体"/>
          <w:b/>
          <w:bCs/>
          <w:sz w:val="24"/>
          <w:szCs w:val="24"/>
          <w:highlight w:val="yellow"/>
        </w:rPr>
        <w:t>收款账号：</w:t>
      </w:r>
      <w:r>
        <w:rPr>
          <w:rFonts w:hint="eastAsia" w:ascii="宋体" w:hAnsi="宋体" w:cs="宋体"/>
          <w:b/>
          <w:bCs/>
          <w:sz w:val="24"/>
          <w:szCs w:val="24"/>
          <w:highlight w:val="yellow"/>
        </w:rPr>
        <w:t>04272001040026121</w:t>
      </w:r>
    </w:p>
    <w:p>
      <w:pPr>
        <w:spacing w:line="360" w:lineRule="auto"/>
        <w:ind w:firstLine="482" w:firstLineChars="200"/>
        <w:rPr>
          <w:rFonts w:hint="eastAsia" w:ascii="宋体" w:hAnsi="宋体" w:cs="宋体"/>
          <w:b/>
          <w:bCs/>
          <w:sz w:val="24"/>
          <w:szCs w:val="24"/>
          <w:highlight w:val="yellow"/>
        </w:rPr>
      </w:pPr>
      <w:r>
        <w:rPr>
          <w:rFonts w:ascii="宋体" w:hAnsi="宋体" w:cs="宋体"/>
          <w:b/>
          <w:bCs/>
          <w:sz w:val="24"/>
          <w:szCs w:val="24"/>
          <w:highlight w:val="yellow"/>
        </w:rPr>
        <w:t>开户行名称：</w:t>
      </w:r>
      <w:r>
        <w:rPr>
          <w:rFonts w:hint="eastAsia" w:ascii="宋体" w:hAnsi="宋体" w:cs="宋体"/>
          <w:b/>
          <w:bCs/>
          <w:sz w:val="24"/>
          <w:szCs w:val="24"/>
          <w:highlight w:val="yellow"/>
        </w:rPr>
        <w:t>中国农业银行股份有限公司大同城区支行</w:t>
      </w:r>
    </w:p>
    <w:p>
      <w:pPr>
        <w:spacing w:line="360" w:lineRule="auto"/>
        <w:ind w:firstLine="482" w:firstLineChars="200"/>
        <w:rPr>
          <w:rFonts w:hint="eastAsia" w:ascii="宋体" w:hAnsi="宋体" w:cs="宋体"/>
          <w:b/>
          <w:bCs/>
          <w:sz w:val="24"/>
          <w:szCs w:val="24"/>
          <w:highlight w:val="yellow"/>
        </w:rPr>
      </w:pPr>
      <w:r>
        <w:rPr>
          <w:rFonts w:ascii="宋体" w:hAnsi="宋体" w:cs="宋体"/>
          <w:b/>
          <w:bCs/>
          <w:sz w:val="24"/>
          <w:szCs w:val="24"/>
          <w:highlight w:val="yellow"/>
        </w:rPr>
        <w:t>开户行行号：</w:t>
      </w:r>
      <w:r>
        <w:rPr>
          <w:rFonts w:hint="eastAsia" w:ascii="宋体" w:hAnsi="宋体" w:cs="宋体"/>
          <w:b/>
          <w:bCs/>
          <w:sz w:val="24"/>
          <w:szCs w:val="24"/>
          <w:highlight w:val="yellow"/>
        </w:rPr>
        <w:t>103162027204</w:t>
      </w:r>
    </w:p>
    <w:p>
      <w:pPr>
        <w:spacing w:line="360" w:lineRule="auto"/>
        <w:ind w:firstLine="480" w:firstLineChars="200"/>
        <w:rPr>
          <w:rFonts w:hint="eastAsia" w:ascii="宋体" w:hAnsi="宋体" w:cs="宋体"/>
          <w:sz w:val="24"/>
          <w:szCs w:val="24"/>
        </w:rPr>
      </w:pPr>
      <w:r>
        <w:rPr>
          <w:rFonts w:hint="eastAsia" w:ascii="宋体" w:hAnsi="宋体" w:cs="宋体"/>
          <w:sz w:val="24"/>
          <w:szCs w:val="24"/>
        </w:rPr>
        <w:t>投标保证金应从投标人的基本账户转出至上述账户并到账，否则视为无效投标。</w:t>
      </w:r>
    </w:p>
    <w:p>
      <w:pPr>
        <w:pStyle w:val="151"/>
        <w:tabs>
          <w:tab w:val="left" w:pos="454"/>
          <w:tab w:val="left" w:pos="2433"/>
        </w:tabs>
        <w:snapToGrid w:val="0"/>
        <w:spacing w:line="360" w:lineRule="auto"/>
        <w:ind w:firstLine="480"/>
        <w:rPr>
          <w:rFonts w:hint="eastAsia" w:asciiTheme="minorEastAsia" w:hAnsiTheme="minorEastAsia" w:eastAsiaTheme="minorEastAsia" w:cstheme="minorEastAsia"/>
          <w:color w:val="000000"/>
          <w:sz w:val="24"/>
          <w:szCs w:val="24"/>
        </w:rPr>
      </w:pPr>
      <w:r>
        <w:rPr>
          <w:rFonts w:hint="eastAsia"/>
          <w:sz w:val="24"/>
          <w:szCs w:val="28"/>
        </w:rPr>
        <w:t>转账附言：</w:t>
      </w:r>
      <w:r>
        <w:rPr>
          <w:rFonts w:hint="eastAsia"/>
          <w:b/>
          <w:bCs/>
          <w:sz w:val="24"/>
          <w:szCs w:val="28"/>
        </w:rPr>
        <w:t>公司名称+项目名称+投标保证金</w:t>
      </w:r>
      <w:r>
        <w:rPr>
          <w:rFonts w:hint="eastAsia"/>
          <w:sz w:val="24"/>
          <w:szCs w:val="28"/>
        </w:rPr>
        <w:t>。</w:t>
      </w:r>
    </w:p>
    <w:p>
      <w:pPr>
        <w:pStyle w:val="151"/>
        <w:numPr>
          <w:ilvl w:val="0"/>
          <w:numId w:val="5"/>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投标保证金的退还</w:t>
      </w:r>
    </w:p>
    <w:p>
      <w:pPr>
        <w:pStyle w:val="151"/>
        <w:numPr>
          <w:ilvl w:val="0"/>
          <w:numId w:val="6"/>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cs="宋体"/>
          <w:sz w:val="24"/>
          <w:szCs w:val="24"/>
        </w:rPr>
        <w:t>对于没有中标的投标人，投标保证金将于招标人内部完成中标人评审并确认最终中标人后在一个付款周期内予以原路返还（无息）；对于中标方，投标保证金将在签订合同后一个付款周期内原路返还（无息）。</w:t>
      </w:r>
    </w:p>
    <w:p>
      <w:pPr>
        <w:pStyle w:val="229"/>
        <w:ind w:firstLine="0" w:firstLineChars="0"/>
        <w:rPr>
          <w:rFonts w:hint="eastAsia" w:eastAsia="宋体" w:cs="宋体"/>
        </w:rPr>
      </w:pPr>
      <w:r>
        <w:rPr>
          <w:rFonts w:hint="eastAsia" w:eastAsia="宋体" w:cs="宋体"/>
          <w:lang w:val="en-US"/>
        </w:rPr>
        <w:t>4.</w:t>
      </w:r>
      <w:r>
        <w:rPr>
          <w:rFonts w:hint="eastAsia" w:eastAsia="宋体" w:cs="宋体"/>
        </w:rPr>
        <w:t>发生以下情况时，招标人有权没收保证金：</w:t>
      </w:r>
    </w:p>
    <w:p>
      <w:pPr>
        <w:pStyle w:val="229"/>
        <w:ind w:firstLine="480"/>
        <w:rPr>
          <w:rFonts w:hint="eastAsia" w:eastAsia="宋体" w:cs="宋体"/>
        </w:rPr>
      </w:pPr>
      <w:r>
        <w:rPr>
          <w:rFonts w:hint="eastAsia" w:eastAsia="宋体" w:cs="宋体"/>
        </w:rPr>
        <w:t>（</w:t>
      </w:r>
      <w:r>
        <w:rPr>
          <w:rFonts w:hint="eastAsia" w:eastAsia="宋体" w:cs="宋体"/>
          <w:lang w:val="en-US"/>
        </w:rPr>
        <w:t>1</w:t>
      </w:r>
      <w:r>
        <w:rPr>
          <w:rFonts w:hint="eastAsia" w:eastAsia="宋体" w:cs="宋体"/>
        </w:rPr>
        <w:t>） 截至开标前3天，投标人无正当理由且未以书面形式递交说明而在投标截止日不来投标的；</w:t>
      </w:r>
    </w:p>
    <w:p>
      <w:pPr>
        <w:pStyle w:val="229"/>
        <w:ind w:firstLine="480"/>
        <w:rPr>
          <w:rFonts w:hint="eastAsia" w:eastAsia="宋体" w:cs="宋体"/>
        </w:rPr>
      </w:pPr>
      <w:r>
        <w:rPr>
          <w:rFonts w:hint="eastAsia" w:eastAsia="宋体" w:cs="宋体"/>
        </w:rPr>
        <w:t>（</w:t>
      </w:r>
      <w:r>
        <w:rPr>
          <w:rFonts w:hint="eastAsia" w:eastAsia="宋体" w:cs="宋体"/>
          <w:lang w:val="en-US"/>
        </w:rPr>
        <w:t>2</w:t>
      </w:r>
      <w:r>
        <w:rPr>
          <w:rFonts w:hint="eastAsia" w:eastAsia="宋体" w:cs="宋体"/>
        </w:rPr>
        <w:t>）投标人递送投标文件后，无正当理由放弃投标的；</w:t>
      </w:r>
    </w:p>
    <w:p>
      <w:pPr>
        <w:pStyle w:val="229"/>
        <w:ind w:firstLine="480"/>
        <w:rPr>
          <w:rFonts w:hint="eastAsia" w:eastAsia="宋体" w:cs="宋体"/>
        </w:rPr>
      </w:pPr>
      <w:r>
        <w:rPr>
          <w:rFonts w:hint="eastAsia" w:eastAsia="宋体" w:cs="宋体"/>
        </w:rPr>
        <w:t>（</w:t>
      </w:r>
      <w:r>
        <w:rPr>
          <w:rFonts w:hint="eastAsia" w:eastAsia="宋体" w:cs="宋体"/>
          <w:lang w:val="en-US"/>
        </w:rPr>
        <w:t>3</w:t>
      </w:r>
      <w:r>
        <w:rPr>
          <w:rFonts w:hint="eastAsia" w:eastAsia="宋体" w:cs="宋体"/>
        </w:rPr>
        <w:t>）若为视频开标，招标过程中澄清函等资料原件未按要求提交的；</w:t>
      </w:r>
    </w:p>
    <w:p>
      <w:pPr>
        <w:pStyle w:val="229"/>
        <w:ind w:firstLine="480"/>
        <w:rPr>
          <w:rFonts w:hint="eastAsia" w:eastAsia="宋体" w:cs="宋体"/>
        </w:rPr>
      </w:pPr>
      <w:r>
        <w:rPr>
          <w:rFonts w:hint="eastAsia" w:eastAsia="宋体" w:cs="宋体"/>
        </w:rPr>
        <w:t>（</w:t>
      </w:r>
      <w:r>
        <w:rPr>
          <w:rFonts w:hint="eastAsia" w:eastAsia="宋体" w:cs="宋体"/>
          <w:lang w:val="en-US"/>
        </w:rPr>
        <w:t>4</w:t>
      </w:r>
      <w:r>
        <w:rPr>
          <w:rFonts w:hint="eastAsia" w:eastAsia="宋体" w:cs="宋体"/>
        </w:rPr>
        <w:t>）4自中标通知书发出之日起30日内，中标人无正当理由不签订合同的；</w:t>
      </w:r>
    </w:p>
    <w:p>
      <w:pPr>
        <w:pStyle w:val="229"/>
        <w:ind w:firstLine="480"/>
        <w:rPr>
          <w:rFonts w:hint="eastAsia" w:eastAsia="宋体" w:cs="宋体"/>
        </w:rPr>
      </w:pPr>
      <w:r>
        <w:rPr>
          <w:rFonts w:hint="eastAsia" w:eastAsia="宋体" w:cs="宋体"/>
        </w:rPr>
        <w:t>（</w:t>
      </w:r>
      <w:r>
        <w:rPr>
          <w:rFonts w:hint="eastAsia" w:eastAsia="宋体" w:cs="宋体"/>
          <w:lang w:val="en-US"/>
        </w:rPr>
        <w:t>5</w:t>
      </w:r>
      <w:r>
        <w:rPr>
          <w:rFonts w:hint="eastAsia" w:eastAsia="宋体" w:cs="宋体"/>
        </w:rPr>
        <w:t>）投标人在投标过程中被查实有串标、围标、陪标等违规违纪行为的；</w:t>
      </w:r>
    </w:p>
    <w:p>
      <w:pPr>
        <w:pStyle w:val="229"/>
        <w:ind w:firstLine="480"/>
        <w:rPr>
          <w:rFonts w:hint="eastAsia" w:eastAsia="宋体" w:cs="宋体"/>
        </w:rPr>
      </w:pPr>
      <w:r>
        <w:rPr>
          <w:rFonts w:hint="eastAsia" w:eastAsia="宋体" w:cs="宋体"/>
        </w:rPr>
        <w:t>（</w:t>
      </w:r>
      <w:r>
        <w:rPr>
          <w:rFonts w:hint="eastAsia" w:eastAsia="宋体" w:cs="宋体"/>
          <w:lang w:val="en-US"/>
        </w:rPr>
        <w:t>6</w:t>
      </w:r>
      <w:r>
        <w:rPr>
          <w:rFonts w:hint="eastAsia" w:eastAsia="宋体" w:cs="宋体"/>
        </w:rPr>
        <w:t>）投标人有违约违规行为或被投诉、举报的，在调查处理期间，保证金暂不退还，待调查处理结束后按有关规定处理。</w:t>
      </w:r>
    </w:p>
    <w:p>
      <w:pPr>
        <w:pStyle w:val="229"/>
        <w:ind w:firstLine="480"/>
        <w:rPr>
          <w:rFonts w:hint="eastAsia" w:eastAsia="宋体" w:cs="宋体"/>
        </w:rPr>
      </w:pPr>
      <w:r>
        <w:rPr>
          <w:rFonts w:hint="eastAsia" w:eastAsia="宋体" w:cs="宋体"/>
          <w:lang w:val="en-US"/>
        </w:rPr>
        <w:t>（7）</w:t>
      </w:r>
      <w:r>
        <w:rPr>
          <w:rFonts w:hint="eastAsia" w:eastAsia="宋体" w:cs="宋体"/>
        </w:rPr>
        <w:t>供应商与采购人、其他供应商或者采购代理机构恶意串通、围标、陪标的；</w:t>
      </w:r>
    </w:p>
    <w:p>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（8）供应商有违约违规行为或被投诉、举报的，在调查处理期间，保证金暂不退还，待调查处理结束后按有关规定处理；</w:t>
      </w:r>
    </w:p>
    <w:p>
      <w:pPr>
        <w:spacing w:line="360" w:lineRule="auto"/>
        <w:ind w:right="2" w:firstLine="480" w:firstLineChars="200"/>
        <w:rPr>
          <w:rFonts w:hint="eastAsia" w:ascii="宋体" w:hAnsi="宋体" w:cs="宋体"/>
          <w:sz w:val="24"/>
          <w:szCs w:val="24"/>
        </w:rPr>
      </w:pPr>
      <w:r>
        <w:rPr>
          <w:rFonts w:hint="eastAsia" w:ascii="宋体" w:hAnsi="宋体" w:cs="宋体"/>
          <w:color w:val="000000"/>
          <w:sz w:val="24"/>
          <w:szCs w:val="24"/>
        </w:rPr>
        <w:t>（9）采购文件规定的其他情形。</w:t>
      </w:r>
    </w:p>
    <w:p>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十一、中标</w:t>
      </w:r>
    </w:p>
    <w:p>
      <w:pPr>
        <w:pStyle w:val="151"/>
        <w:numPr>
          <w:ilvl w:val="0"/>
          <w:numId w:val="7"/>
        </w:numPr>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评标定标后，招标人将以书面通知的形式通知中标单位。</w:t>
      </w:r>
    </w:p>
    <w:p>
      <w:pPr>
        <w:pStyle w:val="151"/>
        <w:numPr>
          <w:ilvl w:val="0"/>
          <w:numId w:val="7"/>
        </w:numPr>
        <w:adjustRightInd w:val="0"/>
        <w:snapToGrid w:val="0"/>
        <w:spacing w:line="360" w:lineRule="auto"/>
        <w:ind w:left="420" w:firstLineChars="0"/>
        <w:jc w:val="left"/>
      </w:pPr>
      <w:r>
        <w:rPr>
          <w:rFonts w:hint="eastAsia" w:asciiTheme="minorEastAsia" w:hAnsiTheme="minorEastAsia" w:eastAsiaTheme="minorEastAsia" w:cstheme="minorEastAsia"/>
          <w:sz w:val="24"/>
          <w:szCs w:val="24"/>
        </w:rPr>
        <w:t>中标人收到中标通知后，应在30个工作日内与招标人签订合同，中标人无正当理由不与招标人订立合同，或在签订合同时向招标人提出附加条件，取消其中标资格。</w:t>
      </w:r>
    </w:p>
    <w:p>
      <w:pPr>
        <w:pStyle w:val="151"/>
        <w:numPr>
          <w:ilvl w:val="0"/>
          <w:numId w:val="7"/>
        </w:numPr>
        <w:adjustRightInd w:val="0"/>
        <w:snapToGrid w:val="0"/>
        <w:spacing w:line="360" w:lineRule="auto"/>
        <w:ind w:left="420" w:firstLineChars="0"/>
        <w:jc w:val="left"/>
        <w:rPr>
          <w:rFonts w:hint="eastAsia" w:asciiTheme="minorEastAsia" w:hAnsiTheme="minorEastAsia" w:eastAsiaTheme="minorEastAsia" w:cstheme="minorEastAsia"/>
          <w:b/>
          <w:sz w:val="24"/>
          <w:szCs w:val="24"/>
        </w:rPr>
      </w:pPr>
      <w:r>
        <w:rPr>
          <w:rFonts w:hint="eastAsia"/>
          <w:b/>
          <w:color w:val="FF0000"/>
        </w:rPr>
        <w:t>若投标人已成为意向中标人，投标人必须无条件配合招标人完成核价流程的工作。</w:t>
      </w:r>
    </w:p>
    <w:p>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十二、中标人瑕疵滞后发现的处理原则</w:t>
      </w:r>
    </w:p>
    <w:p>
      <w:pPr>
        <w:snapToGrid w:val="0"/>
        <w:spacing w:line="360" w:lineRule="auto"/>
        <w:ind w:firstLine="482" w:firstLineChars="20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pPr>
        <w:keepNext/>
        <w:keepLines/>
        <w:spacing w:line="360" w:lineRule="auto"/>
        <w:outlineLvl w:val="1"/>
        <w:rPr>
          <w:rFonts w:hint="eastAsia" w:ascii="宋体" w:hAnsi="宋体" w:cs="宋体"/>
          <w:b/>
          <w:bCs/>
          <w:sz w:val="24"/>
          <w:szCs w:val="24"/>
        </w:rPr>
      </w:pPr>
      <w:r>
        <w:rPr>
          <w:rFonts w:hint="eastAsia" w:asciiTheme="minorEastAsia" w:hAnsiTheme="minorEastAsia" w:eastAsiaTheme="minorEastAsia" w:cstheme="minorEastAsia"/>
          <w:b/>
          <w:sz w:val="24"/>
          <w:szCs w:val="24"/>
          <w:u w:val="single"/>
        </w:rPr>
        <w:t>十三、</w:t>
      </w:r>
      <w:r>
        <w:rPr>
          <w:rFonts w:hint="eastAsia" w:ascii="宋体" w:hAnsi="宋体" w:cs="宋体"/>
          <w:b/>
          <w:bCs/>
          <w:sz w:val="24"/>
          <w:szCs w:val="24"/>
        </w:rPr>
        <w:t>废标及终止招标</w:t>
      </w:r>
    </w:p>
    <w:p>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hint="eastAsia" w:ascii="宋体" w:hAnsi="宋体" w:cs="宋体"/>
          <w:color w:val="000000"/>
          <w:sz w:val="24"/>
          <w:szCs w:val="24"/>
        </w:rPr>
      </w:pPr>
      <w:r>
        <w:rPr>
          <w:rFonts w:hint="eastAsia" w:ascii="宋体" w:hAnsi="宋体" w:cs="宋体"/>
          <w:color w:val="000000"/>
          <w:sz w:val="24"/>
          <w:szCs w:val="24"/>
        </w:rPr>
        <w:t xml:space="preserve">    （1）投标人提供的有关资格、资质证明文件不合格、不真实或提供虚假投标材料；</w:t>
      </w:r>
    </w:p>
    <w:p>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（2）投标人在报价有效期内撤回投标；</w:t>
      </w:r>
    </w:p>
    <w:p>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（3）在整个评标过程中，投标人有企图影响评标结果公正性的任何活动；</w:t>
      </w:r>
    </w:p>
    <w:p>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（4）投标人以任何方式诋毁其他投标人；</w:t>
      </w:r>
    </w:p>
    <w:p>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（5）投标人串通投标；</w:t>
      </w:r>
    </w:p>
    <w:p>
      <w:pPr>
        <w:pStyle w:val="2"/>
        <w:rPr>
          <w:rFonts w:hint="eastAsia" w:hAnsi="宋体" w:eastAsia="宋体" w:cs="宋体"/>
          <w:szCs w:val="24"/>
        </w:rPr>
      </w:pPr>
      <w:r>
        <w:rPr>
          <w:rFonts w:hint="eastAsia" w:hAnsi="宋体" w:eastAsia="宋体" w:cs="宋体"/>
          <w:color w:val="000000"/>
          <w:szCs w:val="24"/>
        </w:rPr>
        <w:t xml:space="preserve">    （6）投标人被举报、检举，并经招标人查实无误的；</w:t>
      </w:r>
    </w:p>
    <w:p>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（7）以他人名义投标或者以其他方式弄虚作假，骗取中标的；</w:t>
      </w:r>
    </w:p>
    <w:p>
      <w:pPr>
        <w:spacing w:line="360" w:lineRule="auto"/>
        <w:ind w:right="2" w:firstLine="480" w:firstLineChars="200"/>
        <w:rPr>
          <w:rFonts w:hint="eastAsia" w:ascii="宋体" w:hAnsi="宋体" w:cs="宋体"/>
          <w:sz w:val="24"/>
          <w:szCs w:val="24"/>
        </w:rPr>
      </w:pPr>
      <w:r>
        <w:rPr>
          <w:rFonts w:hint="eastAsia" w:ascii="宋体" w:hAnsi="宋体" w:cs="宋体"/>
          <w:sz w:val="24"/>
          <w:szCs w:val="24"/>
        </w:rPr>
        <w:t>（8）投标人负责人为同一人或者存在控股、管理关系的不同单位；</w:t>
      </w:r>
    </w:p>
    <w:p>
      <w:pPr>
        <w:spacing w:line="360" w:lineRule="auto"/>
        <w:ind w:right="2" w:firstLine="480" w:firstLineChars="200"/>
        <w:rPr>
          <w:rFonts w:hint="eastAsia" w:ascii="宋体" w:hAnsi="宋体" w:cs="宋体"/>
          <w:sz w:val="24"/>
          <w:szCs w:val="24"/>
        </w:rPr>
      </w:pPr>
      <w:r>
        <w:rPr>
          <w:rFonts w:hint="eastAsia" w:ascii="宋体" w:hAnsi="宋体" w:cs="宋体"/>
          <w:sz w:val="24"/>
          <w:szCs w:val="24"/>
        </w:rPr>
        <w:t>（9）有效投标不足三家；</w:t>
      </w:r>
    </w:p>
    <w:p>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（10）未按要求填报商务报价资料，对招标开展造成较大影响；</w:t>
      </w:r>
    </w:p>
    <w:p>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（1</w:t>
      </w:r>
      <w:r>
        <w:rPr>
          <w:rFonts w:hint="eastAsia" w:ascii="宋体" w:hAnsi="宋体" w:cs="宋体"/>
          <w:sz w:val="24"/>
          <w:szCs w:val="24"/>
        </w:rPr>
        <w:t>1）未按照招标人规定的时间内在中国重汽e采通完成投标的；</w:t>
      </w:r>
    </w:p>
    <w:p>
      <w:pPr>
        <w:pStyle w:val="2"/>
        <w:ind w:firstLine="480" w:firstLineChars="200"/>
        <w:rPr>
          <w:rFonts w:hint="eastAsia" w:hAnsi="宋体" w:eastAsia="宋体" w:cs="宋体"/>
          <w:color w:val="000000"/>
          <w:szCs w:val="24"/>
        </w:rPr>
      </w:pPr>
      <w:r>
        <w:rPr>
          <w:rFonts w:hint="eastAsia" w:hAnsi="宋体" w:eastAsia="宋体" w:cs="宋体"/>
          <w:color w:val="000000"/>
          <w:szCs w:val="24"/>
        </w:rPr>
        <w:t>（12）不同投标人的投标文件异常一致；</w:t>
      </w:r>
    </w:p>
    <w:p>
      <w:pPr>
        <w:pStyle w:val="2"/>
        <w:ind w:firstLine="480" w:firstLineChars="200"/>
        <w:rPr>
          <w:rFonts w:hint="eastAsia" w:hAnsi="宋体" w:eastAsia="宋体" w:cs="宋体"/>
          <w:color w:val="000000"/>
          <w:szCs w:val="24"/>
        </w:rPr>
      </w:pPr>
      <w:r>
        <w:rPr>
          <w:rFonts w:hint="eastAsia" w:hAnsi="宋体" w:eastAsia="宋体" w:cs="宋体"/>
          <w:color w:val="000000"/>
          <w:szCs w:val="24"/>
        </w:rPr>
        <w:t>（13）投标报价呈规律性差异的；</w:t>
      </w:r>
    </w:p>
    <w:p>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（1</w:t>
      </w:r>
      <w:r>
        <w:rPr>
          <w:rFonts w:hint="eastAsia" w:hAnsi="宋体" w:cs="宋体"/>
          <w:color w:val="000000"/>
          <w:sz w:val="24"/>
          <w:szCs w:val="24"/>
        </w:rPr>
        <w:t>4</w:t>
      </w:r>
      <w:r>
        <w:rPr>
          <w:rFonts w:hint="eastAsia" w:ascii="宋体" w:hAnsi="宋体" w:cs="宋体"/>
          <w:color w:val="000000"/>
          <w:sz w:val="24"/>
          <w:szCs w:val="24"/>
        </w:rPr>
        <w:t>）法律、法规规定的其他情况。</w:t>
      </w:r>
    </w:p>
    <w:p>
      <w:pPr>
        <w:spacing w:line="360" w:lineRule="auto"/>
        <w:ind w:right="2" w:firstLine="480" w:firstLineChars="200"/>
        <w:rPr>
          <w:rFonts w:hint="eastAsia" w:ascii="宋体" w:hAnsi="宋体" w:cs="宋体"/>
          <w:sz w:val="24"/>
          <w:szCs w:val="24"/>
        </w:rPr>
      </w:pPr>
      <w:r>
        <w:rPr>
          <w:rFonts w:hint="eastAsia" w:ascii="宋体" w:hAnsi="宋体" w:cs="宋体"/>
          <w:sz w:val="24"/>
          <w:szCs w:val="24"/>
        </w:rPr>
        <w:t>2.出现下列情形之一，招标人有权否决所有投标人的投标，并终止招标。</w:t>
      </w:r>
    </w:p>
    <w:p>
      <w:pPr>
        <w:spacing w:line="360" w:lineRule="auto"/>
        <w:ind w:right="2" w:firstLine="480" w:firstLineChars="200"/>
        <w:rPr>
          <w:rFonts w:hint="eastAsia" w:ascii="宋体" w:hAnsi="宋体" w:cs="宋体"/>
          <w:b/>
          <w:sz w:val="24"/>
          <w:szCs w:val="24"/>
        </w:rPr>
      </w:pPr>
      <w:r>
        <w:rPr>
          <w:rFonts w:hint="eastAsia" w:ascii="宋体" w:hAnsi="宋体" w:cs="宋体"/>
          <w:sz w:val="24"/>
          <w:szCs w:val="24"/>
        </w:rPr>
        <w:t>（1）符合条件的投标人或者对招标文件做实质响应的投标人不足三家的；</w:t>
      </w:r>
    </w:p>
    <w:p>
      <w:pPr>
        <w:spacing w:line="360" w:lineRule="auto"/>
        <w:ind w:right="2" w:firstLine="480" w:firstLineChars="200"/>
        <w:rPr>
          <w:rFonts w:hint="eastAsia" w:ascii="宋体" w:hAnsi="宋体" w:cs="宋体"/>
          <w:sz w:val="24"/>
          <w:szCs w:val="24"/>
        </w:rPr>
      </w:pPr>
      <w:r>
        <w:rPr>
          <w:rFonts w:hint="eastAsia" w:ascii="宋体" w:hAnsi="宋体" w:cs="宋体"/>
          <w:sz w:val="24"/>
          <w:szCs w:val="24"/>
        </w:rPr>
        <w:t>（2）出现影响采购公正的违法、违规行为的；</w:t>
      </w:r>
    </w:p>
    <w:p>
      <w:pPr>
        <w:spacing w:line="360" w:lineRule="auto"/>
        <w:ind w:right="2" w:firstLine="480" w:firstLineChars="200"/>
        <w:rPr>
          <w:rFonts w:hint="eastAsia" w:ascii="宋体" w:hAnsi="宋体" w:cs="宋体"/>
          <w:bCs/>
          <w:sz w:val="24"/>
          <w:szCs w:val="24"/>
        </w:rPr>
      </w:pPr>
      <w:r>
        <w:rPr>
          <w:rFonts w:hint="eastAsia" w:ascii="宋体" w:hAnsi="宋体" w:cs="宋体"/>
          <w:bCs/>
          <w:sz w:val="24"/>
          <w:szCs w:val="24"/>
        </w:rPr>
        <w:t>（3）评标委员会经评审，认为所有投标都不符合招标文件要求的；</w:t>
      </w:r>
    </w:p>
    <w:p>
      <w:pPr>
        <w:spacing w:line="360" w:lineRule="auto"/>
        <w:ind w:right="2" w:firstLine="480" w:firstLineChars="200"/>
        <w:rPr>
          <w:rFonts w:hint="eastAsia" w:ascii="宋体" w:hAnsi="宋体" w:cs="宋体"/>
          <w:bCs/>
          <w:sz w:val="24"/>
          <w:szCs w:val="24"/>
        </w:rPr>
      </w:pPr>
      <w:r>
        <w:rPr>
          <w:rFonts w:hint="eastAsia" w:ascii="宋体" w:hAnsi="宋体" w:cs="宋体"/>
          <w:bCs/>
          <w:sz w:val="24"/>
          <w:szCs w:val="24"/>
        </w:rPr>
        <w:t>（4）因重大变故，采购任务取消的</w:t>
      </w:r>
      <w:bookmarkStart w:id="10" w:name="OLE_LINK29"/>
      <w:bookmarkStart w:id="11" w:name="OLE_LINK26"/>
      <w:bookmarkStart w:id="12" w:name="OLE_LINK25"/>
      <w:bookmarkStart w:id="13" w:name="OLE_LINK27"/>
      <w:bookmarkStart w:id="14" w:name="OLE_LINK28"/>
      <w:r>
        <w:rPr>
          <w:rFonts w:hint="eastAsia" w:ascii="宋体" w:hAnsi="宋体" w:cs="宋体"/>
          <w:bCs/>
          <w:sz w:val="24"/>
          <w:szCs w:val="24"/>
        </w:rPr>
        <w:t>；</w:t>
      </w:r>
      <w:bookmarkEnd w:id="10"/>
      <w:bookmarkEnd w:id="11"/>
      <w:bookmarkEnd w:id="12"/>
      <w:bookmarkEnd w:id="13"/>
      <w:bookmarkEnd w:id="14"/>
    </w:p>
    <w:p>
      <w:pPr>
        <w:spacing w:line="360" w:lineRule="auto"/>
        <w:ind w:right="2" w:firstLine="480" w:firstLineChars="200"/>
        <w:rPr>
          <w:rFonts w:hint="eastAsia" w:ascii="宋体" w:hAnsi="宋体" w:cs="宋体"/>
          <w:bCs/>
          <w:sz w:val="24"/>
          <w:szCs w:val="24"/>
        </w:rPr>
      </w:pPr>
      <w:r>
        <w:rPr>
          <w:rFonts w:hint="eastAsia" w:ascii="宋体" w:hAnsi="宋体" w:cs="宋体"/>
          <w:bCs/>
          <w:sz w:val="24"/>
          <w:szCs w:val="24"/>
        </w:rPr>
        <w:t>（5）投标人承诺同意由于招标人公司政策变化引起的随时终止项目的要求并承担由此带来的一切损失；</w:t>
      </w:r>
    </w:p>
    <w:p>
      <w:pPr>
        <w:pStyle w:val="2"/>
        <w:ind w:firstLine="480" w:firstLineChars="200"/>
        <w:rPr>
          <w:rFonts w:hint="eastAsia" w:hAnsi="宋体" w:eastAsia="宋体" w:cs="宋体"/>
          <w:bCs/>
          <w:szCs w:val="24"/>
        </w:rPr>
      </w:pPr>
      <w:r>
        <w:rPr>
          <w:rFonts w:hint="eastAsia" w:hAnsi="宋体" w:eastAsia="宋体" w:cs="宋体"/>
          <w:bCs/>
          <w:szCs w:val="24"/>
        </w:rPr>
        <w:t>（6）招标人认为其他应终止招标的情形。</w:t>
      </w:r>
    </w:p>
    <w:p>
      <w:pPr>
        <w:snapToGrid w:val="0"/>
        <w:spacing w:line="360" w:lineRule="auto"/>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十四、本次招标最终解释权归中国重型汽车集团有限公司。</w:t>
      </w:r>
    </w:p>
    <w:p>
      <w:pPr>
        <w:pStyle w:val="234"/>
        <w:numPr>
          <w:ilvl w:val="0"/>
          <w:numId w:val="0"/>
        </w:numPr>
        <w:overflowPunct/>
        <w:ind w:firstLine="422" w:firstLineChars="200"/>
        <w:rPr>
          <w:rFonts w:hint="eastAsia" w:ascii="宋体" w:hAnsi="宋体" w:eastAsia="宋体" w:cs="宋体"/>
          <w:sz w:val="21"/>
          <w:szCs w:val="21"/>
          <w:lang w:val="en-US"/>
        </w:rPr>
      </w:pPr>
      <w:r>
        <w:rPr>
          <w:rFonts w:ascii="宋体" w:hAnsi="宋体" w:eastAsia="宋体" w:cs="宋体"/>
          <w:sz w:val="21"/>
          <w:szCs w:val="21"/>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1"/>
          <w:szCs w:val="21"/>
        </w:rPr>
        <w:t>。</w:t>
      </w:r>
    </w:p>
    <w:p>
      <w:pPr>
        <w:rPr>
          <w:rFonts w:hint="eastAsia" w:ascii="宋体" w:hAnsi="宋体" w:cs="宋体"/>
          <w:b/>
          <w:sz w:val="44"/>
          <w:szCs w:val="36"/>
        </w:rPr>
      </w:pPr>
      <w:r>
        <w:rPr>
          <w:rFonts w:hint="eastAsia" w:ascii="宋体" w:hAnsi="宋体" w:cs="宋体"/>
          <w:b/>
          <w:sz w:val="44"/>
          <w:szCs w:val="36"/>
        </w:rPr>
        <w:br w:type="page"/>
      </w:r>
    </w:p>
    <w:p>
      <w:pPr>
        <w:autoSpaceDE w:val="0"/>
        <w:autoSpaceDN w:val="0"/>
        <w:adjustRightInd w:val="0"/>
        <w:snapToGrid w:val="0"/>
        <w:spacing w:line="360" w:lineRule="auto"/>
        <w:jc w:val="center"/>
        <w:rPr>
          <w:rFonts w:hint="eastAsia" w:ascii="宋体" w:hAnsi="宋体" w:cs="宋体"/>
          <w:b/>
          <w:bCs/>
          <w:color w:val="000000"/>
          <w:sz w:val="44"/>
          <w:szCs w:val="44"/>
          <w:lang w:bidi="zh-CN"/>
        </w:rPr>
      </w:pPr>
      <w:r>
        <w:rPr>
          <w:rFonts w:hint="eastAsia" w:ascii="宋体" w:hAnsi="宋体" w:cs="宋体"/>
          <w:b/>
          <w:sz w:val="44"/>
          <w:szCs w:val="36"/>
        </w:rPr>
        <w:t xml:space="preserve">第二部分 </w:t>
      </w:r>
      <w:r>
        <w:rPr>
          <w:rFonts w:hint="eastAsia" w:ascii="宋体" w:hAnsi="宋体" w:cs="宋体"/>
          <w:b/>
          <w:bCs/>
          <w:color w:val="000000"/>
          <w:sz w:val="44"/>
          <w:szCs w:val="44"/>
          <w:lang w:bidi="zh-CN"/>
        </w:rPr>
        <w:t>技术要求</w:t>
      </w:r>
    </w:p>
    <w:p>
      <w:pPr>
        <w:pStyle w:val="3"/>
        <w:adjustRightInd w:val="0"/>
        <w:snapToGrid w:val="0"/>
        <w:spacing w:before="0" w:after="0" w:line="540" w:lineRule="exact"/>
        <w:jc w:val="center"/>
        <w:rPr>
          <w:rFonts w:hint="eastAsia" w:ascii="仿宋" w:hAnsi="仿宋" w:eastAsia="仿宋"/>
          <w:sz w:val="40"/>
        </w:rPr>
      </w:pPr>
      <w:r>
        <w:rPr>
          <w:rFonts w:hint="eastAsia" w:ascii="黑体" w:eastAsia="黑体"/>
          <w:bCs/>
          <w:sz w:val="36"/>
          <w:szCs w:val="36"/>
        </w:rPr>
        <w:t xml:space="preserve"> </w:t>
      </w:r>
      <w:r>
        <w:rPr>
          <w:rFonts w:hint="eastAsia" w:ascii="仿宋" w:hAnsi="仿宋" w:eastAsia="仿宋"/>
          <w:sz w:val="40"/>
        </w:rPr>
        <w:t>招标文件技术要求</w:t>
      </w:r>
    </w:p>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一、项目名称</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项目名称：中国重汽集团大同齿轮有限公司在线监测设备运维项目</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二、招标内容</w:t>
      </w:r>
    </w:p>
    <w:p>
      <w:pPr>
        <w:pStyle w:val="2"/>
        <w:rPr>
          <w:rFonts w:hint="eastAsia" w:hAnsi="宋体" w:eastAsia="宋体" w:cs="宋体"/>
          <w:szCs w:val="24"/>
          <w:lang w:val="en-US"/>
        </w:rPr>
      </w:pPr>
      <w:r>
        <w:rPr>
          <w:rFonts w:hint="eastAsia" w:hAnsi="宋体" w:eastAsia="宋体" w:cs="宋体"/>
          <w:szCs w:val="24"/>
          <w:lang w:val="en-US"/>
        </w:rPr>
        <w:t>1、VOC</w:t>
      </w:r>
      <w:r>
        <w:rPr>
          <w:rFonts w:hint="eastAsia" w:hAnsi="宋体" w:eastAsia="宋体" w:cs="宋体"/>
          <w:szCs w:val="24"/>
        </w:rPr>
        <w:t>在线监测设备运维</w:t>
      </w:r>
    </w:p>
    <w:tbl>
      <w:tblPr>
        <w:tblStyle w:val="48"/>
        <w:tblW w:w="10525"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5" w:type="dxa"/>
          <w:left w:w="15" w:type="dxa"/>
          <w:bottom w:w="15" w:type="dxa"/>
          <w:right w:w="15" w:type="dxa"/>
        </w:tblCellMar>
      </w:tblPr>
      <w:tblGrid>
        <w:gridCol w:w="1530"/>
        <w:gridCol w:w="1200"/>
        <w:gridCol w:w="2436"/>
        <w:gridCol w:w="1545"/>
        <w:gridCol w:w="1350"/>
        <w:gridCol w:w="1485"/>
        <w:gridCol w:w="979"/>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5" w:type="dxa"/>
            <w:left w:w="15" w:type="dxa"/>
            <w:bottom w:w="15" w:type="dxa"/>
            <w:right w:w="15" w:type="dxa"/>
          </w:tblCellMar>
        </w:tblPrEx>
        <w:trPr>
          <w:trHeight w:val="510" w:hRule="atLeast"/>
          <w:jc w:val="center"/>
        </w:trPr>
        <w:tc>
          <w:tcPr>
            <w:tcW w:w="1530" w:type="dxa"/>
            <w:vAlign w:val="center"/>
          </w:tcPr>
          <w:p>
            <w:pPr>
              <w:widowControl/>
              <w:jc w:val="center"/>
              <w:textAlignment w:val="center"/>
              <w:rPr>
                <w:rFonts w:hint="eastAsia" w:ascii="宋体" w:hAnsi="宋体" w:cs="宋体"/>
                <w:b/>
                <w:bCs/>
                <w:color w:val="000000"/>
                <w:sz w:val="24"/>
              </w:rPr>
            </w:pPr>
            <w:r>
              <w:rPr>
                <w:rFonts w:hint="eastAsia" w:ascii="宋体" w:hAnsi="宋体" w:cs="宋体"/>
                <w:b/>
                <w:bCs/>
                <w:color w:val="000000"/>
                <w:kern w:val="0"/>
                <w:sz w:val="24"/>
                <w:lang w:bidi="ar"/>
              </w:rPr>
              <w:t>项目名称</w:t>
            </w:r>
          </w:p>
        </w:tc>
        <w:tc>
          <w:tcPr>
            <w:tcW w:w="1200" w:type="dxa"/>
            <w:vAlign w:val="center"/>
          </w:tcPr>
          <w:p>
            <w:pPr>
              <w:widowControl/>
              <w:jc w:val="center"/>
              <w:textAlignment w:val="center"/>
              <w:rPr>
                <w:rFonts w:hint="eastAsia" w:ascii="宋体" w:hAnsi="宋体" w:cs="宋体"/>
                <w:b/>
                <w:bCs/>
                <w:color w:val="000000"/>
                <w:sz w:val="24"/>
              </w:rPr>
            </w:pPr>
            <w:r>
              <w:rPr>
                <w:rFonts w:hint="eastAsia" w:ascii="宋体" w:hAnsi="宋体" w:cs="宋体"/>
                <w:b/>
                <w:bCs/>
                <w:color w:val="000000"/>
                <w:kern w:val="0"/>
                <w:sz w:val="24"/>
                <w:lang w:bidi="ar"/>
              </w:rPr>
              <w:t>类别</w:t>
            </w:r>
          </w:p>
        </w:tc>
        <w:tc>
          <w:tcPr>
            <w:tcW w:w="2436" w:type="dxa"/>
            <w:vAlign w:val="center"/>
          </w:tcPr>
          <w:p>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设备名称</w:t>
            </w:r>
          </w:p>
        </w:tc>
        <w:tc>
          <w:tcPr>
            <w:tcW w:w="1545" w:type="dxa"/>
            <w:vAlign w:val="center"/>
          </w:tcPr>
          <w:p>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监测因子</w:t>
            </w:r>
          </w:p>
        </w:tc>
        <w:tc>
          <w:tcPr>
            <w:tcW w:w="1350" w:type="dxa"/>
            <w:vAlign w:val="center"/>
          </w:tcPr>
          <w:p>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生产厂商</w:t>
            </w:r>
          </w:p>
        </w:tc>
        <w:tc>
          <w:tcPr>
            <w:tcW w:w="1485" w:type="dxa"/>
            <w:vAlign w:val="center"/>
          </w:tcPr>
          <w:p>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型号</w:t>
            </w:r>
          </w:p>
        </w:tc>
        <w:tc>
          <w:tcPr>
            <w:tcW w:w="979" w:type="dxa"/>
            <w:vAlign w:val="center"/>
          </w:tcPr>
          <w:p>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5" w:type="dxa"/>
            <w:left w:w="15" w:type="dxa"/>
            <w:bottom w:w="15" w:type="dxa"/>
            <w:right w:w="15" w:type="dxa"/>
          </w:tblCellMar>
        </w:tblPrEx>
        <w:trPr>
          <w:trHeight w:val="632" w:hRule="atLeast"/>
          <w:jc w:val="center"/>
        </w:trPr>
        <w:tc>
          <w:tcPr>
            <w:tcW w:w="1530" w:type="dxa"/>
            <w:vMerge w:val="restart"/>
            <w:vAlign w:val="center"/>
          </w:tcPr>
          <w:p>
            <w:pPr>
              <w:widowControl/>
              <w:jc w:val="center"/>
              <w:textAlignment w:val="center"/>
              <w:rPr>
                <w:rFonts w:hint="eastAsia" w:ascii="宋体" w:hAnsi="宋体" w:cs="宋体"/>
                <w:b/>
                <w:bCs/>
                <w:color w:val="000000"/>
                <w:kern w:val="0"/>
                <w:sz w:val="24"/>
                <w:lang w:bidi="ar"/>
              </w:rPr>
            </w:pPr>
            <w:r>
              <w:rPr>
                <w:rFonts w:hint="eastAsia" w:ascii="宋体" w:hAnsi="宋体" w:cs="宋体"/>
                <w:color w:val="000000"/>
                <w:kern w:val="0"/>
                <w:sz w:val="24"/>
                <w:lang w:bidi="ar"/>
              </w:rPr>
              <w:t>VOC在线监测系统设备运维技术服务</w:t>
            </w:r>
          </w:p>
        </w:tc>
        <w:tc>
          <w:tcPr>
            <w:tcW w:w="1200" w:type="dxa"/>
            <w:vMerge w:val="restart"/>
            <w:vAlign w:val="center"/>
          </w:tcPr>
          <w:p>
            <w:pPr>
              <w:widowControl/>
              <w:jc w:val="center"/>
              <w:textAlignment w:val="center"/>
              <w:rPr>
                <w:rFonts w:hint="eastAsia" w:ascii="宋体" w:hAnsi="宋体" w:cs="宋体"/>
                <w:b/>
                <w:bCs/>
                <w:color w:val="000000"/>
                <w:kern w:val="0"/>
                <w:sz w:val="24"/>
                <w:lang w:bidi="ar"/>
              </w:rPr>
            </w:pPr>
            <w:r>
              <w:rPr>
                <w:rFonts w:hint="eastAsia" w:ascii="宋体" w:hAnsi="宋体" w:cs="宋体"/>
                <w:color w:val="000000"/>
                <w:kern w:val="0"/>
                <w:sz w:val="24"/>
                <w:lang w:bidi="ar"/>
              </w:rPr>
              <w:t>挥发性有机物在线监测系统</w:t>
            </w:r>
          </w:p>
        </w:tc>
        <w:tc>
          <w:tcPr>
            <w:tcW w:w="2436" w:type="dxa"/>
            <w:vAlign w:val="center"/>
          </w:tcPr>
          <w:p>
            <w:pPr>
              <w:pStyle w:val="151"/>
              <w:spacing w:line="280" w:lineRule="exact"/>
              <w:ind w:firstLine="0" w:firstLineChars="0"/>
              <w:jc w:val="center"/>
              <w:rPr>
                <w:rFonts w:hint="eastAsia" w:ascii="宋体" w:hAnsi="宋体" w:cs="宋体"/>
                <w:color w:val="000000"/>
                <w:kern w:val="0"/>
                <w:sz w:val="24"/>
                <w:lang w:bidi="ar"/>
              </w:rPr>
            </w:pPr>
            <w:r>
              <w:rPr>
                <w:rFonts w:hint="eastAsia" w:ascii="宋体" w:hAnsi="宋体" w:cs="宋体"/>
                <w:color w:val="000000"/>
                <w:kern w:val="0"/>
                <w:sz w:val="24"/>
                <w:lang w:bidi="ar"/>
              </w:rPr>
              <w:t>挥发性有机物VOCs在线监测系统</w:t>
            </w:r>
          </w:p>
        </w:tc>
        <w:tc>
          <w:tcPr>
            <w:tcW w:w="1545" w:type="dxa"/>
            <w:vAlign w:val="center"/>
          </w:tcPr>
          <w:p>
            <w:pPr>
              <w:adjustRightInd w:val="0"/>
              <w:snapToGrid w:val="0"/>
              <w:spacing w:line="276" w:lineRule="auto"/>
              <w:jc w:val="center"/>
              <w:rPr>
                <w:rFonts w:hint="eastAsia" w:ascii="宋体" w:hAnsi="宋体" w:cs="宋体"/>
                <w:color w:val="000000"/>
                <w:kern w:val="0"/>
                <w:sz w:val="24"/>
                <w:lang w:bidi="ar"/>
              </w:rPr>
            </w:pPr>
            <w:r>
              <w:rPr>
                <w:rFonts w:hint="eastAsia" w:ascii="宋体" w:hAnsi="宋体" w:cs="宋体"/>
                <w:color w:val="000000"/>
                <w:kern w:val="0"/>
                <w:sz w:val="24"/>
                <w:lang w:bidi="ar"/>
              </w:rPr>
              <w:t>非甲烷总烃</w:t>
            </w:r>
          </w:p>
        </w:tc>
        <w:tc>
          <w:tcPr>
            <w:tcW w:w="1350" w:type="dxa"/>
            <w:vAlign w:val="center"/>
          </w:tcPr>
          <w:p>
            <w:pPr>
              <w:jc w:val="center"/>
              <w:rPr>
                <w:rFonts w:hint="eastAsia" w:ascii="宋体" w:hAnsi="宋体" w:cs="宋体"/>
                <w:color w:val="000000"/>
                <w:kern w:val="0"/>
                <w:sz w:val="24"/>
                <w:lang w:bidi="ar"/>
              </w:rPr>
            </w:pPr>
            <w:r>
              <w:rPr>
                <w:rFonts w:hint="eastAsia" w:ascii="宋体" w:hAnsi="宋体" w:cs="宋体"/>
                <w:color w:val="000000"/>
                <w:kern w:val="0"/>
                <w:sz w:val="24"/>
                <w:lang w:bidi="ar"/>
              </w:rPr>
              <w:t>万维盈创</w:t>
            </w:r>
          </w:p>
        </w:tc>
        <w:tc>
          <w:tcPr>
            <w:tcW w:w="1485" w:type="dxa"/>
            <w:vAlign w:val="center"/>
          </w:tcPr>
          <w:p>
            <w:pPr>
              <w:jc w:val="center"/>
              <w:rPr>
                <w:rFonts w:hint="eastAsia" w:ascii="宋体" w:hAnsi="宋体" w:cs="宋体"/>
                <w:color w:val="000000"/>
                <w:kern w:val="0"/>
                <w:sz w:val="24"/>
                <w:lang w:bidi="ar"/>
              </w:rPr>
            </w:pPr>
            <w:r>
              <w:rPr>
                <w:rFonts w:hint="eastAsia" w:ascii="宋体" w:hAnsi="宋体" w:cs="宋体"/>
                <w:color w:val="000000"/>
                <w:kern w:val="0"/>
                <w:sz w:val="24"/>
                <w:lang w:bidi="ar"/>
              </w:rPr>
              <w:t>SmartEM4000</w:t>
            </w:r>
          </w:p>
        </w:tc>
        <w:tc>
          <w:tcPr>
            <w:tcW w:w="979"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5" w:type="dxa"/>
            <w:left w:w="15" w:type="dxa"/>
            <w:bottom w:w="15" w:type="dxa"/>
            <w:right w:w="15" w:type="dxa"/>
          </w:tblCellMar>
        </w:tblPrEx>
        <w:trPr>
          <w:trHeight w:val="439" w:hRule="atLeast"/>
          <w:jc w:val="center"/>
        </w:trPr>
        <w:tc>
          <w:tcPr>
            <w:tcW w:w="153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120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2436"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数采仪</w:t>
            </w:r>
          </w:p>
        </w:tc>
        <w:tc>
          <w:tcPr>
            <w:tcW w:w="154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w:t>
            </w:r>
          </w:p>
        </w:tc>
        <w:tc>
          <w:tcPr>
            <w:tcW w:w="1350"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万维盈创</w:t>
            </w:r>
          </w:p>
        </w:tc>
        <w:tc>
          <w:tcPr>
            <w:tcW w:w="148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W5100HB-Ⅲ</w:t>
            </w:r>
          </w:p>
        </w:tc>
        <w:tc>
          <w:tcPr>
            <w:tcW w:w="979"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r>
    </w:tbl>
    <w:p>
      <w:pPr>
        <w:pStyle w:val="2"/>
        <w:rPr>
          <w:rFonts w:hint="eastAsia" w:hAnsi="宋体" w:eastAsia="宋体" w:cs="宋体"/>
          <w:szCs w:val="22"/>
          <w:lang w:val="en-US"/>
        </w:rPr>
      </w:pPr>
    </w:p>
    <w:tbl>
      <w:tblPr>
        <w:tblStyle w:val="48"/>
        <w:tblW w:w="9209" w:type="dxa"/>
        <w:jc w:val="center"/>
        <w:tblLayout w:type="fixed"/>
        <w:tblCellMar>
          <w:top w:w="0" w:type="dxa"/>
          <w:left w:w="108" w:type="dxa"/>
          <w:bottom w:w="0" w:type="dxa"/>
          <w:right w:w="108" w:type="dxa"/>
        </w:tblCellMar>
      </w:tblPr>
      <w:tblGrid>
        <w:gridCol w:w="1190"/>
        <w:gridCol w:w="1273"/>
        <w:gridCol w:w="2271"/>
        <w:gridCol w:w="1817"/>
        <w:gridCol w:w="2658"/>
      </w:tblGrid>
      <w:tr>
        <w:tblPrEx>
          <w:tblCellMar>
            <w:top w:w="0" w:type="dxa"/>
            <w:left w:w="108" w:type="dxa"/>
            <w:bottom w:w="0" w:type="dxa"/>
            <w:right w:w="108" w:type="dxa"/>
          </w:tblCellMar>
        </w:tblPrEx>
        <w:trPr>
          <w:trHeight w:val="293"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sz w:val="24"/>
              </w:rPr>
            </w:pPr>
            <w:r>
              <w:rPr>
                <w:rFonts w:hint="eastAsia" w:ascii="黑体" w:hAnsi="宋体" w:eastAsia="黑体" w:cs="黑体"/>
                <w:kern w:val="0"/>
                <w:sz w:val="24"/>
                <w:lang w:bidi="ar"/>
              </w:rPr>
              <w:t>序号</w:t>
            </w:r>
          </w:p>
        </w:tc>
        <w:tc>
          <w:tcPr>
            <w:tcW w:w="3544" w:type="dxa"/>
            <w:gridSpan w:val="2"/>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项目名称</w:t>
            </w:r>
          </w:p>
        </w:tc>
        <w:tc>
          <w:tcPr>
            <w:tcW w:w="181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计量单位</w:t>
            </w:r>
          </w:p>
        </w:tc>
        <w:tc>
          <w:tcPr>
            <w:tcW w:w="2658"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备注</w:t>
            </w:r>
          </w:p>
        </w:tc>
      </w:tr>
      <w:tr>
        <w:tblPrEx>
          <w:tblCellMar>
            <w:top w:w="0" w:type="dxa"/>
            <w:left w:w="108" w:type="dxa"/>
            <w:bottom w:w="0" w:type="dxa"/>
            <w:right w:w="108" w:type="dxa"/>
          </w:tblCellMar>
        </w:tblPrEx>
        <w:trPr>
          <w:trHeight w:val="255"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b/>
                <w:bCs/>
                <w:sz w:val="24"/>
              </w:rPr>
            </w:pPr>
            <w:r>
              <w:rPr>
                <w:rFonts w:hint="eastAsia" w:ascii="宋体" w:hAnsi="宋体" w:cs="宋体"/>
                <w:b/>
                <w:bCs/>
                <w:kern w:val="0"/>
                <w:sz w:val="24"/>
                <w:lang w:bidi="ar"/>
              </w:rPr>
              <w:t>一</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b/>
                <w:bCs/>
                <w:kern w:val="0"/>
                <w:sz w:val="24"/>
                <w:lang w:bidi="ar"/>
              </w:rPr>
              <w:t>验收</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265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217"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1.1</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color w:val="000000"/>
                <w:sz w:val="24"/>
                <w:szCs w:val="24"/>
              </w:rPr>
            </w:pPr>
            <w:r>
              <w:rPr>
                <w:rFonts w:hint="eastAsia" w:ascii="宋体" w:hAnsi="宋体" w:cs="宋体"/>
                <w:kern w:val="0"/>
                <w:sz w:val="24"/>
                <w:lang w:bidi="ar"/>
              </w:rPr>
              <w:t>调试</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color w:val="000000"/>
                <w:sz w:val="24"/>
                <w:szCs w:val="24"/>
              </w:rPr>
            </w:pPr>
            <w:r>
              <w:rPr>
                <w:rFonts w:hint="eastAsia" w:ascii="宋体" w:hAnsi="宋体" w:cs="宋体"/>
                <w:color w:val="000000"/>
                <w:sz w:val="24"/>
                <w:szCs w:val="24"/>
              </w:rPr>
              <w:t>次</w:t>
            </w:r>
          </w:p>
        </w:tc>
        <w:tc>
          <w:tcPr>
            <w:tcW w:w="2658" w:type="dxa"/>
            <w:vMerge w:val="restart"/>
            <w:tcBorders>
              <w:top w:val="single" w:color="000000" w:sz="4" w:space="0"/>
              <w:left w:val="single" w:color="000000" w:sz="4" w:space="0"/>
              <w:right w:val="single" w:color="000000" w:sz="4" w:space="0"/>
            </w:tcBorders>
            <w:noWrap/>
            <w:vAlign w:val="center"/>
          </w:tcPr>
          <w:p>
            <w:pPr>
              <w:widowControl/>
              <w:jc w:val="center"/>
              <w:textAlignment w:val="center"/>
              <w:rPr>
                <w:rFonts w:hint="eastAsia" w:ascii="宋体" w:hAnsi="宋体" w:cs="宋体"/>
                <w:color w:val="000000"/>
                <w:sz w:val="24"/>
                <w:szCs w:val="24"/>
              </w:rPr>
            </w:pPr>
            <w:r>
              <w:rPr>
                <w:rFonts w:hint="eastAsia" w:ascii="宋体" w:hAnsi="宋体" w:cs="宋体"/>
                <w:color w:val="000000"/>
                <w:sz w:val="24"/>
                <w:szCs w:val="24"/>
              </w:rPr>
              <w:t>按实际情况足量直到验收</w:t>
            </w:r>
          </w:p>
        </w:tc>
      </w:tr>
      <w:tr>
        <w:tblPrEx>
          <w:tblCellMar>
            <w:top w:w="0" w:type="dxa"/>
            <w:left w:w="108" w:type="dxa"/>
            <w:bottom w:w="0" w:type="dxa"/>
            <w:right w:w="108" w:type="dxa"/>
          </w:tblCellMar>
        </w:tblPrEx>
        <w:trPr>
          <w:trHeight w:val="122"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1.2</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比对</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次</w:t>
            </w:r>
          </w:p>
        </w:tc>
        <w:tc>
          <w:tcPr>
            <w:tcW w:w="2658" w:type="dxa"/>
            <w:vMerge w:val="continue"/>
            <w:tcBorders>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299"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1.3</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color w:val="000000"/>
                <w:sz w:val="24"/>
                <w:szCs w:val="24"/>
              </w:rPr>
            </w:pPr>
            <w:r>
              <w:rPr>
                <w:rFonts w:hint="eastAsia" w:ascii="宋体" w:hAnsi="宋体" w:cs="宋体"/>
                <w:kern w:val="0"/>
                <w:sz w:val="24"/>
                <w:lang w:bidi="ar"/>
              </w:rPr>
              <w:t>专家费</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color w:val="000000"/>
                <w:sz w:val="24"/>
                <w:szCs w:val="24"/>
              </w:rPr>
            </w:pPr>
            <w:r>
              <w:rPr>
                <w:rFonts w:hint="eastAsia" w:ascii="宋体" w:hAnsi="宋体" w:cs="宋体"/>
                <w:color w:val="000000"/>
                <w:sz w:val="24"/>
                <w:szCs w:val="24"/>
              </w:rPr>
              <w:t>人</w:t>
            </w:r>
          </w:p>
        </w:tc>
        <w:tc>
          <w:tcPr>
            <w:tcW w:w="265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color w:val="000000"/>
                <w:sz w:val="24"/>
                <w:szCs w:val="24"/>
              </w:rPr>
            </w:pPr>
            <w:r>
              <w:rPr>
                <w:rFonts w:hint="eastAsia" w:ascii="宋体" w:hAnsi="宋体" w:cs="宋体"/>
                <w:color w:val="000000"/>
                <w:sz w:val="24"/>
                <w:szCs w:val="24"/>
              </w:rPr>
              <w:t>3-5</w:t>
            </w:r>
          </w:p>
        </w:tc>
      </w:tr>
      <w:tr>
        <w:tblPrEx>
          <w:tblCellMar>
            <w:top w:w="0" w:type="dxa"/>
            <w:left w:w="108" w:type="dxa"/>
            <w:bottom w:w="0" w:type="dxa"/>
            <w:right w:w="108" w:type="dxa"/>
          </w:tblCellMar>
        </w:tblPrEx>
        <w:trPr>
          <w:trHeight w:val="102"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b/>
                <w:bCs/>
                <w:sz w:val="24"/>
              </w:rPr>
            </w:pPr>
            <w:r>
              <w:rPr>
                <w:rFonts w:hint="eastAsia" w:ascii="宋体" w:hAnsi="宋体" w:cs="宋体"/>
                <w:b/>
                <w:bCs/>
                <w:kern w:val="0"/>
                <w:sz w:val="24"/>
                <w:lang w:bidi="ar"/>
              </w:rPr>
              <w:t>二</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b/>
                <w:bCs/>
                <w:kern w:val="0"/>
                <w:sz w:val="24"/>
                <w:lang w:bidi="ar"/>
              </w:rPr>
              <w:t>运维</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265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83" w:hRule="atLeast"/>
          <w:jc w:val="center"/>
        </w:trPr>
        <w:tc>
          <w:tcPr>
            <w:tcW w:w="1190" w:type="dxa"/>
            <w:vMerge w:val="restart"/>
            <w:tcBorders>
              <w:top w:val="single" w:color="000000" w:sz="4" w:space="0"/>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2.1</w:t>
            </w:r>
          </w:p>
        </w:tc>
        <w:tc>
          <w:tcPr>
            <w:tcW w:w="1273" w:type="dxa"/>
            <w:vMerge w:val="restart"/>
            <w:tcBorders>
              <w:top w:val="single" w:color="000000" w:sz="4" w:space="0"/>
              <w:left w:val="single" w:color="000000" w:sz="4" w:space="0"/>
              <w:right w:val="single" w:color="000000" w:sz="4" w:space="0"/>
            </w:tcBorders>
            <w:noWrap/>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耗材</w:t>
            </w:r>
          </w:p>
        </w:tc>
        <w:tc>
          <w:tcPr>
            <w:tcW w:w="227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纯净水</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瓶</w:t>
            </w:r>
          </w:p>
        </w:tc>
        <w:tc>
          <w:tcPr>
            <w:tcW w:w="2658" w:type="dxa"/>
            <w:vMerge w:val="restart"/>
            <w:tcBorders>
              <w:top w:val="single" w:color="000000" w:sz="4" w:space="0"/>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全年足量使用</w:t>
            </w:r>
          </w:p>
        </w:tc>
      </w:tr>
      <w:tr>
        <w:tblPrEx>
          <w:tblCellMar>
            <w:top w:w="0" w:type="dxa"/>
            <w:left w:w="108" w:type="dxa"/>
            <w:bottom w:w="0" w:type="dxa"/>
            <w:right w:w="108" w:type="dxa"/>
          </w:tblCellMar>
        </w:tblPrEx>
        <w:trPr>
          <w:trHeight w:val="83" w:hRule="atLeast"/>
          <w:jc w:val="center"/>
        </w:trPr>
        <w:tc>
          <w:tcPr>
            <w:tcW w:w="1190" w:type="dxa"/>
            <w:vMerge w:val="continue"/>
            <w:tcBorders>
              <w:left w:val="single" w:color="000000" w:sz="4" w:space="0"/>
              <w:right w:val="single" w:color="000000" w:sz="4" w:space="0"/>
            </w:tcBorders>
            <w:shd w:val="clear" w:color="FFFFFF" w:fill="FFFFFF"/>
            <w:vAlign w:val="center"/>
          </w:tcPr>
          <w:p>
            <w:pPr>
              <w:widowControl/>
              <w:jc w:val="center"/>
              <w:textAlignment w:val="center"/>
            </w:pPr>
          </w:p>
        </w:tc>
        <w:tc>
          <w:tcPr>
            <w:tcW w:w="1273" w:type="dxa"/>
            <w:vMerge w:val="continue"/>
            <w:tcBorders>
              <w:left w:val="single" w:color="000000" w:sz="4" w:space="0"/>
              <w:right w:val="single" w:color="000000" w:sz="4" w:space="0"/>
            </w:tcBorders>
            <w:noWrap/>
            <w:vAlign w:val="center"/>
          </w:tcPr>
          <w:p>
            <w:pPr>
              <w:widowControl/>
              <w:jc w:val="center"/>
              <w:textAlignment w:val="center"/>
            </w:pPr>
          </w:p>
        </w:tc>
        <w:tc>
          <w:tcPr>
            <w:tcW w:w="227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变色硅胶</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瓶</w:t>
            </w:r>
          </w:p>
        </w:tc>
        <w:tc>
          <w:tcPr>
            <w:tcW w:w="2658"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83" w:hRule="atLeast"/>
          <w:jc w:val="center"/>
        </w:trPr>
        <w:tc>
          <w:tcPr>
            <w:tcW w:w="1190" w:type="dxa"/>
            <w:vMerge w:val="continue"/>
            <w:tcBorders>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1273"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227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氢氧化钾</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瓶</w:t>
            </w:r>
          </w:p>
        </w:tc>
        <w:tc>
          <w:tcPr>
            <w:tcW w:w="2658"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83" w:hRule="atLeast"/>
          <w:jc w:val="center"/>
        </w:trPr>
        <w:tc>
          <w:tcPr>
            <w:tcW w:w="1190" w:type="dxa"/>
            <w:vMerge w:val="continue"/>
            <w:tcBorders>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1273"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227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标气（非甲烷）</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瓶</w:t>
            </w:r>
          </w:p>
        </w:tc>
        <w:tc>
          <w:tcPr>
            <w:tcW w:w="2658"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83" w:hRule="atLeast"/>
          <w:jc w:val="center"/>
        </w:trPr>
        <w:tc>
          <w:tcPr>
            <w:tcW w:w="1190" w:type="dxa"/>
            <w:vMerge w:val="continue"/>
            <w:tcBorders>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1273"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227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标气（苯系物）</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瓶</w:t>
            </w:r>
          </w:p>
        </w:tc>
        <w:tc>
          <w:tcPr>
            <w:tcW w:w="2658"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83" w:hRule="atLeast"/>
          <w:jc w:val="center"/>
        </w:trPr>
        <w:tc>
          <w:tcPr>
            <w:tcW w:w="1190" w:type="dxa"/>
            <w:vMerge w:val="continue"/>
            <w:tcBorders>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1273"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227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氮气</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瓶</w:t>
            </w:r>
          </w:p>
        </w:tc>
        <w:tc>
          <w:tcPr>
            <w:tcW w:w="2658" w:type="dxa"/>
            <w:vMerge w:val="continue"/>
            <w:tcBorders>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279"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2.2</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运维</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人/次</w:t>
            </w:r>
          </w:p>
        </w:tc>
        <w:tc>
          <w:tcPr>
            <w:tcW w:w="265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2人/52次</w:t>
            </w:r>
          </w:p>
        </w:tc>
      </w:tr>
      <w:tr>
        <w:tblPrEx>
          <w:tblCellMar>
            <w:top w:w="0" w:type="dxa"/>
            <w:left w:w="108" w:type="dxa"/>
            <w:bottom w:w="0" w:type="dxa"/>
            <w:right w:w="108" w:type="dxa"/>
          </w:tblCellMar>
        </w:tblPrEx>
        <w:trPr>
          <w:trHeight w:val="215"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2.3</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车辆</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265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包年</w:t>
            </w:r>
          </w:p>
        </w:tc>
      </w:tr>
      <w:tr>
        <w:tblPrEx>
          <w:tblCellMar>
            <w:top w:w="0" w:type="dxa"/>
            <w:left w:w="108" w:type="dxa"/>
            <w:bottom w:w="0" w:type="dxa"/>
            <w:right w:w="108" w:type="dxa"/>
          </w:tblCellMar>
        </w:tblPrEx>
        <w:trPr>
          <w:trHeight w:val="247"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2.4</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办公</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265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包年</w:t>
            </w:r>
          </w:p>
        </w:tc>
      </w:tr>
      <w:tr>
        <w:tblPrEx>
          <w:tblCellMar>
            <w:top w:w="0" w:type="dxa"/>
            <w:left w:w="108" w:type="dxa"/>
            <w:bottom w:w="0" w:type="dxa"/>
            <w:right w:w="108" w:type="dxa"/>
          </w:tblCellMar>
        </w:tblPrEx>
        <w:trPr>
          <w:trHeight w:val="247"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2.5</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标识</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265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包年</w:t>
            </w:r>
          </w:p>
        </w:tc>
      </w:tr>
      <w:tr>
        <w:tblPrEx>
          <w:tblCellMar>
            <w:top w:w="0" w:type="dxa"/>
            <w:left w:w="108" w:type="dxa"/>
            <w:bottom w:w="0" w:type="dxa"/>
            <w:right w:w="108" w:type="dxa"/>
          </w:tblCellMar>
        </w:tblPrEx>
        <w:trPr>
          <w:trHeight w:val="269"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2.6</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专线</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条</w:t>
            </w:r>
          </w:p>
        </w:tc>
        <w:tc>
          <w:tcPr>
            <w:tcW w:w="265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1</w:t>
            </w:r>
          </w:p>
        </w:tc>
      </w:tr>
      <w:tr>
        <w:tblPrEx>
          <w:tblCellMar>
            <w:top w:w="0" w:type="dxa"/>
            <w:left w:w="108" w:type="dxa"/>
            <w:bottom w:w="0" w:type="dxa"/>
            <w:right w:w="108" w:type="dxa"/>
          </w:tblCellMar>
        </w:tblPrEx>
        <w:trPr>
          <w:trHeight w:val="430"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2.7</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维修费</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2658" w:type="dxa"/>
            <w:tcBorders>
              <w:top w:val="single" w:color="000000" w:sz="4" w:space="0"/>
              <w:left w:val="single" w:color="000000" w:sz="4" w:space="0"/>
              <w:bottom w:val="single" w:color="000000" w:sz="4" w:space="0"/>
              <w:right w:val="single" w:color="000000" w:sz="4" w:space="0"/>
            </w:tcBorders>
            <w:noWrap/>
            <w:vAlign w:val="center"/>
          </w:tcPr>
          <w:p>
            <w:pPr>
              <w:pStyle w:val="2"/>
              <w:spacing w:line="240" w:lineRule="auto"/>
              <w:rPr>
                <w:rFonts w:hint="eastAsia" w:hAnsi="宋体" w:eastAsia="宋体" w:cs="宋体"/>
                <w:kern w:val="0"/>
                <w:lang w:val="en-US" w:bidi="ar"/>
              </w:rPr>
            </w:pPr>
            <w:r>
              <w:rPr>
                <w:rFonts w:hint="eastAsia" w:hAnsi="宋体" w:eastAsia="宋体" w:cs="宋体"/>
                <w:kern w:val="0"/>
                <w:lang w:val="en-US" w:bidi="ar"/>
              </w:rPr>
              <w:t>含单次2000元及2000以下耗材和配件费</w:t>
            </w:r>
          </w:p>
        </w:tc>
      </w:tr>
      <w:tr>
        <w:tblPrEx>
          <w:tblCellMar>
            <w:top w:w="0" w:type="dxa"/>
            <w:left w:w="108" w:type="dxa"/>
            <w:bottom w:w="0" w:type="dxa"/>
            <w:right w:w="108" w:type="dxa"/>
          </w:tblCellMar>
        </w:tblPrEx>
        <w:trPr>
          <w:trHeight w:val="132" w:hRule="atLeast"/>
          <w:jc w:val="center"/>
        </w:trPr>
        <w:tc>
          <w:tcPr>
            <w:tcW w:w="119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2.8</w:t>
            </w:r>
          </w:p>
        </w:tc>
        <w:tc>
          <w:tcPr>
            <w:tcW w:w="354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流量卡</w:t>
            </w:r>
          </w:p>
        </w:tc>
        <w:tc>
          <w:tcPr>
            <w:tcW w:w="181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265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包年</w:t>
            </w:r>
          </w:p>
        </w:tc>
      </w:tr>
    </w:tbl>
    <w:p>
      <w:pPr>
        <w:pStyle w:val="2"/>
        <w:rPr>
          <w:rFonts w:hint="eastAsia" w:hAnsi="宋体"/>
          <w:sz w:val="28"/>
          <w:lang w:val="en-US"/>
        </w:rPr>
      </w:pPr>
      <w:r>
        <w:rPr>
          <w:rFonts w:hint="eastAsia" w:hAnsi="宋体" w:eastAsia="宋体" w:cs="宋体"/>
          <w:szCs w:val="22"/>
          <w:lang w:val="en-US"/>
        </w:rPr>
        <w:t>2、废水</w:t>
      </w:r>
      <w:r>
        <w:rPr>
          <w:rFonts w:hint="eastAsia" w:hAnsi="宋体" w:eastAsia="宋体" w:cs="宋体"/>
          <w:szCs w:val="24"/>
        </w:rPr>
        <w:t>在线监测设备运维</w:t>
      </w:r>
    </w:p>
    <w:tbl>
      <w:tblPr>
        <w:tblStyle w:val="48"/>
        <w:tblW w:w="10525"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5" w:type="dxa"/>
          <w:left w:w="15" w:type="dxa"/>
          <w:bottom w:w="15" w:type="dxa"/>
          <w:right w:w="15" w:type="dxa"/>
        </w:tblCellMar>
      </w:tblPr>
      <w:tblGrid>
        <w:gridCol w:w="1530"/>
        <w:gridCol w:w="1200"/>
        <w:gridCol w:w="2436"/>
        <w:gridCol w:w="1545"/>
        <w:gridCol w:w="1350"/>
        <w:gridCol w:w="1485"/>
        <w:gridCol w:w="979"/>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5" w:type="dxa"/>
            <w:left w:w="15" w:type="dxa"/>
            <w:bottom w:w="15" w:type="dxa"/>
            <w:right w:w="15" w:type="dxa"/>
          </w:tblCellMar>
        </w:tblPrEx>
        <w:trPr>
          <w:trHeight w:val="510" w:hRule="atLeast"/>
          <w:jc w:val="center"/>
        </w:trPr>
        <w:tc>
          <w:tcPr>
            <w:tcW w:w="1530" w:type="dxa"/>
            <w:vAlign w:val="center"/>
          </w:tcPr>
          <w:p>
            <w:pPr>
              <w:widowControl/>
              <w:jc w:val="center"/>
              <w:textAlignment w:val="center"/>
              <w:rPr>
                <w:rFonts w:hint="eastAsia" w:ascii="宋体" w:hAnsi="宋体" w:cs="宋体"/>
                <w:b/>
                <w:bCs/>
                <w:color w:val="000000"/>
                <w:sz w:val="24"/>
              </w:rPr>
            </w:pPr>
            <w:r>
              <w:rPr>
                <w:rFonts w:hint="eastAsia" w:ascii="宋体" w:hAnsi="宋体" w:cs="宋体"/>
                <w:b/>
                <w:bCs/>
                <w:color w:val="000000"/>
                <w:kern w:val="0"/>
                <w:sz w:val="24"/>
                <w:lang w:bidi="ar"/>
              </w:rPr>
              <w:t>项目名称</w:t>
            </w:r>
          </w:p>
        </w:tc>
        <w:tc>
          <w:tcPr>
            <w:tcW w:w="1200" w:type="dxa"/>
            <w:vAlign w:val="center"/>
          </w:tcPr>
          <w:p>
            <w:pPr>
              <w:widowControl/>
              <w:jc w:val="center"/>
              <w:textAlignment w:val="center"/>
              <w:rPr>
                <w:rFonts w:hint="eastAsia" w:ascii="宋体" w:hAnsi="宋体" w:cs="宋体"/>
                <w:b/>
                <w:bCs/>
                <w:color w:val="000000"/>
                <w:sz w:val="24"/>
              </w:rPr>
            </w:pPr>
            <w:r>
              <w:rPr>
                <w:rFonts w:hint="eastAsia" w:ascii="宋体" w:hAnsi="宋体" w:cs="宋体"/>
                <w:b/>
                <w:bCs/>
                <w:color w:val="000000"/>
                <w:kern w:val="0"/>
                <w:sz w:val="24"/>
                <w:lang w:bidi="ar"/>
              </w:rPr>
              <w:t>类别</w:t>
            </w:r>
          </w:p>
        </w:tc>
        <w:tc>
          <w:tcPr>
            <w:tcW w:w="2436" w:type="dxa"/>
            <w:vAlign w:val="center"/>
          </w:tcPr>
          <w:p>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设备名称</w:t>
            </w:r>
          </w:p>
        </w:tc>
        <w:tc>
          <w:tcPr>
            <w:tcW w:w="1545" w:type="dxa"/>
            <w:vAlign w:val="center"/>
          </w:tcPr>
          <w:p>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监测因子</w:t>
            </w:r>
          </w:p>
        </w:tc>
        <w:tc>
          <w:tcPr>
            <w:tcW w:w="1350" w:type="dxa"/>
            <w:vAlign w:val="center"/>
          </w:tcPr>
          <w:p>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生产厂商</w:t>
            </w:r>
          </w:p>
        </w:tc>
        <w:tc>
          <w:tcPr>
            <w:tcW w:w="1485" w:type="dxa"/>
            <w:vAlign w:val="center"/>
          </w:tcPr>
          <w:p>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型号</w:t>
            </w:r>
          </w:p>
        </w:tc>
        <w:tc>
          <w:tcPr>
            <w:tcW w:w="979" w:type="dxa"/>
            <w:vAlign w:val="center"/>
          </w:tcPr>
          <w:p>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5" w:type="dxa"/>
            <w:left w:w="15" w:type="dxa"/>
            <w:bottom w:w="15" w:type="dxa"/>
            <w:right w:w="15" w:type="dxa"/>
          </w:tblCellMar>
        </w:tblPrEx>
        <w:trPr>
          <w:trHeight w:val="457" w:hRule="atLeast"/>
          <w:jc w:val="center"/>
        </w:trPr>
        <w:tc>
          <w:tcPr>
            <w:tcW w:w="1530" w:type="dxa"/>
            <w:vMerge w:val="restart"/>
            <w:vAlign w:val="center"/>
          </w:tcPr>
          <w:p>
            <w:pPr>
              <w:widowControl/>
              <w:jc w:val="center"/>
              <w:textAlignment w:val="center"/>
              <w:rPr>
                <w:rFonts w:hint="eastAsia" w:ascii="宋体" w:hAnsi="宋体" w:cs="宋体"/>
                <w:b/>
                <w:bCs/>
                <w:color w:val="000000"/>
                <w:kern w:val="0"/>
                <w:sz w:val="24"/>
                <w:lang w:bidi="ar"/>
              </w:rPr>
            </w:pPr>
            <w:r>
              <w:rPr>
                <w:rFonts w:hint="eastAsia" w:ascii="宋体" w:hAnsi="宋体" w:cs="宋体"/>
                <w:color w:val="000000"/>
                <w:kern w:val="0"/>
                <w:sz w:val="24"/>
                <w:lang w:bidi="ar"/>
              </w:rPr>
              <w:t>废水在线监测系统设备运维技术服务</w:t>
            </w:r>
          </w:p>
        </w:tc>
        <w:tc>
          <w:tcPr>
            <w:tcW w:w="1200" w:type="dxa"/>
            <w:vMerge w:val="restart"/>
            <w:vAlign w:val="center"/>
          </w:tcPr>
          <w:p>
            <w:pPr>
              <w:widowControl/>
              <w:jc w:val="center"/>
              <w:textAlignment w:val="center"/>
              <w:rPr>
                <w:rFonts w:hint="eastAsia" w:ascii="宋体" w:hAnsi="宋体" w:cs="宋体"/>
                <w:b/>
                <w:bCs/>
                <w:color w:val="000000"/>
                <w:kern w:val="0"/>
                <w:sz w:val="24"/>
                <w:lang w:bidi="ar"/>
              </w:rPr>
            </w:pPr>
            <w:r>
              <w:rPr>
                <w:rFonts w:hint="eastAsia" w:ascii="宋体" w:hAnsi="宋体" w:cs="宋体"/>
                <w:color w:val="000000"/>
                <w:kern w:val="0"/>
                <w:sz w:val="24"/>
                <w:lang w:bidi="ar"/>
              </w:rPr>
              <w:t>废水在线监测系统</w:t>
            </w:r>
          </w:p>
        </w:tc>
        <w:tc>
          <w:tcPr>
            <w:tcW w:w="2436" w:type="dxa"/>
            <w:vAlign w:val="center"/>
          </w:tcPr>
          <w:p>
            <w:pPr>
              <w:pStyle w:val="151"/>
              <w:spacing w:line="280" w:lineRule="exact"/>
              <w:ind w:firstLine="0" w:firstLineChars="0"/>
              <w:jc w:val="center"/>
              <w:rPr>
                <w:rFonts w:hint="eastAsia" w:ascii="宋体" w:hAnsi="宋体" w:cs="宋体"/>
                <w:color w:val="000000"/>
                <w:kern w:val="0"/>
                <w:sz w:val="24"/>
                <w:lang w:bidi="ar"/>
              </w:rPr>
            </w:pPr>
            <w:r>
              <w:rPr>
                <w:rFonts w:hint="eastAsia" w:ascii="宋体" w:hAnsi="宋体" w:cs="宋体"/>
                <w:color w:val="000000"/>
                <w:kern w:val="0"/>
                <w:sz w:val="24"/>
                <w:lang w:bidi="ar"/>
              </w:rPr>
              <w:t>COD在线监测仪</w:t>
            </w:r>
          </w:p>
        </w:tc>
        <w:tc>
          <w:tcPr>
            <w:tcW w:w="1545" w:type="dxa"/>
            <w:vAlign w:val="center"/>
          </w:tcPr>
          <w:p>
            <w:pPr>
              <w:adjustRightInd w:val="0"/>
              <w:snapToGrid w:val="0"/>
              <w:spacing w:line="276" w:lineRule="auto"/>
              <w:jc w:val="center"/>
              <w:rPr>
                <w:rFonts w:hint="eastAsia" w:ascii="宋体" w:hAnsi="宋体" w:cs="宋体"/>
                <w:color w:val="000000"/>
                <w:kern w:val="0"/>
                <w:sz w:val="24"/>
                <w:lang w:bidi="ar"/>
              </w:rPr>
            </w:pPr>
            <w:r>
              <w:rPr>
                <w:rFonts w:hint="eastAsia" w:ascii="宋体" w:hAnsi="宋体" w:cs="宋体"/>
                <w:color w:val="000000"/>
                <w:kern w:val="0"/>
                <w:sz w:val="24"/>
                <w:lang w:bidi="ar"/>
              </w:rPr>
              <w:t>COD</w:t>
            </w:r>
          </w:p>
        </w:tc>
        <w:tc>
          <w:tcPr>
            <w:tcW w:w="1350" w:type="dxa"/>
            <w:vAlign w:val="center"/>
          </w:tcPr>
          <w:p>
            <w:pPr>
              <w:jc w:val="center"/>
              <w:rPr>
                <w:rFonts w:hint="eastAsia" w:ascii="宋体" w:hAnsi="宋体" w:cs="宋体"/>
                <w:color w:val="000000"/>
                <w:kern w:val="0"/>
                <w:sz w:val="24"/>
                <w:lang w:bidi="ar"/>
              </w:rPr>
            </w:pPr>
            <w:r>
              <w:rPr>
                <w:rFonts w:hint="eastAsia" w:ascii="宋体" w:hAnsi="宋体" w:cs="宋体"/>
                <w:color w:val="000000"/>
                <w:kern w:val="0"/>
                <w:sz w:val="24"/>
                <w:lang w:bidi="ar"/>
              </w:rPr>
              <w:t>微兰</w:t>
            </w:r>
          </w:p>
        </w:tc>
        <w:tc>
          <w:tcPr>
            <w:tcW w:w="1485" w:type="dxa"/>
            <w:vAlign w:val="center"/>
          </w:tcPr>
          <w:p>
            <w:pPr>
              <w:jc w:val="center"/>
              <w:rPr>
                <w:rFonts w:hint="eastAsia" w:ascii="宋体" w:hAnsi="宋体" w:cs="宋体"/>
                <w:color w:val="000000"/>
                <w:kern w:val="0"/>
                <w:sz w:val="24"/>
                <w:lang w:bidi="ar"/>
              </w:rPr>
            </w:pPr>
            <w:r>
              <w:rPr>
                <w:rFonts w:hint="eastAsia" w:ascii="宋体" w:hAnsi="宋体" w:cs="宋体"/>
                <w:color w:val="000000"/>
                <w:kern w:val="0"/>
                <w:sz w:val="24"/>
                <w:lang w:bidi="ar"/>
              </w:rPr>
              <w:t>VL-COD-1007</w:t>
            </w:r>
          </w:p>
        </w:tc>
        <w:tc>
          <w:tcPr>
            <w:tcW w:w="979"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5" w:type="dxa"/>
            <w:left w:w="15" w:type="dxa"/>
            <w:bottom w:w="15" w:type="dxa"/>
            <w:right w:w="15" w:type="dxa"/>
          </w:tblCellMar>
        </w:tblPrEx>
        <w:trPr>
          <w:trHeight w:val="424" w:hRule="atLeast"/>
          <w:jc w:val="center"/>
        </w:trPr>
        <w:tc>
          <w:tcPr>
            <w:tcW w:w="153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120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2436"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氨氮在线监测仪</w:t>
            </w:r>
          </w:p>
        </w:tc>
        <w:tc>
          <w:tcPr>
            <w:tcW w:w="154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氨氮</w:t>
            </w:r>
          </w:p>
        </w:tc>
        <w:tc>
          <w:tcPr>
            <w:tcW w:w="1350"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微兰</w:t>
            </w:r>
          </w:p>
        </w:tc>
        <w:tc>
          <w:tcPr>
            <w:tcW w:w="148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VL-AN-201-X</w:t>
            </w:r>
          </w:p>
        </w:tc>
        <w:tc>
          <w:tcPr>
            <w:tcW w:w="979"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5" w:type="dxa"/>
            <w:left w:w="15" w:type="dxa"/>
            <w:bottom w:w="15" w:type="dxa"/>
            <w:right w:w="15" w:type="dxa"/>
          </w:tblCellMar>
        </w:tblPrEx>
        <w:trPr>
          <w:trHeight w:val="399" w:hRule="atLeast"/>
          <w:jc w:val="center"/>
        </w:trPr>
        <w:tc>
          <w:tcPr>
            <w:tcW w:w="153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120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2436"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kern w:val="0"/>
                <w:sz w:val="24"/>
                <w:szCs w:val="24"/>
              </w:rPr>
              <w:t>磷酸盐在线监测仪</w:t>
            </w:r>
          </w:p>
        </w:tc>
        <w:tc>
          <w:tcPr>
            <w:tcW w:w="154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kern w:val="0"/>
                <w:sz w:val="24"/>
                <w:szCs w:val="24"/>
              </w:rPr>
              <w:t>磷酸盐</w:t>
            </w:r>
          </w:p>
        </w:tc>
        <w:tc>
          <w:tcPr>
            <w:tcW w:w="1350"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微兰</w:t>
            </w:r>
          </w:p>
        </w:tc>
        <w:tc>
          <w:tcPr>
            <w:tcW w:w="148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kern w:val="0"/>
                <w:sz w:val="24"/>
                <w:szCs w:val="24"/>
              </w:rPr>
              <w:t>VL-PO-101</w:t>
            </w:r>
          </w:p>
        </w:tc>
        <w:tc>
          <w:tcPr>
            <w:tcW w:w="979"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5" w:type="dxa"/>
            <w:left w:w="15" w:type="dxa"/>
            <w:bottom w:w="15" w:type="dxa"/>
            <w:right w:w="15" w:type="dxa"/>
          </w:tblCellMar>
        </w:tblPrEx>
        <w:trPr>
          <w:trHeight w:val="574" w:hRule="atLeast"/>
          <w:jc w:val="center"/>
        </w:trPr>
        <w:tc>
          <w:tcPr>
            <w:tcW w:w="153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120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2436"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kern w:val="0"/>
                <w:sz w:val="24"/>
                <w:szCs w:val="24"/>
              </w:rPr>
              <w:t>巴歇尔槽取水泵</w:t>
            </w:r>
          </w:p>
        </w:tc>
        <w:tc>
          <w:tcPr>
            <w:tcW w:w="154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szCs w:val="24"/>
              </w:rPr>
              <w:t>抽取巴歇尔槽内出水水样</w:t>
            </w:r>
          </w:p>
        </w:tc>
        <w:tc>
          <w:tcPr>
            <w:tcW w:w="1350"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w:t>
            </w:r>
          </w:p>
        </w:tc>
        <w:tc>
          <w:tcPr>
            <w:tcW w:w="148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w:t>
            </w:r>
          </w:p>
        </w:tc>
        <w:tc>
          <w:tcPr>
            <w:tcW w:w="979"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5" w:type="dxa"/>
            <w:left w:w="15" w:type="dxa"/>
            <w:bottom w:w="15" w:type="dxa"/>
            <w:right w:w="15" w:type="dxa"/>
          </w:tblCellMar>
        </w:tblPrEx>
        <w:trPr>
          <w:trHeight w:val="574" w:hRule="atLeast"/>
          <w:jc w:val="center"/>
        </w:trPr>
        <w:tc>
          <w:tcPr>
            <w:tcW w:w="153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120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2436"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PH计</w:t>
            </w:r>
          </w:p>
        </w:tc>
        <w:tc>
          <w:tcPr>
            <w:tcW w:w="154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PH</w:t>
            </w:r>
          </w:p>
        </w:tc>
        <w:tc>
          <w:tcPr>
            <w:tcW w:w="1350"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博克斯</w:t>
            </w:r>
          </w:p>
        </w:tc>
        <w:tc>
          <w:tcPr>
            <w:tcW w:w="148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ASP660M1-SP200</w:t>
            </w:r>
          </w:p>
        </w:tc>
        <w:tc>
          <w:tcPr>
            <w:tcW w:w="979"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5" w:type="dxa"/>
            <w:left w:w="15" w:type="dxa"/>
            <w:bottom w:w="15" w:type="dxa"/>
            <w:right w:w="15" w:type="dxa"/>
          </w:tblCellMar>
        </w:tblPrEx>
        <w:trPr>
          <w:trHeight w:val="597" w:hRule="atLeast"/>
          <w:jc w:val="center"/>
        </w:trPr>
        <w:tc>
          <w:tcPr>
            <w:tcW w:w="153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120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2436"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kern w:val="0"/>
                <w:sz w:val="24"/>
                <w:szCs w:val="24"/>
              </w:rPr>
              <w:t>智能水质采样器</w:t>
            </w:r>
          </w:p>
        </w:tc>
        <w:tc>
          <w:tcPr>
            <w:tcW w:w="154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流量</w:t>
            </w:r>
          </w:p>
        </w:tc>
        <w:tc>
          <w:tcPr>
            <w:tcW w:w="1350"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万维盈创</w:t>
            </w:r>
          </w:p>
        </w:tc>
        <w:tc>
          <w:tcPr>
            <w:tcW w:w="148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kern w:val="0"/>
                <w:sz w:val="24"/>
                <w:szCs w:val="24"/>
              </w:rPr>
              <w:t>Smart wQ82000</w:t>
            </w:r>
          </w:p>
        </w:tc>
        <w:tc>
          <w:tcPr>
            <w:tcW w:w="979"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5" w:type="dxa"/>
            <w:left w:w="15" w:type="dxa"/>
            <w:bottom w:w="15" w:type="dxa"/>
            <w:right w:w="15" w:type="dxa"/>
          </w:tblCellMar>
        </w:tblPrEx>
        <w:trPr>
          <w:trHeight w:val="520" w:hRule="atLeast"/>
          <w:jc w:val="center"/>
        </w:trPr>
        <w:tc>
          <w:tcPr>
            <w:tcW w:w="153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1200" w:type="dxa"/>
            <w:vMerge w:val="continue"/>
            <w:vAlign w:val="center"/>
          </w:tcPr>
          <w:p>
            <w:pPr>
              <w:widowControl/>
              <w:jc w:val="center"/>
              <w:textAlignment w:val="center"/>
              <w:rPr>
                <w:rFonts w:hint="eastAsia" w:ascii="宋体" w:hAnsi="宋体" w:cs="宋体"/>
                <w:b/>
                <w:bCs/>
                <w:color w:val="000000"/>
                <w:kern w:val="0"/>
                <w:sz w:val="24"/>
                <w:lang w:bidi="ar"/>
              </w:rPr>
            </w:pPr>
          </w:p>
        </w:tc>
        <w:tc>
          <w:tcPr>
            <w:tcW w:w="2436"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环保数采仪</w:t>
            </w:r>
          </w:p>
        </w:tc>
        <w:tc>
          <w:tcPr>
            <w:tcW w:w="154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w:t>
            </w:r>
          </w:p>
        </w:tc>
        <w:tc>
          <w:tcPr>
            <w:tcW w:w="1350"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万维盈创</w:t>
            </w:r>
          </w:p>
        </w:tc>
        <w:tc>
          <w:tcPr>
            <w:tcW w:w="1485"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W5100HB-III</w:t>
            </w:r>
          </w:p>
        </w:tc>
        <w:tc>
          <w:tcPr>
            <w:tcW w:w="979" w:type="dxa"/>
            <w:vAlign w:val="center"/>
          </w:tcPr>
          <w:p>
            <w:pPr>
              <w:widowControl/>
              <w:jc w:val="center"/>
              <w:textAlignment w:val="center"/>
              <w:rPr>
                <w:rFonts w:hint="eastAsia" w:ascii="宋体" w:hAnsi="宋体" w:cs="宋体"/>
                <w:color w:val="000000"/>
                <w:kern w:val="0"/>
                <w:sz w:val="24"/>
                <w:lang w:bidi="ar"/>
              </w:rPr>
            </w:pPr>
            <w:r>
              <w:rPr>
                <w:rFonts w:hint="eastAsia" w:ascii="宋体" w:hAnsi="宋体" w:cs="宋体"/>
                <w:color w:val="000000"/>
                <w:kern w:val="0"/>
                <w:sz w:val="24"/>
                <w:lang w:bidi="ar"/>
              </w:rPr>
              <w:t>1</w:t>
            </w:r>
          </w:p>
        </w:tc>
      </w:tr>
    </w:tbl>
    <w:p>
      <w:pPr>
        <w:pStyle w:val="2"/>
        <w:rPr>
          <w:rFonts w:hint="eastAsia" w:hAnsi="宋体" w:eastAsia="宋体" w:cs="宋体"/>
          <w:szCs w:val="24"/>
          <w:lang w:val="en-US"/>
        </w:rPr>
      </w:pPr>
    </w:p>
    <w:tbl>
      <w:tblPr>
        <w:tblStyle w:val="48"/>
        <w:tblW w:w="10683" w:type="dxa"/>
        <w:jc w:val="center"/>
        <w:tblLayout w:type="fixed"/>
        <w:tblCellMar>
          <w:top w:w="0" w:type="dxa"/>
          <w:left w:w="108" w:type="dxa"/>
          <w:bottom w:w="0" w:type="dxa"/>
          <w:right w:w="108" w:type="dxa"/>
        </w:tblCellMar>
      </w:tblPr>
      <w:tblGrid>
        <w:gridCol w:w="828"/>
        <w:gridCol w:w="1009"/>
        <w:gridCol w:w="955"/>
        <w:gridCol w:w="2448"/>
        <w:gridCol w:w="2126"/>
        <w:gridCol w:w="1276"/>
        <w:gridCol w:w="2041"/>
      </w:tblGrid>
      <w:tr>
        <w:trPr>
          <w:trHeight w:val="173" w:hRule="atLeast"/>
          <w:jc w:val="center"/>
        </w:trPr>
        <w:tc>
          <w:tcPr>
            <w:tcW w:w="828"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sz w:val="24"/>
              </w:rPr>
            </w:pPr>
            <w:r>
              <w:rPr>
                <w:rFonts w:hint="eastAsia" w:ascii="黑体" w:hAnsi="宋体" w:eastAsia="黑体" w:cs="黑体"/>
                <w:kern w:val="0"/>
                <w:sz w:val="24"/>
                <w:lang w:bidi="ar"/>
              </w:rPr>
              <w:t>序号</w:t>
            </w:r>
          </w:p>
        </w:tc>
        <w:tc>
          <w:tcPr>
            <w:tcW w:w="4412" w:type="dxa"/>
            <w:gridSpan w:val="3"/>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项目名称</w:t>
            </w:r>
          </w:p>
        </w:tc>
        <w:tc>
          <w:tcPr>
            <w:tcW w:w="212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试剂</w:t>
            </w:r>
          </w:p>
        </w:tc>
        <w:tc>
          <w:tcPr>
            <w:tcW w:w="1276"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计量单位</w:t>
            </w:r>
          </w:p>
        </w:tc>
        <w:tc>
          <w:tcPr>
            <w:tcW w:w="2041"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备注</w:t>
            </w:r>
          </w:p>
        </w:tc>
      </w:tr>
      <w:tr>
        <w:tblPrEx>
          <w:tblCellMar>
            <w:top w:w="0" w:type="dxa"/>
            <w:left w:w="108" w:type="dxa"/>
            <w:bottom w:w="0" w:type="dxa"/>
            <w:right w:w="108" w:type="dxa"/>
          </w:tblCellMar>
        </w:tblPrEx>
        <w:trPr>
          <w:trHeight w:val="277" w:hRule="atLeast"/>
          <w:jc w:val="center"/>
        </w:trPr>
        <w:tc>
          <w:tcPr>
            <w:tcW w:w="828"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b/>
                <w:bCs/>
                <w:sz w:val="24"/>
              </w:rPr>
            </w:pPr>
            <w:r>
              <w:rPr>
                <w:rFonts w:hint="eastAsia" w:ascii="宋体" w:hAnsi="宋体" w:cs="宋体"/>
                <w:b/>
                <w:bCs/>
                <w:kern w:val="0"/>
                <w:sz w:val="24"/>
                <w:lang w:bidi="ar"/>
              </w:rPr>
              <w:t>一</w:t>
            </w:r>
          </w:p>
        </w:tc>
        <w:tc>
          <w:tcPr>
            <w:tcW w:w="4412"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运维</w:t>
            </w:r>
          </w:p>
        </w:tc>
        <w:tc>
          <w:tcPr>
            <w:tcW w:w="212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w:t>
            </w: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次/人</w:t>
            </w:r>
          </w:p>
        </w:tc>
        <w:tc>
          <w:tcPr>
            <w:tcW w:w="2041" w:type="dxa"/>
            <w:tcBorders>
              <w:top w:val="single" w:color="000000"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2人/52次</w:t>
            </w:r>
          </w:p>
        </w:tc>
      </w:tr>
      <w:tr>
        <w:tblPrEx>
          <w:tblCellMar>
            <w:top w:w="0" w:type="dxa"/>
            <w:left w:w="108" w:type="dxa"/>
            <w:bottom w:w="0" w:type="dxa"/>
            <w:right w:w="108" w:type="dxa"/>
          </w:tblCellMar>
        </w:tblPrEx>
        <w:trPr>
          <w:trHeight w:val="98" w:hRule="atLeast"/>
          <w:jc w:val="center"/>
        </w:trPr>
        <w:tc>
          <w:tcPr>
            <w:tcW w:w="828" w:type="dxa"/>
            <w:vMerge w:val="restart"/>
            <w:tcBorders>
              <w:top w:val="single" w:color="000000" w:sz="4" w:space="0"/>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b/>
                <w:bCs/>
                <w:kern w:val="0"/>
                <w:sz w:val="24"/>
                <w:lang w:bidi="ar"/>
              </w:rPr>
              <w:t>二</w:t>
            </w:r>
          </w:p>
        </w:tc>
        <w:tc>
          <w:tcPr>
            <w:tcW w:w="1009" w:type="dxa"/>
            <w:vMerge w:val="restart"/>
            <w:tcBorders>
              <w:top w:val="single" w:color="000000" w:sz="4" w:space="0"/>
              <w:left w:val="single" w:color="000000" w:sz="4" w:space="0"/>
              <w:right w:val="single" w:color="000000" w:sz="4" w:space="0"/>
            </w:tcBorders>
            <w:noWrap/>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耗材</w:t>
            </w:r>
          </w:p>
        </w:tc>
        <w:tc>
          <w:tcPr>
            <w:tcW w:w="3403"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纯净水</w:t>
            </w:r>
          </w:p>
        </w:tc>
        <w:tc>
          <w:tcPr>
            <w:tcW w:w="2126" w:type="dxa"/>
            <w:tcBorders>
              <w:top w:val="single" w:color="000000"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w:t>
            </w:r>
          </w:p>
        </w:tc>
        <w:tc>
          <w:tcPr>
            <w:tcW w:w="1276" w:type="dxa"/>
            <w:tcBorders>
              <w:top w:val="single" w:color="000000" w:sz="4" w:space="0"/>
              <w:left w:val="single" w:color="000000"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restart"/>
            <w:tcBorders>
              <w:top w:val="single" w:color="auto" w:sz="4" w:space="0"/>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全年足量提供</w:t>
            </w:r>
          </w:p>
        </w:tc>
      </w:tr>
      <w:tr>
        <w:tblPrEx>
          <w:tblCellMar>
            <w:top w:w="0" w:type="dxa"/>
            <w:left w:w="108" w:type="dxa"/>
            <w:bottom w:w="0" w:type="dxa"/>
            <w:right w:w="108" w:type="dxa"/>
          </w:tblCellMar>
        </w:tblPrEx>
        <w:trPr>
          <w:trHeight w:val="161"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pPr>
          </w:p>
        </w:tc>
        <w:tc>
          <w:tcPr>
            <w:tcW w:w="1009" w:type="dxa"/>
            <w:vMerge w:val="continue"/>
            <w:tcBorders>
              <w:left w:val="single" w:color="000000" w:sz="4" w:space="0"/>
              <w:right w:val="single" w:color="000000" w:sz="4" w:space="0"/>
            </w:tcBorders>
            <w:noWrap/>
            <w:vAlign w:val="center"/>
          </w:tcPr>
          <w:p>
            <w:pPr>
              <w:widowControl/>
              <w:jc w:val="center"/>
              <w:textAlignment w:val="center"/>
            </w:pPr>
          </w:p>
        </w:tc>
        <w:tc>
          <w:tcPr>
            <w:tcW w:w="955" w:type="dxa"/>
            <w:vMerge w:val="restart"/>
            <w:tcBorders>
              <w:top w:val="single" w:color="000000" w:sz="4" w:space="0"/>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试剂</w:t>
            </w:r>
          </w:p>
        </w:tc>
        <w:tc>
          <w:tcPr>
            <w:tcW w:w="2448" w:type="dxa"/>
            <w:vMerge w:val="restart"/>
            <w:tcBorders>
              <w:top w:val="single" w:color="000000" w:sz="4" w:space="0"/>
              <w:left w:val="single" w:color="000000"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COD试剂</w:t>
            </w:r>
          </w:p>
        </w:tc>
        <w:tc>
          <w:tcPr>
            <w:tcW w:w="212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重铬酸钾</w:t>
            </w:r>
          </w:p>
        </w:tc>
        <w:tc>
          <w:tcPr>
            <w:tcW w:w="127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161"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pPr>
          </w:p>
        </w:tc>
        <w:tc>
          <w:tcPr>
            <w:tcW w:w="1009" w:type="dxa"/>
            <w:vMerge w:val="continue"/>
            <w:tcBorders>
              <w:left w:val="single" w:color="000000" w:sz="4" w:space="0"/>
              <w:right w:val="single" w:color="000000" w:sz="4" w:space="0"/>
            </w:tcBorders>
            <w:noWrap/>
            <w:vAlign w:val="center"/>
          </w:tcPr>
          <w:p>
            <w:pPr>
              <w:widowControl/>
              <w:jc w:val="center"/>
              <w:textAlignment w:val="center"/>
            </w:pPr>
          </w:p>
        </w:tc>
        <w:tc>
          <w:tcPr>
            <w:tcW w:w="955" w:type="dxa"/>
            <w:vMerge w:val="continue"/>
            <w:tcBorders>
              <w:left w:val="single" w:color="000000" w:sz="4" w:space="0"/>
              <w:right w:val="single" w:color="000000" w:sz="4" w:space="0"/>
            </w:tcBorders>
            <w:noWrap/>
            <w:vAlign w:val="center"/>
          </w:tcPr>
          <w:p>
            <w:pPr>
              <w:widowControl/>
              <w:jc w:val="center"/>
              <w:textAlignment w:val="center"/>
            </w:pPr>
          </w:p>
        </w:tc>
        <w:tc>
          <w:tcPr>
            <w:tcW w:w="2448" w:type="dxa"/>
            <w:vMerge w:val="continue"/>
            <w:tcBorders>
              <w:left w:val="single" w:color="000000" w:sz="4" w:space="0"/>
              <w:bottom w:val="single" w:color="000000" w:sz="4" w:space="0"/>
              <w:right w:val="single" w:color="auto" w:sz="4" w:space="0"/>
            </w:tcBorders>
            <w:noWrap/>
            <w:vAlign w:val="center"/>
          </w:tcPr>
          <w:p>
            <w:pPr>
              <w:widowControl/>
              <w:jc w:val="center"/>
              <w:textAlignment w:val="center"/>
            </w:pPr>
          </w:p>
        </w:tc>
        <w:tc>
          <w:tcPr>
            <w:tcW w:w="212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硫酸银</w:t>
            </w:r>
          </w:p>
        </w:tc>
        <w:tc>
          <w:tcPr>
            <w:tcW w:w="127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80"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pPr>
          </w:p>
        </w:tc>
        <w:tc>
          <w:tcPr>
            <w:tcW w:w="1009" w:type="dxa"/>
            <w:vMerge w:val="continue"/>
            <w:tcBorders>
              <w:left w:val="single" w:color="000000" w:sz="4" w:space="0"/>
              <w:right w:val="single" w:color="000000" w:sz="4" w:space="0"/>
            </w:tcBorders>
            <w:noWrap/>
            <w:vAlign w:val="center"/>
          </w:tcPr>
          <w:p>
            <w:pPr>
              <w:widowControl/>
              <w:jc w:val="center"/>
              <w:textAlignment w:val="center"/>
            </w:pPr>
          </w:p>
        </w:tc>
        <w:tc>
          <w:tcPr>
            <w:tcW w:w="955" w:type="dxa"/>
            <w:vMerge w:val="continue"/>
            <w:tcBorders>
              <w:left w:val="single" w:color="000000" w:sz="4" w:space="0"/>
              <w:right w:val="single" w:color="000000" w:sz="4" w:space="0"/>
            </w:tcBorders>
            <w:noWrap/>
            <w:vAlign w:val="center"/>
          </w:tcPr>
          <w:p>
            <w:pPr>
              <w:widowControl/>
              <w:jc w:val="center"/>
              <w:textAlignment w:val="center"/>
            </w:pPr>
          </w:p>
        </w:tc>
        <w:tc>
          <w:tcPr>
            <w:tcW w:w="2448" w:type="dxa"/>
            <w:vMerge w:val="restart"/>
            <w:tcBorders>
              <w:top w:val="single" w:color="000000" w:sz="4" w:space="0"/>
              <w:left w:val="single" w:color="000000"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氨氮试剂</w:t>
            </w:r>
          </w:p>
        </w:tc>
        <w:tc>
          <w:tcPr>
            <w:tcW w:w="212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水杨酸</w:t>
            </w:r>
          </w:p>
        </w:tc>
        <w:tc>
          <w:tcPr>
            <w:tcW w:w="127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rPr>
          <w:trHeight w:val="80"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pPr>
          </w:p>
        </w:tc>
        <w:tc>
          <w:tcPr>
            <w:tcW w:w="1009" w:type="dxa"/>
            <w:vMerge w:val="continue"/>
            <w:tcBorders>
              <w:left w:val="single" w:color="000000" w:sz="4" w:space="0"/>
              <w:right w:val="single" w:color="000000" w:sz="4" w:space="0"/>
            </w:tcBorders>
            <w:noWrap/>
            <w:vAlign w:val="center"/>
          </w:tcPr>
          <w:p>
            <w:pPr>
              <w:widowControl/>
              <w:jc w:val="center"/>
              <w:textAlignment w:val="center"/>
            </w:pPr>
          </w:p>
        </w:tc>
        <w:tc>
          <w:tcPr>
            <w:tcW w:w="955" w:type="dxa"/>
            <w:vMerge w:val="continue"/>
            <w:tcBorders>
              <w:left w:val="single" w:color="000000" w:sz="4" w:space="0"/>
              <w:right w:val="single" w:color="000000" w:sz="4" w:space="0"/>
            </w:tcBorders>
            <w:noWrap/>
            <w:vAlign w:val="center"/>
          </w:tcPr>
          <w:p>
            <w:pPr>
              <w:widowControl/>
              <w:jc w:val="center"/>
              <w:textAlignment w:val="center"/>
            </w:pPr>
          </w:p>
        </w:tc>
        <w:tc>
          <w:tcPr>
            <w:tcW w:w="2448" w:type="dxa"/>
            <w:vMerge w:val="continue"/>
            <w:tcBorders>
              <w:left w:val="single" w:color="000000" w:sz="4" w:space="0"/>
              <w:right w:val="single" w:color="auto" w:sz="4" w:space="0"/>
            </w:tcBorders>
            <w:noWrap/>
            <w:vAlign w:val="center"/>
          </w:tcPr>
          <w:p>
            <w:pPr>
              <w:widowControl/>
              <w:jc w:val="center"/>
              <w:textAlignment w:val="center"/>
            </w:pPr>
          </w:p>
        </w:tc>
        <w:tc>
          <w:tcPr>
            <w:tcW w:w="212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ascii="宋体" w:hAnsi="宋体" w:cs="宋体"/>
                <w:color w:val="000000"/>
                <w:sz w:val="23"/>
                <w:szCs w:val="23"/>
              </w:rPr>
              <w:t>亚硝基</w:t>
            </w:r>
            <w:r>
              <w:rPr>
                <w:rFonts w:hint="eastAsia" w:ascii="宋体" w:hAnsi="宋体" w:cs="宋体"/>
                <w:color w:val="000000"/>
                <w:sz w:val="23"/>
                <w:szCs w:val="23"/>
              </w:rPr>
              <w:t>亚</w:t>
            </w:r>
            <w:r>
              <w:rPr>
                <w:rFonts w:ascii="宋体" w:hAnsi="宋体" w:cs="宋体"/>
                <w:color w:val="000000"/>
                <w:sz w:val="23"/>
                <w:szCs w:val="23"/>
              </w:rPr>
              <w:t>铁</w:t>
            </w:r>
            <w:r>
              <w:rPr>
                <w:rFonts w:hint="eastAsia" w:ascii="宋体" w:hAnsi="宋体" w:cs="宋体"/>
                <w:color w:val="000000"/>
                <w:sz w:val="23"/>
                <w:szCs w:val="23"/>
              </w:rPr>
              <w:t>氰</w:t>
            </w:r>
            <w:r>
              <w:rPr>
                <w:rFonts w:ascii="宋体" w:hAnsi="宋体" w:cs="宋体"/>
                <w:color w:val="000000"/>
                <w:sz w:val="23"/>
                <w:szCs w:val="23"/>
              </w:rPr>
              <w:t>化钠</w:t>
            </w:r>
          </w:p>
        </w:tc>
        <w:tc>
          <w:tcPr>
            <w:tcW w:w="127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80"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1009"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955"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2448" w:type="dxa"/>
            <w:vMerge w:val="continue"/>
            <w:tcBorders>
              <w:left w:val="single" w:color="000000"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212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ascii="宋体" w:hAnsi="宋体" w:cs="宋体"/>
                <w:color w:val="000000"/>
                <w:sz w:val="23"/>
                <w:szCs w:val="23"/>
              </w:rPr>
              <w:t>柠檬酸三钠</w:t>
            </w:r>
          </w:p>
        </w:tc>
        <w:tc>
          <w:tcPr>
            <w:tcW w:w="127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80"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1009"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955"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2448" w:type="dxa"/>
            <w:vMerge w:val="continue"/>
            <w:tcBorders>
              <w:left w:val="single" w:color="000000" w:sz="4" w:space="0"/>
              <w:bottom w:val="single" w:color="000000"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212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盐酸</w:t>
            </w:r>
          </w:p>
        </w:tc>
        <w:tc>
          <w:tcPr>
            <w:tcW w:w="127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107"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pPr>
          </w:p>
        </w:tc>
        <w:tc>
          <w:tcPr>
            <w:tcW w:w="1009" w:type="dxa"/>
            <w:vMerge w:val="continue"/>
            <w:tcBorders>
              <w:left w:val="single" w:color="000000" w:sz="4" w:space="0"/>
              <w:right w:val="single" w:color="000000" w:sz="4" w:space="0"/>
            </w:tcBorders>
            <w:noWrap/>
            <w:vAlign w:val="center"/>
          </w:tcPr>
          <w:p>
            <w:pPr>
              <w:widowControl/>
              <w:jc w:val="center"/>
              <w:textAlignment w:val="center"/>
            </w:pPr>
          </w:p>
        </w:tc>
        <w:tc>
          <w:tcPr>
            <w:tcW w:w="955" w:type="dxa"/>
            <w:vMerge w:val="continue"/>
            <w:tcBorders>
              <w:left w:val="single" w:color="000000" w:sz="4" w:space="0"/>
              <w:bottom w:val="single" w:color="000000" w:sz="4" w:space="0"/>
              <w:right w:val="single" w:color="000000" w:sz="4" w:space="0"/>
            </w:tcBorders>
            <w:noWrap/>
            <w:vAlign w:val="center"/>
          </w:tcPr>
          <w:p>
            <w:pPr>
              <w:widowControl/>
              <w:jc w:val="center"/>
              <w:textAlignment w:val="center"/>
            </w:pPr>
          </w:p>
        </w:tc>
        <w:tc>
          <w:tcPr>
            <w:tcW w:w="2448" w:type="dxa"/>
            <w:vMerge w:val="restart"/>
            <w:tcBorders>
              <w:left w:val="single" w:color="000000" w:sz="4" w:space="0"/>
              <w:right w:val="single" w:color="auto" w:sz="4" w:space="0"/>
            </w:tcBorders>
            <w:noWrap/>
            <w:vAlign w:val="center"/>
          </w:tcPr>
          <w:p>
            <w:pPr>
              <w:widowControl/>
              <w:jc w:val="center"/>
              <w:textAlignment w:val="center"/>
            </w:pPr>
            <w:r>
              <w:rPr>
                <w:rFonts w:hint="eastAsia" w:ascii="宋体" w:hAnsi="宋体" w:cs="宋体"/>
                <w:kern w:val="0"/>
                <w:sz w:val="24"/>
                <w:lang w:bidi="ar"/>
              </w:rPr>
              <w:t>磷酸盐试剂</w:t>
            </w:r>
          </w:p>
        </w:tc>
        <w:tc>
          <w:tcPr>
            <w:tcW w:w="212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ascii="宋体" w:hAnsi="宋体" w:cs="宋体"/>
                <w:color w:val="000000"/>
                <w:sz w:val="23"/>
                <w:szCs w:val="23"/>
              </w:rPr>
              <w:t>硫酸钾</w:t>
            </w:r>
          </w:p>
        </w:tc>
        <w:tc>
          <w:tcPr>
            <w:tcW w:w="127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107"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pPr>
          </w:p>
        </w:tc>
        <w:tc>
          <w:tcPr>
            <w:tcW w:w="1009" w:type="dxa"/>
            <w:vMerge w:val="continue"/>
            <w:tcBorders>
              <w:left w:val="single" w:color="000000" w:sz="4" w:space="0"/>
              <w:right w:val="single" w:color="000000" w:sz="4" w:space="0"/>
            </w:tcBorders>
            <w:noWrap/>
            <w:vAlign w:val="center"/>
          </w:tcPr>
          <w:p>
            <w:pPr>
              <w:widowControl/>
              <w:jc w:val="center"/>
              <w:textAlignment w:val="center"/>
            </w:pPr>
          </w:p>
        </w:tc>
        <w:tc>
          <w:tcPr>
            <w:tcW w:w="955" w:type="dxa"/>
            <w:vMerge w:val="continue"/>
            <w:tcBorders>
              <w:left w:val="single" w:color="000000" w:sz="4" w:space="0"/>
              <w:bottom w:val="single" w:color="000000" w:sz="4" w:space="0"/>
              <w:right w:val="single" w:color="000000" w:sz="4" w:space="0"/>
            </w:tcBorders>
            <w:noWrap/>
            <w:vAlign w:val="center"/>
          </w:tcPr>
          <w:p>
            <w:pPr>
              <w:widowControl/>
              <w:jc w:val="center"/>
              <w:textAlignment w:val="center"/>
            </w:pPr>
          </w:p>
        </w:tc>
        <w:tc>
          <w:tcPr>
            <w:tcW w:w="2448" w:type="dxa"/>
            <w:vMerge w:val="continue"/>
            <w:tcBorders>
              <w:left w:val="single" w:color="000000" w:sz="4" w:space="0"/>
              <w:right w:val="single" w:color="auto" w:sz="4" w:space="0"/>
            </w:tcBorders>
            <w:noWrap/>
            <w:vAlign w:val="center"/>
          </w:tcPr>
          <w:p>
            <w:pPr>
              <w:widowControl/>
              <w:jc w:val="center"/>
              <w:textAlignment w:val="center"/>
            </w:pPr>
          </w:p>
        </w:tc>
        <w:tc>
          <w:tcPr>
            <w:tcW w:w="212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钼酸胺</w:t>
            </w:r>
          </w:p>
        </w:tc>
        <w:tc>
          <w:tcPr>
            <w:tcW w:w="127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107"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1009"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955" w:type="dxa"/>
            <w:vMerge w:val="continue"/>
            <w:tcBorders>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2448" w:type="dxa"/>
            <w:vMerge w:val="continue"/>
            <w:tcBorders>
              <w:left w:val="single" w:color="000000" w:sz="4" w:space="0"/>
              <w:bottom w:val="single" w:color="000000"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212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抗坏血酸</w:t>
            </w:r>
          </w:p>
        </w:tc>
        <w:tc>
          <w:tcPr>
            <w:tcW w:w="127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107"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1009"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955" w:type="dxa"/>
            <w:vMerge w:val="restart"/>
            <w:tcBorders>
              <w:top w:val="single" w:color="000000" w:sz="4" w:space="0"/>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标准溶液</w:t>
            </w:r>
          </w:p>
        </w:tc>
        <w:tc>
          <w:tcPr>
            <w:tcW w:w="244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COD量程液、核查液</w:t>
            </w:r>
          </w:p>
        </w:tc>
        <w:tc>
          <w:tcPr>
            <w:tcW w:w="2126" w:type="dxa"/>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w:t>
            </w:r>
          </w:p>
        </w:tc>
        <w:tc>
          <w:tcPr>
            <w:tcW w:w="1276" w:type="dxa"/>
            <w:tcBorders>
              <w:top w:val="single" w:color="auto" w:sz="4" w:space="0"/>
              <w:left w:val="single" w:color="000000"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107"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pPr>
          </w:p>
        </w:tc>
        <w:tc>
          <w:tcPr>
            <w:tcW w:w="1009" w:type="dxa"/>
            <w:vMerge w:val="continue"/>
            <w:tcBorders>
              <w:left w:val="single" w:color="000000" w:sz="4" w:space="0"/>
              <w:right w:val="single" w:color="000000" w:sz="4" w:space="0"/>
            </w:tcBorders>
            <w:noWrap/>
            <w:vAlign w:val="center"/>
          </w:tcPr>
          <w:p>
            <w:pPr>
              <w:widowControl/>
              <w:jc w:val="center"/>
              <w:textAlignment w:val="center"/>
            </w:pPr>
          </w:p>
        </w:tc>
        <w:tc>
          <w:tcPr>
            <w:tcW w:w="955" w:type="dxa"/>
            <w:vMerge w:val="continue"/>
            <w:tcBorders>
              <w:left w:val="single" w:color="000000" w:sz="4" w:space="0"/>
              <w:right w:val="single" w:color="000000" w:sz="4" w:space="0"/>
            </w:tcBorders>
            <w:noWrap/>
            <w:vAlign w:val="center"/>
          </w:tcPr>
          <w:p>
            <w:pPr>
              <w:widowControl/>
              <w:jc w:val="center"/>
              <w:textAlignment w:val="center"/>
            </w:pPr>
          </w:p>
        </w:tc>
        <w:tc>
          <w:tcPr>
            <w:tcW w:w="244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氨氮量程液、核查液</w:t>
            </w:r>
          </w:p>
        </w:tc>
        <w:tc>
          <w:tcPr>
            <w:tcW w:w="2126" w:type="dxa"/>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w:t>
            </w:r>
          </w:p>
        </w:tc>
        <w:tc>
          <w:tcPr>
            <w:tcW w:w="1276" w:type="dxa"/>
            <w:tcBorders>
              <w:top w:val="single" w:color="auto" w:sz="4" w:space="0"/>
              <w:left w:val="single" w:color="000000"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107" w:hRule="atLeast"/>
          <w:jc w:val="center"/>
        </w:trPr>
        <w:tc>
          <w:tcPr>
            <w:tcW w:w="828" w:type="dxa"/>
            <w:vMerge w:val="continue"/>
            <w:tcBorders>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1009"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955" w:type="dxa"/>
            <w:vMerge w:val="continue"/>
            <w:tcBorders>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244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磷酸盐量程液、核查液</w:t>
            </w:r>
          </w:p>
        </w:tc>
        <w:tc>
          <w:tcPr>
            <w:tcW w:w="2126" w:type="dxa"/>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w:t>
            </w:r>
          </w:p>
        </w:tc>
        <w:tc>
          <w:tcPr>
            <w:tcW w:w="1276" w:type="dxa"/>
            <w:tcBorders>
              <w:top w:val="single" w:color="auto" w:sz="4" w:space="0"/>
              <w:left w:val="single" w:color="000000"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2041" w:type="dxa"/>
            <w:vMerge w:val="continue"/>
            <w:tcBorders>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289" w:hRule="atLeast"/>
          <w:jc w:val="center"/>
        </w:trPr>
        <w:tc>
          <w:tcPr>
            <w:tcW w:w="828"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b/>
                <w:bCs/>
                <w:kern w:val="0"/>
                <w:sz w:val="24"/>
                <w:lang w:bidi="ar"/>
              </w:rPr>
              <w:t>三</w:t>
            </w:r>
          </w:p>
        </w:tc>
        <w:tc>
          <w:tcPr>
            <w:tcW w:w="4412"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维修</w:t>
            </w:r>
          </w:p>
        </w:tc>
        <w:tc>
          <w:tcPr>
            <w:tcW w:w="2126" w:type="dxa"/>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76" w:type="dxa"/>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2041" w:type="dxa"/>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含单次2000元</w:t>
            </w:r>
            <w:r>
              <w:rPr>
                <w:rFonts w:hint="eastAsia" w:hAnsi="宋体" w:cs="宋体"/>
                <w:kern w:val="0"/>
                <w:sz w:val="24"/>
                <w:lang w:bidi="ar"/>
              </w:rPr>
              <w:t>及2000</w:t>
            </w:r>
            <w:r>
              <w:rPr>
                <w:rFonts w:hint="eastAsia" w:ascii="宋体" w:hAnsi="宋体" w:cs="宋体"/>
                <w:kern w:val="0"/>
                <w:sz w:val="24"/>
                <w:lang w:bidi="ar"/>
              </w:rPr>
              <w:t>以下耗材和配件费</w:t>
            </w:r>
          </w:p>
        </w:tc>
      </w:tr>
      <w:tr>
        <w:tblPrEx>
          <w:tblCellMar>
            <w:top w:w="0" w:type="dxa"/>
            <w:left w:w="108" w:type="dxa"/>
            <w:bottom w:w="0" w:type="dxa"/>
            <w:right w:w="108" w:type="dxa"/>
          </w:tblCellMar>
        </w:tblPrEx>
        <w:trPr>
          <w:trHeight w:val="251" w:hRule="atLeast"/>
          <w:jc w:val="center"/>
        </w:trPr>
        <w:tc>
          <w:tcPr>
            <w:tcW w:w="828"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四</w:t>
            </w:r>
          </w:p>
        </w:tc>
        <w:tc>
          <w:tcPr>
            <w:tcW w:w="4412"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交通</w:t>
            </w:r>
          </w:p>
        </w:tc>
        <w:tc>
          <w:tcPr>
            <w:tcW w:w="212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2041" w:type="dxa"/>
            <w:tcBorders>
              <w:top w:val="single" w:color="000000" w:sz="4" w:space="0"/>
              <w:left w:val="single" w:color="000000" w:sz="4" w:space="0"/>
              <w:bottom w:val="single" w:color="000000" w:sz="4" w:space="0"/>
              <w:right w:val="single" w:color="000000" w:sz="4" w:space="0"/>
            </w:tcBorders>
            <w:noWrap/>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包年</w:t>
            </w:r>
          </w:p>
        </w:tc>
      </w:tr>
      <w:tr>
        <w:tblPrEx>
          <w:tblCellMar>
            <w:top w:w="0" w:type="dxa"/>
            <w:left w:w="108" w:type="dxa"/>
            <w:bottom w:w="0" w:type="dxa"/>
            <w:right w:w="108" w:type="dxa"/>
          </w:tblCellMar>
        </w:tblPrEx>
        <w:trPr>
          <w:trHeight w:val="343" w:hRule="atLeast"/>
          <w:jc w:val="center"/>
        </w:trPr>
        <w:tc>
          <w:tcPr>
            <w:tcW w:w="828"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五</w:t>
            </w:r>
          </w:p>
        </w:tc>
        <w:tc>
          <w:tcPr>
            <w:tcW w:w="4412"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标识</w:t>
            </w:r>
          </w:p>
        </w:tc>
        <w:tc>
          <w:tcPr>
            <w:tcW w:w="212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项</w:t>
            </w:r>
          </w:p>
        </w:tc>
        <w:tc>
          <w:tcPr>
            <w:tcW w:w="2041" w:type="dxa"/>
            <w:tcBorders>
              <w:top w:val="single" w:color="000000" w:sz="4" w:space="0"/>
              <w:left w:val="single" w:color="000000" w:sz="4" w:space="0"/>
              <w:bottom w:val="single" w:color="000000" w:sz="4" w:space="0"/>
              <w:right w:val="single" w:color="000000" w:sz="4" w:space="0"/>
            </w:tcBorders>
            <w:noWrap/>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包年</w:t>
            </w:r>
          </w:p>
        </w:tc>
      </w:tr>
      <w:tr>
        <w:tblPrEx>
          <w:tblCellMar>
            <w:top w:w="0" w:type="dxa"/>
            <w:left w:w="108" w:type="dxa"/>
            <w:bottom w:w="0" w:type="dxa"/>
            <w:right w:w="108" w:type="dxa"/>
          </w:tblCellMar>
        </w:tblPrEx>
        <w:trPr>
          <w:trHeight w:val="276" w:hRule="atLeast"/>
          <w:jc w:val="center"/>
        </w:trPr>
        <w:tc>
          <w:tcPr>
            <w:tcW w:w="828"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六</w:t>
            </w:r>
          </w:p>
        </w:tc>
        <w:tc>
          <w:tcPr>
            <w:tcW w:w="4412"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资料</w:t>
            </w:r>
          </w:p>
        </w:tc>
        <w:tc>
          <w:tcPr>
            <w:tcW w:w="212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项</w:t>
            </w:r>
          </w:p>
        </w:tc>
        <w:tc>
          <w:tcPr>
            <w:tcW w:w="2041" w:type="dxa"/>
            <w:tcBorders>
              <w:top w:val="single" w:color="000000" w:sz="4" w:space="0"/>
              <w:left w:val="single" w:color="000000" w:sz="4" w:space="0"/>
              <w:bottom w:val="single" w:color="000000" w:sz="4" w:space="0"/>
              <w:right w:val="single" w:color="000000" w:sz="4" w:space="0"/>
            </w:tcBorders>
            <w:noWrap/>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包年</w:t>
            </w:r>
          </w:p>
        </w:tc>
      </w:tr>
      <w:tr>
        <w:tblPrEx>
          <w:tblCellMar>
            <w:top w:w="0" w:type="dxa"/>
            <w:left w:w="108" w:type="dxa"/>
            <w:bottom w:w="0" w:type="dxa"/>
            <w:right w:w="108" w:type="dxa"/>
          </w:tblCellMar>
        </w:tblPrEx>
        <w:trPr>
          <w:trHeight w:val="237" w:hRule="atLeast"/>
          <w:jc w:val="center"/>
        </w:trPr>
        <w:tc>
          <w:tcPr>
            <w:tcW w:w="828"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七</w:t>
            </w:r>
          </w:p>
        </w:tc>
        <w:tc>
          <w:tcPr>
            <w:tcW w:w="4412"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办公</w:t>
            </w:r>
          </w:p>
        </w:tc>
        <w:tc>
          <w:tcPr>
            <w:tcW w:w="212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204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包年</w:t>
            </w:r>
          </w:p>
        </w:tc>
      </w:tr>
      <w:tr>
        <w:tblPrEx>
          <w:tblCellMar>
            <w:top w:w="0" w:type="dxa"/>
            <w:left w:w="108" w:type="dxa"/>
            <w:bottom w:w="0" w:type="dxa"/>
            <w:right w:w="108" w:type="dxa"/>
          </w:tblCellMar>
        </w:tblPrEx>
        <w:trPr>
          <w:trHeight w:val="213" w:hRule="atLeast"/>
          <w:jc w:val="center"/>
        </w:trPr>
        <w:tc>
          <w:tcPr>
            <w:tcW w:w="828"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八</w:t>
            </w:r>
          </w:p>
        </w:tc>
        <w:tc>
          <w:tcPr>
            <w:tcW w:w="4412"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专线</w:t>
            </w:r>
          </w:p>
        </w:tc>
        <w:tc>
          <w:tcPr>
            <w:tcW w:w="212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条</w:t>
            </w:r>
          </w:p>
        </w:tc>
        <w:tc>
          <w:tcPr>
            <w:tcW w:w="204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1</w:t>
            </w:r>
          </w:p>
        </w:tc>
      </w:tr>
      <w:tr>
        <w:tblPrEx>
          <w:tblCellMar>
            <w:top w:w="0" w:type="dxa"/>
            <w:left w:w="108" w:type="dxa"/>
            <w:bottom w:w="0" w:type="dxa"/>
            <w:right w:w="108" w:type="dxa"/>
          </w:tblCellMar>
        </w:tblPrEx>
        <w:trPr>
          <w:trHeight w:val="124" w:hRule="atLeast"/>
          <w:jc w:val="center"/>
        </w:trPr>
        <w:tc>
          <w:tcPr>
            <w:tcW w:w="828"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九</w:t>
            </w:r>
          </w:p>
        </w:tc>
        <w:tc>
          <w:tcPr>
            <w:tcW w:w="4412"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流量卡</w:t>
            </w:r>
          </w:p>
        </w:tc>
        <w:tc>
          <w:tcPr>
            <w:tcW w:w="212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76"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204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1</w:t>
            </w:r>
          </w:p>
        </w:tc>
      </w:tr>
    </w:tbl>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三、技术要求</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（一）VOC在线监测设备运维</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1、运维标准</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1.1 污染源在线自动监控（监测）系统数据传输标准（HJ 212-2017）</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1.2 HJ 76-2017固定污染源排放烟气连续监测系统技术要求及检测方法</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1.3 HJ 75-2017固定污染源排放烟气连续监测技术规范</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1.4 HJ 1013-2018 固定污染源废气非甲烷总烃连续监测系统技术要求及检测方法</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1.5 HJ 1286-2023固定污染源废气 非甲烷总烃连续监测技术规范</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2、若生态环境部或生态环境厅发布最新标准，以最新标准为准。</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3、设备调试、比对、验收执行大同市生态环境局有关规定。</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（二）废水在线监测设备运维</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1、运维标准</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1.1 污染源在线自动监控（监测）系统数据传输标准（HJ 212-2017）</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1.2 《水污染源在线监测系统（CODCr、NH3-N 等）运行技术规范》（HJ 355-2019）</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1.3 2050污染源废水在线监测系统运行维护质量控制技术规范</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2、若生态环境部或生态环境厅发布最新标准，以最新标准为准。</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（三）应急服务</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1、如遇政府生态环境部门检查，运维单位必须安排专人来现场服务。</w:t>
      </w:r>
    </w:p>
    <w:p>
      <w:r>
        <w:rPr>
          <w:rFonts w:hint="eastAsia" w:asciiTheme="minorEastAsia" w:hAnsiTheme="minorEastAsia" w:eastAsiaTheme="minorEastAsia" w:cstheme="minorEastAsia"/>
          <w:sz w:val="24"/>
          <w:szCs w:val="24"/>
        </w:rPr>
        <w:t>2、如在线监测设备发生故障或数据传输异常，运维单位必须在接到通知后2小时内到达现场。</w:t>
      </w:r>
    </w:p>
    <w:p>
      <w:pPr>
        <w:rPr>
          <w:rFonts w:ascii="Calibri" w:hAnsi="Calibri"/>
          <w:b/>
          <w:bCs/>
          <w:kern w:val="44"/>
          <w:sz w:val="44"/>
          <w:szCs w:val="44"/>
        </w:rPr>
      </w:pPr>
      <w:r>
        <w:rPr>
          <w:rFonts w:hint="eastAsia" w:ascii="Calibri" w:hAnsi="Calibri"/>
          <w:b/>
          <w:bCs/>
          <w:kern w:val="44"/>
          <w:sz w:val="44"/>
          <w:szCs w:val="44"/>
        </w:rPr>
        <w:br w:type="page"/>
      </w:r>
    </w:p>
    <w:p>
      <w:pPr>
        <w:jc w:val="center"/>
        <w:rPr>
          <w:rFonts w:ascii="Calibri" w:hAnsi="Calibri"/>
          <w:b/>
          <w:bCs/>
          <w:kern w:val="44"/>
          <w:sz w:val="44"/>
          <w:szCs w:val="44"/>
        </w:rPr>
      </w:pPr>
      <w:r>
        <w:rPr>
          <w:rFonts w:hint="eastAsia" w:ascii="Calibri" w:hAnsi="Calibri"/>
          <w:b/>
          <w:bCs/>
          <w:kern w:val="44"/>
          <w:sz w:val="44"/>
          <w:szCs w:val="44"/>
        </w:rPr>
        <w:t>评分标准</w:t>
      </w:r>
    </w:p>
    <w:p>
      <w:pPr>
        <w:spacing w:line="360" w:lineRule="auto"/>
        <w:ind w:right="2" w:firstLine="480" w:firstLineChars="200"/>
        <w:rPr>
          <w:rFonts w:hint="eastAsia" w:ascii="宋体" w:hAnsi="宋体" w:cs="宋体"/>
          <w:color w:val="000000"/>
          <w:sz w:val="24"/>
          <w:szCs w:val="24"/>
        </w:rPr>
      </w:pPr>
      <w:r>
        <w:rPr>
          <w:rFonts w:hint="eastAsia" w:ascii="宋体" w:hAnsi="宋体" w:cs="宋体"/>
          <w:color w:val="000000"/>
          <w:sz w:val="24"/>
          <w:szCs w:val="24"/>
        </w:rPr>
        <w:t>采用合理最低价评标法</w:t>
      </w:r>
    </w:p>
    <w:p>
      <w:pPr>
        <w:rPr>
          <w:rFonts w:ascii="Calibri" w:hAnsi="Calibri"/>
          <w:b/>
          <w:bCs/>
          <w:kern w:val="44"/>
          <w:sz w:val="44"/>
          <w:szCs w:val="44"/>
        </w:rPr>
      </w:pPr>
      <w:r>
        <w:rPr>
          <w:rFonts w:hint="eastAsia" w:ascii="宋体" w:hAnsi="宋体" w:cs="宋体"/>
          <w:color w:val="000000"/>
          <w:sz w:val="24"/>
          <w:szCs w:val="24"/>
        </w:rPr>
        <w:t>由招标人组成的评标委员会负责，进行商务谈判，本着公平、公正、公开、有序的原则，在最大限度地满足招标文件实质性要求的前提下，磋商项目价格，满足要求后，最终确定中标人。</w:t>
      </w:r>
      <w:r>
        <w:rPr>
          <w:rFonts w:hint="eastAsia" w:ascii="Calibri" w:hAnsi="Calibri"/>
          <w:b/>
          <w:bCs/>
          <w:kern w:val="44"/>
          <w:sz w:val="44"/>
          <w:szCs w:val="44"/>
        </w:rPr>
        <w:br w:type="page"/>
      </w:r>
    </w:p>
    <w:p>
      <w:pPr>
        <w:keepNext/>
        <w:keepLines/>
        <w:jc w:val="center"/>
        <w:outlineLvl w:val="0"/>
        <w:rPr>
          <w:rFonts w:ascii="Calibri" w:hAnsi="Calibri"/>
          <w:b/>
          <w:bCs/>
          <w:kern w:val="44"/>
          <w:sz w:val="44"/>
          <w:szCs w:val="44"/>
        </w:rPr>
      </w:pPr>
      <w:r>
        <w:rPr>
          <w:rFonts w:hint="eastAsia" w:ascii="Calibri" w:hAnsi="Calibri"/>
          <w:b/>
          <w:bCs/>
          <w:kern w:val="44"/>
          <w:sz w:val="44"/>
          <w:szCs w:val="44"/>
        </w:rPr>
        <w:t>第三部分 投标文件附件</w:t>
      </w:r>
    </w:p>
    <w:p>
      <w:pPr>
        <w:keepNext/>
        <w:keepLines/>
        <w:rPr>
          <w:b/>
          <w:bCs/>
          <w:color w:val="000000"/>
          <w:sz w:val="24"/>
          <w:szCs w:val="24"/>
        </w:rPr>
      </w:pPr>
    </w:p>
    <w:p>
      <w:pPr>
        <w:pStyle w:val="2"/>
        <w:rPr>
          <w:rFonts w:ascii="Times New Roman" w:hAnsi="Times New Roman" w:eastAsia="宋体"/>
          <w:b/>
          <w:bCs/>
          <w:color w:val="000000"/>
          <w:szCs w:val="24"/>
        </w:rPr>
      </w:pPr>
    </w:p>
    <w:p>
      <w:pPr>
        <w:spacing w:line="420" w:lineRule="exact"/>
        <w:ind w:firstLine="480" w:firstLineChars="200"/>
        <w:rPr>
          <w:rFonts w:hint="eastAsia" w:ascii="宋体" w:hAnsi="宋体" w:cs="宋体"/>
          <w:sz w:val="24"/>
          <w:szCs w:val="24"/>
        </w:rPr>
      </w:pPr>
      <w:r>
        <w:rPr>
          <w:rFonts w:hint="eastAsia" w:ascii="宋体" w:hAnsi="宋体" w:cs="宋体"/>
          <w:sz w:val="24"/>
          <w:szCs w:val="24"/>
        </w:rPr>
        <w:t>说明：</w:t>
      </w:r>
    </w:p>
    <w:p>
      <w:pPr>
        <w:spacing w:line="420" w:lineRule="exact"/>
        <w:ind w:firstLine="480" w:firstLineChars="200"/>
        <w:rPr>
          <w:rFonts w:hint="eastAsia" w:ascii="宋体" w:hAnsi="宋体" w:cs="宋体"/>
          <w:sz w:val="24"/>
          <w:szCs w:val="24"/>
        </w:rPr>
      </w:pPr>
      <w:r>
        <w:rPr>
          <w:rFonts w:hint="eastAsia" w:ascii="宋体" w:hAnsi="宋体" w:cs="宋体"/>
          <w:sz w:val="24"/>
          <w:szCs w:val="24"/>
        </w:rPr>
        <w:t>1.投标人须认真填写和提交本部分中的附件文件；</w:t>
      </w:r>
    </w:p>
    <w:p>
      <w:pPr>
        <w:spacing w:line="420" w:lineRule="exact"/>
        <w:ind w:firstLine="480" w:firstLineChars="200"/>
        <w:rPr>
          <w:rFonts w:hint="eastAsia" w:ascii="宋体" w:hAnsi="宋体" w:cs="宋体"/>
          <w:sz w:val="24"/>
          <w:szCs w:val="24"/>
        </w:rPr>
      </w:pPr>
      <w:r>
        <w:rPr>
          <w:rFonts w:hint="eastAsia" w:ascii="宋体" w:hAnsi="宋体" w:cs="宋体"/>
          <w:sz w:val="24"/>
          <w:szCs w:val="24"/>
        </w:rPr>
        <w:t>2.对附件文件中所要求的内容应给予明确的答复；</w:t>
      </w:r>
    </w:p>
    <w:p>
      <w:pPr>
        <w:spacing w:line="420" w:lineRule="exact"/>
        <w:ind w:firstLine="480" w:firstLineChars="200"/>
        <w:rPr>
          <w:rFonts w:hint="eastAsia" w:ascii="宋体" w:hAnsi="宋体" w:cs="宋体"/>
          <w:sz w:val="24"/>
          <w:szCs w:val="24"/>
        </w:rPr>
      </w:pPr>
      <w:r>
        <w:rPr>
          <w:rFonts w:hint="eastAsia" w:ascii="宋体" w:hAnsi="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cs="宋体"/>
          <w:sz w:val="24"/>
          <w:szCs w:val="24"/>
        </w:rPr>
      </w:pPr>
      <w:r>
        <w:rPr>
          <w:rFonts w:hint="eastAsia" w:ascii="宋体" w:hAnsi="宋体" w:cs="宋体"/>
          <w:sz w:val="24"/>
          <w:szCs w:val="24"/>
        </w:rPr>
        <w:t>4.招标人将对投标人提交的文件、资料等内容予以保密，但不退还；</w:t>
      </w:r>
    </w:p>
    <w:p>
      <w:pPr>
        <w:spacing w:line="420" w:lineRule="exact"/>
        <w:ind w:firstLine="480" w:firstLineChars="200"/>
        <w:rPr>
          <w:rFonts w:hint="eastAsia" w:ascii="宋体" w:hAnsi="宋体" w:cs="宋体"/>
          <w:sz w:val="24"/>
          <w:szCs w:val="24"/>
        </w:rPr>
      </w:pPr>
      <w:r>
        <w:rPr>
          <w:rFonts w:hint="eastAsia" w:ascii="宋体" w:hAnsi="宋体" w:cs="宋体"/>
          <w:sz w:val="24"/>
          <w:szCs w:val="24"/>
        </w:rPr>
        <w:t>5.所有附件文件应以中文书写，作为投标文件的组成部分。</w:t>
      </w: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keepNext/>
        <w:keepLines/>
        <w:outlineLvl w:val="2"/>
        <w:rPr>
          <w:rFonts w:hint="eastAsia" w:asciiTheme="minorEastAsia" w:hAnsiTheme="minorEastAsia" w:eastAsiaTheme="minorEastAsia" w:cstheme="minorEastAsia"/>
          <w:b/>
          <w:sz w:val="24"/>
          <w:szCs w:val="24"/>
        </w:rPr>
      </w:pPr>
    </w:p>
    <w:p>
      <w:pPr>
        <w:spacing w:line="360" w:lineRule="auto"/>
        <w:rPr>
          <w:rFonts w:hint="eastAsia" w:ascii="仿宋" w:hAnsi="仿宋" w:eastAsia="仿宋"/>
          <w:b/>
          <w:bCs/>
          <w:sz w:val="28"/>
        </w:rPr>
      </w:pPr>
    </w:p>
    <w:p>
      <w:pPr>
        <w:rPr>
          <w:rFonts w:hint="eastAsia" w:ascii="仿宋" w:hAnsi="仿宋" w:eastAsia="仿宋"/>
          <w:b/>
          <w:bCs/>
          <w:sz w:val="28"/>
        </w:rPr>
      </w:pPr>
      <w:r>
        <w:rPr>
          <w:rFonts w:hint="eastAsia" w:ascii="仿宋" w:hAnsi="仿宋" w:eastAsia="仿宋"/>
          <w:b/>
          <w:bCs/>
          <w:sz w:val="28"/>
        </w:rPr>
        <w:br w:type="page"/>
      </w:r>
    </w:p>
    <w:p>
      <w:pPr>
        <w:spacing w:line="360" w:lineRule="auto"/>
        <w:rPr>
          <w:rFonts w:hint="eastAsia" w:ascii="宋体" w:hAnsi="宋体"/>
          <w:b/>
          <w:bCs/>
          <w:sz w:val="28"/>
        </w:rPr>
      </w:pPr>
      <w:r>
        <w:rPr>
          <w:rFonts w:hint="eastAsia" w:ascii="宋体" w:hAnsi="宋体"/>
          <w:b/>
          <w:bCs/>
          <w:sz w:val="28"/>
        </w:rPr>
        <w:t>附件1</w:t>
      </w:r>
    </w:p>
    <w:p>
      <w:pPr>
        <w:jc w:val="center"/>
        <w:rPr>
          <w:rFonts w:ascii="Calibri" w:hAnsi="Calibri" w:eastAsia="黑体"/>
          <w:b/>
          <w:bCs/>
          <w:sz w:val="28"/>
          <w:szCs w:val="28"/>
        </w:rPr>
      </w:pPr>
      <w:r>
        <w:rPr>
          <w:rFonts w:hint="eastAsia" w:ascii="Calibri" w:hAnsi="Calibri" w:eastAsia="黑体"/>
          <w:b/>
          <w:bCs/>
          <w:sz w:val="28"/>
          <w:szCs w:val="28"/>
        </w:rPr>
        <w:t>投标书</w:t>
      </w:r>
    </w:p>
    <w:p>
      <w:pPr>
        <w:rPr>
          <w:rFonts w:ascii="宋体" w:hAnsi="Calibri"/>
          <w:sz w:val="24"/>
          <w:szCs w:val="24"/>
          <w:u w:val="single"/>
        </w:rPr>
      </w:pPr>
      <w:r>
        <w:rPr>
          <w:rFonts w:hint="eastAsia" w:ascii="宋体" w:hAnsi="Calibri"/>
          <w:sz w:val="24"/>
          <w:szCs w:val="24"/>
        </w:rPr>
        <w:t>致</w:t>
      </w:r>
      <w:r>
        <w:rPr>
          <w:rFonts w:hint="eastAsia" w:ascii="宋体" w:hAnsi="Calibri"/>
          <w:sz w:val="24"/>
          <w:szCs w:val="24"/>
          <w:u w:val="single"/>
        </w:rPr>
        <w:t>（招标人名称）                            ：</w:t>
      </w:r>
    </w:p>
    <w:p>
      <w:pPr>
        <w:ind w:firstLine="645"/>
        <w:rPr>
          <w:rFonts w:ascii="宋体" w:hAnsi="Calibri"/>
          <w:sz w:val="24"/>
          <w:szCs w:val="24"/>
        </w:rPr>
      </w:pPr>
      <w:r>
        <w:rPr>
          <w:rFonts w:hint="eastAsia" w:ascii="宋体" w:hAnsi="Calibri"/>
          <w:sz w:val="24"/>
          <w:szCs w:val="24"/>
        </w:rPr>
        <w:t>根据贵方为（</w:t>
      </w:r>
      <w:r>
        <w:rPr>
          <w:rFonts w:hint="eastAsia" w:ascii="宋体" w:hAnsi="Calibri"/>
          <w:sz w:val="24"/>
          <w:szCs w:val="24"/>
          <w:u w:val="single"/>
        </w:rPr>
        <w:t xml:space="preserve">项目名称）                         </w:t>
      </w:r>
      <w:r>
        <w:rPr>
          <w:rFonts w:hint="eastAsia" w:ascii="宋体" w:hAnsi="Calibri"/>
          <w:sz w:val="24"/>
          <w:szCs w:val="24"/>
        </w:rPr>
        <w:t>招标书，签字代表</w:t>
      </w:r>
      <w:r>
        <w:rPr>
          <w:rFonts w:hint="eastAsia" w:ascii="宋体" w:hAnsi="Calibri"/>
          <w:sz w:val="24"/>
          <w:szCs w:val="24"/>
          <w:u w:val="single"/>
        </w:rPr>
        <w:t xml:space="preserve">（全名、职务）           </w:t>
      </w:r>
      <w:r>
        <w:rPr>
          <w:rFonts w:hint="eastAsia" w:ascii="宋体" w:hAnsi="Calibri"/>
          <w:sz w:val="24"/>
          <w:szCs w:val="24"/>
        </w:rPr>
        <w:t>经正式授权并代表投标人</w:t>
      </w:r>
      <w:r>
        <w:rPr>
          <w:rFonts w:hint="eastAsia" w:ascii="宋体" w:hAnsi="Calibri"/>
          <w:sz w:val="24"/>
          <w:szCs w:val="24"/>
          <w:u w:val="single"/>
        </w:rPr>
        <w:t xml:space="preserve">（投标人名称、地址）              </w:t>
      </w:r>
      <w:r>
        <w:rPr>
          <w:rFonts w:hint="eastAsia" w:ascii="宋体" w:hAnsi="Calibri"/>
          <w:sz w:val="24"/>
          <w:szCs w:val="24"/>
        </w:rPr>
        <w:t>提交下述文件：</w:t>
      </w:r>
    </w:p>
    <w:p>
      <w:pPr>
        <w:rPr>
          <w:rFonts w:ascii="宋体" w:hAnsi="Calibri"/>
          <w:sz w:val="24"/>
          <w:szCs w:val="24"/>
        </w:rPr>
      </w:pPr>
      <w:r>
        <w:rPr>
          <w:rFonts w:hint="eastAsia" w:ascii="宋体" w:hAnsi="Calibri"/>
          <w:sz w:val="24"/>
          <w:szCs w:val="24"/>
        </w:rPr>
        <w:t>标书（正本</w:t>
      </w:r>
      <w:r>
        <w:rPr>
          <w:rFonts w:hint="eastAsia" w:ascii="宋体" w:hAnsi="Calibri"/>
          <w:sz w:val="24"/>
          <w:szCs w:val="24"/>
          <w:u w:val="single"/>
        </w:rPr>
        <w:t>X</w:t>
      </w:r>
      <w:r>
        <w:rPr>
          <w:rFonts w:hint="eastAsia" w:ascii="宋体" w:hAnsi="Calibri"/>
          <w:sz w:val="24"/>
          <w:szCs w:val="24"/>
        </w:rPr>
        <w:t>份和副本一式</w:t>
      </w:r>
      <w:r>
        <w:rPr>
          <w:rFonts w:hint="eastAsia" w:ascii="宋体" w:hAnsi="Calibri"/>
          <w:sz w:val="24"/>
          <w:szCs w:val="24"/>
          <w:u w:val="single"/>
        </w:rPr>
        <w:t>X</w:t>
      </w:r>
      <w:r>
        <w:rPr>
          <w:rFonts w:hint="eastAsia" w:ascii="宋体" w:hAnsi="Calibri"/>
          <w:sz w:val="24"/>
          <w:szCs w:val="24"/>
        </w:rPr>
        <w:t>份）</w:t>
      </w:r>
    </w:p>
    <w:p>
      <w:pPr>
        <w:rPr>
          <w:rFonts w:ascii="宋体" w:hAnsi="Calibri"/>
          <w:sz w:val="24"/>
          <w:szCs w:val="24"/>
        </w:rPr>
      </w:pPr>
      <w:r>
        <w:rPr>
          <w:rFonts w:hint="eastAsia" w:ascii="宋体" w:hAnsi="Calibri"/>
          <w:sz w:val="24"/>
          <w:szCs w:val="24"/>
        </w:rPr>
        <w:t>据此，签字代表宣布同意如下：</w:t>
      </w:r>
    </w:p>
    <w:p>
      <w:pPr>
        <w:numPr>
          <w:ilvl w:val="0"/>
          <w:numId w:val="8"/>
        </w:numPr>
        <w:rPr>
          <w:rFonts w:ascii="宋体" w:hAnsi="Calibri"/>
          <w:sz w:val="24"/>
          <w:szCs w:val="24"/>
          <w:u w:val="single"/>
        </w:rPr>
      </w:pPr>
      <w:r>
        <w:rPr>
          <w:rFonts w:hint="eastAsia" w:ascii="宋体" w:hAnsi="Calibri"/>
          <w:sz w:val="24"/>
          <w:szCs w:val="24"/>
        </w:rPr>
        <w:t>所附投标报价表中规定的应提供的投标总价</w:t>
      </w:r>
      <w:r>
        <w:rPr>
          <w:rFonts w:hint="eastAsia" w:ascii="宋体" w:hAnsi="Calibri"/>
          <w:b/>
          <w:bCs/>
          <w:sz w:val="24"/>
          <w:szCs w:val="24"/>
        </w:rPr>
        <w:t>（含税</w:t>
      </w:r>
      <w:r>
        <w:rPr>
          <w:rFonts w:hint="eastAsia" w:ascii="宋体" w:hAnsi="Calibri"/>
          <w:sz w:val="24"/>
          <w:szCs w:val="24"/>
        </w:rPr>
        <w:t>）为</w:t>
      </w:r>
      <w:r>
        <w:rPr>
          <w:rFonts w:hint="eastAsia" w:ascii="宋体" w:hAnsi="Calibri"/>
          <w:sz w:val="24"/>
          <w:szCs w:val="24"/>
          <w:u w:val="single"/>
        </w:rPr>
        <w:t>（注明币种和金额）    ，</w:t>
      </w:r>
    </w:p>
    <w:p>
      <w:pPr>
        <w:ind w:firstLine="960" w:firstLineChars="400"/>
        <w:rPr>
          <w:rFonts w:ascii="宋体" w:hAnsi="Calibri"/>
          <w:sz w:val="24"/>
          <w:szCs w:val="24"/>
        </w:rPr>
      </w:pPr>
      <w:r>
        <w:rPr>
          <w:rFonts w:hint="eastAsia" w:ascii="宋体" w:hAnsi="Calibri"/>
          <w:sz w:val="24"/>
          <w:szCs w:val="24"/>
          <w:u w:val="single"/>
        </w:rPr>
        <w:t xml:space="preserve">即（中文文字描述）                                      </w:t>
      </w:r>
      <w:r>
        <w:rPr>
          <w:rFonts w:hint="eastAsia" w:ascii="宋体" w:hAnsi="Calibri"/>
          <w:sz w:val="24"/>
          <w:szCs w:val="24"/>
        </w:rPr>
        <w:t>。</w:t>
      </w:r>
    </w:p>
    <w:p>
      <w:pPr>
        <w:numPr>
          <w:ilvl w:val="0"/>
          <w:numId w:val="8"/>
        </w:numPr>
        <w:rPr>
          <w:rFonts w:ascii="宋体" w:hAnsi="Calibri"/>
          <w:sz w:val="24"/>
          <w:szCs w:val="24"/>
        </w:rPr>
      </w:pPr>
      <w:r>
        <w:rPr>
          <w:rFonts w:hint="eastAsia" w:ascii="宋体" w:hAnsi="Calibri"/>
          <w:sz w:val="24"/>
          <w:szCs w:val="24"/>
        </w:rPr>
        <w:t>投标人将按招标文件的规定履行合同责任和义务。</w:t>
      </w:r>
    </w:p>
    <w:p>
      <w:pPr>
        <w:numPr>
          <w:ilvl w:val="0"/>
          <w:numId w:val="8"/>
        </w:numPr>
        <w:rPr>
          <w:rFonts w:ascii="宋体" w:hAnsi="Calibri"/>
          <w:sz w:val="24"/>
          <w:szCs w:val="24"/>
        </w:rPr>
      </w:pPr>
      <w:r>
        <w:rPr>
          <w:rFonts w:hint="eastAsia" w:ascii="宋体" w:hAnsi="Calibri"/>
          <w:sz w:val="24"/>
          <w:szCs w:val="24"/>
        </w:rPr>
        <w:t>投标人已详细审查全部招标文件，包括修改文件（如有的话）以及全部参考资料和有关附件，我们完全理解并同意放弃对这方面有不明及误解的权利。</w:t>
      </w:r>
    </w:p>
    <w:p>
      <w:pPr>
        <w:numPr>
          <w:ilvl w:val="0"/>
          <w:numId w:val="8"/>
        </w:numPr>
        <w:rPr>
          <w:rFonts w:ascii="宋体" w:hAnsi="Calibri"/>
          <w:sz w:val="24"/>
          <w:szCs w:val="24"/>
        </w:rPr>
      </w:pPr>
      <w:r>
        <w:rPr>
          <w:rFonts w:hint="eastAsia" w:ascii="Calibri" w:hAnsi="Calibri"/>
          <w:sz w:val="24"/>
          <w:szCs w:val="24"/>
        </w:rPr>
        <w:t>投标有效期：自投标截止之日起至合同签署日一直有效</w:t>
      </w:r>
      <w:r>
        <w:rPr>
          <w:rFonts w:hint="eastAsia" w:ascii="宋体" w:hAnsi="Calibri"/>
          <w:sz w:val="24"/>
          <w:szCs w:val="24"/>
        </w:rPr>
        <w:t>。</w:t>
      </w:r>
    </w:p>
    <w:p>
      <w:pPr>
        <w:numPr>
          <w:ilvl w:val="0"/>
          <w:numId w:val="8"/>
        </w:numPr>
        <w:rPr>
          <w:rFonts w:ascii="宋体" w:hAnsi="Calibri"/>
          <w:sz w:val="24"/>
          <w:szCs w:val="24"/>
        </w:rPr>
      </w:pPr>
      <w:r>
        <w:rPr>
          <w:rFonts w:hint="eastAsia" w:ascii="宋体" w:hAnsi="Calibri"/>
          <w:sz w:val="24"/>
          <w:szCs w:val="24"/>
        </w:rPr>
        <w:t>投标人同意提供贵方要求的可能与投标有关的一切数据和资料，完全理解贵方不一定要接受最低价的投标或收到的任何投标。</w:t>
      </w:r>
    </w:p>
    <w:p>
      <w:pPr>
        <w:numPr>
          <w:ilvl w:val="0"/>
          <w:numId w:val="8"/>
        </w:numPr>
        <w:rPr>
          <w:rFonts w:ascii="宋体" w:hAnsi="Calibri"/>
          <w:sz w:val="24"/>
          <w:szCs w:val="24"/>
        </w:rPr>
      </w:pPr>
      <w:r>
        <w:rPr>
          <w:rFonts w:hint="eastAsia" w:ascii="宋体" w:hAnsi="Calibri"/>
          <w:sz w:val="24"/>
          <w:szCs w:val="24"/>
        </w:rPr>
        <w:t>投标人承诺所提供的所有数据和资料均真实有效，如存在虚报情况，投标人愿为此承担一切法律责任，并主动退出本项目竞标。</w:t>
      </w:r>
    </w:p>
    <w:p>
      <w:pPr>
        <w:numPr>
          <w:ilvl w:val="0"/>
          <w:numId w:val="8"/>
        </w:numPr>
        <w:rPr>
          <w:rFonts w:ascii="宋体" w:hAnsi="Calibri"/>
          <w:sz w:val="24"/>
          <w:szCs w:val="24"/>
        </w:rPr>
      </w:pPr>
      <w:r>
        <w:rPr>
          <w:rFonts w:hint="eastAsia" w:ascii="宋体" w:hAnsi="Calibri"/>
          <w:sz w:val="24"/>
          <w:szCs w:val="24"/>
        </w:rPr>
        <w:t>与本投标有关的一切正式往来通讯请寄：</w:t>
      </w:r>
    </w:p>
    <w:p>
      <w:pPr>
        <w:ind w:left="795"/>
        <w:rPr>
          <w:rFonts w:ascii="宋体" w:hAnsi="Calibri"/>
          <w:sz w:val="24"/>
          <w:szCs w:val="24"/>
        </w:rPr>
      </w:pPr>
      <w:r>
        <w:rPr>
          <w:rFonts w:hint="eastAsia" w:ascii="宋体" w:hAnsi="Calibri"/>
          <w:sz w:val="24"/>
          <w:szCs w:val="24"/>
        </w:rPr>
        <w:t>地址：                                   邮编：</w:t>
      </w:r>
    </w:p>
    <w:p>
      <w:pPr>
        <w:ind w:left="795"/>
        <w:rPr>
          <w:rFonts w:ascii="宋体" w:hAnsi="Calibri"/>
          <w:sz w:val="24"/>
          <w:szCs w:val="24"/>
        </w:rPr>
      </w:pPr>
      <w:r>
        <w:rPr>
          <w:rFonts w:hint="eastAsia" w:ascii="宋体" w:hAnsi="Calibri"/>
          <w:sz w:val="24"/>
          <w:szCs w:val="24"/>
        </w:rPr>
        <w:t>电话：                                   传真：</w:t>
      </w:r>
    </w:p>
    <w:p>
      <w:pPr>
        <w:ind w:left="795"/>
        <w:rPr>
          <w:rFonts w:ascii="Calibri" w:hAnsi="Calibri"/>
          <w:sz w:val="24"/>
          <w:szCs w:val="24"/>
        </w:rPr>
      </w:pPr>
    </w:p>
    <w:p>
      <w:pPr>
        <w:ind w:left="795"/>
        <w:rPr>
          <w:rFonts w:ascii="Calibri" w:hAnsi="Calibri"/>
          <w:sz w:val="24"/>
          <w:szCs w:val="24"/>
        </w:rPr>
      </w:pPr>
    </w:p>
    <w:p>
      <w:pPr>
        <w:ind w:left="795"/>
        <w:rPr>
          <w:rFonts w:ascii="Calibri" w:hAnsi="Calibri"/>
          <w:sz w:val="24"/>
          <w:szCs w:val="24"/>
        </w:rPr>
      </w:pPr>
      <w:r>
        <w:rPr>
          <w:rFonts w:hint="eastAsia" w:ascii="Calibri" w:hAnsi="Calibri"/>
          <w:sz w:val="24"/>
          <w:szCs w:val="24"/>
        </w:rPr>
        <w:t>投标人授权代表签字：                 职务：                 日期：</w:t>
      </w:r>
    </w:p>
    <w:p>
      <w:pPr>
        <w:spacing w:line="480" w:lineRule="auto"/>
        <w:ind w:left="795"/>
        <w:rPr>
          <w:rFonts w:ascii="Calibri" w:hAnsi="Calibri"/>
          <w:sz w:val="24"/>
          <w:szCs w:val="24"/>
        </w:rPr>
      </w:pPr>
      <w:r>
        <w:rPr>
          <w:rFonts w:hint="eastAsia" w:ascii="Calibri" w:hAnsi="Calibri"/>
          <w:sz w:val="24"/>
          <w:szCs w:val="24"/>
        </w:rPr>
        <w:t>投标人名称（及公章）：</w:t>
      </w:r>
    </w:p>
    <w:p>
      <w:pPr>
        <w:ind w:left="795"/>
        <w:rPr>
          <w:rFonts w:ascii="Calibri" w:hAnsi="Calibri"/>
          <w:sz w:val="24"/>
          <w:szCs w:val="24"/>
        </w:rPr>
      </w:pPr>
      <w:r>
        <w:rPr>
          <w:rFonts w:hint="eastAsia" w:ascii="Calibri" w:hAnsi="Calibri"/>
          <w:sz w:val="24"/>
          <w:szCs w:val="24"/>
        </w:rPr>
        <w:t>日期：        年       月       日</w:t>
      </w:r>
    </w:p>
    <w:p>
      <w:pPr>
        <w:pStyle w:val="2"/>
        <w:ind w:firstLine="480" w:firstLineChars="200"/>
        <w:rPr>
          <w:rFonts w:hint="eastAsia" w:hAnsi="宋体" w:eastAsia="宋体" w:cs="Arial"/>
          <w:kern w:val="0"/>
          <w:szCs w:val="24"/>
        </w:rPr>
      </w:pPr>
    </w:p>
    <w:p>
      <w:pPr>
        <w:pStyle w:val="2"/>
        <w:ind w:firstLine="480" w:firstLineChars="200"/>
        <w:rPr>
          <w:rFonts w:hint="eastAsia" w:hAnsi="宋体" w:eastAsia="宋体" w:cs="Arial"/>
          <w:kern w:val="0"/>
          <w:szCs w:val="24"/>
        </w:rPr>
      </w:pPr>
    </w:p>
    <w:p>
      <w:pPr>
        <w:pStyle w:val="2"/>
        <w:ind w:firstLine="480" w:firstLineChars="200"/>
        <w:rPr>
          <w:rFonts w:hint="eastAsia" w:hAnsi="宋体" w:eastAsia="宋体" w:cs="Arial"/>
          <w:kern w:val="0"/>
          <w:szCs w:val="24"/>
        </w:rPr>
      </w:pPr>
    </w:p>
    <w:p>
      <w:pPr>
        <w:pStyle w:val="2"/>
        <w:ind w:firstLine="480" w:firstLineChars="200"/>
        <w:rPr>
          <w:rFonts w:hint="eastAsia" w:hAnsi="宋体" w:eastAsia="宋体" w:cs="Arial"/>
          <w:kern w:val="0"/>
          <w:szCs w:val="24"/>
        </w:rPr>
      </w:pPr>
    </w:p>
    <w:p>
      <w:pPr>
        <w:pStyle w:val="2"/>
        <w:ind w:firstLine="480" w:firstLineChars="200"/>
        <w:rPr>
          <w:rFonts w:hint="eastAsia" w:hAnsi="宋体" w:eastAsia="宋体" w:cs="Arial"/>
          <w:kern w:val="0"/>
          <w:szCs w:val="24"/>
        </w:rPr>
      </w:pPr>
    </w:p>
    <w:p>
      <w:pPr>
        <w:pStyle w:val="2"/>
        <w:ind w:firstLine="480" w:firstLineChars="200"/>
        <w:rPr>
          <w:rFonts w:hint="eastAsia" w:hAnsi="宋体" w:eastAsia="宋体" w:cs="Arial"/>
          <w:kern w:val="0"/>
          <w:szCs w:val="24"/>
        </w:rPr>
      </w:pPr>
    </w:p>
    <w:p>
      <w:pPr>
        <w:pStyle w:val="2"/>
        <w:rPr>
          <w:rFonts w:hint="eastAsia" w:hAnsi="宋体" w:eastAsia="宋体" w:cs="Arial"/>
          <w:kern w:val="0"/>
          <w:szCs w:val="24"/>
        </w:rPr>
      </w:pPr>
    </w:p>
    <w:p>
      <w:pPr>
        <w:spacing w:line="360" w:lineRule="auto"/>
        <w:rPr>
          <w:rFonts w:eastAsia="黑体"/>
          <w:b/>
          <w:bCs/>
          <w:color w:val="000000"/>
          <w:sz w:val="28"/>
          <w:szCs w:val="28"/>
        </w:rPr>
      </w:pPr>
    </w:p>
    <w:p>
      <w:pPr>
        <w:spacing w:line="360" w:lineRule="auto"/>
        <w:rPr>
          <w:rFonts w:hint="eastAsia" w:eastAsia="黑体"/>
          <w:b/>
          <w:bCs/>
          <w:color w:val="000000"/>
          <w:sz w:val="28"/>
          <w:szCs w:val="28"/>
        </w:rPr>
      </w:pPr>
    </w:p>
    <w:p>
      <w:pPr>
        <w:spacing w:line="360" w:lineRule="auto"/>
      </w:pPr>
      <w:r>
        <w:rPr>
          <w:rFonts w:hint="eastAsia" w:eastAsia="黑体"/>
          <w:b/>
          <w:bCs/>
          <w:color w:val="000000"/>
          <w:sz w:val="28"/>
          <w:szCs w:val="28"/>
        </w:rPr>
        <w:t>附件2</w:t>
      </w:r>
    </w:p>
    <w:p>
      <w:pPr>
        <w:spacing w:line="360" w:lineRule="auto"/>
        <w:jc w:val="center"/>
        <w:rPr>
          <w:rFonts w:eastAsia="黑体"/>
          <w:b/>
          <w:bCs/>
          <w:sz w:val="28"/>
        </w:rPr>
      </w:pPr>
      <w:r>
        <w:rPr>
          <w:rFonts w:hint="eastAsia" w:eastAsia="黑体"/>
          <w:b/>
          <w:bCs/>
          <w:sz w:val="28"/>
        </w:rPr>
        <w:t>法人授权委托书</w:t>
      </w:r>
    </w:p>
    <w:p>
      <w:pPr>
        <w:spacing w:line="360" w:lineRule="auto"/>
        <w:rPr>
          <w:rFonts w:hint="eastAsia" w:ascii="宋体" w:hAnsi="宋体" w:cs="宋体"/>
          <w:sz w:val="24"/>
          <w:szCs w:val="24"/>
          <w:u w:val="single"/>
        </w:rPr>
      </w:pPr>
      <w:r>
        <w:rPr>
          <w:rFonts w:hint="eastAsia" w:ascii="宋体" w:hAnsi="宋体" w:cs="宋体"/>
          <w:sz w:val="24"/>
          <w:szCs w:val="24"/>
        </w:rPr>
        <w:t>致</w:t>
      </w:r>
      <w:r>
        <w:rPr>
          <w:rFonts w:hint="eastAsia" w:ascii="宋体" w:hAnsi="宋体" w:cs="宋体"/>
          <w:sz w:val="24"/>
          <w:szCs w:val="24"/>
          <w:u w:val="single"/>
        </w:rPr>
        <w:t>（招标人名称）                            ：</w:t>
      </w:r>
    </w:p>
    <w:p>
      <w:pPr>
        <w:spacing w:line="360" w:lineRule="auto"/>
        <w:ind w:firstLine="480" w:firstLineChars="200"/>
        <w:rPr>
          <w:rFonts w:hint="eastAsia" w:ascii="宋体" w:hAnsi="宋体" w:cs="宋体"/>
          <w:kern w:val="0"/>
          <w:sz w:val="24"/>
          <w:szCs w:val="24"/>
        </w:rPr>
      </w:pPr>
      <w:r>
        <w:rPr>
          <w:rFonts w:hint="eastAsia" w:ascii="宋体" w:hAnsi="宋体" w:cs="宋体"/>
          <w:kern w:val="0"/>
          <w:sz w:val="24"/>
          <w:szCs w:val="24"/>
        </w:rPr>
        <w:t>本授权委托书声明：我</w:t>
      </w:r>
      <w:r>
        <w:rPr>
          <w:rFonts w:hint="eastAsia" w:ascii="宋体" w:hAnsi="宋体" w:cs="宋体"/>
          <w:kern w:val="0"/>
          <w:sz w:val="24"/>
          <w:szCs w:val="24"/>
          <w:u w:val="single"/>
        </w:rPr>
        <w:t xml:space="preserve">（法人姓名）       </w:t>
      </w:r>
      <w:r>
        <w:rPr>
          <w:rFonts w:hint="eastAsia" w:ascii="宋体" w:hAnsi="宋体" w:cs="宋体"/>
          <w:kern w:val="0"/>
          <w:sz w:val="24"/>
          <w:szCs w:val="24"/>
        </w:rPr>
        <w:t>系</w:t>
      </w:r>
      <w:r>
        <w:rPr>
          <w:rFonts w:hint="eastAsia" w:ascii="宋体" w:hAnsi="宋体" w:cs="宋体"/>
          <w:sz w:val="24"/>
          <w:szCs w:val="24"/>
          <w:u w:val="single"/>
        </w:rPr>
        <w:t>（投标人名称）</w:t>
      </w:r>
      <w:r>
        <w:rPr>
          <w:rFonts w:hint="eastAsia" w:ascii="宋体" w:hAnsi="宋体" w:cs="宋体"/>
          <w:kern w:val="0"/>
          <w:sz w:val="24"/>
          <w:szCs w:val="24"/>
        </w:rPr>
        <w:t>的法定代表人，现授权委托</w:t>
      </w:r>
      <w:r>
        <w:rPr>
          <w:rFonts w:hint="eastAsia" w:ascii="宋体" w:hAnsi="宋体" w:cs="宋体"/>
          <w:sz w:val="24"/>
          <w:szCs w:val="24"/>
          <w:u w:val="single"/>
        </w:rPr>
        <w:t>（投标人名称）</w:t>
      </w:r>
      <w:r>
        <w:rPr>
          <w:rFonts w:hint="eastAsia" w:ascii="宋体" w:hAnsi="宋体" w:cs="宋体"/>
          <w:kern w:val="0"/>
          <w:sz w:val="24"/>
          <w:szCs w:val="24"/>
        </w:rPr>
        <w:t>的</w:t>
      </w:r>
      <w:r>
        <w:rPr>
          <w:rFonts w:hint="eastAsia" w:ascii="宋体" w:hAnsi="宋体" w:cs="宋体"/>
          <w:kern w:val="0"/>
          <w:sz w:val="24"/>
          <w:szCs w:val="24"/>
          <w:u w:val="single"/>
        </w:rPr>
        <w:t xml:space="preserve"> （授权委托代理人姓名）        </w:t>
      </w:r>
      <w:r>
        <w:rPr>
          <w:rFonts w:hint="eastAsia" w:ascii="宋体" w:hAnsi="宋体" w:cs="宋体"/>
          <w:kern w:val="0"/>
          <w:sz w:val="24"/>
          <w:szCs w:val="24"/>
        </w:rPr>
        <w:t>为我公司参加贵方组织的</w:t>
      </w:r>
      <w:r>
        <w:rPr>
          <w:rFonts w:hint="eastAsia" w:ascii="宋体" w:hAnsi="宋体" w:cs="宋体"/>
          <w:kern w:val="0"/>
          <w:sz w:val="24"/>
          <w:szCs w:val="24"/>
          <w:u w:val="single"/>
        </w:rPr>
        <w:t xml:space="preserve"> XX项目 </w:t>
      </w:r>
      <w:r>
        <w:rPr>
          <w:rFonts w:hint="eastAsia" w:ascii="宋体" w:hAnsi="宋体" w:cs="宋体"/>
          <w:kern w:val="0"/>
          <w:sz w:val="24"/>
          <w:szCs w:val="24"/>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spacing w:line="360" w:lineRule="auto"/>
        <w:ind w:firstLine="480" w:firstLineChars="200"/>
        <w:rPr>
          <w:rFonts w:hint="eastAsia" w:ascii="宋体" w:hAnsi="宋体" w:cs="宋体"/>
          <w:kern w:val="0"/>
          <w:sz w:val="24"/>
          <w:szCs w:val="24"/>
        </w:rPr>
      </w:pPr>
      <w:r>
        <w:rPr>
          <w:rFonts w:hint="eastAsia" w:ascii="宋体" w:hAnsi="宋体" w:cs="宋体"/>
          <w:kern w:val="0"/>
          <w:sz w:val="24"/>
          <w:szCs w:val="24"/>
        </w:rPr>
        <w:t>委托期限：</w:t>
      </w:r>
      <w:r>
        <w:rPr>
          <w:rFonts w:hint="eastAsia" w:ascii="宋体" w:hAnsi="宋体" w:cs="宋体"/>
          <w:kern w:val="0"/>
          <w:sz w:val="24"/>
          <w:szCs w:val="24"/>
          <w:u w:val="single"/>
        </w:rPr>
        <w:t>20XX年X月X日至 20XX年X月X日</w:t>
      </w:r>
    </w:p>
    <w:p>
      <w:pPr>
        <w:spacing w:line="360" w:lineRule="auto"/>
        <w:ind w:firstLine="480" w:firstLineChars="200"/>
        <w:rPr>
          <w:rFonts w:hint="eastAsia" w:ascii="宋体" w:hAnsi="宋体" w:cs="宋体"/>
          <w:kern w:val="0"/>
          <w:sz w:val="24"/>
          <w:szCs w:val="24"/>
        </w:rPr>
      </w:pPr>
      <w:r>
        <w:rPr>
          <w:rFonts w:hint="eastAsia" w:ascii="宋体" w:hAnsi="宋体" w:cs="宋体"/>
          <w:kern w:val="0"/>
          <w:sz w:val="24"/>
          <w:szCs w:val="24"/>
        </w:rPr>
        <w:t>代理人无转委托权，特此委托。</w:t>
      </w:r>
    </w:p>
    <w:p>
      <w:pPr>
        <w:spacing w:line="360" w:lineRule="auto"/>
        <w:ind w:firstLine="480" w:firstLineChars="200"/>
        <w:rPr>
          <w:rFonts w:hint="eastAsia" w:ascii="宋体" w:hAnsi="宋体" w:cs="宋体"/>
          <w:kern w:val="0"/>
          <w:sz w:val="24"/>
          <w:szCs w:val="24"/>
        </w:rPr>
      </w:pPr>
      <w:r>
        <w:rPr>
          <w:rFonts w:hint="eastAsia" w:ascii="宋体" w:hAnsi="宋体" w:cs="宋体"/>
          <w:kern w:val="0"/>
          <w:sz w:val="24"/>
          <w:szCs w:val="24"/>
        </w:rPr>
        <w:t>代理人姓名：性别：年龄：</w:t>
      </w:r>
    </w:p>
    <w:p>
      <w:pPr>
        <w:spacing w:line="360" w:lineRule="auto"/>
        <w:ind w:firstLine="480" w:firstLineChars="200"/>
        <w:rPr>
          <w:rFonts w:hint="eastAsia" w:ascii="宋体" w:hAnsi="宋体" w:cs="宋体"/>
          <w:kern w:val="0"/>
          <w:sz w:val="24"/>
          <w:szCs w:val="24"/>
        </w:rPr>
      </w:pPr>
      <w:r>
        <w:rPr>
          <w:rFonts w:hint="eastAsia" w:ascii="宋体" w:hAnsi="宋体" w:cs="宋体"/>
          <w:kern w:val="0"/>
          <w:sz w:val="24"/>
          <w:szCs w:val="24"/>
        </w:rPr>
        <w:t>身份证号码：职务：</w:t>
      </w:r>
    </w:p>
    <w:p>
      <w:pPr>
        <w:spacing w:line="360" w:lineRule="auto"/>
        <w:ind w:firstLine="480" w:firstLineChars="200"/>
        <w:rPr>
          <w:rFonts w:hint="eastAsia" w:ascii="宋体" w:hAnsi="宋体" w:cs="宋体"/>
          <w:kern w:val="0"/>
          <w:sz w:val="24"/>
          <w:szCs w:val="24"/>
        </w:rPr>
      </w:pPr>
      <w:r>
        <w:rPr>
          <w:rFonts w:hint="eastAsia" w:ascii="宋体" w:hAnsi="宋体" w:cs="宋体"/>
          <w:kern w:val="0"/>
          <w:sz w:val="24"/>
          <w:szCs w:val="24"/>
        </w:rPr>
        <w:t>投标人名称：（盖单位公章）</w:t>
      </w:r>
    </w:p>
    <w:p>
      <w:pPr>
        <w:spacing w:line="360" w:lineRule="auto"/>
        <w:ind w:firstLine="480" w:firstLineChars="200"/>
        <w:rPr>
          <w:rFonts w:hint="eastAsia" w:ascii="宋体" w:hAnsi="宋体" w:cs="宋体"/>
          <w:sz w:val="24"/>
          <w:szCs w:val="24"/>
        </w:rPr>
      </w:pPr>
      <w:r>
        <w:rPr>
          <w:rFonts w:hint="eastAsia" w:ascii="宋体" w:hAnsi="宋体" w:cs="宋体"/>
          <w:kern w:val="0"/>
          <w:sz w:val="24"/>
          <w:szCs w:val="24"/>
        </w:rPr>
        <w:t>法定代表人：（签字）</w:t>
      </w:r>
    </w:p>
    <w:p>
      <w:pPr>
        <w:spacing w:line="360" w:lineRule="auto"/>
        <w:ind w:firstLine="240" w:firstLineChars="100"/>
        <w:rPr>
          <w:rFonts w:hint="eastAsia" w:ascii="宋体" w:hAnsi="宋体" w:cs="宋体"/>
          <w:sz w:val="24"/>
          <w:szCs w:val="24"/>
        </w:rPr>
      </w:pPr>
      <w:r>
        <w:rPr>
          <w:rFonts w:hint="eastAsia" w:ascii="宋体" w:hAnsi="宋体" w:cs="宋体"/>
          <w:sz w:val="24"/>
          <w:szCs w:val="24"/>
        </w:rPr>
        <mc:AlternateContent>
          <mc:Choice Requires="wps">
            <w:drawing>
              <wp:anchor distT="0" distB="0" distL="114300" distR="114300" simplePos="0" relativeHeight="251662336" behindDoc="0" locked="0" layoutInCell="1" allowOverlap="1">
                <wp:simplePos x="0" y="0"/>
                <wp:positionH relativeFrom="column">
                  <wp:posOffset>2869565</wp:posOffset>
                </wp:positionH>
                <wp:positionV relativeFrom="paragraph">
                  <wp:posOffset>260350</wp:posOffset>
                </wp:positionV>
                <wp:extent cx="2716530" cy="1581150"/>
                <wp:effectExtent l="4445" t="4445" r="9525" b="14605"/>
                <wp:wrapNone/>
                <wp:docPr id="10" name="文本框 10"/>
                <wp:cNvGraphicFramePr/>
                <a:graphic xmlns:a="http://schemas.openxmlformats.org/drawingml/2006/main">
                  <a:graphicData uri="http://schemas.microsoft.com/office/word/2010/wordprocessingShape">
                    <wps:wsp>
                      <wps:cNvSpPr txBox="1">
                        <a:spLocks noChangeArrowheads="1"/>
                      </wps:cNvSpPr>
                      <wps:spPr bwMode="auto">
                        <a:xfrm>
                          <a:off x="0" y="0"/>
                          <a:ext cx="3021554" cy="1581374"/>
                        </a:xfrm>
                        <a:prstGeom prst="rect">
                          <a:avLst/>
                        </a:prstGeom>
                        <a:solidFill>
                          <a:srgbClr val="FFFFFF"/>
                        </a:solidFill>
                        <a:ln w="9525">
                          <a:solidFill>
                            <a:srgbClr val="000000"/>
                          </a:solidFill>
                          <a:miter lim="800000"/>
                        </a:ln>
                        <a:effectLst/>
                      </wps:spPr>
                      <wps:txbx>
                        <w:txbxContent>
                          <w:p/>
                          <w:p/>
                          <w:p>
                            <w:pPr>
                              <w:rPr>
                                <w:rFonts w:hint="eastAsia" w:ascii="宋体" w:hAnsi="宋体" w:cs="宋体"/>
                              </w:rPr>
                            </w:pPr>
                          </w:p>
                          <w:p>
                            <w:pPr>
                              <w:jc w:val="center"/>
                            </w:pPr>
                            <w:r>
                              <w:rPr>
                                <w:rFonts w:hint="eastAsia" w:ascii="宋体" w:hAnsi="宋体" w:cs="宋体"/>
                              </w:rPr>
                              <w:t>身份证正面复印件</w:t>
                            </w: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225.95pt;margin-top:20.5pt;height:124.5pt;width:213.9pt;z-index:251662336;mso-width-relative:page;mso-height-relative:page;" fillcolor="#FFFFFF" filled="t" stroked="t" coordsize="21600,21600" o:gfxdata="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AnR7RXZAAAACgEAAA8AAAAAAAAA&#10;AQAgAAAAIgAAAGRycy9kb3ducmV2LnhtbFBLAQIUABQAAAAIAIdO4kCoaGSbSQIAAJgEAAAOAAAA&#10;AAAAAAEAIAAAACgBAABkcnMvZTJvRG9jLnhtbFBLBQYAAAAABgAGAFkBAADjBQAAAAA=&#10;">
                <v:fill on="t" focussize="0,0"/>
                <v:stroke color="#000000" miterlimit="8" joinstyle="miter"/>
                <v:imagedata o:title=""/>
                <o:lock v:ext="edit" aspectratio="f"/>
                <v:textbox>
                  <w:txbxContent>
                    <w:p/>
                    <w:p/>
                    <w:p>
                      <w:pPr>
                        <w:rPr>
                          <w:rFonts w:hint="eastAsia" w:ascii="宋体" w:hAnsi="宋体" w:cs="宋体"/>
                        </w:rPr>
                      </w:pPr>
                    </w:p>
                    <w:p>
                      <w:pPr>
                        <w:jc w:val="center"/>
                      </w:pPr>
                      <w:r>
                        <w:rPr>
                          <w:rFonts w:hint="eastAsia" w:ascii="宋体" w:hAnsi="宋体" w:cs="宋体"/>
                        </w:rPr>
                        <w:t>身份证正面复印件</w:t>
                      </w:r>
                    </w:p>
                  </w:txbxContent>
                </v:textbox>
              </v:shape>
            </w:pict>
          </mc:Fallback>
        </mc:AlternateContent>
      </w:r>
      <w:r>
        <w:rPr>
          <w:rFonts w:hint="eastAsia" w:ascii="宋体" w:hAnsi="宋体" w:cs="宋体"/>
          <w:sz w:val="24"/>
          <w:szCs w:val="24"/>
        </w:rPr>
        <mc:AlternateContent>
          <mc:Choice Requires="wps">
            <w:drawing>
              <wp:anchor distT="0" distB="0" distL="114300" distR="114300" simplePos="0" relativeHeight="251661312" behindDoc="0" locked="0" layoutInCell="1" allowOverlap="1">
                <wp:simplePos x="0" y="0"/>
                <wp:positionH relativeFrom="column">
                  <wp:posOffset>-180975</wp:posOffset>
                </wp:positionH>
                <wp:positionV relativeFrom="paragraph">
                  <wp:posOffset>259080</wp:posOffset>
                </wp:positionV>
                <wp:extent cx="2880995" cy="1581150"/>
                <wp:effectExtent l="4445" t="5080" r="10160" b="13970"/>
                <wp:wrapNone/>
                <wp:docPr id="11" name="文本框 11"/>
                <wp:cNvGraphicFramePr/>
                <a:graphic xmlns:a="http://schemas.openxmlformats.org/drawingml/2006/main">
                  <a:graphicData uri="http://schemas.microsoft.com/office/word/2010/wordprocessingShape">
                    <wps:wsp>
                      <wps:cNvSpPr txBox="1">
                        <a:spLocks noChangeArrowheads="1"/>
                      </wps:cNvSpPr>
                      <wps:spPr bwMode="auto">
                        <a:xfrm>
                          <a:off x="0" y="0"/>
                          <a:ext cx="3010797" cy="1581375"/>
                        </a:xfrm>
                        <a:prstGeom prst="rect">
                          <a:avLst/>
                        </a:prstGeom>
                        <a:solidFill>
                          <a:srgbClr val="FFFFFF"/>
                        </a:solidFill>
                        <a:ln w="9525">
                          <a:solidFill>
                            <a:srgbClr val="000000"/>
                          </a:solidFill>
                          <a:miter lim="800000"/>
                        </a:ln>
                        <a:effectLst/>
                      </wps:spPr>
                      <wps:txbx>
                        <w:txbxContent>
                          <w:p>
                            <w:pPr>
                              <w:ind w:firstLine="630" w:firstLineChars="300"/>
                            </w:pPr>
                          </w:p>
                          <w:p>
                            <w:pPr>
                              <w:ind w:firstLine="630" w:firstLineChars="300"/>
                            </w:pPr>
                          </w:p>
                          <w:p>
                            <w:pPr>
                              <w:rPr>
                                <w:rFonts w:hint="eastAsia" w:ascii="宋体" w:hAnsi="宋体" w:cs="宋体"/>
                              </w:rPr>
                            </w:pPr>
                          </w:p>
                          <w:p>
                            <w:pPr>
                              <w:jc w:val="center"/>
                            </w:pPr>
                            <w:r>
                              <w:rPr>
                                <w:rFonts w:hint="eastAsia" w:ascii="宋体" w:hAnsi="宋体" w:cs="宋体"/>
                              </w:rPr>
                              <w:t>身份证正面复印件</w:t>
                            </w: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14.25pt;margin-top:20.4pt;height:124.5pt;width:226.85pt;z-index:251661312;mso-width-relative:page;mso-height-relative:page;" fillcolor="#FFFFFF" filled="t" stroked="t" coordsize="21600,21600" o:gfxdata="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BwccD7ZAAAACgEAAA8AAAAAAAAA&#10;AQAgAAAAIgAAAGRycy9kb3ducmV2LnhtbFBLAQIUABQAAAAIAIdO4kDa3eWKSQIAAJgEAAAOAAAA&#10;AAAAAAEAIAAAACgBAABkcnMvZTJvRG9jLnhtbFBLBQYAAAAABgAGAFkBAADjBQAAAAA=&#10;">
                <v:fill on="t" focussize="0,0"/>
                <v:stroke color="#000000" miterlimit="8" joinstyle="miter"/>
                <v:imagedata o:title=""/>
                <o:lock v:ext="edit" aspectratio="f"/>
                <v:textbox>
                  <w:txbxContent>
                    <w:p>
                      <w:pPr>
                        <w:ind w:firstLine="630" w:firstLineChars="300"/>
                      </w:pPr>
                    </w:p>
                    <w:p>
                      <w:pPr>
                        <w:ind w:firstLine="630" w:firstLineChars="300"/>
                      </w:pPr>
                    </w:p>
                    <w:p>
                      <w:pPr>
                        <w:rPr>
                          <w:rFonts w:hint="eastAsia" w:ascii="宋体" w:hAnsi="宋体" w:cs="宋体"/>
                        </w:rPr>
                      </w:pPr>
                    </w:p>
                    <w:p>
                      <w:pPr>
                        <w:jc w:val="center"/>
                      </w:pPr>
                      <w:r>
                        <w:rPr>
                          <w:rFonts w:hint="eastAsia" w:ascii="宋体" w:hAnsi="宋体" w:cs="宋体"/>
                        </w:rPr>
                        <w:t>身份证正面复印件</w:t>
                      </w:r>
                    </w:p>
                  </w:txbxContent>
                </v:textbox>
              </v:shape>
            </w:pict>
          </mc:Fallback>
        </mc:AlternateContent>
      </w:r>
      <w:r>
        <w:rPr>
          <w:rFonts w:hint="eastAsia" w:ascii="宋体" w:hAnsi="宋体" w:cs="宋体"/>
          <w:sz w:val="24"/>
          <w:szCs w:val="24"/>
        </w:rPr>
        <w:t xml:space="preserve"> 授权人身份证正反面复印件：</w:t>
      </w:r>
    </w:p>
    <w:p>
      <w:pPr>
        <w:spacing w:line="360" w:lineRule="auto"/>
        <w:ind w:firstLine="600"/>
        <w:rPr>
          <w:rFonts w:hint="eastAsia" w:ascii="宋体" w:hAnsi="宋体" w:cs="宋体"/>
          <w:sz w:val="24"/>
          <w:szCs w:val="24"/>
        </w:rPr>
      </w:pPr>
    </w:p>
    <w:p>
      <w:pPr>
        <w:widowControl/>
        <w:spacing w:line="360" w:lineRule="auto"/>
        <w:jc w:val="left"/>
        <w:rPr>
          <w:rFonts w:hint="eastAsia" w:ascii="宋体" w:hAnsi="宋体" w:cs="宋体"/>
          <w:color w:val="000000"/>
          <w:kern w:val="0"/>
          <w:sz w:val="24"/>
          <w:szCs w:val="24"/>
        </w:rPr>
      </w:pPr>
    </w:p>
    <w:p>
      <w:pPr>
        <w:spacing w:line="360" w:lineRule="auto"/>
        <w:rPr>
          <w:rFonts w:hint="eastAsia" w:ascii="宋体" w:hAnsi="宋体" w:cs="宋体"/>
          <w:sz w:val="24"/>
          <w:szCs w:val="24"/>
        </w:rPr>
      </w:pPr>
    </w:p>
    <w:p>
      <w:pPr>
        <w:spacing w:line="360" w:lineRule="auto"/>
        <w:ind w:left="472" w:right="69" w:rightChars="33" w:hanging="472" w:hangingChars="196"/>
        <w:rPr>
          <w:rFonts w:hint="eastAsia" w:ascii="宋体" w:hAnsi="宋体" w:cs="宋体"/>
          <w:b/>
          <w:sz w:val="24"/>
          <w:szCs w:val="24"/>
        </w:rPr>
      </w:pPr>
    </w:p>
    <w:p>
      <w:pPr>
        <w:pStyle w:val="20"/>
        <w:spacing w:line="360" w:lineRule="auto"/>
        <w:rPr>
          <w:rFonts w:hint="eastAsia" w:ascii="宋体" w:hAnsi="宋体" w:cs="宋体"/>
          <w:b/>
          <w:szCs w:val="24"/>
        </w:rPr>
      </w:pPr>
    </w:p>
    <w:p>
      <w:pPr>
        <w:spacing w:line="360" w:lineRule="auto"/>
        <w:rPr>
          <w:rFonts w:hint="eastAsia" w:ascii="宋体" w:hAnsi="宋体" w:cs="宋体"/>
          <w:sz w:val="24"/>
          <w:szCs w:val="24"/>
        </w:rPr>
      </w:pPr>
      <w:r>
        <w:rPr>
          <w:rFonts w:hint="eastAsia" w:ascii="宋体" w:hAnsi="宋体" w:cs="宋体"/>
          <w:sz w:val="24"/>
          <w:szCs w:val="24"/>
        </w:rPr>
        <mc:AlternateContent>
          <mc:Choice Requires="wps">
            <w:drawing>
              <wp:anchor distT="0" distB="0" distL="114300" distR="114300" simplePos="0" relativeHeight="251663360" behindDoc="0" locked="0" layoutInCell="1" allowOverlap="1">
                <wp:simplePos x="0" y="0"/>
                <wp:positionH relativeFrom="column">
                  <wp:posOffset>-175260</wp:posOffset>
                </wp:positionH>
                <wp:positionV relativeFrom="paragraph">
                  <wp:posOffset>245110</wp:posOffset>
                </wp:positionV>
                <wp:extent cx="2795905" cy="1624330"/>
                <wp:effectExtent l="4445" t="4445" r="6350" b="9525"/>
                <wp:wrapNone/>
                <wp:docPr id="15" name="文本框 15"/>
                <wp:cNvGraphicFramePr/>
                <a:graphic xmlns:a="http://schemas.openxmlformats.org/drawingml/2006/main">
                  <a:graphicData uri="http://schemas.microsoft.com/office/word/2010/wordprocessingShape">
                    <wps:wsp>
                      <wps:cNvSpPr txBox="1">
                        <a:spLocks noChangeArrowheads="1"/>
                      </wps:cNvSpPr>
                      <wps:spPr bwMode="auto">
                        <a:xfrm>
                          <a:off x="0" y="0"/>
                          <a:ext cx="3053827" cy="1624404"/>
                        </a:xfrm>
                        <a:prstGeom prst="rect">
                          <a:avLst/>
                        </a:prstGeom>
                        <a:solidFill>
                          <a:srgbClr val="FFFFFF"/>
                        </a:solidFill>
                        <a:ln w="9525">
                          <a:solidFill>
                            <a:srgbClr val="000000"/>
                          </a:solidFill>
                          <a:miter lim="800000"/>
                        </a:ln>
                        <a:effectLst/>
                      </wps:spPr>
                      <wps:txbx>
                        <w:txbxContent>
                          <w:p>
                            <w:pPr>
                              <w:ind w:firstLine="630" w:firstLineChars="300"/>
                            </w:pPr>
                          </w:p>
                          <w:p>
                            <w:pPr>
                              <w:ind w:firstLine="630" w:firstLineChars="300"/>
                            </w:pPr>
                          </w:p>
                          <w:p>
                            <w:pPr>
                              <w:ind w:firstLine="630" w:firstLineChars="300"/>
                            </w:pPr>
                          </w:p>
                          <w:p>
                            <w:pPr>
                              <w:jc w:val="center"/>
                            </w:pPr>
                            <w:r>
                              <w:rPr>
                                <w:rFonts w:hint="eastAsia" w:ascii="宋体" w:hAnsi="宋体" w:cs="宋体"/>
                              </w:rPr>
                              <w:t>身份证正面复印件</w:t>
                            </w:r>
                          </w:p>
                          <w:p>
                            <w:pPr>
                              <w:ind w:firstLine="840" w:firstLineChars="400"/>
                            </w:pPr>
                            <w:r>
                              <w:rPr>
                                <w:rFonts w:hint="eastAsia"/>
                              </w:rPr>
                              <w:t xml:space="preserve">                                         </w:t>
                            </w: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13.8pt;margin-top:19.3pt;height:127.9pt;width:220.15pt;z-index:251663360;mso-width-relative:page;mso-height-relative:page;" fillcolor="#FFFFFF" filled="t" stroked="t" coordsize="21600,21600" o:gfxdata="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hds0eNoAAAAKAQAADwAAAAAA&#10;AAABACAAAAAiAAAAZHJzL2Rvd25yZXYueG1sUEsBAhQAFAAAAAgAh07iQJXrRGJKAgAAmAQAAA4A&#10;AAAAAAAAAQAgAAAAKQEAAGRycy9lMm9Eb2MueG1sUEsFBgAAAAAGAAYAWQEAAOUFAAAAAA==&#10;">
                <v:fill on="t" focussize="0,0"/>
                <v:stroke color="#000000" miterlimit="8" joinstyle="miter"/>
                <v:imagedata o:title=""/>
                <o:lock v:ext="edit" aspectratio="f"/>
                <v:textbox>
                  <w:txbxContent>
                    <w:p>
                      <w:pPr>
                        <w:ind w:firstLine="630" w:firstLineChars="300"/>
                      </w:pPr>
                    </w:p>
                    <w:p>
                      <w:pPr>
                        <w:ind w:firstLine="630" w:firstLineChars="300"/>
                      </w:pPr>
                    </w:p>
                    <w:p>
                      <w:pPr>
                        <w:ind w:firstLine="630" w:firstLineChars="300"/>
                      </w:pPr>
                    </w:p>
                    <w:p>
                      <w:pPr>
                        <w:jc w:val="center"/>
                      </w:pPr>
                      <w:r>
                        <w:rPr>
                          <w:rFonts w:hint="eastAsia" w:ascii="宋体" w:hAnsi="宋体" w:cs="宋体"/>
                        </w:rPr>
                        <w:t>身份证正面复印件</w:t>
                      </w:r>
                    </w:p>
                    <w:p>
                      <w:pPr>
                        <w:ind w:firstLine="840" w:firstLineChars="400"/>
                      </w:pPr>
                      <w:r>
                        <w:rPr>
                          <w:rFonts w:hint="eastAsia"/>
                        </w:rPr>
                        <w:t xml:space="preserve">                                         </w:t>
                      </w:r>
                    </w:p>
                  </w:txbxContent>
                </v:textbox>
              </v:shape>
            </w:pict>
          </mc:Fallback>
        </mc:AlternateContent>
      </w:r>
      <w:r>
        <w:rPr>
          <w:rFonts w:hint="eastAsia" w:ascii="宋体" w:hAnsi="宋体" w:cs="宋体"/>
          <w:sz w:val="24"/>
          <w:szCs w:val="24"/>
        </w:rPr>
        <mc:AlternateContent>
          <mc:Choice Requires="wps">
            <w:drawing>
              <wp:anchor distT="0" distB="0" distL="114300" distR="114300" simplePos="0" relativeHeight="251664384" behindDoc="0" locked="0" layoutInCell="1" allowOverlap="1">
                <wp:simplePos x="0" y="0"/>
                <wp:positionH relativeFrom="column">
                  <wp:posOffset>2856230</wp:posOffset>
                </wp:positionH>
                <wp:positionV relativeFrom="paragraph">
                  <wp:posOffset>264160</wp:posOffset>
                </wp:positionV>
                <wp:extent cx="2713355" cy="1581150"/>
                <wp:effectExtent l="4445" t="4445" r="12700" b="14605"/>
                <wp:wrapNone/>
                <wp:docPr id="16" name="文本框 16"/>
                <wp:cNvGraphicFramePr/>
                <a:graphic xmlns:a="http://schemas.openxmlformats.org/drawingml/2006/main">
                  <a:graphicData uri="http://schemas.microsoft.com/office/word/2010/wordprocessingShape">
                    <wps:wsp>
                      <wps:cNvSpPr txBox="1">
                        <a:spLocks noChangeArrowheads="1"/>
                      </wps:cNvSpPr>
                      <wps:spPr bwMode="auto">
                        <a:xfrm>
                          <a:off x="0" y="0"/>
                          <a:ext cx="3010797" cy="1581375"/>
                        </a:xfrm>
                        <a:prstGeom prst="rect">
                          <a:avLst/>
                        </a:prstGeom>
                        <a:solidFill>
                          <a:srgbClr val="FFFFFF"/>
                        </a:solidFill>
                        <a:ln w="9525">
                          <a:solidFill>
                            <a:srgbClr val="000000"/>
                          </a:solidFill>
                          <a:miter lim="800000"/>
                        </a:ln>
                        <a:effectLst/>
                      </wps:spPr>
                      <wps:txbx>
                        <w:txbxContent>
                          <w:p>
                            <w:pPr>
                              <w:ind w:firstLine="630" w:firstLineChars="300"/>
                            </w:pPr>
                          </w:p>
                          <w:p>
                            <w:pPr>
                              <w:ind w:firstLine="630" w:firstLineChars="300"/>
                            </w:pPr>
                          </w:p>
                          <w:p>
                            <w:pPr>
                              <w:ind w:firstLine="630" w:firstLineChars="300"/>
                            </w:pPr>
                          </w:p>
                          <w:p>
                            <w:pPr>
                              <w:jc w:val="center"/>
                            </w:pPr>
                            <w:r>
                              <w:rPr>
                                <w:rFonts w:hint="eastAsia" w:ascii="宋体" w:hAnsi="宋体" w:cs="宋体"/>
                              </w:rPr>
                              <w:t>身份证正面复印件</w:t>
                            </w:r>
                          </w:p>
                          <w:p>
                            <w:pPr>
                              <w:ind w:firstLine="840" w:firstLineChars="400"/>
                            </w:pPr>
                            <w:r>
                              <w:rPr>
                                <w:rFonts w:hint="eastAsia"/>
                              </w:rPr>
                              <w:t xml:space="preserve">                                         </w:t>
                            </w: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224.9pt;margin-top:20.8pt;height:124.5pt;width:213.65pt;z-index:251664384;mso-width-relative:page;mso-height-relative:page;" fillcolor="#FFFFFF" filled="t" stroked="t" coordsize="21600,21600" o:gfxdata="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JxMs4TZAAAACgEAAA8AAAAAAAAA&#10;AQAgAAAAIgAAAGRycy9kb3ducmV2LnhtbFBLAQIUABQAAAAIAIdO4kALoPuJSQIAAJgEAAAOAAAA&#10;AAAAAAEAIAAAACgBAABkcnMvZTJvRG9jLnhtbFBLBQYAAAAABgAGAFkBAADjBQAAAAA=&#10;">
                <v:fill on="t" focussize="0,0"/>
                <v:stroke color="#000000" miterlimit="8" joinstyle="miter"/>
                <v:imagedata o:title=""/>
                <o:lock v:ext="edit" aspectratio="f"/>
                <v:textbox>
                  <w:txbxContent>
                    <w:p>
                      <w:pPr>
                        <w:ind w:firstLine="630" w:firstLineChars="300"/>
                      </w:pPr>
                    </w:p>
                    <w:p>
                      <w:pPr>
                        <w:ind w:firstLine="630" w:firstLineChars="300"/>
                      </w:pPr>
                    </w:p>
                    <w:p>
                      <w:pPr>
                        <w:ind w:firstLine="630" w:firstLineChars="300"/>
                      </w:pPr>
                    </w:p>
                    <w:p>
                      <w:pPr>
                        <w:jc w:val="center"/>
                      </w:pPr>
                      <w:r>
                        <w:rPr>
                          <w:rFonts w:hint="eastAsia" w:ascii="宋体" w:hAnsi="宋体" w:cs="宋体"/>
                        </w:rPr>
                        <w:t>身份证正面复印件</w:t>
                      </w:r>
                    </w:p>
                    <w:p>
                      <w:pPr>
                        <w:ind w:firstLine="840" w:firstLineChars="400"/>
                      </w:pPr>
                      <w:r>
                        <w:rPr>
                          <w:rFonts w:hint="eastAsia"/>
                        </w:rPr>
                        <w:t xml:space="preserve">                                         </w:t>
                      </w:r>
                    </w:p>
                  </w:txbxContent>
                </v:textbox>
              </v:shape>
            </w:pict>
          </mc:Fallback>
        </mc:AlternateContent>
      </w:r>
      <w:r>
        <w:rPr>
          <w:rFonts w:hint="eastAsia" w:ascii="宋体" w:hAnsi="宋体" w:cs="宋体"/>
          <w:sz w:val="24"/>
          <w:szCs w:val="24"/>
        </w:rPr>
        <w:t>被授权人身份证正反面复印件：</w:t>
      </w:r>
    </w:p>
    <w:p>
      <w:pPr>
        <w:pStyle w:val="57"/>
        <w:spacing w:line="360" w:lineRule="auto"/>
        <w:rPr>
          <w:rFonts w:hint="eastAsia" w:ascii="宋体" w:hAnsi="宋体" w:cs="宋体"/>
          <w:b/>
        </w:rPr>
      </w:pPr>
    </w:p>
    <w:p>
      <w:pPr>
        <w:pStyle w:val="57"/>
        <w:spacing w:line="360" w:lineRule="auto"/>
        <w:rPr>
          <w:rFonts w:hint="eastAsia" w:ascii="宋体" w:hAnsi="宋体" w:cs="宋体"/>
          <w:b/>
        </w:rPr>
      </w:pPr>
    </w:p>
    <w:p>
      <w:pPr>
        <w:pStyle w:val="57"/>
        <w:spacing w:line="360" w:lineRule="auto"/>
        <w:rPr>
          <w:rFonts w:hint="eastAsia" w:ascii="宋体" w:hAnsi="宋体" w:cs="宋体"/>
          <w:b/>
        </w:rPr>
      </w:pPr>
    </w:p>
    <w:p>
      <w:pPr>
        <w:pStyle w:val="57"/>
        <w:spacing w:line="360" w:lineRule="auto"/>
        <w:rPr>
          <w:rFonts w:hint="eastAsia" w:ascii="宋体" w:hAnsi="宋体" w:cs="宋体"/>
          <w:b/>
        </w:rPr>
      </w:pPr>
    </w:p>
    <w:p>
      <w:pPr>
        <w:spacing w:line="360" w:lineRule="auto"/>
        <w:rPr>
          <w:rFonts w:hint="eastAsia" w:ascii="宋体" w:hAnsi="宋体" w:cs="宋体"/>
          <w:sz w:val="24"/>
          <w:szCs w:val="24"/>
        </w:rPr>
      </w:pPr>
      <w:r>
        <w:rPr>
          <w:rFonts w:hint="eastAsia" w:ascii="宋体" w:hAnsi="宋体" w:cs="宋体"/>
          <w:sz w:val="24"/>
          <w:szCs w:val="24"/>
        </w:rPr>
        <w:t xml:space="preserve">附件3                                             </w:t>
      </w:r>
    </w:p>
    <w:p>
      <w:pPr>
        <w:spacing w:line="360" w:lineRule="auto"/>
        <w:ind w:firstLine="5320" w:firstLineChars="1900"/>
        <w:rPr>
          <w:rFonts w:eastAsia="仿宋_GB2312"/>
          <w:sz w:val="28"/>
          <w:szCs w:val="28"/>
        </w:rPr>
      </w:pPr>
      <w:r>
        <w:rPr>
          <w:rFonts w:eastAsia="仿宋_GB2312"/>
          <w:sz w:val="28"/>
          <w:szCs w:val="28"/>
        </w:rPr>
        <w:t>日期：</w:t>
      </w:r>
      <w:r>
        <w:rPr>
          <w:rFonts w:hint="eastAsia" w:eastAsia="仿宋_GB2312"/>
          <w:sz w:val="28"/>
          <w:szCs w:val="28"/>
        </w:rPr>
        <w:t>2025</w:t>
      </w:r>
      <w:r>
        <w:rPr>
          <w:rFonts w:eastAsia="仿宋_GB2312"/>
          <w:sz w:val="28"/>
          <w:szCs w:val="28"/>
        </w:rPr>
        <w:t xml:space="preserve"> 年  月  日</w:t>
      </w:r>
    </w:p>
    <w:p>
      <w:pPr>
        <w:spacing w:line="360" w:lineRule="auto"/>
        <w:ind w:firstLine="5320" w:firstLineChars="1900"/>
        <w:rPr>
          <w:rFonts w:eastAsia="仿宋_GB2312"/>
          <w:sz w:val="28"/>
          <w:szCs w:val="28"/>
        </w:rPr>
      </w:pPr>
    </w:p>
    <w:p>
      <w:pPr>
        <w:spacing w:line="360" w:lineRule="auto"/>
        <w:jc w:val="left"/>
        <w:rPr>
          <w:rFonts w:hint="eastAsia" w:ascii="宋体" w:hAnsi="宋体"/>
          <w:b/>
          <w:bCs/>
          <w:sz w:val="28"/>
        </w:rPr>
      </w:pPr>
      <w:r>
        <w:rPr>
          <w:rFonts w:hint="eastAsia" w:ascii="宋体" w:hAnsi="宋体"/>
          <w:b/>
          <w:bCs/>
          <w:sz w:val="28"/>
        </w:rPr>
        <w:t>附件3</w:t>
      </w:r>
    </w:p>
    <w:p>
      <w:pPr>
        <w:spacing w:line="360" w:lineRule="auto"/>
        <w:rPr>
          <w:rFonts w:hint="eastAsia" w:ascii="宋体" w:hAnsi="宋体"/>
          <w:b/>
          <w:bCs/>
          <w:sz w:val="28"/>
          <w:szCs w:val="24"/>
        </w:rPr>
      </w:pPr>
      <w:r>
        <w:rPr>
          <w:rFonts w:hint="eastAsia" w:ascii="宋体" w:hAnsi="宋体"/>
          <w:b/>
          <w:bCs/>
          <w:color w:val="FF0000"/>
          <w:sz w:val="28"/>
          <w:szCs w:val="24"/>
        </w:rPr>
        <w:t>《开标一览表》单独封存，以备唱标使用</w:t>
      </w:r>
    </w:p>
    <w:p>
      <w:pPr>
        <w:keepNext/>
        <w:keepLines/>
        <w:jc w:val="center"/>
        <w:outlineLvl w:val="1"/>
        <w:rPr>
          <w:rFonts w:hint="eastAsia" w:ascii="黑体" w:hAnsi="黑体" w:eastAsia="黑体" w:cs="黑体"/>
          <w:b/>
          <w:bCs/>
          <w:sz w:val="28"/>
          <w:szCs w:val="32"/>
        </w:rPr>
      </w:pPr>
      <w:r>
        <w:rPr>
          <w:rFonts w:hint="eastAsia" w:ascii="黑体" w:hAnsi="黑体" w:eastAsia="黑体" w:cs="黑体"/>
          <w:b/>
          <w:bCs/>
          <w:sz w:val="28"/>
          <w:szCs w:val="32"/>
        </w:rPr>
        <w:t>开标一览表</w:t>
      </w:r>
    </w:p>
    <w:p>
      <w:pPr>
        <w:pStyle w:val="4"/>
        <w:adjustRightInd/>
        <w:spacing w:before="0" w:after="0" w:line="360" w:lineRule="auto"/>
        <w:textAlignment w:val="auto"/>
        <w:rPr>
          <w:rFonts w:hint="eastAsia" w:ascii="宋体" w:hAnsi="宋体"/>
          <w:b w:val="0"/>
          <w:sz w:val="24"/>
          <w:szCs w:val="24"/>
        </w:rPr>
      </w:pPr>
      <w:r>
        <w:rPr>
          <w:rFonts w:hint="eastAsia" w:ascii="宋体" w:hAnsi="宋体"/>
          <w:b w:val="0"/>
          <w:sz w:val="24"/>
          <w:szCs w:val="24"/>
        </w:rPr>
        <w:t>投标总报价（</w:t>
      </w:r>
      <w:r>
        <w:rPr>
          <w:rFonts w:hint="eastAsia" w:ascii="宋体" w:hAnsi="宋体"/>
          <w:b w:val="0"/>
          <w:sz w:val="24"/>
          <w:szCs w:val="24"/>
          <w:lang w:val="en-US"/>
        </w:rPr>
        <w:t>气、水合计</w:t>
      </w:r>
      <w:r>
        <w:rPr>
          <w:rFonts w:hint="eastAsia" w:ascii="宋体" w:hAnsi="宋体"/>
          <w:b w:val="0"/>
          <w:sz w:val="24"/>
          <w:szCs w:val="24"/>
        </w:rPr>
        <w:t>）：（含税），税率。</w:t>
      </w:r>
    </w:p>
    <w:p>
      <w:pPr>
        <w:spacing w:line="360" w:lineRule="auto"/>
        <w:rPr>
          <w:rFonts w:eastAsiaTheme="minorEastAsia"/>
        </w:rPr>
      </w:pPr>
      <w:r>
        <w:rPr>
          <w:rFonts w:hint="eastAsia"/>
          <w:sz w:val="24"/>
          <w:szCs w:val="24"/>
        </w:rPr>
        <w:t>对应招标内容分项报价：</w:t>
      </w:r>
    </w:p>
    <w:tbl>
      <w:tblPr>
        <w:tblStyle w:val="48"/>
        <w:tblW w:w="10504" w:type="dxa"/>
        <w:jc w:val="center"/>
        <w:tblLayout w:type="fixed"/>
        <w:tblCellMar>
          <w:top w:w="0" w:type="dxa"/>
          <w:left w:w="108" w:type="dxa"/>
          <w:bottom w:w="0" w:type="dxa"/>
          <w:right w:w="108" w:type="dxa"/>
        </w:tblCellMar>
      </w:tblPr>
      <w:tblGrid>
        <w:gridCol w:w="654"/>
        <w:gridCol w:w="508"/>
        <w:gridCol w:w="900"/>
        <w:gridCol w:w="1415"/>
        <w:gridCol w:w="2127"/>
        <w:gridCol w:w="1177"/>
        <w:gridCol w:w="1270"/>
        <w:gridCol w:w="1234"/>
        <w:gridCol w:w="1219"/>
      </w:tblGrid>
      <w:tr>
        <w:tblPrEx>
          <w:tblCellMar>
            <w:top w:w="0" w:type="dxa"/>
            <w:left w:w="108" w:type="dxa"/>
            <w:bottom w:w="0" w:type="dxa"/>
            <w:right w:w="108" w:type="dxa"/>
          </w:tblCellMar>
        </w:tblPrEx>
        <w:trPr>
          <w:trHeight w:val="633" w:hRule="atLeast"/>
          <w:jc w:val="center"/>
        </w:trPr>
        <w:tc>
          <w:tcPr>
            <w:tcW w:w="10504" w:type="dxa"/>
            <w:gridSpan w:val="9"/>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黑体" w:eastAsia="黑体" w:cs="黑体"/>
                <w:b/>
                <w:bCs/>
                <w:sz w:val="28"/>
                <w:szCs w:val="28"/>
              </w:rPr>
              <w:t>一、VOC运维报价分表</w:t>
            </w:r>
          </w:p>
        </w:tc>
      </w:tr>
      <w:tr>
        <w:tblPrEx>
          <w:tblCellMar>
            <w:top w:w="0" w:type="dxa"/>
            <w:left w:w="108" w:type="dxa"/>
            <w:bottom w:w="0" w:type="dxa"/>
            <w:right w:w="108" w:type="dxa"/>
          </w:tblCellMar>
        </w:tblPrEx>
        <w:trPr>
          <w:trHeight w:val="633"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sz w:val="24"/>
              </w:rPr>
            </w:pPr>
            <w:r>
              <w:rPr>
                <w:rFonts w:hint="eastAsia" w:ascii="黑体" w:hAnsi="宋体" w:eastAsia="黑体" w:cs="黑体"/>
                <w:kern w:val="0"/>
                <w:sz w:val="24"/>
                <w:lang w:bidi="ar"/>
              </w:rPr>
              <w:t>序号</w:t>
            </w:r>
          </w:p>
        </w:tc>
        <w:tc>
          <w:tcPr>
            <w:tcW w:w="4950" w:type="dxa"/>
            <w:gridSpan w:val="4"/>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项目名称</w:t>
            </w:r>
          </w:p>
        </w:tc>
        <w:tc>
          <w:tcPr>
            <w:tcW w:w="117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计量单位</w:t>
            </w:r>
          </w:p>
        </w:tc>
        <w:tc>
          <w:tcPr>
            <w:tcW w:w="127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预计数量</w:t>
            </w:r>
          </w:p>
        </w:tc>
        <w:tc>
          <w:tcPr>
            <w:tcW w:w="123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未税单价（元）</w:t>
            </w:r>
          </w:p>
        </w:tc>
        <w:tc>
          <w:tcPr>
            <w:tcW w:w="12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未税总价（元）</w:t>
            </w:r>
          </w:p>
        </w:tc>
      </w:tr>
      <w:tr>
        <w:tblPrEx>
          <w:tblCellMar>
            <w:top w:w="0" w:type="dxa"/>
            <w:left w:w="108" w:type="dxa"/>
            <w:bottom w:w="0" w:type="dxa"/>
            <w:right w:w="108" w:type="dxa"/>
          </w:tblCellMar>
        </w:tblPrEx>
        <w:trPr>
          <w:trHeight w:val="454"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eastAsiaTheme="minorEastAsia"/>
                <w:b/>
                <w:bCs/>
                <w:sz w:val="24"/>
              </w:rPr>
            </w:pPr>
            <w:r>
              <w:rPr>
                <w:rFonts w:hint="eastAsia" w:ascii="宋体" w:hAnsi="宋体" w:cs="宋体"/>
                <w:b/>
                <w:bCs/>
                <w:sz w:val="24"/>
              </w:rPr>
              <w:t>1</w:t>
            </w:r>
          </w:p>
        </w:tc>
        <w:tc>
          <w:tcPr>
            <w:tcW w:w="4950" w:type="dxa"/>
            <w:gridSpan w:val="4"/>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b/>
                <w:bCs/>
                <w:kern w:val="0"/>
                <w:sz w:val="24"/>
                <w:lang w:bidi="ar"/>
              </w:rPr>
              <w:t>验收</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7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443"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1.1</w:t>
            </w:r>
          </w:p>
        </w:tc>
        <w:tc>
          <w:tcPr>
            <w:tcW w:w="4950" w:type="dxa"/>
            <w:gridSpan w:val="4"/>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color w:val="000000"/>
                <w:sz w:val="24"/>
                <w:szCs w:val="24"/>
              </w:rPr>
            </w:pPr>
            <w:r>
              <w:rPr>
                <w:rFonts w:hint="eastAsia" w:ascii="宋体" w:hAnsi="宋体" w:cs="宋体"/>
                <w:kern w:val="0"/>
                <w:sz w:val="24"/>
                <w:lang w:bidi="ar"/>
              </w:rPr>
              <w:t>调试</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color w:val="000000"/>
                <w:sz w:val="24"/>
                <w:szCs w:val="24"/>
              </w:rPr>
            </w:pPr>
            <w:r>
              <w:rPr>
                <w:rFonts w:hint="eastAsia" w:ascii="宋体" w:hAnsi="宋体" w:cs="宋体"/>
                <w:color w:val="000000"/>
                <w:sz w:val="24"/>
                <w:szCs w:val="24"/>
              </w:rPr>
              <w:t>次</w:t>
            </w:r>
          </w:p>
        </w:tc>
        <w:tc>
          <w:tcPr>
            <w:tcW w:w="1270" w:type="dxa"/>
            <w:vMerge w:val="restart"/>
            <w:tcBorders>
              <w:top w:val="single" w:color="000000" w:sz="4" w:space="0"/>
              <w:left w:val="single" w:color="000000" w:sz="4" w:space="0"/>
              <w:right w:val="single" w:color="000000" w:sz="4" w:space="0"/>
            </w:tcBorders>
            <w:noWrap/>
            <w:vAlign w:val="center"/>
          </w:tcPr>
          <w:p>
            <w:pPr>
              <w:widowControl/>
              <w:jc w:val="center"/>
              <w:textAlignment w:val="center"/>
              <w:rPr>
                <w:rFonts w:hint="eastAsia" w:ascii="宋体" w:hAnsi="宋体" w:cs="宋体"/>
                <w:color w:val="000000"/>
                <w:sz w:val="24"/>
                <w:szCs w:val="24"/>
              </w:rPr>
            </w:pPr>
            <w:r>
              <w:rPr>
                <w:rFonts w:hint="eastAsia" w:ascii="宋体" w:hAnsi="宋体" w:cs="宋体"/>
                <w:color w:val="000000"/>
                <w:sz w:val="24"/>
                <w:szCs w:val="24"/>
              </w:rPr>
              <w:t>按实际情况足量直到验收</w:t>
            </w: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color w:val="000000"/>
                <w:sz w:val="24"/>
                <w:szCs w:val="24"/>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color w:val="000000"/>
                <w:sz w:val="24"/>
                <w:szCs w:val="24"/>
              </w:rPr>
            </w:pPr>
          </w:p>
        </w:tc>
      </w:tr>
      <w:tr>
        <w:tblPrEx>
          <w:tblCellMar>
            <w:top w:w="0" w:type="dxa"/>
            <w:left w:w="108" w:type="dxa"/>
            <w:bottom w:w="0" w:type="dxa"/>
            <w:right w:w="108" w:type="dxa"/>
          </w:tblCellMar>
        </w:tblPrEx>
        <w:trPr>
          <w:trHeight w:val="443"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1.2</w:t>
            </w:r>
          </w:p>
        </w:tc>
        <w:tc>
          <w:tcPr>
            <w:tcW w:w="4950" w:type="dxa"/>
            <w:gridSpan w:val="4"/>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比对</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次</w:t>
            </w:r>
          </w:p>
        </w:tc>
        <w:tc>
          <w:tcPr>
            <w:tcW w:w="1270" w:type="dxa"/>
            <w:vMerge w:val="continue"/>
            <w:tcBorders>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4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1.3</w:t>
            </w:r>
          </w:p>
        </w:tc>
        <w:tc>
          <w:tcPr>
            <w:tcW w:w="4950" w:type="dxa"/>
            <w:gridSpan w:val="4"/>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color w:val="000000"/>
                <w:sz w:val="24"/>
                <w:szCs w:val="24"/>
              </w:rPr>
            </w:pPr>
            <w:r>
              <w:rPr>
                <w:rFonts w:hint="eastAsia" w:ascii="宋体" w:hAnsi="宋体" w:cs="宋体"/>
                <w:kern w:val="0"/>
                <w:sz w:val="24"/>
                <w:lang w:bidi="ar"/>
              </w:rPr>
              <w:t>专家费</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color w:val="000000"/>
                <w:sz w:val="24"/>
                <w:szCs w:val="24"/>
              </w:rPr>
            </w:pPr>
            <w:r>
              <w:rPr>
                <w:rFonts w:hint="eastAsia" w:ascii="宋体" w:hAnsi="宋体" w:cs="宋体"/>
                <w:color w:val="000000"/>
                <w:sz w:val="24"/>
                <w:szCs w:val="24"/>
              </w:rPr>
              <w:t>人</w:t>
            </w:r>
          </w:p>
        </w:tc>
        <w:tc>
          <w:tcPr>
            <w:tcW w:w="127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color w:val="000000"/>
                <w:sz w:val="24"/>
                <w:szCs w:val="24"/>
              </w:rPr>
            </w:pPr>
            <w:r>
              <w:rPr>
                <w:rFonts w:hint="eastAsia" w:ascii="宋体" w:hAnsi="宋体" w:cs="宋体"/>
                <w:color w:val="000000"/>
                <w:sz w:val="24"/>
                <w:szCs w:val="24"/>
              </w:rPr>
              <w:t>3-5</w:t>
            </w: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color w:val="000000"/>
                <w:sz w:val="24"/>
                <w:szCs w:val="24"/>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color w:val="000000"/>
                <w:sz w:val="24"/>
                <w:szCs w:val="24"/>
              </w:rPr>
            </w:pPr>
          </w:p>
        </w:tc>
      </w:tr>
      <w:tr>
        <w:tblPrEx>
          <w:tblCellMar>
            <w:top w:w="0" w:type="dxa"/>
            <w:left w:w="108" w:type="dxa"/>
            <w:bottom w:w="0" w:type="dxa"/>
            <w:right w:w="108" w:type="dxa"/>
          </w:tblCellMar>
        </w:tblPrEx>
        <w:trPr>
          <w:trHeight w:val="544"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eastAsiaTheme="minorEastAsia"/>
                <w:b/>
                <w:bCs/>
                <w:sz w:val="24"/>
              </w:rPr>
            </w:pPr>
            <w:r>
              <w:rPr>
                <w:rFonts w:hint="eastAsia" w:ascii="宋体" w:hAnsi="宋体" w:cs="宋体"/>
                <w:b/>
                <w:bCs/>
                <w:sz w:val="24"/>
              </w:rPr>
              <w:t>2</w:t>
            </w:r>
          </w:p>
        </w:tc>
        <w:tc>
          <w:tcPr>
            <w:tcW w:w="4950" w:type="dxa"/>
            <w:gridSpan w:val="4"/>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b/>
                <w:bCs/>
                <w:kern w:val="0"/>
                <w:sz w:val="24"/>
                <w:lang w:bidi="ar"/>
              </w:rPr>
              <w:t>运维</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7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98" w:hRule="atLeast"/>
          <w:jc w:val="center"/>
        </w:trPr>
        <w:tc>
          <w:tcPr>
            <w:tcW w:w="654" w:type="dxa"/>
            <w:vMerge w:val="restart"/>
            <w:tcBorders>
              <w:top w:val="single" w:color="000000" w:sz="4" w:space="0"/>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2.1</w:t>
            </w:r>
          </w:p>
        </w:tc>
        <w:tc>
          <w:tcPr>
            <w:tcW w:w="508" w:type="dxa"/>
            <w:vMerge w:val="restart"/>
            <w:tcBorders>
              <w:top w:val="single" w:color="000000" w:sz="4" w:space="0"/>
              <w:left w:val="single" w:color="000000" w:sz="4" w:space="0"/>
              <w:right w:val="single" w:color="000000" w:sz="4" w:space="0"/>
            </w:tcBorders>
            <w:noWrap/>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耗材费</w:t>
            </w:r>
          </w:p>
        </w:tc>
        <w:tc>
          <w:tcPr>
            <w:tcW w:w="4442"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纯净水</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瓶</w:t>
            </w:r>
          </w:p>
        </w:tc>
        <w:tc>
          <w:tcPr>
            <w:tcW w:w="1270" w:type="dxa"/>
            <w:vMerge w:val="restart"/>
            <w:tcBorders>
              <w:top w:val="single" w:color="000000" w:sz="4" w:space="0"/>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全年足量使用</w:t>
            </w: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98" w:hRule="atLeast"/>
          <w:jc w:val="center"/>
        </w:trPr>
        <w:tc>
          <w:tcPr>
            <w:tcW w:w="654" w:type="dxa"/>
            <w:vMerge w:val="continue"/>
            <w:tcBorders>
              <w:left w:val="single" w:color="000000" w:sz="4" w:space="0"/>
              <w:right w:val="single" w:color="000000" w:sz="4" w:space="0"/>
            </w:tcBorders>
            <w:shd w:val="clear" w:color="FFFFFF" w:fill="FFFFFF"/>
            <w:vAlign w:val="center"/>
          </w:tcPr>
          <w:p>
            <w:pPr>
              <w:widowControl/>
              <w:jc w:val="center"/>
              <w:textAlignment w:val="center"/>
            </w:pPr>
          </w:p>
        </w:tc>
        <w:tc>
          <w:tcPr>
            <w:tcW w:w="508" w:type="dxa"/>
            <w:vMerge w:val="continue"/>
            <w:tcBorders>
              <w:left w:val="single" w:color="000000" w:sz="4" w:space="0"/>
              <w:right w:val="single" w:color="000000" w:sz="4" w:space="0"/>
            </w:tcBorders>
            <w:noWrap/>
            <w:vAlign w:val="center"/>
          </w:tcPr>
          <w:p>
            <w:pPr>
              <w:widowControl/>
              <w:jc w:val="center"/>
              <w:textAlignment w:val="center"/>
            </w:pPr>
          </w:p>
        </w:tc>
        <w:tc>
          <w:tcPr>
            <w:tcW w:w="4442"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变色硅胶</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瓶</w:t>
            </w:r>
          </w:p>
        </w:tc>
        <w:tc>
          <w:tcPr>
            <w:tcW w:w="1270"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98" w:hRule="atLeast"/>
          <w:jc w:val="center"/>
        </w:trPr>
        <w:tc>
          <w:tcPr>
            <w:tcW w:w="654" w:type="dxa"/>
            <w:vMerge w:val="continue"/>
            <w:tcBorders>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508"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4442"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氢氧化钾</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瓶</w:t>
            </w:r>
          </w:p>
        </w:tc>
        <w:tc>
          <w:tcPr>
            <w:tcW w:w="1270"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98" w:hRule="atLeast"/>
          <w:jc w:val="center"/>
        </w:trPr>
        <w:tc>
          <w:tcPr>
            <w:tcW w:w="654" w:type="dxa"/>
            <w:vMerge w:val="continue"/>
            <w:tcBorders>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508"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4442"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标气（非甲烷）</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瓶</w:t>
            </w:r>
          </w:p>
        </w:tc>
        <w:tc>
          <w:tcPr>
            <w:tcW w:w="1270"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98" w:hRule="atLeast"/>
          <w:jc w:val="center"/>
        </w:trPr>
        <w:tc>
          <w:tcPr>
            <w:tcW w:w="654" w:type="dxa"/>
            <w:vMerge w:val="continue"/>
            <w:tcBorders>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508"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4442"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标气（苯系物）</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瓶</w:t>
            </w:r>
          </w:p>
        </w:tc>
        <w:tc>
          <w:tcPr>
            <w:tcW w:w="1270"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98" w:hRule="atLeast"/>
          <w:jc w:val="center"/>
        </w:trPr>
        <w:tc>
          <w:tcPr>
            <w:tcW w:w="654" w:type="dxa"/>
            <w:vMerge w:val="continue"/>
            <w:tcBorders>
              <w:left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508"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4442"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氮气</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瓶</w:t>
            </w:r>
          </w:p>
        </w:tc>
        <w:tc>
          <w:tcPr>
            <w:tcW w:w="1270" w:type="dxa"/>
            <w:vMerge w:val="continue"/>
            <w:tcBorders>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488"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2.2</w:t>
            </w:r>
          </w:p>
        </w:tc>
        <w:tc>
          <w:tcPr>
            <w:tcW w:w="4950" w:type="dxa"/>
            <w:gridSpan w:val="4"/>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运维费</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人/次</w:t>
            </w:r>
          </w:p>
        </w:tc>
        <w:tc>
          <w:tcPr>
            <w:tcW w:w="127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szCs w:val="24"/>
                <w:lang w:bidi="ar"/>
              </w:rPr>
            </w:pPr>
            <w:r>
              <w:rPr>
                <w:rFonts w:hint="eastAsia" w:ascii="宋体" w:hAnsi="宋体" w:cs="宋体"/>
                <w:kern w:val="0"/>
                <w:sz w:val="24"/>
                <w:lang w:bidi="ar"/>
              </w:rPr>
              <w:t>2人/52次</w:t>
            </w: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285"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2.3</w:t>
            </w:r>
          </w:p>
        </w:tc>
        <w:tc>
          <w:tcPr>
            <w:tcW w:w="4950" w:type="dxa"/>
            <w:gridSpan w:val="4"/>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eastAsiaTheme="minorEastAsia"/>
                <w:kern w:val="0"/>
                <w:sz w:val="24"/>
                <w:lang w:bidi="ar"/>
              </w:rPr>
            </w:pPr>
            <w:r>
              <w:rPr>
                <w:rFonts w:hint="eastAsia" w:ascii="宋体" w:hAnsi="宋体" w:cs="宋体"/>
                <w:kern w:val="0"/>
                <w:sz w:val="24"/>
                <w:lang w:bidi="ar"/>
              </w:rPr>
              <w:t>车辆费</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127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包年</w:t>
            </w: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377"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2.4</w:t>
            </w:r>
          </w:p>
        </w:tc>
        <w:tc>
          <w:tcPr>
            <w:tcW w:w="4950" w:type="dxa"/>
            <w:gridSpan w:val="4"/>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办公费</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eastAsiaTheme="minorEastAsia"/>
                <w:kern w:val="0"/>
                <w:sz w:val="24"/>
                <w:lang w:bidi="ar"/>
              </w:rPr>
            </w:pPr>
            <w:r>
              <w:rPr>
                <w:rFonts w:hint="eastAsia" w:ascii="宋体" w:hAnsi="宋体" w:cs="宋体"/>
                <w:kern w:val="0"/>
                <w:sz w:val="24"/>
                <w:lang w:bidi="ar"/>
              </w:rPr>
              <w:t>年</w:t>
            </w:r>
          </w:p>
        </w:tc>
        <w:tc>
          <w:tcPr>
            <w:tcW w:w="127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eastAsiaTheme="minorEastAsia"/>
                <w:kern w:val="0"/>
                <w:sz w:val="24"/>
                <w:lang w:bidi="ar"/>
              </w:rPr>
            </w:pPr>
            <w:r>
              <w:rPr>
                <w:rFonts w:hint="eastAsia" w:ascii="宋体" w:hAnsi="宋体" w:cs="宋体"/>
                <w:kern w:val="0"/>
                <w:sz w:val="24"/>
                <w:lang w:bidi="ar"/>
              </w:rPr>
              <w:t>包年</w:t>
            </w: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363"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2.5</w:t>
            </w:r>
          </w:p>
        </w:tc>
        <w:tc>
          <w:tcPr>
            <w:tcW w:w="4950" w:type="dxa"/>
            <w:gridSpan w:val="4"/>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标识费</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127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包年</w:t>
            </w: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454"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eastAsia="宋体" w:cs="宋体"/>
                <w:kern w:val="0"/>
                <w:sz w:val="24"/>
                <w:lang w:eastAsia="zh-CN" w:bidi="ar"/>
              </w:rPr>
            </w:pPr>
            <w:r>
              <w:rPr>
                <w:rFonts w:hint="eastAsia" w:ascii="宋体" w:hAnsi="宋体" w:cs="宋体"/>
                <w:kern w:val="0"/>
                <w:sz w:val="24"/>
                <w:lang w:bidi="ar"/>
              </w:rPr>
              <w:t>2.</w:t>
            </w:r>
            <w:r>
              <w:rPr>
                <w:rFonts w:hint="eastAsia" w:ascii="宋体" w:hAnsi="宋体" w:cs="宋体"/>
                <w:kern w:val="0"/>
                <w:sz w:val="24"/>
                <w:lang w:val="en-US" w:eastAsia="zh-CN" w:bidi="ar"/>
              </w:rPr>
              <w:t>6</w:t>
            </w:r>
          </w:p>
        </w:tc>
        <w:tc>
          <w:tcPr>
            <w:tcW w:w="4950" w:type="dxa"/>
            <w:gridSpan w:val="4"/>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专线费</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条</w:t>
            </w:r>
          </w:p>
        </w:tc>
        <w:tc>
          <w:tcPr>
            <w:tcW w:w="127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1</w:t>
            </w: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505"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eastAsia="宋体" w:cs="宋体"/>
                <w:kern w:val="0"/>
                <w:sz w:val="24"/>
                <w:lang w:eastAsia="zh-CN" w:bidi="ar"/>
              </w:rPr>
            </w:pPr>
            <w:r>
              <w:rPr>
                <w:rFonts w:hint="eastAsia" w:ascii="宋体" w:hAnsi="宋体" w:cs="宋体"/>
                <w:kern w:val="0"/>
                <w:sz w:val="24"/>
                <w:lang w:bidi="ar"/>
              </w:rPr>
              <w:t>2.</w:t>
            </w:r>
            <w:r>
              <w:rPr>
                <w:rFonts w:hint="eastAsia" w:ascii="宋体" w:hAnsi="宋体" w:cs="宋体"/>
                <w:kern w:val="0"/>
                <w:sz w:val="24"/>
                <w:lang w:val="en-US" w:eastAsia="zh-CN" w:bidi="ar"/>
              </w:rPr>
              <w:t>7</w:t>
            </w:r>
          </w:p>
        </w:tc>
        <w:tc>
          <w:tcPr>
            <w:tcW w:w="4950" w:type="dxa"/>
            <w:gridSpan w:val="4"/>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维修费</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1270" w:type="dxa"/>
            <w:tcBorders>
              <w:top w:val="single" w:color="000000" w:sz="4" w:space="0"/>
              <w:left w:val="single" w:color="000000" w:sz="4" w:space="0"/>
              <w:bottom w:val="single" w:color="000000" w:sz="4" w:space="0"/>
              <w:right w:val="single" w:color="000000" w:sz="4" w:space="0"/>
            </w:tcBorders>
            <w:noWrap/>
            <w:vAlign w:val="center"/>
          </w:tcPr>
          <w:p>
            <w:pPr>
              <w:widowControl/>
              <w:jc w:val="left"/>
              <w:textAlignment w:val="center"/>
              <w:rPr>
                <w:rFonts w:hint="eastAsia" w:ascii="宋体" w:hAnsi="宋体" w:cs="宋体" w:eastAsiaTheme="minorEastAsia"/>
                <w:kern w:val="0"/>
                <w:sz w:val="24"/>
                <w:lang w:bidi="ar"/>
              </w:rPr>
            </w:pPr>
            <w:r>
              <w:rPr>
                <w:rFonts w:hint="eastAsia" w:hAnsi="宋体" w:eastAsia="宋体" w:cs="宋体"/>
                <w:kern w:val="0"/>
                <w:sz w:val="20"/>
                <w:szCs w:val="18"/>
                <w:lang w:val="en-US" w:bidi="ar"/>
              </w:rPr>
              <w:t>含单次2000元及2000以下耗材和配件费</w:t>
            </w: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505"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2.8</w:t>
            </w:r>
          </w:p>
        </w:tc>
        <w:tc>
          <w:tcPr>
            <w:tcW w:w="4950" w:type="dxa"/>
            <w:gridSpan w:val="4"/>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流量卡</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127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eastAsiaTheme="minorEastAsia"/>
                <w:kern w:val="0"/>
                <w:sz w:val="24"/>
                <w:lang w:bidi="ar"/>
              </w:rPr>
            </w:pPr>
            <w:r>
              <w:rPr>
                <w:rFonts w:hint="eastAsia" w:ascii="宋体" w:hAnsi="宋体" w:cs="宋体"/>
                <w:kern w:val="0"/>
                <w:sz w:val="24"/>
                <w:lang w:bidi="ar"/>
              </w:rPr>
              <w:t>包年</w:t>
            </w: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505"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4950" w:type="dxa"/>
            <w:gridSpan w:val="4"/>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b/>
                <w:bCs/>
                <w:kern w:val="0"/>
                <w:sz w:val="24"/>
                <w:lang w:bidi="ar"/>
              </w:rPr>
              <w:t>小计</w:t>
            </w: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7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633" w:hRule="atLeast"/>
          <w:jc w:val="center"/>
        </w:trPr>
        <w:tc>
          <w:tcPr>
            <w:tcW w:w="10504" w:type="dxa"/>
            <w:gridSpan w:val="9"/>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黑体" w:eastAsia="黑体" w:cs="黑体"/>
                <w:b/>
                <w:bCs/>
                <w:sz w:val="28"/>
                <w:szCs w:val="28"/>
              </w:rPr>
              <w:t>二、废水运维报价分表</w:t>
            </w:r>
          </w:p>
        </w:tc>
      </w:tr>
      <w:tr>
        <w:tblPrEx>
          <w:tblCellMar>
            <w:top w:w="0" w:type="dxa"/>
            <w:left w:w="108" w:type="dxa"/>
            <w:bottom w:w="0" w:type="dxa"/>
            <w:right w:w="108" w:type="dxa"/>
          </w:tblCellMar>
        </w:tblPrEx>
        <w:trPr>
          <w:trHeight w:val="633" w:hRule="atLeast"/>
          <w:jc w:val="center"/>
        </w:trPr>
        <w:tc>
          <w:tcPr>
            <w:tcW w:w="654" w:type="dxa"/>
            <w:tcBorders>
              <w:top w:val="single" w:color="000000" w:sz="4" w:space="0"/>
              <w:left w:val="single" w:color="000000" w:sz="4" w:space="0"/>
              <w:bottom w:val="single" w:color="auto" w:sz="4" w:space="0"/>
              <w:right w:val="single" w:color="000000" w:sz="4" w:space="0"/>
            </w:tcBorders>
            <w:shd w:val="clear" w:color="FFFFFF" w:fill="FFFFFF"/>
            <w:vAlign w:val="center"/>
          </w:tcPr>
          <w:p>
            <w:pPr>
              <w:widowControl/>
              <w:jc w:val="center"/>
              <w:textAlignment w:val="center"/>
              <w:rPr>
                <w:rFonts w:hint="eastAsia" w:ascii="黑体" w:hAnsi="宋体" w:eastAsia="黑体" w:cs="黑体"/>
                <w:sz w:val="24"/>
              </w:rPr>
            </w:pPr>
            <w:r>
              <w:rPr>
                <w:rFonts w:hint="eastAsia" w:ascii="黑体" w:hAnsi="宋体" w:eastAsia="黑体" w:cs="黑体"/>
                <w:kern w:val="0"/>
                <w:sz w:val="24"/>
                <w:lang w:bidi="ar"/>
              </w:rPr>
              <w:t>序号</w:t>
            </w:r>
          </w:p>
        </w:tc>
        <w:tc>
          <w:tcPr>
            <w:tcW w:w="2823" w:type="dxa"/>
            <w:gridSpan w:val="3"/>
            <w:tcBorders>
              <w:top w:val="single" w:color="000000" w:sz="4" w:space="0"/>
              <w:left w:val="single" w:color="000000" w:sz="4" w:space="0"/>
              <w:bottom w:val="single" w:color="auto"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项目名称</w:t>
            </w:r>
          </w:p>
        </w:tc>
        <w:tc>
          <w:tcPr>
            <w:tcW w:w="2127" w:type="dxa"/>
            <w:tcBorders>
              <w:top w:val="single" w:color="000000" w:sz="4" w:space="0"/>
              <w:left w:val="single" w:color="000000" w:sz="4" w:space="0"/>
              <w:bottom w:val="single" w:color="auto"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试剂</w:t>
            </w:r>
          </w:p>
        </w:tc>
        <w:tc>
          <w:tcPr>
            <w:tcW w:w="1177"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计量单位</w:t>
            </w:r>
          </w:p>
        </w:tc>
        <w:tc>
          <w:tcPr>
            <w:tcW w:w="1270"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预计数量</w:t>
            </w:r>
          </w:p>
        </w:tc>
        <w:tc>
          <w:tcPr>
            <w:tcW w:w="123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未税单价（元）</w:t>
            </w:r>
          </w:p>
        </w:tc>
        <w:tc>
          <w:tcPr>
            <w:tcW w:w="1219"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黑体" w:hAnsi="宋体" w:eastAsia="黑体" w:cs="黑体"/>
                <w:kern w:val="0"/>
                <w:sz w:val="24"/>
                <w:lang w:bidi="ar"/>
              </w:rPr>
            </w:pPr>
            <w:r>
              <w:rPr>
                <w:rFonts w:hint="eastAsia" w:ascii="黑体" w:hAnsi="宋体" w:eastAsia="黑体" w:cs="黑体"/>
                <w:kern w:val="0"/>
                <w:sz w:val="24"/>
                <w:lang w:bidi="ar"/>
              </w:rPr>
              <w:t>未税总价（元）</w:t>
            </w:r>
          </w:p>
        </w:tc>
      </w:tr>
      <w:tr>
        <w:tblPrEx>
          <w:tblCellMar>
            <w:top w:w="0" w:type="dxa"/>
            <w:left w:w="108" w:type="dxa"/>
            <w:bottom w:w="0" w:type="dxa"/>
            <w:right w:w="108" w:type="dxa"/>
          </w:tblCellMar>
        </w:tblPrEx>
        <w:trPr>
          <w:trHeight w:val="454" w:hRule="atLeast"/>
          <w:jc w:val="center"/>
        </w:trPr>
        <w:tc>
          <w:tcPr>
            <w:tcW w:w="654" w:type="dxa"/>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center"/>
              <w:textAlignment w:val="center"/>
              <w:rPr>
                <w:rFonts w:hint="eastAsia" w:ascii="宋体" w:hAnsi="宋体" w:cs="宋体" w:eastAsiaTheme="minorEastAsia"/>
                <w:b/>
                <w:bCs/>
                <w:sz w:val="24"/>
              </w:rPr>
            </w:pPr>
            <w:r>
              <w:rPr>
                <w:rFonts w:hint="eastAsia" w:ascii="宋体" w:hAnsi="宋体" w:cs="宋体"/>
                <w:kern w:val="0"/>
                <w:sz w:val="24"/>
                <w:lang w:bidi="ar"/>
              </w:rPr>
              <w:t>1</w:t>
            </w:r>
          </w:p>
        </w:tc>
        <w:tc>
          <w:tcPr>
            <w:tcW w:w="2823" w:type="dxa"/>
            <w:gridSpan w:val="3"/>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运维费</w:t>
            </w:r>
          </w:p>
        </w:tc>
        <w:tc>
          <w:tcPr>
            <w:tcW w:w="2127"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w:t>
            </w:r>
          </w:p>
        </w:tc>
        <w:tc>
          <w:tcPr>
            <w:tcW w:w="1177" w:type="dxa"/>
            <w:tcBorders>
              <w:top w:val="single" w:color="000000" w:sz="4" w:space="0"/>
              <w:left w:val="single" w:color="auto"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次/人</w:t>
            </w:r>
          </w:p>
        </w:tc>
        <w:tc>
          <w:tcPr>
            <w:tcW w:w="1270" w:type="dxa"/>
            <w:tcBorders>
              <w:top w:val="single" w:color="000000"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2人/52次</w:t>
            </w:r>
          </w:p>
        </w:tc>
        <w:tc>
          <w:tcPr>
            <w:tcW w:w="1234" w:type="dxa"/>
            <w:tcBorders>
              <w:top w:val="single" w:color="000000"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98" w:hRule="atLeast"/>
          <w:jc w:val="center"/>
        </w:trPr>
        <w:tc>
          <w:tcPr>
            <w:tcW w:w="654" w:type="dxa"/>
            <w:vMerge w:val="restart"/>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sz w:val="24"/>
              </w:rPr>
              <w:t>2</w:t>
            </w:r>
          </w:p>
        </w:tc>
        <w:tc>
          <w:tcPr>
            <w:tcW w:w="508"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sz w:val="24"/>
              </w:rPr>
            </w:pPr>
            <w:r>
              <w:rPr>
                <w:rFonts w:hint="eastAsia" w:ascii="宋体" w:hAnsi="宋体" w:cs="宋体"/>
                <w:kern w:val="0"/>
                <w:sz w:val="24"/>
                <w:lang w:bidi="ar"/>
              </w:rPr>
              <w:t>耗材费</w:t>
            </w:r>
          </w:p>
        </w:tc>
        <w:tc>
          <w:tcPr>
            <w:tcW w:w="2315" w:type="dxa"/>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纯净水</w:t>
            </w:r>
          </w:p>
        </w:tc>
        <w:tc>
          <w:tcPr>
            <w:tcW w:w="2127"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w:t>
            </w:r>
          </w:p>
        </w:tc>
        <w:tc>
          <w:tcPr>
            <w:tcW w:w="1177" w:type="dxa"/>
            <w:tcBorders>
              <w:top w:val="single" w:color="000000"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1270" w:type="dxa"/>
            <w:vMerge w:val="restart"/>
            <w:tcBorders>
              <w:top w:val="single" w:color="auto" w:sz="4" w:space="0"/>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全年足量提供</w:t>
            </w:r>
          </w:p>
        </w:tc>
        <w:tc>
          <w:tcPr>
            <w:tcW w:w="123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161" w:hRule="atLeast"/>
          <w:jc w:val="center"/>
        </w:trPr>
        <w:tc>
          <w:tcPr>
            <w:tcW w:w="654" w:type="dxa"/>
            <w:vMerge w:val="continue"/>
            <w:tcBorders>
              <w:top w:val="single" w:color="auto" w:sz="4" w:space="0"/>
              <w:left w:val="single" w:color="auto" w:sz="4" w:space="0"/>
              <w:bottom w:val="single" w:color="auto" w:sz="4" w:space="0"/>
              <w:right w:val="single" w:color="auto" w:sz="4" w:space="0"/>
            </w:tcBorders>
            <w:shd w:val="clear" w:color="FFFFFF" w:fill="FFFFFF"/>
            <w:vAlign w:val="center"/>
          </w:tcPr>
          <w:p>
            <w:pPr>
              <w:widowControl/>
              <w:jc w:val="center"/>
              <w:textAlignment w:val="center"/>
            </w:pPr>
          </w:p>
        </w:tc>
        <w:tc>
          <w:tcPr>
            <w:tcW w:w="508" w:type="dxa"/>
            <w:vMerge w:val="continue"/>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pPr>
          </w:p>
        </w:tc>
        <w:tc>
          <w:tcPr>
            <w:tcW w:w="900"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试剂</w:t>
            </w:r>
          </w:p>
        </w:tc>
        <w:tc>
          <w:tcPr>
            <w:tcW w:w="1415" w:type="dxa"/>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COD试剂</w:t>
            </w:r>
          </w:p>
        </w:tc>
        <w:tc>
          <w:tcPr>
            <w:tcW w:w="2127"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重铬酸钾</w:t>
            </w:r>
          </w:p>
        </w:tc>
        <w:tc>
          <w:tcPr>
            <w:tcW w:w="1177"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1270"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123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161" w:hRule="atLeast"/>
          <w:jc w:val="center"/>
        </w:trPr>
        <w:tc>
          <w:tcPr>
            <w:tcW w:w="654" w:type="dxa"/>
            <w:vMerge w:val="continue"/>
            <w:tcBorders>
              <w:top w:val="single" w:color="auto" w:sz="4" w:space="0"/>
              <w:left w:val="single" w:color="auto" w:sz="4" w:space="0"/>
              <w:bottom w:val="single" w:color="auto" w:sz="4" w:space="0"/>
              <w:right w:val="single" w:color="000000" w:sz="4" w:space="0"/>
            </w:tcBorders>
            <w:shd w:val="clear" w:color="FFFFFF" w:fill="FFFFFF"/>
            <w:vAlign w:val="center"/>
          </w:tcPr>
          <w:p>
            <w:pPr>
              <w:widowControl/>
              <w:jc w:val="center"/>
              <w:textAlignment w:val="center"/>
            </w:pPr>
          </w:p>
        </w:tc>
        <w:tc>
          <w:tcPr>
            <w:tcW w:w="508" w:type="dxa"/>
            <w:vMerge w:val="continue"/>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pPr>
          </w:p>
        </w:tc>
        <w:tc>
          <w:tcPr>
            <w:tcW w:w="900" w:type="dxa"/>
            <w:vMerge w:val="continue"/>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pPr>
          </w:p>
        </w:tc>
        <w:tc>
          <w:tcPr>
            <w:tcW w:w="1415" w:type="dxa"/>
            <w:vMerge w:val="continue"/>
            <w:tcBorders>
              <w:top w:val="single" w:color="auto" w:sz="4" w:space="0"/>
              <w:left w:val="single" w:color="000000" w:sz="4" w:space="0"/>
              <w:bottom w:val="single" w:color="auto" w:sz="4" w:space="0"/>
              <w:right w:val="single" w:color="auto" w:sz="4" w:space="0"/>
            </w:tcBorders>
            <w:noWrap/>
            <w:vAlign w:val="center"/>
          </w:tcPr>
          <w:p>
            <w:pPr>
              <w:widowControl/>
              <w:jc w:val="center"/>
              <w:textAlignment w:val="center"/>
            </w:pPr>
          </w:p>
        </w:tc>
        <w:tc>
          <w:tcPr>
            <w:tcW w:w="2127"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硫酸银</w:t>
            </w:r>
          </w:p>
        </w:tc>
        <w:tc>
          <w:tcPr>
            <w:tcW w:w="1177"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1270"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123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80" w:hRule="atLeast"/>
          <w:jc w:val="center"/>
        </w:trPr>
        <w:tc>
          <w:tcPr>
            <w:tcW w:w="654" w:type="dxa"/>
            <w:vMerge w:val="continue"/>
            <w:tcBorders>
              <w:top w:val="single" w:color="auto" w:sz="4" w:space="0"/>
              <w:left w:val="single" w:color="auto" w:sz="4" w:space="0"/>
              <w:bottom w:val="single" w:color="auto" w:sz="4" w:space="0"/>
              <w:right w:val="single" w:color="000000" w:sz="4" w:space="0"/>
            </w:tcBorders>
            <w:shd w:val="clear" w:color="FFFFFF" w:fill="FFFFFF"/>
            <w:vAlign w:val="center"/>
          </w:tcPr>
          <w:p>
            <w:pPr>
              <w:widowControl/>
              <w:jc w:val="center"/>
              <w:textAlignment w:val="center"/>
            </w:pPr>
          </w:p>
        </w:tc>
        <w:tc>
          <w:tcPr>
            <w:tcW w:w="508" w:type="dxa"/>
            <w:vMerge w:val="continue"/>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pPr>
          </w:p>
        </w:tc>
        <w:tc>
          <w:tcPr>
            <w:tcW w:w="900" w:type="dxa"/>
            <w:vMerge w:val="continue"/>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pPr>
          </w:p>
        </w:tc>
        <w:tc>
          <w:tcPr>
            <w:tcW w:w="1415" w:type="dxa"/>
            <w:vMerge w:val="restart"/>
            <w:tcBorders>
              <w:top w:val="single" w:color="auto" w:sz="4" w:space="0"/>
              <w:left w:val="single" w:color="000000"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氨氮试剂</w:t>
            </w:r>
          </w:p>
        </w:tc>
        <w:tc>
          <w:tcPr>
            <w:tcW w:w="2127"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水杨酸</w:t>
            </w:r>
          </w:p>
        </w:tc>
        <w:tc>
          <w:tcPr>
            <w:tcW w:w="1177"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1270"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123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80" w:hRule="atLeast"/>
          <w:jc w:val="center"/>
        </w:trPr>
        <w:tc>
          <w:tcPr>
            <w:tcW w:w="654" w:type="dxa"/>
            <w:vMerge w:val="continue"/>
            <w:tcBorders>
              <w:top w:val="single" w:color="auto" w:sz="4" w:space="0"/>
              <w:left w:val="single" w:color="auto" w:sz="4" w:space="0"/>
              <w:bottom w:val="single" w:color="auto" w:sz="4" w:space="0"/>
              <w:right w:val="single" w:color="000000" w:sz="4" w:space="0"/>
            </w:tcBorders>
            <w:shd w:val="clear" w:color="FFFFFF" w:fill="FFFFFF"/>
            <w:vAlign w:val="center"/>
          </w:tcPr>
          <w:p>
            <w:pPr>
              <w:widowControl/>
              <w:jc w:val="center"/>
              <w:textAlignment w:val="center"/>
            </w:pPr>
          </w:p>
        </w:tc>
        <w:tc>
          <w:tcPr>
            <w:tcW w:w="508" w:type="dxa"/>
            <w:vMerge w:val="continue"/>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pPr>
          </w:p>
        </w:tc>
        <w:tc>
          <w:tcPr>
            <w:tcW w:w="900" w:type="dxa"/>
            <w:vMerge w:val="continue"/>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pPr>
          </w:p>
        </w:tc>
        <w:tc>
          <w:tcPr>
            <w:tcW w:w="1415" w:type="dxa"/>
            <w:vMerge w:val="continue"/>
            <w:tcBorders>
              <w:top w:val="single" w:color="auto" w:sz="4" w:space="0"/>
              <w:left w:val="single" w:color="000000" w:sz="4" w:space="0"/>
              <w:bottom w:val="single" w:color="auto" w:sz="4" w:space="0"/>
              <w:right w:val="single" w:color="auto" w:sz="4" w:space="0"/>
            </w:tcBorders>
            <w:noWrap/>
            <w:vAlign w:val="center"/>
          </w:tcPr>
          <w:p>
            <w:pPr>
              <w:widowControl/>
              <w:jc w:val="center"/>
              <w:textAlignment w:val="center"/>
            </w:pPr>
          </w:p>
        </w:tc>
        <w:tc>
          <w:tcPr>
            <w:tcW w:w="2127"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szCs w:val="24"/>
                <w:lang w:bidi="ar"/>
              </w:rPr>
            </w:pPr>
            <w:r>
              <w:rPr>
                <w:rFonts w:ascii="宋体" w:hAnsi="宋体" w:cs="宋体"/>
                <w:color w:val="000000"/>
                <w:sz w:val="24"/>
                <w:szCs w:val="24"/>
              </w:rPr>
              <w:t>亚硝基</w:t>
            </w:r>
            <w:r>
              <w:rPr>
                <w:rFonts w:hint="eastAsia" w:ascii="宋体" w:hAnsi="宋体" w:cs="宋体"/>
                <w:color w:val="000000"/>
                <w:sz w:val="24"/>
                <w:szCs w:val="24"/>
              </w:rPr>
              <w:t>亚</w:t>
            </w:r>
            <w:r>
              <w:rPr>
                <w:rFonts w:ascii="宋体" w:hAnsi="宋体" w:cs="宋体"/>
                <w:color w:val="000000"/>
                <w:sz w:val="24"/>
                <w:szCs w:val="24"/>
              </w:rPr>
              <w:t>铁</w:t>
            </w:r>
            <w:r>
              <w:rPr>
                <w:rFonts w:hint="eastAsia" w:ascii="宋体" w:hAnsi="宋体" w:cs="宋体"/>
                <w:color w:val="000000"/>
                <w:sz w:val="24"/>
                <w:szCs w:val="24"/>
              </w:rPr>
              <w:t>氰</w:t>
            </w:r>
            <w:r>
              <w:rPr>
                <w:rFonts w:ascii="宋体" w:hAnsi="宋体" w:cs="宋体"/>
                <w:color w:val="000000"/>
                <w:sz w:val="24"/>
                <w:szCs w:val="24"/>
              </w:rPr>
              <w:t>化钠</w:t>
            </w:r>
          </w:p>
        </w:tc>
        <w:tc>
          <w:tcPr>
            <w:tcW w:w="1177"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1270"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123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80" w:hRule="atLeast"/>
          <w:jc w:val="center"/>
        </w:trPr>
        <w:tc>
          <w:tcPr>
            <w:tcW w:w="654" w:type="dxa"/>
            <w:vMerge w:val="continue"/>
            <w:tcBorders>
              <w:top w:val="single" w:color="auto" w:sz="4" w:space="0"/>
              <w:left w:val="single" w:color="auto" w:sz="4" w:space="0"/>
              <w:bottom w:val="single" w:color="auto"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508" w:type="dxa"/>
            <w:vMerge w:val="continue"/>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900" w:type="dxa"/>
            <w:vMerge w:val="continue"/>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415" w:type="dxa"/>
            <w:vMerge w:val="continue"/>
            <w:tcBorders>
              <w:top w:val="single" w:color="auto" w:sz="4" w:space="0"/>
              <w:left w:val="single" w:color="000000"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2127"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szCs w:val="24"/>
                <w:lang w:bidi="ar"/>
              </w:rPr>
            </w:pPr>
            <w:r>
              <w:rPr>
                <w:rFonts w:ascii="宋体" w:hAnsi="宋体" w:cs="宋体"/>
                <w:color w:val="000000"/>
                <w:sz w:val="24"/>
                <w:szCs w:val="24"/>
              </w:rPr>
              <w:t>柠檬酸三钠</w:t>
            </w:r>
          </w:p>
        </w:tc>
        <w:tc>
          <w:tcPr>
            <w:tcW w:w="1177"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1270"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123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80" w:hRule="atLeast"/>
          <w:jc w:val="center"/>
        </w:trPr>
        <w:tc>
          <w:tcPr>
            <w:tcW w:w="654" w:type="dxa"/>
            <w:vMerge w:val="continue"/>
            <w:tcBorders>
              <w:top w:val="single" w:color="auto" w:sz="4" w:space="0"/>
              <w:left w:val="single" w:color="auto" w:sz="4" w:space="0"/>
              <w:bottom w:val="single" w:color="auto"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508" w:type="dxa"/>
            <w:vMerge w:val="continue"/>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900" w:type="dxa"/>
            <w:vMerge w:val="continue"/>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415" w:type="dxa"/>
            <w:vMerge w:val="continue"/>
            <w:tcBorders>
              <w:top w:val="single" w:color="auto" w:sz="4" w:space="0"/>
              <w:left w:val="single" w:color="000000"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2127"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盐酸</w:t>
            </w:r>
          </w:p>
        </w:tc>
        <w:tc>
          <w:tcPr>
            <w:tcW w:w="1177"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1270"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123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107" w:hRule="atLeast"/>
          <w:jc w:val="center"/>
        </w:trPr>
        <w:tc>
          <w:tcPr>
            <w:tcW w:w="654" w:type="dxa"/>
            <w:vMerge w:val="continue"/>
            <w:tcBorders>
              <w:top w:val="single" w:color="auto" w:sz="4" w:space="0"/>
              <w:left w:val="single" w:color="auto" w:sz="4" w:space="0"/>
              <w:bottom w:val="single" w:color="auto" w:sz="4" w:space="0"/>
              <w:right w:val="single" w:color="000000" w:sz="4" w:space="0"/>
            </w:tcBorders>
            <w:shd w:val="clear" w:color="FFFFFF" w:fill="FFFFFF"/>
            <w:vAlign w:val="center"/>
          </w:tcPr>
          <w:p>
            <w:pPr>
              <w:widowControl/>
              <w:jc w:val="center"/>
              <w:textAlignment w:val="center"/>
            </w:pPr>
          </w:p>
        </w:tc>
        <w:tc>
          <w:tcPr>
            <w:tcW w:w="508" w:type="dxa"/>
            <w:vMerge w:val="continue"/>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pPr>
          </w:p>
        </w:tc>
        <w:tc>
          <w:tcPr>
            <w:tcW w:w="900" w:type="dxa"/>
            <w:vMerge w:val="continue"/>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pPr>
          </w:p>
        </w:tc>
        <w:tc>
          <w:tcPr>
            <w:tcW w:w="1415" w:type="dxa"/>
            <w:vMerge w:val="restart"/>
            <w:tcBorders>
              <w:top w:val="single" w:color="auto" w:sz="4" w:space="0"/>
              <w:left w:val="single" w:color="000000" w:sz="4" w:space="0"/>
              <w:right w:val="single" w:color="auto" w:sz="4" w:space="0"/>
            </w:tcBorders>
            <w:noWrap/>
            <w:vAlign w:val="center"/>
          </w:tcPr>
          <w:p>
            <w:pPr>
              <w:widowControl/>
              <w:jc w:val="center"/>
              <w:textAlignment w:val="center"/>
            </w:pPr>
            <w:r>
              <w:rPr>
                <w:rFonts w:hint="eastAsia" w:ascii="宋体" w:hAnsi="宋体" w:cs="宋体"/>
                <w:kern w:val="0"/>
                <w:sz w:val="24"/>
                <w:lang w:bidi="ar"/>
              </w:rPr>
              <w:t>磷酸盐试剂</w:t>
            </w:r>
          </w:p>
        </w:tc>
        <w:tc>
          <w:tcPr>
            <w:tcW w:w="2127"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ascii="宋体" w:hAnsi="宋体" w:cs="宋体"/>
                <w:color w:val="000000"/>
                <w:sz w:val="24"/>
                <w:szCs w:val="24"/>
              </w:rPr>
              <w:t>硫酸钾</w:t>
            </w:r>
          </w:p>
        </w:tc>
        <w:tc>
          <w:tcPr>
            <w:tcW w:w="1177"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1270"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123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107" w:hRule="atLeast"/>
          <w:jc w:val="center"/>
        </w:trPr>
        <w:tc>
          <w:tcPr>
            <w:tcW w:w="654" w:type="dxa"/>
            <w:vMerge w:val="continue"/>
            <w:tcBorders>
              <w:top w:val="single" w:color="auto" w:sz="4" w:space="0"/>
              <w:left w:val="single" w:color="auto" w:sz="4" w:space="0"/>
              <w:bottom w:val="single" w:color="auto" w:sz="4" w:space="0"/>
              <w:right w:val="single" w:color="000000" w:sz="4" w:space="0"/>
            </w:tcBorders>
            <w:shd w:val="clear" w:color="FFFFFF" w:fill="FFFFFF"/>
            <w:vAlign w:val="center"/>
          </w:tcPr>
          <w:p>
            <w:pPr>
              <w:widowControl/>
              <w:jc w:val="center"/>
              <w:textAlignment w:val="center"/>
            </w:pPr>
          </w:p>
        </w:tc>
        <w:tc>
          <w:tcPr>
            <w:tcW w:w="508" w:type="dxa"/>
            <w:vMerge w:val="continue"/>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pPr>
          </w:p>
        </w:tc>
        <w:tc>
          <w:tcPr>
            <w:tcW w:w="900" w:type="dxa"/>
            <w:vMerge w:val="continue"/>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pPr>
          </w:p>
        </w:tc>
        <w:tc>
          <w:tcPr>
            <w:tcW w:w="1415" w:type="dxa"/>
            <w:vMerge w:val="continue"/>
            <w:tcBorders>
              <w:left w:val="single" w:color="000000" w:sz="4" w:space="0"/>
              <w:right w:val="single" w:color="auto" w:sz="4" w:space="0"/>
            </w:tcBorders>
            <w:noWrap/>
            <w:vAlign w:val="center"/>
          </w:tcPr>
          <w:p>
            <w:pPr>
              <w:widowControl/>
              <w:jc w:val="center"/>
              <w:textAlignment w:val="center"/>
            </w:pPr>
          </w:p>
        </w:tc>
        <w:tc>
          <w:tcPr>
            <w:tcW w:w="2127"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钼酸胺</w:t>
            </w:r>
          </w:p>
        </w:tc>
        <w:tc>
          <w:tcPr>
            <w:tcW w:w="1177"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1270"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123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107" w:hRule="atLeast"/>
          <w:jc w:val="center"/>
        </w:trPr>
        <w:tc>
          <w:tcPr>
            <w:tcW w:w="654" w:type="dxa"/>
            <w:vMerge w:val="continue"/>
            <w:tcBorders>
              <w:top w:val="single" w:color="auto" w:sz="4" w:space="0"/>
              <w:left w:val="single" w:color="auto" w:sz="4" w:space="0"/>
              <w:bottom w:val="single" w:color="auto"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508" w:type="dxa"/>
            <w:vMerge w:val="continue"/>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900" w:type="dxa"/>
            <w:vMerge w:val="continue"/>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415" w:type="dxa"/>
            <w:vMerge w:val="continue"/>
            <w:tcBorders>
              <w:left w:val="single" w:color="000000"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2127"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抗坏血酸</w:t>
            </w:r>
          </w:p>
        </w:tc>
        <w:tc>
          <w:tcPr>
            <w:tcW w:w="1177"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1270"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123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107" w:hRule="atLeast"/>
          <w:jc w:val="center"/>
        </w:trPr>
        <w:tc>
          <w:tcPr>
            <w:tcW w:w="654" w:type="dxa"/>
            <w:vMerge w:val="continue"/>
            <w:tcBorders>
              <w:top w:val="single" w:color="auto" w:sz="4" w:space="0"/>
              <w:left w:val="single" w:color="auto"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508" w:type="dxa"/>
            <w:vMerge w:val="continue"/>
            <w:tcBorders>
              <w:top w:val="single" w:color="auto" w:sz="4" w:space="0"/>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900" w:type="dxa"/>
            <w:vMerge w:val="restart"/>
            <w:tcBorders>
              <w:top w:val="single" w:color="auto" w:sz="4" w:space="0"/>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标准溶液</w:t>
            </w:r>
          </w:p>
        </w:tc>
        <w:tc>
          <w:tcPr>
            <w:tcW w:w="1415" w:type="dxa"/>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COD量程液、核查液</w:t>
            </w:r>
          </w:p>
        </w:tc>
        <w:tc>
          <w:tcPr>
            <w:tcW w:w="2127" w:type="dxa"/>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w:t>
            </w:r>
          </w:p>
        </w:tc>
        <w:tc>
          <w:tcPr>
            <w:tcW w:w="1177" w:type="dxa"/>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1270"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1234" w:type="dxa"/>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107" w:hRule="atLeast"/>
          <w:jc w:val="center"/>
        </w:trPr>
        <w:tc>
          <w:tcPr>
            <w:tcW w:w="654" w:type="dxa"/>
            <w:vMerge w:val="continue"/>
            <w:tcBorders>
              <w:left w:val="single" w:color="auto" w:sz="4" w:space="0"/>
              <w:right w:val="single" w:color="000000" w:sz="4" w:space="0"/>
            </w:tcBorders>
            <w:shd w:val="clear" w:color="FFFFFF" w:fill="FFFFFF"/>
            <w:vAlign w:val="center"/>
          </w:tcPr>
          <w:p>
            <w:pPr>
              <w:widowControl/>
              <w:jc w:val="center"/>
              <w:textAlignment w:val="center"/>
            </w:pPr>
          </w:p>
        </w:tc>
        <w:tc>
          <w:tcPr>
            <w:tcW w:w="508" w:type="dxa"/>
            <w:vMerge w:val="continue"/>
            <w:tcBorders>
              <w:left w:val="single" w:color="000000" w:sz="4" w:space="0"/>
              <w:right w:val="single" w:color="000000" w:sz="4" w:space="0"/>
            </w:tcBorders>
            <w:noWrap/>
            <w:vAlign w:val="center"/>
          </w:tcPr>
          <w:p>
            <w:pPr>
              <w:widowControl/>
              <w:jc w:val="center"/>
              <w:textAlignment w:val="center"/>
            </w:pPr>
          </w:p>
        </w:tc>
        <w:tc>
          <w:tcPr>
            <w:tcW w:w="900" w:type="dxa"/>
            <w:vMerge w:val="continue"/>
            <w:tcBorders>
              <w:left w:val="single" w:color="000000" w:sz="4" w:space="0"/>
              <w:right w:val="single" w:color="000000" w:sz="4" w:space="0"/>
            </w:tcBorders>
            <w:noWrap/>
            <w:vAlign w:val="center"/>
          </w:tcPr>
          <w:p>
            <w:pPr>
              <w:widowControl/>
              <w:jc w:val="center"/>
              <w:textAlignment w:val="center"/>
            </w:pPr>
          </w:p>
        </w:tc>
        <w:tc>
          <w:tcPr>
            <w:tcW w:w="141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氨氮量程液、核查液</w:t>
            </w:r>
          </w:p>
        </w:tc>
        <w:tc>
          <w:tcPr>
            <w:tcW w:w="2127" w:type="dxa"/>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w:t>
            </w:r>
          </w:p>
        </w:tc>
        <w:tc>
          <w:tcPr>
            <w:tcW w:w="1177" w:type="dxa"/>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1270" w:type="dxa"/>
            <w:vMerge w:val="continue"/>
            <w:tcBorders>
              <w:left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1234" w:type="dxa"/>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107" w:hRule="atLeast"/>
          <w:jc w:val="center"/>
        </w:trPr>
        <w:tc>
          <w:tcPr>
            <w:tcW w:w="654" w:type="dxa"/>
            <w:vMerge w:val="continue"/>
            <w:tcBorders>
              <w:left w:val="single" w:color="auto"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508" w:type="dxa"/>
            <w:vMerge w:val="continue"/>
            <w:tcBorders>
              <w:left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900" w:type="dxa"/>
            <w:vMerge w:val="continue"/>
            <w:tcBorders>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41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磷酸盐量程液、核查液</w:t>
            </w:r>
          </w:p>
        </w:tc>
        <w:tc>
          <w:tcPr>
            <w:tcW w:w="2127" w:type="dxa"/>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w:t>
            </w:r>
          </w:p>
        </w:tc>
        <w:tc>
          <w:tcPr>
            <w:tcW w:w="1177" w:type="dxa"/>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升</w:t>
            </w:r>
          </w:p>
        </w:tc>
        <w:tc>
          <w:tcPr>
            <w:tcW w:w="1270" w:type="dxa"/>
            <w:vMerge w:val="continue"/>
            <w:tcBorders>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cs="宋体"/>
                <w:kern w:val="0"/>
                <w:sz w:val="24"/>
                <w:lang w:bidi="ar"/>
              </w:rPr>
            </w:pPr>
          </w:p>
        </w:tc>
        <w:tc>
          <w:tcPr>
            <w:tcW w:w="1234" w:type="dxa"/>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auto" w:sz="4" w:space="0"/>
              <w:left w:val="single" w:color="000000" w:sz="4" w:space="0"/>
              <w:bottom w:val="single" w:color="auto"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488"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sz w:val="24"/>
              </w:rPr>
              <w:t>3</w:t>
            </w:r>
          </w:p>
        </w:tc>
        <w:tc>
          <w:tcPr>
            <w:tcW w:w="2823"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维修费</w:t>
            </w:r>
          </w:p>
        </w:tc>
        <w:tc>
          <w:tcPr>
            <w:tcW w:w="2127" w:type="dxa"/>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177" w:type="dxa"/>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1270" w:type="dxa"/>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hAnsi="宋体" w:eastAsia="宋体" w:cs="宋体"/>
                <w:kern w:val="0"/>
                <w:sz w:val="20"/>
                <w:szCs w:val="18"/>
                <w:lang w:val="en-US" w:bidi="ar"/>
              </w:rPr>
              <w:t>含单次2000元及2000以下耗材和配件费</w:t>
            </w:r>
          </w:p>
        </w:tc>
        <w:tc>
          <w:tcPr>
            <w:tcW w:w="1234" w:type="dxa"/>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457"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sz w:val="24"/>
              </w:rPr>
            </w:pPr>
            <w:r>
              <w:rPr>
                <w:rFonts w:hint="eastAsia" w:ascii="宋体" w:hAnsi="宋体" w:cs="宋体"/>
                <w:sz w:val="24"/>
              </w:rPr>
              <w:t>4</w:t>
            </w:r>
          </w:p>
        </w:tc>
        <w:tc>
          <w:tcPr>
            <w:tcW w:w="2823"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交通费</w:t>
            </w:r>
          </w:p>
        </w:tc>
        <w:tc>
          <w:tcPr>
            <w:tcW w:w="212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1270" w:type="dxa"/>
            <w:tcBorders>
              <w:top w:val="single" w:color="000000" w:sz="4" w:space="0"/>
              <w:left w:val="single" w:color="000000" w:sz="4" w:space="0"/>
              <w:bottom w:val="single" w:color="000000" w:sz="4" w:space="0"/>
              <w:right w:val="single" w:color="000000" w:sz="4" w:space="0"/>
            </w:tcBorders>
            <w:noWrap/>
            <w:vAlign w:val="top"/>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包年</w:t>
            </w: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454"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5</w:t>
            </w:r>
          </w:p>
        </w:tc>
        <w:tc>
          <w:tcPr>
            <w:tcW w:w="2823"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标识费</w:t>
            </w:r>
          </w:p>
        </w:tc>
        <w:tc>
          <w:tcPr>
            <w:tcW w:w="212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项</w:t>
            </w:r>
          </w:p>
        </w:tc>
        <w:tc>
          <w:tcPr>
            <w:tcW w:w="1270" w:type="dxa"/>
            <w:tcBorders>
              <w:top w:val="single" w:color="000000" w:sz="4" w:space="0"/>
              <w:left w:val="single" w:color="000000" w:sz="4" w:space="0"/>
              <w:bottom w:val="single" w:color="000000" w:sz="4" w:space="0"/>
              <w:right w:val="single" w:color="000000" w:sz="4" w:space="0"/>
            </w:tcBorders>
            <w:noWrap/>
            <w:vAlign w:val="top"/>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包年</w:t>
            </w: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454"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6</w:t>
            </w:r>
          </w:p>
        </w:tc>
        <w:tc>
          <w:tcPr>
            <w:tcW w:w="2823"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资料费</w:t>
            </w:r>
          </w:p>
        </w:tc>
        <w:tc>
          <w:tcPr>
            <w:tcW w:w="212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项</w:t>
            </w:r>
          </w:p>
        </w:tc>
        <w:tc>
          <w:tcPr>
            <w:tcW w:w="1270" w:type="dxa"/>
            <w:tcBorders>
              <w:top w:val="single" w:color="000000" w:sz="4" w:space="0"/>
              <w:left w:val="single" w:color="000000" w:sz="4" w:space="0"/>
              <w:bottom w:val="single" w:color="000000" w:sz="4" w:space="0"/>
              <w:right w:val="single" w:color="000000" w:sz="4" w:space="0"/>
            </w:tcBorders>
            <w:noWrap/>
            <w:vAlign w:val="top"/>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包年</w:t>
            </w: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454"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7</w:t>
            </w:r>
          </w:p>
        </w:tc>
        <w:tc>
          <w:tcPr>
            <w:tcW w:w="2823"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办公费</w:t>
            </w:r>
          </w:p>
        </w:tc>
        <w:tc>
          <w:tcPr>
            <w:tcW w:w="212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127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包年</w:t>
            </w: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454"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8</w:t>
            </w:r>
          </w:p>
        </w:tc>
        <w:tc>
          <w:tcPr>
            <w:tcW w:w="2823"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专线费</w:t>
            </w:r>
          </w:p>
        </w:tc>
        <w:tc>
          <w:tcPr>
            <w:tcW w:w="212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条</w:t>
            </w:r>
          </w:p>
        </w:tc>
        <w:tc>
          <w:tcPr>
            <w:tcW w:w="127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1</w:t>
            </w: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454"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9</w:t>
            </w:r>
          </w:p>
        </w:tc>
        <w:tc>
          <w:tcPr>
            <w:tcW w:w="2823"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流量卡</w:t>
            </w:r>
          </w:p>
        </w:tc>
        <w:tc>
          <w:tcPr>
            <w:tcW w:w="212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年</w:t>
            </w:r>
          </w:p>
        </w:tc>
        <w:tc>
          <w:tcPr>
            <w:tcW w:w="127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kern w:val="0"/>
                <w:sz w:val="24"/>
                <w:lang w:bidi="ar"/>
              </w:rPr>
              <w:t>1</w:t>
            </w: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r>
        <w:tblPrEx>
          <w:tblCellMar>
            <w:top w:w="0" w:type="dxa"/>
            <w:left w:w="108" w:type="dxa"/>
            <w:bottom w:w="0" w:type="dxa"/>
            <w:right w:w="108" w:type="dxa"/>
          </w:tblCellMar>
        </w:tblPrEx>
        <w:trPr>
          <w:trHeight w:val="454"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FFFFFF" w:fill="FFFFFF"/>
            <w:vAlign w:val="center"/>
          </w:tcPr>
          <w:p>
            <w:pPr>
              <w:widowControl/>
              <w:jc w:val="center"/>
              <w:textAlignment w:val="center"/>
              <w:rPr>
                <w:rFonts w:hint="eastAsia" w:ascii="宋体" w:hAnsi="宋体" w:cs="宋体"/>
                <w:kern w:val="0"/>
                <w:sz w:val="24"/>
                <w:lang w:bidi="ar"/>
              </w:rPr>
            </w:pPr>
          </w:p>
        </w:tc>
        <w:tc>
          <w:tcPr>
            <w:tcW w:w="2823"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r>
              <w:rPr>
                <w:rFonts w:hint="eastAsia" w:ascii="宋体" w:hAnsi="宋体" w:cs="宋体"/>
                <w:b/>
                <w:bCs/>
                <w:kern w:val="0"/>
                <w:sz w:val="24"/>
                <w:lang w:bidi="ar"/>
              </w:rPr>
              <w:t>小计</w:t>
            </w:r>
          </w:p>
        </w:tc>
        <w:tc>
          <w:tcPr>
            <w:tcW w:w="212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17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7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34"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c>
          <w:tcPr>
            <w:tcW w:w="121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kern w:val="0"/>
                <w:sz w:val="24"/>
                <w:lang w:bidi="ar"/>
              </w:rPr>
            </w:pPr>
          </w:p>
        </w:tc>
      </w:tr>
    </w:tbl>
    <w:p>
      <w:pPr>
        <w:spacing w:line="360" w:lineRule="auto"/>
        <w:rPr>
          <w:rFonts w:hint="eastAsia" w:ascii="宋体" w:hAnsi="宋体"/>
          <w:sz w:val="24"/>
          <w:szCs w:val="24"/>
        </w:rPr>
      </w:pPr>
    </w:p>
    <w:p>
      <w:pPr>
        <w:spacing w:line="360" w:lineRule="auto"/>
        <w:rPr>
          <w:rFonts w:hint="eastAsia" w:ascii="宋体" w:hAnsi="宋体"/>
          <w:sz w:val="24"/>
          <w:szCs w:val="24"/>
        </w:rPr>
      </w:pPr>
      <w:r>
        <w:rPr>
          <w:rFonts w:hint="eastAsia" w:ascii="宋体" w:hAnsi="宋体"/>
          <w:sz w:val="24"/>
          <w:szCs w:val="24"/>
        </w:rPr>
        <w:t>投标人名称：                   授权代表签字：            日期：</w:t>
      </w:r>
    </w:p>
    <w:p>
      <w:pPr>
        <w:rPr>
          <w:rFonts w:hint="eastAsia" w:ascii="宋体" w:hAnsi="宋体"/>
          <w:sz w:val="24"/>
          <w:szCs w:val="24"/>
        </w:rPr>
      </w:pPr>
      <w:r>
        <w:rPr>
          <w:rFonts w:hint="eastAsia" w:ascii="宋体" w:hAnsi="宋体"/>
          <w:b/>
          <w:sz w:val="24"/>
          <w:szCs w:val="24"/>
        </w:rPr>
        <w:t>注：</w:t>
      </w:r>
      <w:r>
        <w:rPr>
          <w:rFonts w:hint="eastAsia" w:ascii="宋体" w:hAnsi="宋体"/>
          <w:sz w:val="24"/>
          <w:szCs w:val="24"/>
        </w:rPr>
        <w:t xml:space="preserve"> 1</w:t>
      </w:r>
      <w:r>
        <w:rPr>
          <w:rFonts w:ascii="宋体" w:hAnsi="宋体"/>
          <w:sz w:val="24"/>
          <w:szCs w:val="24"/>
        </w:rPr>
        <w:t>.</w:t>
      </w:r>
      <w:r>
        <w:rPr>
          <w:rFonts w:hint="eastAsia" w:ascii="宋体" w:hAnsi="宋体"/>
          <w:sz w:val="24"/>
          <w:szCs w:val="24"/>
        </w:rPr>
        <w:t>请按照以上表格填写报价，可增项、不可缺项。</w:t>
      </w:r>
    </w:p>
    <w:p>
      <w:pPr>
        <w:ind w:firstLine="600" w:firstLineChars="250"/>
        <w:rPr>
          <w:rFonts w:hint="eastAsia" w:ascii="宋体" w:hAnsi="宋体"/>
          <w:sz w:val="24"/>
          <w:szCs w:val="24"/>
        </w:rPr>
      </w:pPr>
      <w:r>
        <w:rPr>
          <w:rFonts w:hint="eastAsia" w:ascii="宋体" w:hAnsi="宋体"/>
          <w:sz w:val="24"/>
          <w:szCs w:val="24"/>
        </w:rPr>
        <w:t>2.投标总价为单项价之和。</w:t>
      </w:r>
    </w:p>
    <w:p>
      <w:pPr>
        <w:ind w:firstLine="600" w:firstLineChars="250"/>
        <w:rPr>
          <w:rFonts w:hint="eastAsia" w:ascii="宋体" w:hAnsi="宋体"/>
          <w:sz w:val="24"/>
          <w:szCs w:val="24"/>
        </w:rPr>
      </w:pPr>
      <w:r>
        <w:rPr>
          <w:rFonts w:hint="eastAsia" w:ascii="宋体" w:hAnsi="宋体"/>
          <w:sz w:val="24"/>
          <w:szCs w:val="24"/>
        </w:rPr>
        <w:t>3.本表用于开标宣读用，请单独封存。</w:t>
      </w:r>
    </w:p>
    <w:p>
      <w:pPr>
        <w:ind w:firstLine="600" w:firstLineChars="250"/>
        <w:rPr>
          <w:rFonts w:hint="eastAsia" w:ascii="宋体" w:hAnsi="宋体"/>
          <w:b/>
          <w:bCs/>
          <w:sz w:val="28"/>
          <w:szCs w:val="24"/>
        </w:rPr>
      </w:pPr>
      <w:r>
        <w:rPr>
          <w:rFonts w:hint="eastAsia" w:ascii="宋体" w:hAnsi="宋体"/>
          <w:sz w:val="24"/>
          <w:szCs w:val="24"/>
        </w:rPr>
        <w:t>4.报价含税；如不能开具增值税发票，报价为直接支付价格。</w:t>
      </w:r>
    </w:p>
    <w:p>
      <w:pPr>
        <w:spacing w:line="360" w:lineRule="auto"/>
        <w:rPr>
          <w:rFonts w:hint="eastAsia" w:ascii="宋体" w:hAnsi="宋体"/>
          <w:b/>
          <w:bCs/>
          <w:sz w:val="28"/>
          <w:szCs w:val="24"/>
        </w:rPr>
      </w:pPr>
    </w:p>
    <w:p>
      <w:pPr>
        <w:spacing w:line="360" w:lineRule="auto"/>
        <w:rPr>
          <w:rFonts w:hint="eastAsia" w:ascii="宋体" w:hAnsi="宋体"/>
          <w:b/>
          <w:bCs/>
          <w:sz w:val="28"/>
          <w:szCs w:val="24"/>
        </w:rPr>
      </w:pPr>
      <w:bookmarkStart w:id="15" w:name="_GoBack"/>
      <w:bookmarkEnd w:id="15"/>
      <w:r>
        <w:rPr>
          <w:rFonts w:hint="eastAsia" w:ascii="宋体" w:hAnsi="宋体"/>
          <w:b/>
          <w:bCs/>
          <w:sz w:val="28"/>
          <w:szCs w:val="24"/>
        </w:rPr>
        <w:t>附件4</w:t>
      </w:r>
    </w:p>
    <w:p>
      <w:pPr>
        <w:keepNext/>
        <w:keepLines/>
        <w:spacing w:before="156" w:beforeLines="50" w:after="156" w:afterLines="50"/>
        <w:jc w:val="center"/>
        <w:outlineLvl w:val="1"/>
        <w:rPr>
          <w:rFonts w:hint="eastAsia" w:ascii="黑体" w:hAnsi="黑体" w:eastAsia="黑体" w:cs="黑体"/>
          <w:b/>
          <w:bCs/>
          <w:sz w:val="28"/>
          <w:szCs w:val="32"/>
        </w:rPr>
      </w:pPr>
      <w:r>
        <w:rPr>
          <w:rFonts w:hint="eastAsia" w:ascii="黑体" w:hAnsi="黑体" w:eastAsia="黑体" w:cs="黑体"/>
          <w:b/>
          <w:bCs/>
          <w:sz w:val="28"/>
          <w:szCs w:val="32"/>
        </w:rPr>
        <w:t>偏离表</w:t>
      </w:r>
    </w:p>
    <w:tbl>
      <w:tblPr>
        <w:tblStyle w:val="4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spacing w:line="360" w:lineRule="auto"/>
              <w:jc w:val="center"/>
              <w:rPr>
                <w:rFonts w:hint="eastAsia" w:ascii="宋体" w:hAnsi="宋体"/>
                <w:sz w:val="24"/>
                <w:szCs w:val="24"/>
              </w:rPr>
            </w:pPr>
            <w:r>
              <w:rPr>
                <w:rFonts w:hint="eastAsia" w:ascii="宋体" w:hAnsi="宋体"/>
                <w:sz w:val="24"/>
                <w:szCs w:val="24"/>
              </w:rPr>
              <w:t>序号</w:t>
            </w:r>
          </w:p>
        </w:tc>
        <w:tc>
          <w:tcPr>
            <w:tcW w:w="3971" w:type="dxa"/>
            <w:gridSpan w:val="2"/>
            <w:vAlign w:val="center"/>
          </w:tcPr>
          <w:p>
            <w:pPr>
              <w:spacing w:line="360" w:lineRule="auto"/>
              <w:jc w:val="center"/>
              <w:rPr>
                <w:rFonts w:hint="eastAsia" w:ascii="宋体" w:hAnsi="宋体"/>
                <w:sz w:val="24"/>
                <w:szCs w:val="24"/>
              </w:rPr>
            </w:pPr>
            <w:r>
              <w:rPr>
                <w:rFonts w:hint="eastAsia" w:ascii="宋体" w:hAnsi="宋体"/>
                <w:sz w:val="24"/>
                <w:szCs w:val="24"/>
              </w:rPr>
              <w:t>招标文件条款</w:t>
            </w:r>
          </w:p>
        </w:tc>
        <w:tc>
          <w:tcPr>
            <w:tcW w:w="3723" w:type="dxa"/>
            <w:gridSpan w:val="2"/>
            <w:vAlign w:val="center"/>
          </w:tcPr>
          <w:p>
            <w:pPr>
              <w:spacing w:line="360" w:lineRule="auto"/>
              <w:jc w:val="center"/>
              <w:rPr>
                <w:rFonts w:hint="eastAsia" w:ascii="宋体" w:hAnsi="宋体"/>
                <w:sz w:val="24"/>
                <w:szCs w:val="24"/>
              </w:rPr>
            </w:pPr>
            <w:r>
              <w:rPr>
                <w:rFonts w:hint="eastAsia" w:ascii="宋体" w:hAnsi="宋体"/>
                <w:sz w:val="24"/>
                <w:szCs w:val="24"/>
              </w:rPr>
              <w:t>投标书条款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spacing w:line="360" w:lineRule="auto"/>
              <w:rPr>
                <w:rFonts w:hint="eastAsia" w:ascii="宋体" w:hAnsi="宋体"/>
                <w:sz w:val="24"/>
                <w:szCs w:val="24"/>
              </w:rPr>
            </w:pPr>
          </w:p>
        </w:tc>
        <w:tc>
          <w:tcPr>
            <w:tcW w:w="1080" w:type="dxa"/>
            <w:vAlign w:val="center"/>
          </w:tcPr>
          <w:p>
            <w:pPr>
              <w:spacing w:line="360" w:lineRule="auto"/>
              <w:jc w:val="center"/>
              <w:rPr>
                <w:rFonts w:hint="eastAsia" w:ascii="宋体" w:hAnsi="宋体"/>
                <w:sz w:val="24"/>
                <w:szCs w:val="24"/>
              </w:rPr>
            </w:pPr>
          </w:p>
        </w:tc>
        <w:tc>
          <w:tcPr>
            <w:tcW w:w="2891" w:type="dxa"/>
            <w:vAlign w:val="center"/>
          </w:tcPr>
          <w:p>
            <w:pPr>
              <w:spacing w:line="360" w:lineRule="auto"/>
              <w:jc w:val="center"/>
              <w:rPr>
                <w:rFonts w:hint="eastAsia" w:ascii="宋体" w:hAnsi="宋体"/>
                <w:sz w:val="24"/>
                <w:szCs w:val="24"/>
              </w:rPr>
            </w:pPr>
            <w:r>
              <w:rPr>
                <w:rFonts w:hint="eastAsia" w:ascii="宋体" w:hAnsi="宋体"/>
                <w:sz w:val="24"/>
                <w:szCs w:val="24"/>
              </w:rPr>
              <w:t>偏离</w:t>
            </w:r>
          </w:p>
        </w:tc>
        <w:tc>
          <w:tcPr>
            <w:tcW w:w="1110" w:type="dxa"/>
            <w:vAlign w:val="center"/>
          </w:tcPr>
          <w:p>
            <w:pPr>
              <w:spacing w:line="360" w:lineRule="auto"/>
              <w:jc w:val="center"/>
              <w:rPr>
                <w:rFonts w:hint="eastAsia" w:ascii="宋体" w:hAnsi="宋体"/>
                <w:sz w:val="24"/>
                <w:szCs w:val="24"/>
              </w:rPr>
            </w:pPr>
          </w:p>
        </w:tc>
        <w:tc>
          <w:tcPr>
            <w:tcW w:w="2613" w:type="dxa"/>
            <w:vAlign w:val="center"/>
          </w:tcPr>
          <w:p>
            <w:pPr>
              <w:spacing w:line="360" w:lineRule="auto"/>
              <w:jc w:val="center"/>
              <w:rPr>
                <w:rFonts w:hint="eastAsia" w:ascii="宋体" w:hAnsi="宋体"/>
                <w:sz w:val="24"/>
                <w:szCs w:val="24"/>
              </w:rPr>
            </w:pPr>
            <w:r>
              <w:rPr>
                <w:rFonts w:hint="eastAsia" w:ascii="宋体" w:hAnsi="宋体"/>
                <w:sz w:val="24"/>
                <w:szCs w:val="24"/>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1</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2</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3</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4</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5</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6</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7</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8</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9</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10</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11</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rPr>
            </w:pPr>
            <w:r>
              <w:rPr>
                <w:rFonts w:hint="eastAsia" w:ascii="宋体" w:hAnsi="宋体"/>
                <w:sz w:val="24"/>
                <w:szCs w:val="24"/>
              </w:rPr>
              <w:t>12</w:t>
            </w:r>
          </w:p>
        </w:tc>
        <w:tc>
          <w:tcPr>
            <w:tcW w:w="1080" w:type="dxa"/>
            <w:vAlign w:val="center"/>
          </w:tcPr>
          <w:p>
            <w:pPr>
              <w:spacing w:line="360" w:lineRule="auto"/>
              <w:rPr>
                <w:rFonts w:hint="eastAsia" w:ascii="宋体" w:hAnsi="宋体"/>
                <w:sz w:val="24"/>
                <w:szCs w:val="24"/>
              </w:rPr>
            </w:pPr>
          </w:p>
        </w:tc>
        <w:tc>
          <w:tcPr>
            <w:tcW w:w="2891" w:type="dxa"/>
            <w:vAlign w:val="center"/>
          </w:tcPr>
          <w:p>
            <w:pPr>
              <w:spacing w:line="360" w:lineRule="auto"/>
              <w:rPr>
                <w:rFonts w:hint="eastAsia" w:ascii="宋体" w:hAnsi="宋体"/>
                <w:sz w:val="24"/>
                <w:szCs w:val="24"/>
              </w:rPr>
            </w:pPr>
          </w:p>
        </w:tc>
        <w:tc>
          <w:tcPr>
            <w:tcW w:w="1110" w:type="dxa"/>
            <w:vAlign w:val="center"/>
          </w:tcPr>
          <w:p>
            <w:pPr>
              <w:spacing w:line="360" w:lineRule="auto"/>
              <w:rPr>
                <w:rFonts w:hint="eastAsia" w:ascii="宋体" w:hAnsi="宋体"/>
                <w:sz w:val="24"/>
                <w:szCs w:val="24"/>
              </w:rPr>
            </w:pPr>
          </w:p>
        </w:tc>
        <w:tc>
          <w:tcPr>
            <w:tcW w:w="2613" w:type="dxa"/>
            <w:vAlign w:val="center"/>
          </w:tcPr>
          <w:p>
            <w:pPr>
              <w:spacing w:line="360" w:lineRule="auto"/>
              <w:rPr>
                <w:rFonts w:hint="eastAsia" w:ascii="宋体" w:hAnsi="宋体"/>
                <w:sz w:val="24"/>
                <w:szCs w:val="24"/>
              </w:rPr>
            </w:pPr>
          </w:p>
        </w:tc>
      </w:tr>
    </w:tbl>
    <w:p>
      <w:pPr>
        <w:spacing w:line="360" w:lineRule="auto"/>
        <w:rPr>
          <w:rFonts w:hint="eastAsia" w:ascii="宋体" w:hAnsi="宋体"/>
          <w:sz w:val="24"/>
          <w:szCs w:val="24"/>
        </w:rPr>
      </w:pPr>
      <w:r>
        <w:rPr>
          <w:rFonts w:hint="eastAsia" w:ascii="宋体" w:hAnsi="宋体"/>
          <w:b/>
          <w:sz w:val="24"/>
          <w:szCs w:val="24"/>
        </w:rPr>
        <w:t>注：</w:t>
      </w:r>
      <w:r>
        <w:rPr>
          <w:rFonts w:hint="eastAsia" w:ascii="宋体" w:hAnsi="宋体"/>
          <w:sz w:val="24"/>
          <w:szCs w:val="24"/>
        </w:rPr>
        <w:t>即使投标人进行了描述，也要提报该表，</w:t>
      </w:r>
      <w:r>
        <w:rPr>
          <w:rFonts w:hint="eastAsia" w:ascii="宋体" w:hAnsi="宋体"/>
          <w:b/>
          <w:sz w:val="24"/>
          <w:szCs w:val="24"/>
        </w:rPr>
        <w:t>无该表则被视为“无偏离”。</w:t>
      </w:r>
      <w:r>
        <w:rPr>
          <w:rFonts w:hint="eastAsia" w:ascii="宋体" w:hAnsi="宋体"/>
          <w:sz w:val="24"/>
          <w:szCs w:val="24"/>
        </w:rPr>
        <w:t>如无偏离注明“无”字。</w:t>
      </w:r>
    </w:p>
    <w:p>
      <w:pPr>
        <w:spacing w:line="360" w:lineRule="auto"/>
        <w:rPr>
          <w:rFonts w:hint="eastAsia" w:ascii="宋体" w:hAnsi="宋体"/>
          <w:b/>
          <w:bCs/>
          <w:sz w:val="28"/>
          <w:szCs w:val="28"/>
        </w:rPr>
      </w:pPr>
    </w:p>
    <w:p>
      <w:pPr>
        <w:spacing w:line="360" w:lineRule="auto"/>
        <w:rPr>
          <w:rFonts w:hint="eastAsia" w:ascii="宋体" w:hAnsi="宋体"/>
          <w:sz w:val="24"/>
          <w:szCs w:val="24"/>
        </w:rPr>
      </w:pPr>
      <w:r>
        <w:rPr>
          <w:rFonts w:hint="eastAsia" w:ascii="宋体" w:hAnsi="宋体"/>
          <w:sz w:val="24"/>
          <w:szCs w:val="24"/>
        </w:rPr>
        <w:t>投标人名称：                   授权代表签字：            日期：</w:t>
      </w:r>
    </w:p>
    <w:p>
      <w:pPr>
        <w:spacing w:line="360" w:lineRule="auto"/>
        <w:rPr>
          <w:rFonts w:hint="eastAsia" w:ascii="宋体" w:hAnsi="宋体"/>
          <w:sz w:val="24"/>
          <w:szCs w:val="24"/>
        </w:rPr>
      </w:pPr>
      <w:r>
        <w:rPr>
          <w:rFonts w:ascii="宋体" w:hAnsi="宋体"/>
          <w:sz w:val="24"/>
          <w:szCs w:val="24"/>
        </w:rPr>
        <w:br w:type="page"/>
      </w:r>
      <w:r>
        <w:rPr>
          <w:rFonts w:hint="eastAsia" w:ascii="宋体" w:hAnsi="宋体"/>
          <w:b/>
          <w:bCs/>
          <w:sz w:val="28"/>
          <w:szCs w:val="24"/>
        </w:rPr>
        <w:t>附件5</w:t>
      </w:r>
    </w:p>
    <w:p>
      <w:pPr>
        <w:keepNext/>
        <w:keepLines/>
        <w:spacing w:before="156" w:beforeLines="50" w:after="156" w:afterLines="50"/>
        <w:jc w:val="center"/>
        <w:outlineLvl w:val="1"/>
        <w:rPr>
          <w:rFonts w:hint="eastAsia" w:ascii="宋体" w:hAnsi="宋体"/>
          <w:sz w:val="28"/>
          <w:szCs w:val="32"/>
        </w:rPr>
      </w:pPr>
      <w:r>
        <w:rPr>
          <w:rFonts w:hint="eastAsia" w:ascii="黑体" w:hAnsi="黑体" w:eastAsia="黑体" w:cs="黑体"/>
          <w:b/>
          <w:bCs/>
          <w:sz w:val="28"/>
          <w:szCs w:val="32"/>
        </w:rPr>
        <w:t>投标报名表</w:t>
      </w:r>
    </w:p>
    <w:p>
      <w:pPr>
        <w:spacing w:line="360" w:lineRule="auto"/>
        <w:ind w:firstLine="120" w:firstLineChars="50"/>
        <w:rPr>
          <w:rFonts w:hint="eastAsia" w:ascii="宋体" w:hAnsi="宋体"/>
          <w:sz w:val="24"/>
          <w:szCs w:val="24"/>
        </w:rPr>
      </w:pPr>
      <w:r>
        <w:rPr>
          <w:rFonts w:hint="eastAsia" w:ascii="宋体" w:hAnsi="宋体"/>
          <w:sz w:val="24"/>
          <w:szCs w:val="24"/>
        </w:rPr>
        <w:t>公章：</w:t>
      </w:r>
    </w:p>
    <w:tbl>
      <w:tblPr>
        <w:tblStyle w:val="48"/>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7"/>
        <w:gridCol w:w="2690"/>
        <w:gridCol w:w="2272"/>
        <w:gridCol w:w="23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jc w:val="center"/>
        </w:trPr>
        <w:tc>
          <w:tcPr>
            <w:tcW w:w="1637" w:type="dxa"/>
            <w:vAlign w:val="center"/>
          </w:tcPr>
          <w:p>
            <w:pPr>
              <w:spacing w:line="360" w:lineRule="auto"/>
              <w:jc w:val="center"/>
              <w:rPr>
                <w:rFonts w:hint="eastAsia" w:ascii="宋体" w:hAnsi="宋体"/>
                <w:sz w:val="24"/>
                <w:szCs w:val="24"/>
              </w:rPr>
            </w:pPr>
            <w:r>
              <w:rPr>
                <w:rFonts w:hint="eastAsia" w:ascii="宋体" w:hAnsi="宋体"/>
                <w:sz w:val="24"/>
                <w:szCs w:val="24"/>
              </w:rPr>
              <w:t>项目名称</w:t>
            </w:r>
          </w:p>
        </w:tc>
        <w:tc>
          <w:tcPr>
            <w:tcW w:w="7287" w:type="dxa"/>
            <w:gridSpan w:val="3"/>
            <w:vAlign w:val="center"/>
          </w:tcPr>
          <w:p>
            <w:pPr>
              <w:spacing w:line="360" w:lineRule="auto"/>
              <w:jc w:val="center"/>
              <w:rPr>
                <w:rFonts w:hint="eastAsia" w:ascii="宋体" w:hAnsi="宋体"/>
                <w:szCs w:val="21"/>
              </w:rPr>
            </w:pPr>
            <w:r>
              <w:rPr>
                <w:rFonts w:hint="eastAsia" w:ascii="宋体" w:hAnsi="Courier New"/>
                <w:bCs/>
                <w:sz w:val="24"/>
                <w:szCs w:val="24"/>
              </w:rPr>
              <w:t>XXX</w:t>
            </w:r>
            <w:r>
              <w:rPr>
                <w:rFonts w:hint="eastAsia" w:ascii="宋体" w:hAnsi="宋体" w:cs="宋体"/>
                <w:bCs/>
                <w:sz w:val="24"/>
                <w:szCs w:val="24"/>
              </w:rPr>
              <w:t>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jc w:val="center"/>
        </w:trPr>
        <w:tc>
          <w:tcPr>
            <w:tcW w:w="1637" w:type="dxa"/>
            <w:vAlign w:val="center"/>
          </w:tcPr>
          <w:p>
            <w:pPr>
              <w:spacing w:line="360" w:lineRule="auto"/>
              <w:jc w:val="center"/>
              <w:rPr>
                <w:rFonts w:hint="eastAsia" w:ascii="宋体" w:hAnsi="宋体"/>
                <w:sz w:val="24"/>
                <w:szCs w:val="24"/>
              </w:rPr>
            </w:pPr>
            <w:r>
              <w:rPr>
                <w:rFonts w:hint="eastAsia" w:ascii="宋体" w:hAnsi="宋体"/>
                <w:sz w:val="24"/>
                <w:szCs w:val="24"/>
              </w:rPr>
              <w:t>投标单位</w:t>
            </w:r>
          </w:p>
          <w:p>
            <w:pPr>
              <w:spacing w:line="360" w:lineRule="auto"/>
              <w:jc w:val="center"/>
              <w:rPr>
                <w:rFonts w:hint="eastAsia" w:ascii="宋体" w:hAnsi="宋体"/>
                <w:sz w:val="24"/>
                <w:szCs w:val="24"/>
              </w:rPr>
            </w:pPr>
            <w:r>
              <w:rPr>
                <w:rFonts w:hint="eastAsia" w:ascii="宋体" w:hAnsi="宋体"/>
                <w:sz w:val="24"/>
                <w:szCs w:val="24"/>
              </w:rPr>
              <w:t>（全称）</w:t>
            </w:r>
          </w:p>
        </w:tc>
        <w:tc>
          <w:tcPr>
            <w:tcW w:w="7287" w:type="dxa"/>
            <w:gridSpan w:val="3"/>
            <w:vAlign w:val="center"/>
          </w:tcPr>
          <w:p>
            <w:pPr>
              <w:spacing w:line="360" w:lineRule="auto"/>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637" w:type="dxa"/>
            <w:vAlign w:val="center"/>
          </w:tcPr>
          <w:p>
            <w:pPr>
              <w:spacing w:line="360" w:lineRule="auto"/>
              <w:jc w:val="center"/>
              <w:rPr>
                <w:rFonts w:hint="eastAsia" w:ascii="宋体" w:hAnsi="宋体"/>
                <w:sz w:val="24"/>
                <w:szCs w:val="24"/>
              </w:rPr>
            </w:pPr>
            <w:r>
              <w:rPr>
                <w:rFonts w:hint="eastAsia" w:ascii="宋体" w:hAnsi="宋体"/>
                <w:sz w:val="24"/>
                <w:szCs w:val="24"/>
              </w:rPr>
              <w:t>投标单位</w:t>
            </w:r>
          </w:p>
          <w:p>
            <w:pPr>
              <w:spacing w:line="360" w:lineRule="auto"/>
              <w:jc w:val="center"/>
              <w:rPr>
                <w:rFonts w:hint="eastAsia" w:ascii="宋体" w:hAnsi="宋体"/>
                <w:sz w:val="24"/>
                <w:szCs w:val="24"/>
              </w:rPr>
            </w:pPr>
            <w:r>
              <w:rPr>
                <w:rFonts w:hint="eastAsia" w:ascii="宋体" w:hAnsi="宋体"/>
                <w:sz w:val="24"/>
                <w:szCs w:val="24"/>
              </w:rPr>
              <w:t>简介</w:t>
            </w:r>
          </w:p>
        </w:tc>
        <w:tc>
          <w:tcPr>
            <w:tcW w:w="7287" w:type="dxa"/>
            <w:gridSpan w:val="3"/>
            <w:vAlign w:val="center"/>
          </w:tcPr>
          <w:p>
            <w:pPr>
              <w:spacing w:line="360" w:lineRule="auto"/>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637" w:type="dxa"/>
            <w:vAlign w:val="center"/>
          </w:tcPr>
          <w:p>
            <w:pPr>
              <w:spacing w:line="360" w:lineRule="auto"/>
              <w:jc w:val="center"/>
              <w:rPr>
                <w:rFonts w:hint="eastAsia" w:ascii="宋体" w:hAnsi="宋体"/>
                <w:sz w:val="24"/>
                <w:szCs w:val="24"/>
              </w:rPr>
            </w:pPr>
            <w:r>
              <w:rPr>
                <w:rFonts w:hint="eastAsia" w:ascii="宋体" w:hAnsi="宋体"/>
                <w:sz w:val="24"/>
                <w:szCs w:val="24"/>
              </w:rPr>
              <w:t>项目负责人</w:t>
            </w:r>
          </w:p>
        </w:tc>
        <w:tc>
          <w:tcPr>
            <w:tcW w:w="2690" w:type="dxa"/>
            <w:vAlign w:val="center"/>
          </w:tcPr>
          <w:p>
            <w:pPr>
              <w:spacing w:line="360" w:lineRule="auto"/>
              <w:jc w:val="center"/>
              <w:rPr>
                <w:rFonts w:hint="eastAsia" w:ascii="宋体" w:hAnsi="宋体"/>
                <w:sz w:val="24"/>
                <w:szCs w:val="24"/>
              </w:rPr>
            </w:pPr>
          </w:p>
        </w:tc>
        <w:tc>
          <w:tcPr>
            <w:tcW w:w="2272" w:type="dxa"/>
            <w:vAlign w:val="center"/>
          </w:tcPr>
          <w:p>
            <w:pPr>
              <w:spacing w:line="360" w:lineRule="auto"/>
              <w:jc w:val="center"/>
              <w:rPr>
                <w:rFonts w:hint="eastAsia" w:ascii="宋体" w:hAnsi="宋体"/>
                <w:sz w:val="24"/>
                <w:szCs w:val="24"/>
              </w:rPr>
            </w:pPr>
            <w:r>
              <w:rPr>
                <w:rFonts w:hint="eastAsia" w:ascii="宋体" w:hAnsi="宋体"/>
                <w:sz w:val="24"/>
                <w:szCs w:val="24"/>
              </w:rPr>
              <w:t>联系电话</w:t>
            </w:r>
          </w:p>
        </w:tc>
        <w:tc>
          <w:tcPr>
            <w:tcW w:w="2325" w:type="dxa"/>
            <w:vAlign w:val="center"/>
          </w:tcPr>
          <w:p>
            <w:pPr>
              <w:spacing w:line="360" w:lineRule="auto"/>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1637" w:type="dxa"/>
            <w:vAlign w:val="center"/>
          </w:tcPr>
          <w:p>
            <w:pPr>
              <w:spacing w:line="360" w:lineRule="auto"/>
              <w:jc w:val="center"/>
              <w:rPr>
                <w:rFonts w:hint="eastAsia" w:ascii="宋体" w:hAnsi="宋体"/>
                <w:sz w:val="24"/>
                <w:szCs w:val="24"/>
              </w:rPr>
            </w:pPr>
            <w:r>
              <w:rPr>
                <w:rFonts w:hint="eastAsia" w:ascii="宋体" w:hAnsi="宋体"/>
                <w:sz w:val="24"/>
                <w:szCs w:val="24"/>
              </w:rPr>
              <w:t>公司电话</w:t>
            </w:r>
          </w:p>
        </w:tc>
        <w:tc>
          <w:tcPr>
            <w:tcW w:w="2690" w:type="dxa"/>
            <w:vAlign w:val="center"/>
          </w:tcPr>
          <w:p>
            <w:pPr>
              <w:spacing w:line="360" w:lineRule="auto"/>
              <w:jc w:val="center"/>
              <w:rPr>
                <w:rFonts w:hint="eastAsia" w:ascii="宋体" w:hAnsi="宋体"/>
                <w:sz w:val="24"/>
                <w:szCs w:val="24"/>
              </w:rPr>
            </w:pPr>
          </w:p>
        </w:tc>
        <w:tc>
          <w:tcPr>
            <w:tcW w:w="2272" w:type="dxa"/>
            <w:vAlign w:val="center"/>
          </w:tcPr>
          <w:p>
            <w:pPr>
              <w:spacing w:line="360" w:lineRule="auto"/>
              <w:jc w:val="center"/>
              <w:rPr>
                <w:rFonts w:hint="eastAsia" w:ascii="宋体" w:hAnsi="宋体"/>
                <w:sz w:val="24"/>
                <w:szCs w:val="24"/>
              </w:rPr>
            </w:pPr>
            <w:r>
              <w:rPr>
                <w:rFonts w:hint="eastAsia" w:ascii="宋体" w:hAnsi="宋体"/>
                <w:sz w:val="24"/>
                <w:szCs w:val="24"/>
              </w:rPr>
              <w:t>传真</w:t>
            </w:r>
          </w:p>
        </w:tc>
        <w:tc>
          <w:tcPr>
            <w:tcW w:w="2325" w:type="dxa"/>
            <w:vAlign w:val="center"/>
          </w:tcPr>
          <w:p>
            <w:pPr>
              <w:spacing w:line="360" w:lineRule="auto"/>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jc w:val="center"/>
        </w:trPr>
        <w:tc>
          <w:tcPr>
            <w:tcW w:w="1637" w:type="dxa"/>
            <w:vAlign w:val="center"/>
          </w:tcPr>
          <w:p>
            <w:pPr>
              <w:spacing w:line="360" w:lineRule="auto"/>
              <w:jc w:val="center"/>
              <w:rPr>
                <w:rFonts w:hint="eastAsia" w:ascii="宋体" w:hAnsi="宋体"/>
                <w:sz w:val="24"/>
                <w:szCs w:val="24"/>
              </w:rPr>
            </w:pPr>
            <w:r>
              <w:rPr>
                <w:rFonts w:hint="eastAsia" w:ascii="宋体" w:hAnsi="宋体"/>
                <w:sz w:val="24"/>
                <w:szCs w:val="24"/>
              </w:rPr>
              <w:t>E-mail</w:t>
            </w:r>
          </w:p>
        </w:tc>
        <w:tc>
          <w:tcPr>
            <w:tcW w:w="7287" w:type="dxa"/>
            <w:gridSpan w:val="3"/>
            <w:vAlign w:val="center"/>
          </w:tcPr>
          <w:p>
            <w:pPr>
              <w:spacing w:line="360" w:lineRule="auto"/>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637" w:type="dxa"/>
            <w:vAlign w:val="center"/>
          </w:tcPr>
          <w:p>
            <w:pPr>
              <w:spacing w:line="360" w:lineRule="auto"/>
              <w:jc w:val="center"/>
              <w:rPr>
                <w:rFonts w:hint="eastAsia" w:ascii="宋体" w:hAnsi="宋体"/>
                <w:sz w:val="24"/>
                <w:szCs w:val="24"/>
              </w:rPr>
            </w:pPr>
            <w:r>
              <w:rPr>
                <w:rFonts w:hint="eastAsia" w:ascii="宋体" w:hAnsi="宋体"/>
                <w:sz w:val="24"/>
                <w:szCs w:val="24"/>
              </w:rPr>
              <w:t>报名时间</w:t>
            </w:r>
          </w:p>
        </w:tc>
        <w:tc>
          <w:tcPr>
            <w:tcW w:w="7287" w:type="dxa"/>
            <w:gridSpan w:val="3"/>
            <w:vAlign w:val="center"/>
          </w:tcPr>
          <w:p>
            <w:pPr>
              <w:spacing w:line="360" w:lineRule="auto"/>
              <w:jc w:val="center"/>
              <w:rPr>
                <w:rFonts w:hint="eastAsia" w:ascii="宋体" w:hAnsi="宋体"/>
                <w:sz w:val="24"/>
                <w:szCs w:val="24"/>
              </w:rPr>
            </w:pPr>
            <w:r>
              <w:rPr>
                <w:rFonts w:hint="eastAsia" w:ascii="宋体" w:hAnsi="宋体"/>
                <w:sz w:val="24"/>
                <w:szCs w:val="24"/>
              </w:rPr>
              <w:t>年   月   日</w:t>
            </w:r>
          </w:p>
        </w:tc>
      </w:tr>
    </w:tbl>
    <w:p>
      <w:pPr>
        <w:spacing w:line="360" w:lineRule="auto"/>
        <w:ind w:left="472" w:right="69" w:rightChars="33" w:hanging="472" w:hangingChars="196"/>
        <w:rPr>
          <w:rFonts w:hint="eastAsia" w:ascii="宋体" w:hAnsi="宋体"/>
          <w:sz w:val="24"/>
          <w:szCs w:val="24"/>
        </w:rPr>
      </w:pPr>
      <w:r>
        <w:rPr>
          <w:rFonts w:hint="eastAsia" w:ascii="宋体" w:hAnsi="宋体"/>
          <w:b/>
          <w:sz w:val="24"/>
          <w:szCs w:val="24"/>
        </w:rPr>
        <w:t>注：</w:t>
      </w:r>
      <w:r>
        <w:rPr>
          <w:rFonts w:hint="eastAsia" w:ascii="宋体" w:hAnsi="宋体"/>
          <w:sz w:val="24"/>
          <w:szCs w:val="24"/>
        </w:rPr>
        <w:t>请投标单位认真填写并加盖公章，并于规定时间前回传。缺项及不按要求时间回复均视为自动放弃本次投标资格。</w:t>
      </w:r>
    </w:p>
    <w:p>
      <w:pPr>
        <w:spacing w:line="360" w:lineRule="auto"/>
        <w:rPr>
          <w:rFonts w:hint="eastAsia" w:ascii="宋体" w:hAnsi="宋体"/>
          <w:b/>
          <w:bCs/>
          <w:sz w:val="28"/>
          <w:szCs w:val="24"/>
        </w:rPr>
      </w:pPr>
      <w:r>
        <w:rPr>
          <w:rFonts w:hint="eastAsia" w:ascii="宋体" w:hAnsi="宋体"/>
          <w:sz w:val="24"/>
          <w:szCs w:val="24"/>
        </w:rPr>
        <w:t xml:space="preserve">联系人：           </w:t>
      </w:r>
      <w:r>
        <w:rPr>
          <w:rFonts w:hint="eastAsia" w:ascii="宋体" w:hAnsi="宋体"/>
          <w:color w:val="FF0000"/>
          <w:sz w:val="24"/>
          <w:szCs w:val="24"/>
        </w:rPr>
        <w:t xml:space="preserve">      </w:t>
      </w:r>
      <w:r>
        <w:rPr>
          <w:rFonts w:hint="eastAsia" w:ascii="宋体" w:hAnsi="宋体"/>
          <w:sz w:val="24"/>
        </w:rPr>
        <w:t>联系电话：                    传真：</w:t>
      </w:r>
    </w:p>
    <w:p>
      <w:pPr>
        <w:spacing w:line="360" w:lineRule="auto"/>
        <w:rPr>
          <w:rFonts w:hint="eastAsia" w:ascii="宋体" w:hAnsi="宋体"/>
          <w:sz w:val="24"/>
          <w:szCs w:val="24"/>
        </w:rPr>
      </w:pPr>
      <w:r>
        <w:rPr>
          <w:rFonts w:hint="eastAsia" w:ascii="宋体" w:hAnsi="宋体"/>
          <w:sz w:val="24"/>
          <w:szCs w:val="24"/>
        </w:rPr>
        <w:t>投标人名称：             授权代表签字：                日期：</w:t>
      </w:r>
    </w:p>
    <w:p>
      <w:pPr>
        <w:spacing w:line="360" w:lineRule="auto"/>
        <w:rPr>
          <w:rFonts w:hint="eastAsia" w:ascii="宋体" w:hAnsi="宋体"/>
          <w:sz w:val="24"/>
          <w:szCs w:val="24"/>
        </w:rPr>
      </w:pPr>
      <w:r>
        <w:rPr>
          <w:rFonts w:ascii="宋体" w:hAnsi="宋体"/>
          <w:sz w:val="24"/>
          <w:szCs w:val="24"/>
        </w:rPr>
        <w:br w:type="page"/>
      </w:r>
      <w:r>
        <w:rPr>
          <w:rFonts w:hint="eastAsia" w:ascii="宋体" w:hAnsi="宋体"/>
          <w:b/>
          <w:bCs/>
          <w:sz w:val="28"/>
          <w:szCs w:val="24"/>
        </w:rPr>
        <w:t>附件6</w:t>
      </w:r>
    </w:p>
    <w:p>
      <w:pPr>
        <w:jc w:val="center"/>
        <w:rPr>
          <w:rFonts w:ascii="Calibri" w:hAnsi="Calibri" w:eastAsia="黑体"/>
          <w:b/>
          <w:bCs/>
          <w:sz w:val="28"/>
          <w:szCs w:val="24"/>
        </w:rPr>
      </w:pPr>
      <w:r>
        <w:rPr>
          <w:rFonts w:hint="eastAsia" w:ascii="Calibri" w:hAnsi="Calibri" w:eastAsia="黑体"/>
          <w:b/>
          <w:bCs/>
          <w:sz w:val="28"/>
          <w:szCs w:val="24"/>
        </w:rPr>
        <w:t>免费增值服务（优惠项目说明）</w:t>
      </w:r>
    </w:p>
    <w:tbl>
      <w:tblPr>
        <w:tblStyle w:val="48"/>
        <w:tblW w:w="85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8594" w:type="dxa"/>
            <w:vAlign w:val="center"/>
          </w:tcPr>
          <w:p>
            <w:pPr>
              <w:spacing w:line="360" w:lineRule="auto"/>
              <w:ind w:firstLine="480" w:firstLineChars="200"/>
              <w:jc w:val="center"/>
              <w:rPr>
                <w:rFonts w:hint="eastAsia" w:ascii="宋体" w:hAnsi="宋体"/>
                <w:szCs w:val="24"/>
              </w:rPr>
            </w:pPr>
            <w:r>
              <w:rPr>
                <w:rFonts w:hint="eastAsia" w:ascii="宋体" w:hAnsi="宋体"/>
                <w:sz w:val="24"/>
                <w:szCs w:val="24"/>
              </w:rPr>
              <w:t>格式自拟</w:t>
            </w:r>
          </w:p>
        </w:tc>
      </w:tr>
    </w:tbl>
    <w:p>
      <w:pPr>
        <w:spacing w:line="360" w:lineRule="auto"/>
        <w:rPr>
          <w:rFonts w:hint="eastAsia" w:ascii="宋体" w:hAnsi="宋体"/>
          <w:sz w:val="24"/>
          <w:szCs w:val="24"/>
        </w:rPr>
      </w:pPr>
      <w:r>
        <w:rPr>
          <w:rFonts w:hint="eastAsia" w:ascii="宋体" w:hAnsi="宋体"/>
          <w:sz w:val="24"/>
          <w:szCs w:val="24"/>
        </w:rPr>
        <w:t>投标人名称：                   授权代表签字：            日期：</w:t>
      </w:r>
    </w:p>
    <w:p>
      <w:pPr>
        <w:spacing w:line="660" w:lineRule="exact"/>
        <w:rPr>
          <w:rFonts w:ascii="Calibri" w:hAnsi="Calibri"/>
          <w:b/>
          <w:bCs/>
          <w:sz w:val="28"/>
          <w:szCs w:val="24"/>
        </w:rPr>
      </w:pPr>
      <w:r>
        <w:rPr>
          <w:rFonts w:hint="eastAsia" w:ascii="宋体" w:hAnsi="宋体"/>
          <w:b/>
          <w:bCs/>
          <w:sz w:val="28"/>
          <w:szCs w:val="24"/>
        </w:rPr>
        <w:t>附件7</w:t>
      </w:r>
    </w:p>
    <w:p>
      <w:pPr>
        <w:jc w:val="center"/>
        <w:rPr>
          <w:rFonts w:ascii="Calibri" w:hAnsi="Calibri" w:eastAsia="黑体"/>
          <w:sz w:val="28"/>
          <w:szCs w:val="24"/>
        </w:rPr>
      </w:pPr>
      <w:r>
        <w:rPr>
          <w:rFonts w:hint="eastAsia" w:ascii="Calibri" w:hAnsi="Calibri" w:eastAsia="黑体"/>
          <w:b/>
          <w:bCs/>
          <w:sz w:val="28"/>
          <w:szCs w:val="24"/>
        </w:rPr>
        <w:t>承诺书</w:t>
      </w:r>
    </w:p>
    <w:tbl>
      <w:tblPr>
        <w:tblStyle w:val="48"/>
        <w:tblW w:w="855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8" w:hRule="atLeast"/>
        </w:trPr>
        <w:tc>
          <w:tcPr>
            <w:tcW w:w="8553" w:type="dxa"/>
            <w:tcBorders>
              <w:top w:val="single" w:color="auto" w:sz="4" w:space="0"/>
              <w:left w:val="single" w:color="auto" w:sz="4" w:space="0"/>
              <w:bottom w:val="single" w:color="auto" w:sz="4" w:space="0"/>
              <w:right w:val="single" w:color="auto" w:sz="4" w:space="0"/>
            </w:tcBorders>
            <w:noWrap/>
          </w:tcPr>
          <w:p>
            <w:pPr>
              <w:rPr>
                <w:rFonts w:hint="eastAsia" w:ascii="宋体" w:hAnsi="宋体" w:cs="宋体"/>
                <w:sz w:val="24"/>
                <w:szCs w:val="24"/>
              </w:rPr>
            </w:pPr>
            <w:r>
              <w:rPr>
                <w:rFonts w:hint="eastAsia" w:ascii="宋体" w:hAnsi="宋体" w:cs="宋体"/>
                <w:sz w:val="24"/>
                <w:szCs w:val="24"/>
              </w:rPr>
              <w:t>投标人承诺：</w:t>
            </w:r>
          </w:p>
          <w:p>
            <w:pPr>
              <w:spacing w:line="360" w:lineRule="auto"/>
              <w:ind w:firstLine="480" w:firstLineChars="200"/>
              <w:rPr>
                <w:rFonts w:hint="eastAsia" w:ascii="宋体" w:hAnsi="宋体" w:cs="宋体"/>
                <w:sz w:val="24"/>
                <w:szCs w:val="24"/>
              </w:rPr>
            </w:pPr>
            <w:r>
              <w:rPr>
                <w:rFonts w:hint="eastAsia" w:ascii="宋体" w:hAnsi="宋体" w:cs="宋体"/>
                <w:sz w:val="24"/>
                <w:szCs w:val="24"/>
              </w:rPr>
              <w:t>我公司承诺遵守贵公司由于招标人公司政策变化引起的随时终止项目的要求并承担由此带来的一切损失。</w:t>
            </w:r>
          </w:p>
          <w:p>
            <w:pPr>
              <w:rPr>
                <w:rFonts w:hint="eastAsia" w:ascii="宋体" w:hAnsi="宋体" w:cs="宋体"/>
                <w:sz w:val="24"/>
                <w:szCs w:val="24"/>
              </w:rPr>
            </w:pPr>
          </w:p>
        </w:tc>
      </w:tr>
    </w:tbl>
    <w:p>
      <w:pPr>
        <w:rPr>
          <w:rFonts w:hint="eastAsia" w:ascii="宋体" w:hAnsi="宋体" w:cs="宋体"/>
          <w:sz w:val="24"/>
          <w:szCs w:val="24"/>
        </w:rPr>
      </w:pPr>
    </w:p>
    <w:p>
      <w:pPr>
        <w:rPr>
          <w:rFonts w:hint="eastAsia" w:ascii="宋体" w:hAnsi="宋体" w:cs="宋体"/>
          <w:sz w:val="24"/>
          <w:szCs w:val="24"/>
        </w:rPr>
      </w:pPr>
      <w:r>
        <w:rPr>
          <w:rFonts w:hint="eastAsia" w:ascii="宋体" w:hAnsi="宋体" w:cs="宋体"/>
          <w:sz w:val="24"/>
          <w:szCs w:val="24"/>
        </w:rPr>
        <w:t>投标人名称（盖章）：              法定代表人或授权代表签字：</w:t>
      </w:r>
    </w:p>
    <w:p>
      <w:pPr>
        <w:rPr>
          <w:rFonts w:hint="eastAsia" w:ascii="宋体" w:hAnsi="宋体" w:cs="宋体"/>
          <w:sz w:val="24"/>
          <w:szCs w:val="24"/>
        </w:rPr>
      </w:pPr>
    </w:p>
    <w:p>
      <w:pPr>
        <w:spacing w:line="360" w:lineRule="auto"/>
        <w:ind w:left="1190" w:leftChars="-6" w:hanging="1203" w:hangingChars="428"/>
        <w:rPr>
          <w:rFonts w:hint="eastAsia" w:ascii="宋体" w:hAnsi="宋体"/>
          <w:szCs w:val="21"/>
        </w:rPr>
      </w:pPr>
      <w:r>
        <w:rPr>
          <w:rFonts w:hint="eastAsia" w:ascii="宋体" w:hAnsi="宋体"/>
          <w:b/>
          <w:bCs/>
          <w:sz w:val="28"/>
          <w:szCs w:val="24"/>
        </w:rPr>
        <w:t>附件8</w:t>
      </w:r>
    </w:p>
    <w:p>
      <w:pPr>
        <w:jc w:val="center"/>
        <w:rPr>
          <w:rFonts w:ascii="Calibri" w:hAnsi="Calibri" w:eastAsia="黑体"/>
          <w:b/>
          <w:bCs/>
          <w:sz w:val="28"/>
          <w:szCs w:val="24"/>
        </w:rPr>
      </w:pPr>
      <w:r>
        <w:rPr>
          <w:rFonts w:hint="eastAsia" w:ascii="Calibri" w:hAnsi="Calibri" w:eastAsia="黑体"/>
          <w:b/>
          <w:bCs/>
          <w:sz w:val="28"/>
          <w:szCs w:val="24"/>
        </w:rPr>
        <w:t>投标保证金退付表</w:t>
      </w:r>
    </w:p>
    <w:tbl>
      <w:tblPr>
        <w:tblStyle w:val="48"/>
        <w:tblW w:w="8566" w:type="dxa"/>
        <w:tblInd w:w="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66" w:type="dxa"/>
            <w:vAlign w:val="center"/>
          </w:tcPr>
          <w:p>
            <w:pPr>
              <w:spacing w:line="360" w:lineRule="auto"/>
              <w:rPr>
                <w:rFonts w:ascii="宋体" w:hAnsi="Courier New"/>
                <w:szCs w:val="24"/>
              </w:rPr>
            </w:pPr>
            <w:r>
              <w:rPr>
                <w:rFonts w:hint="eastAsia" w:ascii="宋体" w:hAnsi="Courier New"/>
                <w:szCs w:val="24"/>
              </w:rPr>
              <w:t>投标人单位名称：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66" w:type="dxa"/>
            <w:vAlign w:val="center"/>
          </w:tcPr>
          <w:p>
            <w:pPr>
              <w:spacing w:line="360" w:lineRule="auto"/>
              <w:rPr>
                <w:rFonts w:ascii="宋体" w:hAnsi="Courier New"/>
                <w:szCs w:val="24"/>
              </w:rPr>
            </w:pPr>
            <w:r>
              <w:rPr>
                <w:rFonts w:hint="eastAsia" w:ascii="宋体" w:hAnsi="Courier New"/>
                <w:szCs w:val="24"/>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66" w:type="dxa"/>
            <w:vAlign w:val="center"/>
          </w:tcPr>
          <w:p>
            <w:pPr>
              <w:spacing w:line="360" w:lineRule="auto"/>
              <w:rPr>
                <w:rFonts w:ascii="宋体" w:hAnsi="Courier New"/>
                <w:szCs w:val="24"/>
              </w:rPr>
            </w:pPr>
            <w:r>
              <w:rPr>
                <w:rFonts w:hint="eastAsia" w:ascii="宋体" w:hAnsi="Courier New"/>
                <w:szCs w:val="24"/>
              </w:rPr>
              <w:t>开户银行行号：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66" w:type="dxa"/>
            <w:vAlign w:val="center"/>
          </w:tcPr>
          <w:p>
            <w:pPr>
              <w:spacing w:line="360" w:lineRule="auto"/>
              <w:rPr>
                <w:rFonts w:ascii="宋体" w:hAnsi="Courier New"/>
                <w:szCs w:val="24"/>
              </w:rPr>
            </w:pPr>
            <w:r>
              <w:rPr>
                <w:rFonts w:hint="eastAsia" w:ascii="宋体" w:hAnsi="Courier New"/>
                <w:szCs w:val="24"/>
              </w:rPr>
              <w:t>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66" w:type="dxa"/>
            <w:vAlign w:val="center"/>
          </w:tcPr>
          <w:p>
            <w:pPr>
              <w:spacing w:line="360" w:lineRule="auto"/>
              <w:rPr>
                <w:rFonts w:ascii="宋体" w:hAnsi="Courier New"/>
                <w:szCs w:val="24"/>
              </w:rPr>
            </w:pPr>
            <w:r>
              <w:rPr>
                <w:rFonts w:hint="eastAsia" w:ascii="宋体" w:hAnsi="Courier New"/>
                <w:szCs w:val="24"/>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66" w:type="dxa"/>
            <w:vAlign w:val="center"/>
          </w:tcPr>
          <w:p>
            <w:pPr>
              <w:spacing w:line="360" w:lineRule="auto"/>
              <w:rPr>
                <w:rFonts w:ascii="宋体" w:hAnsi="Courier New"/>
                <w:szCs w:val="24"/>
              </w:rPr>
            </w:pPr>
            <w:r>
              <w:rPr>
                <w:rFonts w:hint="eastAsia" w:ascii="宋体" w:hAnsi="Courier New"/>
                <w:szCs w:val="24"/>
              </w:rPr>
              <w:t>纳税人识别号：</w:t>
            </w:r>
          </w:p>
        </w:tc>
      </w:tr>
    </w:tbl>
    <w:p>
      <w:pPr>
        <w:spacing w:line="360" w:lineRule="auto"/>
        <w:ind w:firstLine="240" w:firstLineChars="100"/>
        <w:rPr>
          <w:rFonts w:hint="eastAsia" w:ascii="仿宋_GB2312" w:hAnsi="宋体" w:eastAsia="仿宋_GB2312"/>
          <w:sz w:val="24"/>
          <w:szCs w:val="24"/>
        </w:rPr>
      </w:pPr>
    </w:p>
    <w:p>
      <w:pPr>
        <w:spacing w:line="360" w:lineRule="auto"/>
        <w:ind w:firstLine="240" w:firstLineChars="100"/>
        <w:rPr>
          <w:rFonts w:hint="eastAsia" w:ascii="宋体" w:hAnsi="宋体" w:cs="宋体"/>
          <w:b/>
          <w:sz w:val="24"/>
          <w:szCs w:val="24"/>
        </w:rPr>
      </w:pPr>
      <w:r>
        <w:rPr>
          <w:rFonts w:hint="eastAsia" w:ascii="宋体" w:hAnsi="宋体" w:cs="宋体"/>
          <w:sz w:val="24"/>
          <w:szCs w:val="24"/>
        </w:rPr>
        <w:t>投标人名称（盖章）：              法定代表人或授权代表签字：</w:t>
      </w:r>
    </w:p>
    <w:p>
      <w:pPr>
        <w:pStyle w:val="43"/>
        <w:rPr>
          <w:rFonts w:hint="eastAsia" w:cs="Arial"/>
        </w:rPr>
      </w:pPr>
    </w:p>
    <w:p>
      <w:pPr>
        <w:pStyle w:val="43"/>
        <w:rPr>
          <w:rFonts w:hint="eastAsia" w:cs="Arial"/>
        </w:rPr>
      </w:pPr>
    </w:p>
    <w:p>
      <w:pPr>
        <w:keepNext/>
        <w:keepLines/>
        <w:ind w:left="3502" w:hanging="3502" w:hangingChars="1246"/>
        <w:jc w:val="left"/>
        <w:outlineLvl w:val="2"/>
        <w:rPr>
          <w:rFonts w:hint="eastAsia" w:ascii="黑体" w:hAnsi="黑体" w:eastAsia="黑体" w:cs="黑体"/>
          <w:b/>
          <w:bCs/>
          <w:sz w:val="28"/>
          <w:szCs w:val="24"/>
        </w:rPr>
      </w:pPr>
      <w:r>
        <w:rPr>
          <w:rFonts w:hint="eastAsia" w:ascii="宋体" w:hAnsi="宋体" w:cs="宋体"/>
          <w:b/>
          <w:bCs/>
          <w:sz w:val="28"/>
          <w:szCs w:val="24"/>
        </w:rPr>
        <w:t xml:space="preserve">附件9                                                          </w:t>
      </w:r>
      <w:r>
        <w:rPr>
          <w:rFonts w:hint="eastAsia" w:ascii="黑体" w:hAnsi="黑体" w:eastAsia="黑体" w:cs="黑体"/>
          <w:b/>
          <w:bCs/>
          <w:sz w:val="28"/>
          <w:szCs w:val="24"/>
        </w:rPr>
        <w:t>投标人基本情况表</w:t>
      </w:r>
    </w:p>
    <w:tbl>
      <w:tblPr>
        <w:tblStyle w:val="48"/>
        <w:tblpPr w:leftFromText="180" w:rightFromText="180" w:vertAnchor="text" w:horzAnchor="page" w:tblpXSpec="center" w:tblpY="370"/>
        <w:tblOverlap w:val="never"/>
        <w:tblW w:w="945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11" w:hRule="atLeast"/>
          <w:jc w:val="center"/>
        </w:trPr>
        <w:tc>
          <w:tcPr>
            <w:tcW w:w="1956" w:type="dxa"/>
          </w:tcPr>
          <w:p>
            <w:pPr>
              <w:pStyle w:val="231"/>
              <w:spacing w:before="114"/>
              <w:rPr>
                <w:rFonts w:hint="eastAsia"/>
                <w:sz w:val="24"/>
                <w:szCs w:val="24"/>
              </w:rPr>
            </w:pPr>
            <w:r>
              <w:rPr>
                <w:rFonts w:hint="eastAsia"/>
                <w:sz w:val="24"/>
                <w:szCs w:val="24"/>
              </w:rPr>
              <w:t>企业名称</w:t>
            </w:r>
          </w:p>
        </w:tc>
        <w:tc>
          <w:tcPr>
            <w:tcW w:w="4680" w:type="dxa"/>
            <w:gridSpan w:val="4"/>
            <w:vAlign w:val="center"/>
          </w:tcPr>
          <w:p>
            <w:pPr>
              <w:widowControl/>
              <w:jc w:val="center"/>
              <w:textAlignment w:val="center"/>
              <w:rPr>
                <w:rFonts w:hint="eastAsia" w:ascii="宋体" w:hAnsi="宋体" w:cs="宋体"/>
                <w:kern w:val="0"/>
                <w:sz w:val="24"/>
              </w:rPr>
            </w:pPr>
          </w:p>
        </w:tc>
        <w:tc>
          <w:tcPr>
            <w:tcW w:w="1310" w:type="dxa"/>
          </w:tcPr>
          <w:p>
            <w:pPr>
              <w:pStyle w:val="231"/>
              <w:spacing w:before="106"/>
              <w:ind w:right="26"/>
              <w:rPr>
                <w:rFonts w:hint="eastAsia"/>
                <w:sz w:val="24"/>
                <w:szCs w:val="24"/>
              </w:rPr>
            </w:pPr>
            <w:r>
              <w:rPr>
                <w:rFonts w:hint="eastAsia"/>
                <w:sz w:val="24"/>
                <w:szCs w:val="24"/>
              </w:rPr>
              <w:t>联系人</w:t>
            </w:r>
          </w:p>
        </w:tc>
        <w:tc>
          <w:tcPr>
            <w:tcW w:w="1510" w:type="dxa"/>
            <w:vAlign w:val="center"/>
          </w:tcPr>
          <w:p>
            <w:pPr>
              <w:widowControl/>
              <w:jc w:val="center"/>
              <w:textAlignment w:val="center"/>
              <w:rPr>
                <w:rFonts w:hint="eastAsia" w:ascii="宋体" w:hAnsi="宋体" w:cs="宋体"/>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02" w:hRule="atLeast"/>
          <w:jc w:val="center"/>
        </w:trPr>
        <w:tc>
          <w:tcPr>
            <w:tcW w:w="1956" w:type="dxa"/>
          </w:tcPr>
          <w:p>
            <w:pPr>
              <w:pStyle w:val="231"/>
              <w:spacing w:before="114"/>
              <w:rPr>
                <w:rFonts w:hint="eastAsia"/>
                <w:sz w:val="24"/>
                <w:szCs w:val="24"/>
              </w:rPr>
            </w:pPr>
            <w:r>
              <w:rPr>
                <w:rFonts w:hint="eastAsia"/>
                <w:sz w:val="24"/>
                <w:szCs w:val="24"/>
              </w:rPr>
              <w:t>企业地址</w:t>
            </w:r>
          </w:p>
        </w:tc>
        <w:tc>
          <w:tcPr>
            <w:tcW w:w="4680" w:type="dxa"/>
            <w:gridSpan w:val="4"/>
            <w:vAlign w:val="center"/>
          </w:tcPr>
          <w:p>
            <w:pPr>
              <w:widowControl/>
              <w:jc w:val="center"/>
              <w:textAlignment w:val="center"/>
              <w:rPr>
                <w:rFonts w:hint="eastAsia" w:ascii="宋体" w:hAnsi="宋体" w:cs="宋体"/>
                <w:kern w:val="0"/>
                <w:sz w:val="24"/>
              </w:rPr>
            </w:pPr>
          </w:p>
        </w:tc>
        <w:tc>
          <w:tcPr>
            <w:tcW w:w="1310" w:type="dxa"/>
          </w:tcPr>
          <w:p>
            <w:pPr>
              <w:pStyle w:val="231"/>
              <w:spacing w:before="106"/>
              <w:ind w:right="26"/>
              <w:rPr>
                <w:rFonts w:hint="eastAsia"/>
                <w:sz w:val="24"/>
                <w:szCs w:val="24"/>
              </w:rPr>
            </w:pPr>
            <w:r>
              <w:rPr>
                <w:rFonts w:hint="eastAsia"/>
                <w:sz w:val="24"/>
                <w:szCs w:val="24"/>
              </w:rPr>
              <w:t>联系人电话</w:t>
            </w:r>
          </w:p>
        </w:tc>
        <w:tc>
          <w:tcPr>
            <w:tcW w:w="1510" w:type="dxa"/>
            <w:vAlign w:val="center"/>
          </w:tcPr>
          <w:p>
            <w:pPr>
              <w:widowControl/>
              <w:jc w:val="center"/>
              <w:textAlignment w:val="center"/>
              <w:rPr>
                <w:rFonts w:hint="eastAsia" w:ascii="宋体" w:hAnsi="宋体" w:cs="宋体"/>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jc w:val="center"/>
        </w:trPr>
        <w:tc>
          <w:tcPr>
            <w:tcW w:w="1956" w:type="dxa"/>
          </w:tcPr>
          <w:p>
            <w:pPr>
              <w:pStyle w:val="231"/>
              <w:spacing w:before="111"/>
              <w:rPr>
                <w:rFonts w:hint="eastAsia"/>
                <w:sz w:val="24"/>
                <w:szCs w:val="24"/>
              </w:rPr>
            </w:pPr>
            <w:r>
              <w:rPr>
                <w:rFonts w:hint="eastAsia"/>
                <w:sz w:val="24"/>
                <w:szCs w:val="24"/>
              </w:rPr>
              <w:t>企业性质</w:t>
            </w:r>
          </w:p>
        </w:tc>
        <w:tc>
          <w:tcPr>
            <w:tcW w:w="4680" w:type="dxa"/>
            <w:gridSpan w:val="4"/>
            <w:vAlign w:val="center"/>
          </w:tcPr>
          <w:p>
            <w:pPr>
              <w:widowControl/>
              <w:jc w:val="center"/>
              <w:textAlignment w:val="center"/>
              <w:rPr>
                <w:rFonts w:hint="eastAsia" w:ascii="宋体" w:hAnsi="宋体" w:cs="宋体"/>
                <w:kern w:val="0"/>
                <w:sz w:val="24"/>
              </w:rPr>
            </w:pPr>
          </w:p>
        </w:tc>
        <w:tc>
          <w:tcPr>
            <w:tcW w:w="1310" w:type="dxa"/>
          </w:tcPr>
          <w:p>
            <w:pPr>
              <w:pStyle w:val="231"/>
              <w:spacing w:before="103"/>
              <w:ind w:right="26"/>
              <w:rPr>
                <w:rFonts w:hint="eastAsia"/>
                <w:sz w:val="24"/>
                <w:szCs w:val="24"/>
              </w:rPr>
            </w:pPr>
            <w:r>
              <w:rPr>
                <w:rFonts w:hint="eastAsia"/>
                <w:sz w:val="24"/>
                <w:szCs w:val="24"/>
              </w:rPr>
              <w:t>注册时间</w:t>
            </w:r>
          </w:p>
        </w:tc>
        <w:tc>
          <w:tcPr>
            <w:tcW w:w="1510" w:type="dxa"/>
            <w:vAlign w:val="center"/>
          </w:tcPr>
          <w:p>
            <w:pPr>
              <w:widowControl/>
              <w:jc w:val="center"/>
              <w:textAlignment w:val="center"/>
              <w:rPr>
                <w:rFonts w:hint="eastAsia" w:ascii="宋体" w:hAnsi="宋体" w:cs="宋体"/>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64" w:hRule="atLeast"/>
          <w:jc w:val="center"/>
        </w:trPr>
        <w:tc>
          <w:tcPr>
            <w:tcW w:w="1956" w:type="dxa"/>
          </w:tcPr>
          <w:p>
            <w:pPr>
              <w:pStyle w:val="231"/>
              <w:spacing w:before="111"/>
              <w:rPr>
                <w:rFonts w:hint="eastAsia"/>
                <w:sz w:val="24"/>
                <w:szCs w:val="24"/>
              </w:rPr>
            </w:pPr>
            <w:r>
              <w:rPr>
                <w:rFonts w:hint="eastAsia"/>
                <w:sz w:val="24"/>
                <w:szCs w:val="24"/>
              </w:rPr>
              <w:t>企业法人代表</w:t>
            </w:r>
          </w:p>
        </w:tc>
        <w:tc>
          <w:tcPr>
            <w:tcW w:w="4680" w:type="dxa"/>
            <w:gridSpan w:val="4"/>
          </w:tcPr>
          <w:p>
            <w:pPr>
              <w:pStyle w:val="5"/>
              <w:keepNext w:val="0"/>
              <w:keepLines w:val="0"/>
              <w:widowControl/>
              <w:shd w:val="clear" w:color="auto" w:fill="FFFFFF"/>
              <w:spacing w:line="450" w:lineRule="atLeast"/>
              <w:jc w:val="center"/>
              <w:rPr>
                <w:rFonts w:hint="eastAsia" w:ascii="宋体" w:hAnsi="宋体" w:cs="宋体"/>
                <w:sz w:val="24"/>
                <w:szCs w:val="24"/>
              </w:rPr>
            </w:pPr>
          </w:p>
        </w:tc>
        <w:tc>
          <w:tcPr>
            <w:tcW w:w="1310" w:type="dxa"/>
          </w:tcPr>
          <w:p>
            <w:pPr>
              <w:pStyle w:val="231"/>
              <w:spacing w:before="103"/>
              <w:ind w:right="26"/>
              <w:rPr>
                <w:rFonts w:hint="eastAsia"/>
                <w:sz w:val="24"/>
                <w:szCs w:val="24"/>
              </w:rPr>
            </w:pPr>
            <w:r>
              <w:rPr>
                <w:rFonts w:hint="eastAsia"/>
                <w:sz w:val="24"/>
                <w:szCs w:val="24"/>
              </w:rPr>
              <w:t>企业资质</w:t>
            </w:r>
          </w:p>
        </w:tc>
        <w:tc>
          <w:tcPr>
            <w:tcW w:w="1510" w:type="dxa"/>
            <w:vAlign w:val="center"/>
          </w:tcPr>
          <w:p>
            <w:pPr>
              <w:widowControl/>
              <w:jc w:val="center"/>
              <w:textAlignment w:val="center"/>
              <w:rPr>
                <w:rFonts w:hint="eastAsia" w:ascii="宋体" w:hAnsi="宋体" w:cs="宋体"/>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9456" w:type="dxa"/>
            <w:gridSpan w:val="7"/>
          </w:tcPr>
          <w:p>
            <w:pPr>
              <w:pStyle w:val="231"/>
              <w:spacing w:before="149"/>
              <w:ind w:left="3345" w:right="3223"/>
              <w:rPr>
                <w:rFonts w:hint="eastAsia"/>
                <w:sz w:val="24"/>
                <w:szCs w:val="24"/>
              </w:rPr>
            </w:pPr>
            <w:r>
              <w:rPr>
                <w:rFonts w:hint="eastAsia"/>
                <w:b/>
                <w:bCs/>
                <w:sz w:val="24"/>
                <w:szCs w:val="24"/>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jc w:val="center"/>
        </w:trPr>
        <w:tc>
          <w:tcPr>
            <w:tcW w:w="1956" w:type="dxa"/>
            <w:vAlign w:val="center"/>
          </w:tcPr>
          <w:p>
            <w:pPr>
              <w:widowControl/>
              <w:jc w:val="center"/>
              <w:textAlignment w:val="center"/>
              <w:rPr>
                <w:rFonts w:hint="eastAsia" w:ascii="宋体" w:hAnsi="宋体" w:cs="宋体"/>
                <w:kern w:val="0"/>
                <w:sz w:val="24"/>
              </w:rPr>
            </w:pPr>
            <w:r>
              <w:rPr>
                <w:rFonts w:hint="eastAsia" w:ascii="宋体" w:hAnsi="宋体" w:cs="宋体"/>
                <w:spacing w:val="-2"/>
                <w:kern w:val="0"/>
                <w:sz w:val="24"/>
              </w:rPr>
              <w:t>职工总人</w:t>
            </w:r>
            <w:r>
              <w:rPr>
                <w:rFonts w:hint="eastAsia" w:ascii="宋体" w:hAnsi="宋体" w:cs="宋体"/>
                <w:spacing w:val="-1"/>
                <w:kern w:val="0"/>
                <w:sz w:val="24"/>
              </w:rPr>
              <w:t>数</w:t>
            </w:r>
          </w:p>
        </w:tc>
        <w:tc>
          <w:tcPr>
            <w:tcW w:w="990" w:type="dxa"/>
            <w:vAlign w:val="center"/>
          </w:tcPr>
          <w:p>
            <w:pPr>
              <w:widowControl/>
              <w:textAlignment w:val="center"/>
              <w:rPr>
                <w:rFonts w:hint="eastAsia" w:ascii="宋体" w:hAnsi="宋体" w:cs="宋体"/>
                <w:kern w:val="0"/>
                <w:sz w:val="24"/>
              </w:rPr>
            </w:pPr>
          </w:p>
        </w:tc>
        <w:tc>
          <w:tcPr>
            <w:tcW w:w="1530" w:type="dxa"/>
            <w:vAlign w:val="center"/>
          </w:tcPr>
          <w:p>
            <w:pPr>
              <w:widowControl/>
              <w:jc w:val="center"/>
              <w:textAlignment w:val="center"/>
              <w:rPr>
                <w:rFonts w:hint="eastAsia" w:ascii="宋体" w:hAnsi="宋体" w:cs="宋体"/>
                <w:kern w:val="0"/>
                <w:sz w:val="24"/>
              </w:rPr>
            </w:pPr>
            <w:r>
              <w:rPr>
                <w:rFonts w:hint="eastAsia" w:ascii="宋体" w:hAnsi="宋体" w:cs="宋体"/>
                <w:spacing w:val="-2"/>
                <w:kern w:val="0"/>
                <w:sz w:val="24"/>
              </w:rPr>
              <w:t>技术人员</w:t>
            </w:r>
          </w:p>
        </w:tc>
        <w:tc>
          <w:tcPr>
            <w:tcW w:w="1063" w:type="dxa"/>
            <w:vAlign w:val="center"/>
          </w:tcPr>
          <w:p>
            <w:pPr>
              <w:widowControl/>
              <w:jc w:val="center"/>
              <w:textAlignment w:val="center"/>
              <w:rPr>
                <w:rFonts w:hint="eastAsia" w:ascii="宋体" w:hAnsi="宋体" w:cs="宋体"/>
                <w:kern w:val="0"/>
                <w:sz w:val="24"/>
              </w:rPr>
            </w:pPr>
          </w:p>
        </w:tc>
        <w:tc>
          <w:tcPr>
            <w:tcW w:w="1097" w:type="dxa"/>
            <w:vAlign w:val="center"/>
          </w:tcPr>
          <w:p>
            <w:pPr>
              <w:widowControl/>
              <w:textAlignment w:val="center"/>
              <w:rPr>
                <w:rFonts w:hint="eastAsia" w:ascii="宋体" w:hAnsi="宋体" w:cs="宋体"/>
                <w:kern w:val="0"/>
                <w:sz w:val="24"/>
              </w:rPr>
            </w:pPr>
            <w:r>
              <w:rPr>
                <w:rFonts w:hint="eastAsia" w:ascii="宋体" w:hAnsi="宋体" w:cs="宋体"/>
                <w:spacing w:val="-3"/>
                <w:kern w:val="0"/>
                <w:sz w:val="24"/>
              </w:rPr>
              <w:t>辅助人员</w:t>
            </w:r>
          </w:p>
        </w:tc>
        <w:tc>
          <w:tcPr>
            <w:tcW w:w="2820" w:type="dxa"/>
            <w:gridSpan w:val="2"/>
            <w:vAlign w:val="center"/>
          </w:tcPr>
          <w:p>
            <w:pPr>
              <w:widowControl/>
              <w:jc w:val="center"/>
              <w:textAlignment w:val="center"/>
              <w:rPr>
                <w:rFonts w:hint="eastAsia" w:ascii="宋体" w:hAnsi="宋体" w:cs="宋体"/>
                <w:kern w:val="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jc w:val="center"/>
        </w:trPr>
        <w:tc>
          <w:tcPr>
            <w:tcW w:w="1956" w:type="dxa"/>
            <w:vAlign w:val="center"/>
          </w:tcPr>
          <w:p>
            <w:pPr>
              <w:widowControl/>
              <w:jc w:val="center"/>
              <w:textAlignment w:val="center"/>
              <w:rPr>
                <w:rFonts w:hint="eastAsia" w:ascii="宋体" w:hAnsi="宋体" w:cs="宋体"/>
                <w:kern w:val="0"/>
                <w:sz w:val="24"/>
              </w:rPr>
            </w:pPr>
            <w:r>
              <w:rPr>
                <w:rFonts w:hint="eastAsia" w:ascii="宋体" w:hAnsi="宋体" w:cs="宋体"/>
                <w:kern w:val="0"/>
                <w:sz w:val="24"/>
                <w:lang w:bidi="ar"/>
              </w:rPr>
              <w:t>企业优势</w:t>
            </w:r>
          </w:p>
        </w:tc>
        <w:tc>
          <w:tcPr>
            <w:tcW w:w="7500" w:type="dxa"/>
            <w:gridSpan w:val="6"/>
            <w:vAlign w:val="center"/>
          </w:tcPr>
          <w:p>
            <w:pPr>
              <w:widowControl/>
              <w:jc w:val="left"/>
              <w:rPr>
                <w:rFonts w:hint="eastAsia" w:ascii="宋体" w:hAnsi="宋体" w:cs="宋体"/>
                <w:kern w:val="0"/>
                <w:sz w:val="24"/>
              </w:rPr>
            </w:pPr>
            <w:r>
              <w:rPr>
                <w:rFonts w:hint="eastAsia" w:ascii="宋体" w:hAnsi="宋体" w:cs="宋体"/>
                <w:kern w:val="0"/>
                <w:sz w:val="24"/>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86" w:hRule="atLeast"/>
          <w:jc w:val="center"/>
        </w:trPr>
        <w:tc>
          <w:tcPr>
            <w:tcW w:w="1956" w:type="dxa"/>
            <w:vAlign w:val="center"/>
          </w:tcPr>
          <w:p>
            <w:pPr>
              <w:widowControl/>
              <w:jc w:val="center"/>
              <w:textAlignment w:val="center"/>
              <w:rPr>
                <w:rFonts w:hint="eastAsia" w:ascii="宋体" w:hAnsi="宋体" w:cs="宋体"/>
                <w:kern w:val="0"/>
                <w:sz w:val="24"/>
              </w:rPr>
            </w:pPr>
            <w:r>
              <w:rPr>
                <w:rFonts w:hint="eastAsia" w:ascii="宋体" w:hAnsi="宋体" w:cs="宋体"/>
                <w:kern w:val="0"/>
                <w:sz w:val="24"/>
                <w:lang w:bidi="ar"/>
              </w:rPr>
              <w:t>企业行业水平及行业口碑</w:t>
            </w:r>
          </w:p>
        </w:tc>
        <w:tc>
          <w:tcPr>
            <w:tcW w:w="7500" w:type="dxa"/>
            <w:gridSpan w:val="6"/>
            <w:vAlign w:val="center"/>
          </w:tcPr>
          <w:p>
            <w:pPr>
              <w:widowControl/>
              <w:jc w:val="left"/>
              <w:rPr>
                <w:rFonts w:hint="eastAsia" w:ascii="宋体" w:hAnsi="宋体" w:cs="宋体"/>
                <w:kern w:val="0"/>
                <w:sz w:val="24"/>
              </w:rPr>
            </w:pPr>
            <w:r>
              <w:rPr>
                <w:rFonts w:hint="eastAsia" w:ascii="宋体" w:hAnsi="宋体" w:cs="宋体"/>
                <w:kern w:val="0"/>
                <w:sz w:val="24"/>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jc w:val="center"/>
        </w:trPr>
        <w:tc>
          <w:tcPr>
            <w:tcW w:w="1956" w:type="dxa"/>
            <w:vAlign w:val="center"/>
          </w:tcPr>
          <w:p>
            <w:pPr>
              <w:widowControl/>
              <w:jc w:val="center"/>
              <w:textAlignment w:val="center"/>
              <w:rPr>
                <w:rFonts w:hint="eastAsia" w:ascii="宋体" w:hAnsi="宋体" w:cs="宋体"/>
                <w:kern w:val="0"/>
                <w:sz w:val="24"/>
              </w:rPr>
            </w:pPr>
            <w:r>
              <w:rPr>
                <w:rFonts w:hint="eastAsia" w:ascii="宋体" w:hAnsi="宋体" w:cs="宋体"/>
                <w:kern w:val="0"/>
                <w:sz w:val="24"/>
                <w:lang w:bidi="ar"/>
              </w:rPr>
              <w:t>近三或五年企业类似业绩及履约情况</w:t>
            </w:r>
          </w:p>
        </w:tc>
        <w:tc>
          <w:tcPr>
            <w:tcW w:w="7500" w:type="dxa"/>
            <w:gridSpan w:val="6"/>
            <w:vAlign w:val="center"/>
          </w:tcPr>
          <w:p>
            <w:pPr>
              <w:widowControl/>
              <w:jc w:val="left"/>
              <w:rPr>
                <w:rFonts w:hint="eastAsia" w:ascii="宋体" w:hAnsi="宋体" w:cs="宋体"/>
                <w:kern w:val="0"/>
                <w:sz w:val="24"/>
              </w:rPr>
            </w:pPr>
            <w:r>
              <w:rPr>
                <w:rFonts w:hint="eastAsia" w:ascii="宋体" w:hAnsi="宋体" w:cs="宋体"/>
                <w:kern w:val="0"/>
                <w:sz w:val="24"/>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jc w:val="center"/>
        </w:trPr>
        <w:tc>
          <w:tcPr>
            <w:tcW w:w="1956" w:type="dxa"/>
            <w:vAlign w:val="center"/>
          </w:tcPr>
          <w:p>
            <w:pPr>
              <w:widowControl/>
              <w:jc w:val="center"/>
              <w:textAlignment w:val="center"/>
              <w:rPr>
                <w:rFonts w:hint="eastAsia" w:ascii="宋体" w:hAnsi="宋体" w:cs="宋体"/>
                <w:kern w:val="0"/>
                <w:sz w:val="24"/>
              </w:rPr>
            </w:pPr>
            <w:r>
              <w:rPr>
                <w:rFonts w:hint="eastAsia" w:ascii="宋体" w:hAnsi="宋体" w:cs="宋体"/>
                <w:kern w:val="0"/>
                <w:sz w:val="24"/>
                <w:lang w:bidi="ar"/>
              </w:rPr>
              <w:t>服务及质量</w:t>
            </w:r>
          </w:p>
        </w:tc>
        <w:tc>
          <w:tcPr>
            <w:tcW w:w="7500" w:type="dxa"/>
            <w:gridSpan w:val="6"/>
            <w:vAlign w:val="center"/>
          </w:tcPr>
          <w:p>
            <w:pPr>
              <w:widowControl/>
              <w:jc w:val="left"/>
              <w:rPr>
                <w:rFonts w:hint="eastAsia" w:ascii="宋体" w:hAnsi="宋体" w:cs="宋体"/>
                <w:kern w:val="0"/>
                <w:sz w:val="24"/>
              </w:rPr>
            </w:pPr>
            <w:r>
              <w:rPr>
                <w:rFonts w:hint="eastAsia" w:ascii="宋体" w:hAnsi="宋体" w:cs="宋体"/>
                <w:kern w:val="0"/>
                <w:sz w:val="24"/>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4" w:hRule="atLeast"/>
          <w:jc w:val="center"/>
        </w:trPr>
        <w:tc>
          <w:tcPr>
            <w:tcW w:w="1956" w:type="dxa"/>
            <w:vAlign w:val="center"/>
          </w:tcPr>
          <w:p>
            <w:pPr>
              <w:widowControl/>
              <w:textAlignment w:val="center"/>
              <w:rPr>
                <w:rFonts w:hint="eastAsia" w:ascii="宋体" w:hAnsi="宋体" w:cs="宋体"/>
                <w:kern w:val="0"/>
                <w:sz w:val="24"/>
                <w:lang w:bidi="ar"/>
              </w:rPr>
            </w:pPr>
            <w:r>
              <w:rPr>
                <w:rFonts w:hint="eastAsia" w:ascii="宋体" w:hAnsi="宋体" w:cs="宋体"/>
                <w:spacing w:val="-4"/>
                <w:kern w:val="0"/>
                <w:sz w:val="24"/>
              </w:rPr>
              <w:t>对本项目在计划、进度、财务等方面采取的组织措施和相</w:t>
            </w:r>
            <w:r>
              <w:rPr>
                <w:rFonts w:hint="eastAsia" w:ascii="宋体" w:hAnsi="宋体" w:cs="宋体"/>
                <w:spacing w:val="-2"/>
                <w:kern w:val="0"/>
                <w:sz w:val="24"/>
              </w:rPr>
              <w:t>关</w:t>
            </w:r>
            <w:r>
              <w:rPr>
                <w:rFonts w:hint="eastAsia" w:ascii="宋体" w:hAnsi="宋体" w:cs="宋体"/>
                <w:spacing w:val="-3"/>
                <w:kern w:val="0"/>
                <w:sz w:val="24"/>
              </w:rPr>
              <w:t>人</w:t>
            </w:r>
            <w:r>
              <w:rPr>
                <w:rFonts w:hint="eastAsia" w:ascii="宋体" w:hAnsi="宋体" w:cs="宋体"/>
                <w:spacing w:val="-2"/>
                <w:kern w:val="0"/>
                <w:sz w:val="24"/>
              </w:rPr>
              <w:t>员简介</w:t>
            </w:r>
          </w:p>
        </w:tc>
        <w:tc>
          <w:tcPr>
            <w:tcW w:w="7500" w:type="dxa"/>
            <w:gridSpan w:val="6"/>
            <w:vAlign w:val="center"/>
          </w:tcPr>
          <w:p>
            <w:pPr>
              <w:widowControl/>
              <w:jc w:val="left"/>
              <w:rPr>
                <w:rFonts w:hint="eastAsia" w:ascii="宋体" w:hAnsi="宋体" w:cs="宋体"/>
                <w:kern w:val="0"/>
                <w:sz w:val="24"/>
                <w:lang w:bidi="ar"/>
              </w:rPr>
            </w:pPr>
          </w:p>
        </w:tc>
      </w:tr>
    </w:tbl>
    <w:p>
      <w:pPr>
        <w:pStyle w:val="2"/>
      </w:pPr>
    </w:p>
    <w:p>
      <w:pPr>
        <w:rPr>
          <w:rFonts w:hint="eastAsia" w:hAnsi="宋体" w:cs="宋体"/>
          <w:b/>
          <w:bCs/>
          <w:color w:val="000000"/>
          <w:sz w:val="24"/>
          <w:szCs w:val="24"/>
        </w:rPr>
      </w:pPr>
      <w:r>
        <w:rPr>
          <w:rFonts w:hint="eastAsia" w:hAnsi="宋体" w:cs="宋体"/>
          <w:b/>
          <w:bCs/>
          <w:color w:val="000000"/>
          <w:sz w:val="24"/>
          <w:szCs w:val="24"/>
        </w:rPr>
        <w:br w:type="page"/>
      </w:r>
    </w:p>
    <w:p>
      <w:pPr>
        <w:pStyle w:val="2"/>
        <w:outlineLvl w:val="2"/>
        <w:rPr>
          <w:rFonts w:hint="eastAsia" w:hAnsi="宋体" w:eastAsia="宋体" w:cs="宋体"/>
          <w:b/>
          <w:bCs/>
          <w:color w:val="000000"/>
          <w:szCs w:val="24"/>
        </w:rPr>
      </w:pPr>
      <w:r>
        <w:rPr>
          <w:rFonts w:hint="eastAsia" w:hAnsi="宋体" w:eastAsia="宋体" w:cs="宋体"/>
          <w:b/>
          <w:bCs/>
          <w:color w:val="000000"/>
          <w:szCs w:val="24"/>
        </w:rPr>
        <w:t>附件</w:t>
      </w:r>
      <w:r>
        <w:rPr>
          <w:rFonts w:hint="eastAsia" w:hAnsi="宋体" w:cs="宋体"/>
          <w:b/>
          <w:bCs/>
          <w:color w:val="000000"/>
          <w:szCs w:val="24"/>
          <w:lang w:val="en-US"/>
        </w:rPr>
        <w:t>一</w:t>
      </w:r>
      <w:r>
        <w:rPr>
          <w:rFonts w:hint="eastAsia" w:hAnsi="宋体" w:eastAsia="宋体" w:cs="宋体"/>
          <w:b/>
          <w:bCs/>
          <w:color w:val="000000"/>
          <w:szCs w:val="24"/>
        </w:rPr>
        <w:t xml:space="preserve"> SRM非生产供应商注册操作手册</w:t>
      </w:r>
    </w:p>
    <w:p>
      <w:pPr>
        <w:adjustRightInd w:val="0"/>
        <w:snapToGrid w:val="0"/>
        <w:jc w:val="left"/>
        <w:rPr>
          <w:rFonts w:hint="eastAsia" w:ascii="宋体" w:hAnsi="宋体" w:cs="宋体"/>
          <w:sz w:val="24"/>
          <w:szCs w:val="24"/>
        </w:rPr>
      </w:pPr>
    </w:p>
    <w:p>
      <w:pPr>
        <w:adjustRightInd w:val="0"/>
        <w:snapToGrid w:val="0"/>
        <w:spacing w:line="360" w:lineRule="auto"/>
        <w:jc w:val="left"/>
        <w:rPr>
          <w:rFonts w:hint="eastAsia" w:ascii="宋体" w:hAnsi="宋体" w:cs="宋体"/>
          <w:sz w:val="24"/>
          <w:szCs w:val="24"/>
        </w:rPr>
      </w:pPr>
      <w:r>
        <w:rPr>
          <w:rFonts w:ascii="宋体" w:hAnsi="宋体" w:cs="宋体"/>
          <w:sz w:val="24"/>
          <w:szCs w:val="24"/>
        </w:rPr>
        <w:t>浏览器中输入地址;</w:t>
      </w:r>
    </w:p>
    <w:p>
      <w:pPr>
        <w:adjustRightInd w:val="0"/>
        <w:snapToGrid w:val="0"/>
        <w:spacing w:line="360" w:lineRule="auto"/>
        <w:jc w:val="left"/>
        <w:rPr>
          <w:rFonts w:hint="eastAsia" w:ascii="宋体" w:hAnsi="宋体" w:cs="宋体"/>
          <w:b/>
          <w:bCs/>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r>
        <w:rPr>
          <w:rFonts w:ascii="宋体" w:hAnsi="宋体" w:cs="宋体"/>
          <w:sz w:val="24"/>
          <w:szCs w:val="24"/>
        </w:rPr>
        <w:br w:type="textWrapping"/>
      </w:r>
      <w:r>
        <w:rPr>
          <w:rFonts w:hint="eastAsia" w:ascii="宋体" w:hAnsi="宋体" w:cs="宋体"/>
          <w:sz w:val="24"/>
          <w:szCs w:val="24"/>
        </w:rPr>
        <w:t>1.下载《供应商用户手册》</w:t>
      </w:r>
    </w:p>
    <w:p>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0"/>
                    <a:stretch>
                      <a:fillRect/>
                    </a:stretch>
                  </pic:blipFill>
                  <pic:spPr>
                    <a:xfrm>
                      <a:off x="0" y="0"/>
                      <a:ext cx="5758815" cy="2764790"/>
                    </a:xfrm>
                    <a:prstGeom prst="rect">
                      <a:avLst/>
                    </a:prstGeom>
                    <a:noFill/>
                    <a:ln>
                      <a:noFill/>
                    </a:ln>
                  </pic:spPr>
                </pic:pic>
              </a:graphicData>
            </a:graphic>
          </wp:inline>
        </w:drawing>
      </w:r>
    </w:p>
    <w:p>
      <w:pPr>
        <w:adjustRightInd w:val="0"/>
        <w:snapToGrid w:val="0"/>
        <w:spacing w:before="312" w:beforeLines="100" w:after="156" w:afterLines="50" w:line="440" w:lineRule="exact"/>
        <w:jc w:val="left"/>
        <w:outlineLvl w:val="3"/>
        <w:rPr>
          <w:rFonts w:hint="eastAsia" w:ascii="宋体" w:hAnsi="宋体" w:cs="宋体"/>
          <w:b/>
          <w:bCs/>
          <w:sz w:val="24"/>
          <w:szCs w:val="24"/>
        </w:rPr>
      </w:pPr>
      <w:r>
        <w:rPr>
          <w:rFonts w:hint="eastAsia" w:ascii="宋体" w:hAnsi="宋体" w:cs="宋体"/>
          <w:b/>
          <w:bCs/>
          <w:sz w:val="24"/>
          <w:szCs w:val="24"/>
        </w:rPr>
        <w:t>一、首次注册</w:t>
      </w:r>
    </w:p>
    <w:p>
      <w:pPr>
        <w:adjustRightInd w:val="0"/>
        <w:snapToGrid w:val="0"/>
        <w:spacing w:line="360" w:lineRule="auto"/>
        <w:jc w:val="left"/>
        <w:rPr>
          <w:rFonts w:hint="eastAsia" w:ascii="宋体" w:hAnsi="宋体" w:cs="宋体"/>
          <w:sz w:val="24"/>
          <w:szCs w:val="24"/>
        </w:rPr>
      </w:pPr>
      <w:r>
        <w:rPr>
          <w:rFonts w:ascii="宋体" w:hAnsi="宋体" w:cs="宋体"/>
          <w:sz w:val="24"/>
          <w:szCs w:val="24"/>
        </w:rPr>
        <w:t>1.点击立即注册</w:t>
      </w:r>
    </w:p>
    <w:p>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1" cstate="print"/>
                    <a:srcRect/>
                    <a:stretch>
                      <a:fillRect/>
                    </a:stretch>
                  </pic:blipFill>
                  <pic:spPr>
                    <a:xfrm>
                      <a:off x="0" y="0"/>
                      <a:ext cx="5760085" cy="2933065"/>
                    </a:xfrm>
                    <a:prstGeom prst="rect">
                      <a:avLst/>
                    </a:prstGeom>
                  </pic:spPr>
                </pic:pic>
              </a:graphicData>
            </a:graphic>
          </wp:inline>
        </w:drawing>
      </w:r>
    </w:p>
    <w:p>
      <w:pPr>
        <w:widowControl/>
        <w:jc w:val="left"/>
      </w:pPr>
      <w:r>
        <w:rPr>
          <w:rFonts w:hint="eastAsia" w:ascii="宋体" w:hAnsi="宋体" w:cs="宋体"/>
          <w:color w:val="000000"/>
          <w:sz w:val="24"/>
          <w:szCs w:val="28"/>
        </w:rPr>
        <w:t>2.</w:t>
      </w:r>
      <w:r>
        <w:rPr>
          <w:rFonts w:ascii="宋体" w:hAnsi="宋体" w:cs="宋体"/>
          <w:color w:val="000000"/>
          <w:sz w:val="24"/>
          <w:szCs w:val="28"/>
        </w:rPr>
        <w:t>填写</w:t>
      </w:r>
      <w:r>
        <w:rPr>
          <w:rFonts w:hint="eastAsia" w:ascii="宋体" w:hAnsi="宋体" w:cs="宋体"/>
          <w:color w:val="000000"/>
          <w:sz w:val="24"/>
          <w:szCs w:val="28"/>
        </w:rPr>
        <w:t>姓名、</w:t>
      </w:r>
      <w:r>
        <w:rPr>
          <w:rFonts w:ascii="宋体" w:hAnsi="宋体" w:cs="宋体"/>
          <w:color w:val="000000"/>
          <w:sz w:val="24"/>
          <w:szCs w:val="28"/>
        </w:rPr>
        <w:t>手机号码（没有注册过的）</w:t>
      </w:r>
      <w:r>
        <w:rPr>
          <w:rFonts w:hint="eastAsia" w:ascii="宋体" w:hAnsi="宋体" w:cs="宋体"/>
          <w:color w:val="000000"/>
          <w:sz w:val="24"/>
          <w:szCs w:val="28"/>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cs="宋体"/>
          <w:color w:val="000000"/>
          <w:kern w:val="0"/>
          <w:sz w:val="20"/>
          <w:lang w:bidi="ar"/>
        </w:rPr>
        <w:t>。</w:t>
      </w:r>
    </w:p>
    <w:p>
      <w:pPr>
        <w:spacing w:line="360" w:lineRule="auto"/>
        <w:rPr>
          <w:rFonts w:hint="eastAsia" w:ascii="宋体" w:hAnsi="宋体" w:cs="宋体"/>
          <w:sz w:val="24"/>
          <w:szCs w:val="28"/>
        </w:rPr>
      </w:pPr>
    </w:p>
    <w:p>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2" cstate="print"/>
                    <a:srcRect/>
                    <a:stretch>
                      <a:fillRect/>
                    </a:stretch>
                  </pic:blipFill>
                  <pic:spPr>
                    <a:xfrm>
                      <a:off x="0" y="0"/>
                      <a:ext cx="5760085" cy="2766695"/>
                    </a:xfrm>
                    <a:prstGeom prst="rect">
                      <a:avLst/>
                    </a:prstGeom>
                  </pic:spPr>
                </pic:pic>
              </a:graphicData>
            </a:graphic>
          </wp:inline>
        </w:drawing>
      </w:r>
    </w:p>
    <w:p>
      <w:pPr>
        <w:spacing w:line="360" w:lineRule="auto"/>
        <w:rPr>
          <w:rFonts w:hint="eastAsia"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3" cstate="print"/>
                    <a:srcRect/>
                    <a:stretch>
                      <a:fillRect/>
                    </a:stretch>
                  </pic:blipFill>
                  <pic:spPr>
                    <a:xfrm>
                      <a:off x="0" y="0"/>
                      <a:ext cx="5760085" cy="2869565"/>
                    </a:xfrm>
                    <a:prstGeom prst="rect">
                      <a:avLst/>
                    </a:prstGeom>
                  </pic:spPr>
                </pic:pic>
              </a:graphicData>
            </a:graphic>
          </wp:inline>
        </w:drawing>
      </w:r>
    </w:p>
    <w:p>
      <w:pPr>
        <w:spacing w:line="360" w:lineRule="auto"/>
        <w:rPr>
          <w:rFonts w:hint="eastAsia"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4" cstate="print"/>
                    <a:srcRect/>
                    <a:stretch>
                      <a:fillRect/>
                    </a:stretch>
                  </pic:blipFill>
                  <pic:spPr>
                    <a:xfrm>
                      <a:off x="0" y="0"/>
                      <a:ext cx="5760085" cy="2853055"/>
                    </a:xfrm>
                    <a:prstGeom prst="rect">
                      <a:avLst/>
                    </a:prstGeom>
                  </pic:spPr>
                </pic:pic>
              </a:graphicData>
            </a:graphic>
          </wp:inline>
        </w:drawing>
      </w:r>
    </w:p>
    <w:p>
      <w:pPr>
        <w:numPr>
          <w:ilvl w:val="0"/>
          <w:numId w:val="9"/>
        </w:numPr>
        <w:spacing w:line="360" w:lineRule="auto"/>
      </w:pPr>
      <w:r>
        <w:rPr>
          <w:rFonts w:ascii="宋体" w:hAnsi="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15"/>
                    <a:stretch>
                      <a:fillRect/>
                    </a:stretch>
                  </pic:blipFill>
                  <pic:spPr>
                    <a:xfrm>
                      <a:off x="0" y="0"/>
                      <a:ext cx="5758180" cy="3058795"/>
                    </a:xfrm>
                    <a:prstGeom prst="rect">
                      <a:avLst/>
                    </a:prstGeom>
                    <a:noFill/>
                    <a:ln>
                      <a:noFill/>
                    </a:ln>
                  </pic:spPr>
                </pic:pic>
              </a:graphicData>
            </a:graphic>
          </wp:inline>
        </w:drawing>
      </w:r>
    </w:p>
    <w:p>
      <w:pPr>
        <w:spacing w:line="360" w:lineRule="auto"/>
        <w:rPr>
          <w:rFonts w:hint="eastAsia" w:ascii="宋体" w:hAnsi="宋体" w:cs="宋体"/>
          <w:sz w:val="24"/>
          <w:szCs w:val="24"/>
        </w:rPr>
      </w:pPr>
      <w:r>
        <w:rPr>
          <w:rFonts w:hint="eastAsia" w:ascii="宋体" w:hAnsi="宋体" w:cs="宋体"/>
          <w:sz w:val="24"/>
          <w:szCs w:val="24"/>
        </w:rPr>
        <w:t>（</w:t>
      </w:r>
      <w:r>
        <w:rPr>
          <w:rFonts w:hint="eastAsia" w:ascii="宋体" w:hAnsi="宋体" w:cs="宋体"/>
          <w:b/>
          <w:bCs/>
          <w:sz w:val="24"/>
          <w:szCs w:val="24"/>
        </w:rPr>
        <w:t>非生产-直管-直管</w:t>
      </w:r>
      <w:r>
        <w:rPr>
          <w:rFonts w:hint="eastAsia" w:ascii="宋体" w:hAnsi="宋体" w:cs="宋体"/>
          <w:sz w:val="24"/>
          <w:szCs w:val="24"/>
        </w:rPr>
        <w:t>）</w:t>
      </w:r>
    </w:p>
    <w:p>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16" cstate="print"/>
                    <a:srcRect/>
                    <a:stretch>
                      <a:fillRect/>
                    </a:stretch>
                  </pic:blipFill>
                  <pic:spPr>
                    <a:xfrm>
                      <a:off x="0" y="0"/>
                      <a:ext cx="5760085" cy="2809875"/>
                    </a:xfrm>
                    <a:prstGeom prst="rect">
                      <a:avLst/>
                    </a:prstGeom>
                  </pic:spPr>
                </pic:pic>
              </a:graphicData>
            </a:graphic>
          </wp:inline>
        </w:drawing>
      </w:r>
    </w:p>
    <w:p>
      <w:pPr>
        <w:spacing w:line="440" w:lineRule="exact"/>
        <w:rPr>
          <w:rFonts w:hint="eastAsia" w:ascii="宋体" w:hAnsi="宋体" w:cs="宋体"/>
          <w:b/>
          <w:bCs/>
          <w:color w:val="000000"/>
          <w:sz w:val="24"/>
          <w:szCs w:val="28"/>
        </w:rPr>
      </w:pPr>
      <w:r>
        <w:rPr>
          <w:rFonts w:hint="eastAsia" w:ascii="宋体" w:hAnsi="宋体" w:cs="宋体"/>
          <w:b/>
          <w:bCs/>
          <w:color w:val="000000"/>
          <w:sz w:val="24"/>
          <w:szCs w:val="28"/>
        </w:rPr>
        <w:t>注：</w:t>
      </w:r>
    </w:p>
    <w:p>
      <w:pPr>
        <w:numPr>
          <w:ilvl w:val="0"/>
          <w:numId w:val="10"/>
        </w:numPr>
        <w:spacing w:line="440" w:lineRule="exact"/>
        <w:rPr>
          <w:rFonts w:hint="eastAsia" w:ascii="宋体" w:hAnsi="宋体" w:cs="宋体"/>
          <w:b/>
          <w:bCs/>
          <w:color w:val="000000"/>
          <w:sz w:val="24"/>
          <w:szCs w:val="28"/>
        </w:rPr>
      </w:pPr>
      <w:r>
        <w:rPr>
          <w:rFonts w:hint="eastAsia" w:ascii="宋体" w:hAnsi="宋体" w:cs="宋体"/>
          <w:b/>
          <w:bCs/>
          <w:color w:val="000000"/>
          <w:sz w:val="24"/>
          <w:szCs w:val="28"/>
        </w:rPr>
        <w:t>“项目名称”和“采购形式编号”见第一部分的“项目介绍”；</w:t>
      </w:r>
    </w:p>
    <w:p>
      <w:pPr>
        <w:numPr>
          <w:ilvl w:val="0"/>
          <w:numId w:val="10"/>
        </w:numPr>
        <w:spacing w:line="440" w:lineRule="exact"/>
        <w:rPr>
          <w:rFonts w:hint="eastAsia" w:ascii="宋体" w:hAnsi="宋体" w:cs="宋体"/>
          <w:b/>
          <w:bCs/>
          <w:color w:val="000000"/>
          <w:sz w:val="24"/>
          <w:szCs w:val="28"/>
        </w:rPr>
      </w:pPr>
      <w:r>
        <w:rPr>
          <w:rFonts w:hint="eastAsia" w:ascii="宋体" w:hAnsi="宋体" w:cs="宋体"/>
          <w:b/>
          <w:bCs/>
          <w:color w:val="000000"/>
          <w:sz w:val="24"/>
          <w:szCs w:val="28"/>
        </w:rPr>
        <w:t>基本信息的填写尽可能完整，原则上要求供应商</w:t>
      </w:r>
      <w:r>
        <w:rPr>
          <w:rFonts w:hint="eastAsia" w:ascii="宋体" w:hAnsi="宋体" w:cs="宋体"/>
          <w:b/>
          <w:bCs/>
          <w:color w:val="000000"/>
          <w:sz w:val="24"/>
          <w:szCs w:val="28"/>
          <w:highlight w:val="yellow"/>
        </w:rPr>
        <w:t>必须填写近三年财务指标情况</w:t>
      </w:r>
      <w:r>
        <w:rPr>
          <w:rFonts w:hint="eastAsia" w:ascii="宋体" w:hAnsi="宋体" w:cs="宋体"/>
          <w:b/>
          <w:bCs/>
          <w:color w:val="000000"/>
          <w:sz w:val="24"/>
          <w:szCs w:val="28"/>
        </w:rPr>
        <w:t>；</w:t>
      </w:r>
    </w:p>
    <w:p>
      <w:pPr>
        <w:numPr>
          <w:ilvl w:val="0"/>
          <w:numId w:val="10"/>
        </w:numPr>
        <w:spacing w:line="440" w:lineRule="exact"/>
      </w:pPr>
      <w:r>
        <w:rPr>
          <w:rFonts w:hint="eastAsia" w:ascii="宋体" w:hAnsi="宋体" w:cs="宋体"/>
          <w:b/>
          <w:bCs/>
          <w:color w:val="000000"/>
          <w:sz w:val="24"/>
          <w:szCs w:val="28"/>
        </w:rPr>
        <w:t>管理单位选择【直管单位】、意向配套单位选择【直管单位】，配套能力“供货类别”填“</w:t>
      </w:r>
      <w:r>
        <w:rPr>
          <w:rFonts w:hint="eastAsia" w:ascii="宋体" w:hAnsi="宋体" w:cs="宋体"/>
          <w:b/>
          <w:bCs/>
          <w:color w:val="000000"/>
          <w:sz w:val="24"/>
          <w:szCs w:val="28"/>
          <w:highlight w:val="yellow"/>
        </w:rPr>
        <w:t>直管单位非生产招标 / 货物 / 安全消防</w:t>
      </w:r>
      <w:r>
        <w:rPr>
          <w:rFonts w:hint="eastAsia" w:ascii="宋体" w:hAnsi="宋体" w:cs="宋体"/>
          <w:b/>
          <w:bCs/>
          <w:color w:val="000000"/>
          <w:sz w:val="24"/>
          <w:szCs w:val="28"/>
        </w:rPr>
        <w:t>”，业务主管部门选择“</w:t>
      </w:r>
      <w:r>
        <w:rPr>
          <w:rFonts w:hint="eastAsia" w:ascii="宋体" w:hAnsi="宋体" w:cs="宋体"/>
          <w:b/>
          <w:bCs/>
          <w:color w:val="000000"/>
          <w:sz w:val="24"/>
          <w:szCs w:val="28"/>
          <w:highlight w:val="yellow"/>
        </w:rPr>
        <w:t>安全环保部</w:t>
      </w:r>
      <w:r>
        <w:rPr>
          <w:rFonts w:hint="eastAsia" w:ascii="宋体" w:hAnsi="宋体" w:cs="宋体"/>
          <w:b/>
          <w:bCs/>
          <w:color w:val="000000"/>
          <w:sz w:val="24"/>
          <w:szCs w:val="28"/>
        </w:rPr>
        <w:t>”。</w:t>
      </w:r>
    </w:p>
    <w:p>
      <w:pPr>
        <w:numPr>
          <w:ilvl w:val="0"/>
          <w:numId w:val="11"/>
        </w:numPr>
        <w:adjustRightInd w:val="0"/>
        <w:snapToGrid w:val="0"/>
        <w:spacing w:before="312" w:beforeLines="100" w:after="156" w:afterLines="50" w:line="440" w:lineRule="exact"/>
        <w:jc w:val="left"/>
        <w:outlineLvl w:val="3"/>
        <w:rPr>
          <w:sz w:val="24"/>
          <w:szCs w:val="24"/>
        </w:rPr>
      </w:pPr>
      <w:r>
        <w:rPr>
          <w:rFonts w:hint="eastAsia"/>
          <w:b/>
          <w:bCs/>
          <w:sz w:val="24"/>
          <w:szCs w:val="24"/>
        </w:rPr>
        <w:t>维护近三年财务指标</w:t>
      </w:r>
    </w:p>
    <w:p>
      <w:pPr>
        <w:spacing w:line="360" w:lineRule="auto"/>
        <w:rPr>
          <w:rFonts w:hint="eastAsia" w:ascii="宋体" w:hAnsi="宋体" w:cs="宋体"/>
          <w:color w:val="000000"/>
          <w:sz w:val="24"/>
          <w:szCs w:val="28"/>
        </w:rPr>
      </w:pPr>
      <w:r>
        <w:rPr>
          <w:rFonts w:hint="eastAsia" w:ascii="宋体" w:hAnsi="宋体" w:cs="宋体"/>
          <w:color w:val="000000"/>
          <w:sz w:val="24"/>
          <w:szCs w:val="28"/>
        </w:rPr>
        <w:t>1.供应商使用业务账号登录系统后，通过菜单路径：供应商中心→供应商变更→供应商财务数据变更管理，点击【发起变更】按钮，进入供应商财务数据变更填写界面。</w:t>
      </w:r>
    </w:p>
    <w:p>
      <w:pPr>
        <w:sectPr>
          <w:headerReference r:id="rId4" w:type="first"/>
          <w:footerReference r:id="rId6" w:type="first"/>
          <w:headerReference r:id="rId3" w:type="default"/>
          <w:footerReference r:id="rId5" w:type="default"/>
          <w:pgSz w:w="11906" w:h="16838"/>
          <w:pgMar w:top="1588" w:right="1418" w:bottom="1134" w:left="1418" w:header="851" w:footer="992" w:gutter="0"/>
          <w:cols w:space="720" w:num="1"/>
          <w:titlePg/>
          <w:docGrid w:type="lines" w:linePitch="312" w:charSpace="0"/>
        </w:sectPr>
      </w:pPr>
      <w: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17"/>
                    <a:stretch>
                      <a:fillRect/>
                    </a:stretch>
                  </pic:blipFill>
                  <pic:spPr>
                    <a:xfrm>
                      <a:off x="0" y="0"/>
                      <a:ext cx="5486400" cy="2661285"/>
                    </a:xfrm>
                    <a:prstGeom prst="rect">
                      <a:avLst/>
                    </a:prstGeom>
                    <a:noFill/>
                    <a:ln>
                      <a:noFill/>
                    </a:ln>
                  </pic:spPr>
                </pic:pic>
              </a:graphicData>
            </a:graphic>
          </wp:inline>
        </w:drawing>
      </w:r>
    </w:p>
    <w:p>
      <w:pPr>
        <w:pStyle w:val="234"/>
        <w:numPr>
          <w:ilvl w:val="0"/>
          <w:numId w:val="0"/>
        </w:numPr>
        <w:outlineLvl w:val="2"/>
        <w:rPr>
          <w:rFonts w:hint="eastAsia" w:ascii="宋体" w:hAnsi="宋体" w:eastAsia="宋体" w:cs="宋体"/>
          <w:sz w:val="24"/>
          <w:szCs w:val="24"/>
          <w:lang w:val="en-US"/>
        </w:rPr>
      </w:pPr>
      <w:r>
        <w:rPr>
          <w:rFonts w:hint="eastAsia" w:ascii="宋体" w:hAnsi="宋体" w:eastAsia="宋体" w:cs="宋体"/>
          <w:sz w:val="24"/>
          <w:szCs w:val="24"/>
          <w:lang w:val="en-US"/>
        </w:rPr>
        <w:t>附件二 SRM系统供应商用户手册</w:t>
      </w:r>
    </w:p>
    <w:p>
      <w:pPr>
        <w:spacing w:line="360" w:lineRule="auto"/>
        <w:rPr>
          <w:rFonts w:hint="eastAsia"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54"/>
          <w:rFonts w:hint="eastAsia" w:ascii="宋体" w:hAnsi="宋体" w:cs="宋体"/>
          <w:sz w:val="24"/>
          <w:szCs w:val="24"/>
        </w:rPr>
        <w:t>https://ecaitong.sinotruk.com:8012/</w:t>
      </w:r>
      <w:r>
        <w:rPr>
          <w:rStyle w:val="54"/>
          <w:rFonts w:hint="eastAsia" w:ascii="宋体" w:hAnsi="宋体" w:cs="宋体"/>
          <w:sz w:val="24"/>
          <w:szCs w:val="24"/>
        </w:rPr>
        <w:fldChar w:fldCharType="end"/>
      </w:r>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1.供应商应标</w:t>
      </w:r>
    </w:p>
    <w:p>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pPr>
        <w:spacing w:line="360" w:lineRule="auto"/>
        <w:rPr>
          <w:rFonts w:hint="eastAsia" w:ascii="宋体" w:hAnsi="宋体" w:cs="宋体"/>
          <w:color w:val="000000"/>
          <w:sz w:val="24"/>
          <w:szCs w:val="24"/>
        </w:rPr>
      </w:pPr>
      <w:r>
        <w:rPr>
          <w:rFonts w:ascii="宋体" w:hAnsi="宋体" w:cs="宋体"/>
          <w:color w:val="000000"/>
          <w:sz w:val="24"/>
          <w:szCs w:val="24"/>
        </w:rPr>
        <w:t>点击应标，上传文件之后点击提交。</w:t>
      </w:r>
    </w:p>
    <w:p>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8" cstate="print"/>
                    <a:srcRect/>
                    <a:stretch>
                      <a:fillRect/>
                    </a:stretch>
                  </pic:blipFill>
                  <pic:spPr>
                    <a:xfrm>
                      <a:off x="0" y="0"/>
                      <a:ext cx="5760085" cy="2269490"/>
                    </a:xfrm>
                    <a:prstGeom prst="rect">
                      <a:avLst/>
                    </a:prstGeom>
                  </pic:spPr>
                </pic:pic>
              </a:graphicData>
            </a:graphic>
          </wp:inline>
        </w:drawing>
      </w:r>
    </w:p>
    <w:p>
      <w:pPr>
        <w:pStyle w:val="2"/>
      </w:pPr>
    </w:p>
    <w:p>
      <w:pPr>
        <w:pStyle w:val="2"/>
      </w:pPr>
      <w:r>
        <w:rPr>
          <w:rFonts w:hint="eastAsia"/>
          <w:b/>
          <w:bCs/>
          <w:lang w:val="en-US"/>
        </w:rPr>
        <w:t>2、应标页面否为代理商请如实选择，若为代理商应标，请在应标后联系商务联系人</w:t>
      </w:r>
    </w:p>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2.供应商投标</w:t>
      </w:r>
    </w:p>
    <w:p>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pPr>
        <w:rPr>
          <w:rFonts w:hint="eastAsia" w:ascii="宋体" w:hAnsi="宋体" w:cs="宋体"/>
          <w:color w:val="000000"/>
        </w:rPr>
      </w:pPr>
      <w:r>
        <w:rPr>
          <w:rFonts w:ascii="宋体" w:hAnsi="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19" cstate="print"/>
                    <a:srcRect/>
                    <a:stretch>
                      <a:fillRect/>
                    </a:stretch>
                  </pic:blipFill>
                  <pic:spPr>
                    <a:xfrm>
                      <a:off x="0" y="0"/>
                      <a:ext cx="5760085" cy="2125345"/>
                    </a:xfrm>
                    <a:prstGeom prst="rect">
                      <a:avLst/>
                    </a:prstGeom>
                  </pic:spPr>
                </pic:pic>
              </a:graphicData>
            </a:graphic>
          </wp:inline>
        </w:drawing>
      </w:r>
    </w:p>
    <w:p>
      <w:pPr>
        <w:spacing w:line="360" w:lineRule="auto"/>
        <w:rPr>
          <w:rFonts w:hint="eastAsia" w:ascii="宋体" w:hAnsi="宋体" w:cs="宋体"/>
          <w:color w:val="000000"/>
          <w:sz w:val="24"/>
          <w:szCs w:val="28"/>
        </w:rPr>
      </w:pPr>
      <w:r>
        <w:rPr>
          <w:rFonts w:ascii="宋体" w:hAnsi="宋体" w:cs="宋体"/>
          <w:color w:val="000000"/>
          <w:sz w:val="24"/>
          <w:szCs w:val="28"/>
        </w:rPr>
        <w:t>点击投标按钮，进入详情页，输入投标报价并上传相应的附件。</w:t>
      </w:r>
    </w:p>
    <w:p>
      <w:pPr>
        <w:pStyle w:val="2"/>
        <w:rPr>
          <w:rFonts w:eastAsia="宋体"/>
        </w:rPr>
      </w:pPr>
      <w:r>
        <w:rPr>
          <w:rFonts w:hint="eastAsia" w:hAnsi="宋体" w:eastAsia="宋体" w:cs="宋体"/>
          <w:b/>
          <w:bCs/>
          <w:color w:val="000000"/>
          <w:szCs w:val="28"/>
          <w:highlight w:val="yellow"/>
        </w:rPr>
        <w:t>注意：系统内的投标报价单位为“万元”，如开标现场发现填错报价，即直接淘汰。</w:t>
      </w:r>
    </w:p>
    <w:p>
      <w:pPr>
        <w:ind w:left="425" w:hanging="425"/>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0" cstate="print"/>
                    <a:srcRect/>
                    <a:stretch>
                      <a:fillRect/>
                    </a:stretch>
                  </pic:blipFill>
                  <pic:spPr>
                    <a:xfrm>
                      <a:off x="0" y="0"/>
                      <a:ext cx="5490210" cy="2668905"/>
                    </a:xfrm>
                    <a:prstGeom prst="rect">
                      <a:avLst/>
                    </a:prstGeom>
                  </pic:spPr>
                </pic:pic>
              </a:graphicData>
            </a:graphic>
          </wp:inline>
        </w:drawing>
      </w:r>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3.供应商技术标澄清函</w:t>
      </w:r>
    </w:p>
    <w:p>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pPr>
        <w:spacing w:line="360" w:lineRule="auto"/>
        <w:rPr>
          <w:rFonts w:hint="eastAsia" w:ascii="宋体" w:hAnsi="宋体" w:cs="宋体"/>
          <w:sz w:val="24"/>
          <w:szCs w:val="24"/>
        </w:rPr>
      </w:pPr>
      <w:r>
        <w:rPr>
          <w:rFonts w:ascii="宋体" w:hAnsi="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1" cstate="print"/>
                    <a:srcRect/>
                    <a:stretch>
                      <a:fillRect/>
                    </a:stretch>
                  </pic:blipFill>
                  <pic:spPr>
                    <a:xfrm>
                      <a:off x="0" y="0"/>
                      <a:ext cx="5490210" cy="1992629"/>
                    </a:xfrm>
                    <a:prstGeom prst="rect">
                      <a:avLst/>
                    </a:prstGeom>
                  </pic:spPr>
                </pic:pic>
              </a:graphicData>
            </a:graphic>
          </wp:inline>
        </w:drawing>
      </w:r>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4.供应商报价</w:t>
      </w:r>
    </w:p>
    <w:p>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pPr>
        <w:spacing w:line="360" w:lineRule="auto"/>
        <w:rPr>
          <w:rFonts w:hint="eastAsia"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5.供应商澄清报价</w:t>
      </w:r>
    </w:p>
    <w:p>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pPr>
        <w:spacing w:line="360" w:lineRule="auto"/>
        <w:rPr>
          <w:rFonts w:hint="eastAsia"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ind w:left="425" w:hanging="425"/>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2" cstate="print"/>
                    <a:srcRect/>
                    <a:stretch>
                      <a:fillRect/>
                    </a:stretch>
                  </pic:blipFill>
                  <pic:spPr>
                    <a:xfrm>
                      <a:off x="0" y="0"/>
                      <a:ext cx="5490210" cy="2544445"/>
                    </a:xfrm>
                    <a:prstGeom prst="rect">
                      <a:avLst/>
                    </a:prstGeom>
                  </pic:spPr>
                </pic:pic>
              </a:graphicData>
            </a:graphic>
          </wp:inline>
        </w:drawing>
      </w:r>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6.供应商查看中标通知</w:t>
      </w:r>
    </w:p>
    <w:p>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pPr>
        <w:spacing w:line="360" w:lineRule="auto"/>
        <w:rPr>
          <w:rFonts w:hint="eastAsia" w:ascii="宋体" w:hAnsi="宋体" w:cs="宋体"/>
          <w:sz w:val="24"/>
          <w:szCs w:val="24"/>
        </w:rPr>
      </w:pPr>
      <w:r>
        <w:rPr>
          <w:rFonts w:ascii="宋体" w:hAnsi="宋体" w:cs="宋体"/>
          <w:color w:val="000000"/>
          <w:sz w:val="24"/>
          <w:szCs w:val="24"/>
        </w:rPr>
        <w:t>点击查看进入查看中标项目详情</w:t>
      </w:r>
    </w:p>
    <w:p>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3" cstate="print"/>
                    <a:srcRect/>
                    <a:stretch>
                      <a:fillRect/>
                    </a:stretch>
                  </pic:blipFill>
                  <pic:spPr>
                    <a:xfrm>
                      <a:off x="0" y="0"/>
                      <a:ext cx="5760085" cy="1956435"/>
                    </a:xfrm>
                    <a:prstGeom prst="rect">
                      <a:avLst/>
                    </a:prstGeom>
                  </pic:spPr>
                </pic:pic>
              </a:graphicData>
            </a:graphic>
          </wp:inline>
        </w:drawing>
      </w:r>
    </w:p>
    <w:p>
      <w:pPr>
        <w:pStyle w:val="2"/>
        <w:rPr>
          <w:rFonts w:hint="eastAsia" w:hAnsi="宋体" w:eastAsia="宋体"/>
          <w:b/>
          <w:color w:val="000000"/>
          <w:szCs w:val="24"/>
        </w:rPr>
      </w:pPr>
    </w:p>
    <w:p>
      <w:pPr>
        <w:pStyle w:val="2"/>
        <w:rPr>
          <w:rFonts w:hint="eastAsia" w:hAnsi="宋体" w:eastAsia="宋体"/>
          <w:b/>
          <w:color w:val="000000"/>
          <w:szCs w:val="24"/>
        </w:rPr>
      </w:pPr>
    </w:p>
    <w:p>
      <w:pPr>
        <w:rPr>
          <w:rFonts w:hint="eastAsia" w:ascii="宋体" w:hAnsi="宋体" w:cs="宋体"/>
          <w:sz w:val="24"/>
          <w:szCs w:val="24"/>
        </w:rPr>
      </w:pPr>
    </w:p>
    <w:p>
      <w:pPr>
        <w:pStyle w:val="223"/>
        <w:ind w:right="960" w:firstLine="0" w:firstLineChars="0"/>
        <w:jc w:val="both"/>
        <w:rPr>
          <w:rFonts w:hint="eastAsia" w:asciiTheme="minorEastAsia" w:hAnsiTheme="minorEastAsia" w:eastAsiaTheme="minorEastAsia" w:cstheme="minorEastAsia"/>
        </w:rPr>
      </w:pPr>
    </w:p>
    <w:sectPr>
      <w:headerReference r:id="rId7" w:type="default"/>
      <w:footerReference r:id="rId8" w:type="default"/>
      <w:pgSz w:w="11906" w:h="16838"/>
      <w:pgMar w:top="1134" w:right="1134" w:bottom="1134" w:left="1134" w:header="737" w:footer="573" w:gutter="0"/>
      <w:cols w:space="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MingLiU">
    <w:altName w:val="PMingLiU-ExtB"/>
    <w:panose1 w:val="02010609000101010101"/>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roman"/>
    <w:pitch w:val="default"/>
    <w:sig w:usb0="00000000" w:usb1="00000000" w:usb2="00000030" w:usb3="00000000" w:csb0="0008009F"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0"/>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0"/>
                          </w:pPr>
                          <w:r>
                            <w:t xml:space="preserve">第 </w:t>
                          </w:r>
                          <w:r>
                            <w:fldChar w:fldCharType="begin"/>
                          </w:r>
                          <w:r>
                            <w:instrText xml:space="preserve"> PAGE  \* MERGEFORMAT </w:instrText>
                          </w:r>
                          <w:r>
                            <w:fldChar w:fldCharType="separate"/>
                          </w:r>
                          <w:r>
                            <w:t>40</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30"/>
                    </w:pPr>
                    <w:r>
                      <w:t xml:space="preserve">第 </w:t>
                    </w:r>
                    <w:r>
                      <w:fldChar w:fldCharType="begin"/>
                    </w:r>
                    <w:r>
                      <w:instrText xml:space="preserve"> PAGE  \* MERGEFORMAT </w:instrText>
                    </w:r>
                    <w:r>
                      <w:fldChar w:fldCharType="separate"/>
                    </w:r>
                    <w:r>
                      <w:t>40</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pPr>
  </w:p>
  <w:p>
    <w:pPr>
      <w:pStyle w:val="3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1"/>
      <w:pBdr>
        <w:bottom w:val="single" w:color="auto" w:sz="6" w:space="0"/>
      </w:pBdr>
      <w:jc w:val="both"/>
      <w:rPr>
        <w:sz w:val="16"/>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54BF83F"/>
    <w:multiLevelType w:val="singleLevel"/>
    <w:tmpl w:val="F54BF83F"/>
    <w:lvl w:ilvl="0" w:tentative="0">
      <w:start w:val="1"/>
      <w:numFmt w:val="decimal"/>
      <w:suff w:val="space"/>
      <w:lvlText w:val="%1."/>
      <w:lvlJc w:val="left"/>
      <w:pPr>
        <w:ind w:left="0" w:firstLine="0"/>
      </w:pPr>
    </w:lvl>
  </w:abstractNum>
  <w:abstractNum w:abstractNumId="1">
    <w:nsid w:val="00000003"/>
    <w:multiLevelType w:val="singleLevel"/>
    <w:tmpl w:val="00000003"/>
    <w:lvl w:ilvl="0" w:tentative="0">
      <w:start w:val="5"/>
      <w:numFmt w:val="decimal"/>
      <w:lvlText w:val="%1."/>
      <w:lvlJc w:val="left"/>
      <w:pPr>
        <w:tabs>
          <w:tab w:val="left" w:pos="312"/>
        </w:tabs>
      </w:pPr>
    </w:lvl>
  </w:abstractNum>
  <w:abstractNum w:abstractNumId="2">
    <w:nsid w:val="06882CE3"/>
    <w:multiLevelType w:val="multilevel"/>
    <w:tmpl w:val="06882CE3"/>
    <w:lvl w:ilvl="0" w:tentative="0">
      <w:start w:val="1"/>
      <w:numFmt w:val="decimal"/>
      <w:pStyle w:val="230"/>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3">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5">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4AF0723E"/>
    <w:multiLevelType w:val="singleLevel"/>
    <w:tmpl w:val="4AF0723E"/>
    <w:lvl w:ilvl="0" w:tentative="0">
      <w:start w:val="2"/>
      <w:numFmt w:val="chineseCounting"/>
      <w:suff w:val="nothing"/>
      <w:lvlText w:val="%1、"/>
      <w:lvlJc w:val="left"/>
      <w:rPr>
        <w:rFonts w:hint="eastAsia"/>
      </w:rPr>
    </w:lvl>
  </w:abstractNum>
  <w:abstractNum w:abstractNumId="7">
    <w:nsid w:val="56D20133"/>
    <w:multiLevelType w:val="multilevel"/>
    <w:tmpl w:val="56D20133"/>
    <w:lvl w:ilvl="0" w:tentative="0">
      <w:start w:val="1"/>
      <w:numFmt w:val="chineseCountingThousand"/>
      <w:pStyle w:val="22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8">
    <w:nsid w:val="656A6EAE"/>
    <w:multiLevelType w:val="multilevel"/>
    <w:tmpl w:val="656A6EAE"/>
    <w:lvl w:ilvl="0" w:tentative="0">
      <w:start w:val="1"/>
      <w:numFmt w:val="chineseCountingThousand"/>
      <w:pStyle w:val="23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9">
    <w:nsid w:val="7623664E"/>
    <w:multiLevelType w:val="multilevel"/>
    <w:tmpl w:val="7623664E"/>
    <w:lvl w:ilvl="0" w:tentative="0">
      <w:start w:val="1"/>
      <w:numFmt w:val="decimal"/>
      <w:lvlText w:val="%1."/>
      <w:lvlJc w:val="left"/>
      <w:pPr>
        <w:ind w:left="900" w:hanging="420"/>
      </w:pPr>
      <w:rPr>
        <w:rFonts w:hint="default"/>
        <w:b w:val="0"/>
        <w:bCs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0">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7"/>
  </w:num>
  <w:num w:numId="2">
    <w:abstractNumId w:val="2"/>
  </w:num>
  <w:num w:numId="3">
    <w:abstractNumId w:val="8"/>
  </w:num>
  <w:num w:numId="4">
    <w:abstractNumId w:val="10"/>
  </w:num>
  <w:num w:numId="5">
    <w:abstractNumId w:val="5"/>
  </w:num>
  <w:num w:numId="6">
    <w:abstractNumId w:val="3"/>
  </w:num>
  <w:num w:numId="7">
    <w:abstractNumId w:val="9"/>
  </w:num>
  <w:num w:numId="8">
    <w:abstractNumId w:val="4"/>
  </w:num>
  <w:num w:numId="9">
    <w:abstractNumId w:val="1"/>
  </w:num>
  <w:num w:numId="10">
    <w:abstractNumId w:val="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noPunctuationKerning w:val="1"/>
  <w:characterSpacingControl w:val="doNotCompress"/>
  <w:doNotValidateAgainstSchema/>
  <w:doNotDemarcateInvalidXml/>
  <w:compat>
    <w:spaceForUL/>
    <w:doNotLeaveBackslashAlon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13D"/>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374"/>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27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5670"/>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0696"/>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4C40"/>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3DF5"/>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C77ED"/>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2E74D14"/>
    <w:rsid w:val="02FC5AB3"/>
    <w:rsid w:val="035E6B0B"/>
    <w:rsid w:val="04B15209"/>
    <w:rsid w:val="04D70225"/>
    <w:rsid w:val="05160EF2"/>
    <w:rsid w:val="068F55E3"/>
    <w:rsid w:val="09756E61"/>
    <w:rsid w:val="0AE0655C"/>
    <w:rsid w:val="0BEB0202"/>
    <w:rsid w:val="0D326CC2"/>
    <w:rsid w:val="0EA03360"/>
    <w:rsid w:val="10FE7942"/>
    <w:rsid w:val="13451748"/>
    <w:rsid w:val="1378147A"/>
    <w:rsid w:val="13D35827"/>
    <w:rsid w:val="1868332D"/>
    <w:rsid w:val="1DA82577"/>
    <w:rsid w:val="1E1170AC"/>
    <w:rsid w:val="22910369"/>
    <w:rsid w:val="22A44CDF"/>
    <w:rsid w:val="24552511"/>
    <w:rsid w:val="25F44B01"/>
    <w:rsid w:val="2698099F"/>
    <w:rsid w:val="29C928E7"/>
    <w:rsid w:val="2A7C02EC"/>
    <w:rsid w:val="2A8F7CD5"/>
    <w:rsid w:val="2B3F4DD2"/>
    <w:rsid w:val="2B9654FA"/>
    <w:rsid w:val="2E7345D1"/>
    <w:rsid w:val="353F5A8C"/>
    <w:rsid w:val="36DE1355"/>
    <w:rsid w:val="393D26BB"/>
    <w:rsid w:val="3A5B7C10"/>
    <w:rsid w:val="3C3170AD"/>
    <w:rsid w:val="3D9C2881"/>
    <w:rsid w:val="3F801B0E"/>
    <w:rsid w:val="413C1020"/>
    <w:rsid w:val="41A55A6F"/>
    <w:rsid w:val="422153EC"/>
    <w:rsid w:val="429D2840"/>
    <w:rsid w:val="48A82A9E"/>
    <w:rsid w:val="4A082E0A"/>
    <w:rsid w:val="4AC268B8"/>
    <w:rsid w:val="4CC51E60"/>
    <w:rsid w:val="4CD949FD"/>
    <w:rsid w:val="4F4A4FC8"/>
    <w:rsid w:val="50D74B46"/>
    <w:rsid w:val="51654692"/>
    <w:rsid w:val="54D67D81"/>
    <w:rsid w:val="54D7260C"/>
    <w:rsid w:val="57E02431"/>
    <w:rsid w:val="58055C15"/>
    <w:rsid w:val="58AE4B70"/>
    <w:rsid w:val="5AA3574A"/>
    <w:rsid w:val="5B316C0F"/>
    <w:rsid w:val="5F377063"/>
    <w:rsid w:val="5FF411EE"/>
    <w:rsid w:val="62E50A5D"/>
    <w:rsid w:val="633A3E82"/>
    <w:rsid w:val="673F2C72"/>
    <w:rsid w:val="68C06BDA"/>
    <w:rsid w:val="69F8009E"/>
    <w:rsid w:val="6AB76068"/>
    <w:rsid w:val="6C9132F0"/>
    <w:rsid w:val="6D5B701C"/>
    <w:rsid w:val="6D8937F5"/>
    <w:rsid w:val="736A2597"/>
    <w:rsid w:val="74995770"/>
    <w:rsid w:val="75CD3E17"/>
    <w:rsid w:val="76683156"/>
    <w:rsid w:val="7A8F4EBB"/>
    <w:rsid w:val="7B802C44"/>
    <w:rsid w:val="7FC912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1"/>
    <w:qFormat/>
    <w:uiPriority w:val="0"/>
    <w:pPr>
      <w:keepNext/>
      <w:keepLines/>
      <w:spacing w:before="340" w:after="330" w:line="576" w:lineRule="auto"/>
      <w:outlineLvl w:val="0"/>
    </w:pPr>
    <w:rPr>
      <w:b/>
      <w:kern w:val="44"/>
      <w:sz w:val="44"/>
      <w:lang w:val="zh-CN"/>
    </w:rPr>
  </w:style>
  <w:style w:type="paragraph" w:styleId="4">
    <w:name w:val="heading 2"/>
    <w:basedOn w:val="1"/>
    <w:next w:val="1"/>
    <w:link w:val="62"/>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5">
    <w:name w:val="heading 3"/>
    <w:basedOn w:val="1"/>
    <w:next w:val="1"/>
    <w:link w:val="63"/>
    <w:qFormat/>
    <w:uiPriority w:val="0"/>
    <w:pPr>
      <w:keepNext/>
      <w:keepLines/>
      <w:adjustRightInd w:val="0"/>
      <w:spacing w:before="260" w:after="260" w:line="416" w:lineRule="atLeast"/>
      <w:textAlignment w:val="baseline"/>
      <w:outlineLvl w:val="2"/>
    </w:pPr>
    <w:rPr>
      <w:b/>
      <w:kern w:val="0"/>
      <w:sz w:val="32"/>
      <w:lang w:val="zh-CN"/>
    </w:rPr>
  </w:style>
  <w:style w:type="paragraph" w:styleId="6">
    <w:name w:val="heading 4"/>
    <w:basedOn w:val="1"/>
    <w:next w:val="1"/>
    <w:link w:val="65"/>
    <w:qFormat/>
    <w:uiPriority w:val="0"/>
    <w:pPr>
      <w:keepNext/>
      <w:keepLines/>
      <w:spacing w:before="280" w:after="290" w:line="372" w:lineRule="auto"/>
      <w:outlineLvl w:val="3"/>
    </w:pPr>
    <w:rPr>
      <w:rFonts w:ascii="Arial" w:hAnsi="Arial" w:eastAsia="黑体"/>
      <w:b/>
      <w:sz w:val="28"/>
      <w:lang w:val="zh-CN"/>
    </w:rPr>
  </w:style>
  <w:style w:type="paragraph" w:styleId="7">
    <w:name w:val="heading 5"/>
    <w:basedOn w:val="1"/>
    <w:next w:val="8"/>
    <w:link w:val="66"/>
    <w:qFormat/>
    <w:uiPriority w:val="0"/>
    <w:pPr>
      <w:keepNext/>
      <w:keepLines/>
      <w:spacing w:before="280" w:after="290" w:line="372" w:lineRule="auto"/>
      <w:outlineLvl w:val="4"/>
    </w:pPr>
    <w:rPr>
      <w:b/>
      <w:sz w:val="28"/>
      <w:lang w:val="zh-CN"/>
    </w:rPr>
  </w:style>
  <w:style w:type="paragraph" w:styleId="9">
    <w:name w:val="heading 6"/>
    <w:basedOn w:val="1"/>
    <w:next w:val="8"/>
    <w:link w:val="67"/>
    <w:qFormat/>
    <w:uiPriority w:val="0"/>
    <w:pPr>
      <w:keepNext/>
      <w:keepLines/>
      <w:spacing w:before="240" w:after="64" w:line="317" w:lineRule="auto"/>
      <w:outlineLvl w:val="5"/>
    </w:pPr>
    <w:rPr>
      <w:rFonts w:ascii="Arial" w:hAnsi="Arial" w:eastAsia="黑体"/>
      <w:b/>
      <w:sz w:val="24"/>
      <w:lang w:val="zh-CN"/>
    </w:rPr>
  </w:style>
  <w:style w:type="paragraph" w:styleId="10">
    <w:name w:val="heading 7"/>
    <w:basedOn w:val="1"/>
    <w:next w:val="8"/>
    <w:link w:val="68"/>
    <w:qFormat/>
    <w:uiPriority w:val="0"/>
    <w:pPr>
      <w:keepNext/>
      <w:keepLines/>
      <w:spacing w:before="240" w:after="64" w:line="317" w:lineRule="auto"/>
      <w:outlineLvl w:val="6"/>
    </w:pPr>
    <w:rPr>
      <w:b/>
      <w:sz w:val="24"/>
      <w:lang w:val="zh-CN"/>
    </w:rPr>
  </w:style>
  <w:style w:type="paragraph" w:styleId="11">
    <w:name w:val="heading 8"/>
    <w:basedOn w:val="1"/>
    <w:next w:val="8"/>
    <w:link w:val="69"/>
    <w:qFormat/>
    <w:uiPriority w:val="0"/>
    <w:pPr>
      <w:keepNext/>
      <w:keepLines/>
      <w:spacing w:before="240" w:after="64" w:line="317" w:lineRule="auto"/>
      <w:outlineLvl w:val="7"/>
    </w:pPr>
    <w:rPr>
      <w:rFonts w:ascii="Arial" w:hAnsi="Arial" w:eastAsia="黑体"/>
      <w:sz w:val="24"/>
      <w:lang w:val="zh-CN"/>
    </w:rPr>
  </w:style>
  <w:style w:type="paragraph" w:styleId="12">
    <w:name w:val="heading 9"/>
    <w:basedOn w:val="1"/>
    <w:next w:val="8"/>
    <w:link w:val="70"/>
    <w:qFormat/>
    <w:uiPriority w:val="0"/>
    <w:pPr>
      <w:keepNext/>
      <w:keepLines/>
      <w:spacing w:before="240" w:after="64" w:line="317" w:lineRule="auto"/>
      <w:outlineLvl w:val="8"/>
    </w:pPr>
    <w:rPr>
      <w:rFonts w:ascii="Arial" w:hAnsi="Arial" w:eastAsia="黑体"/>
      <w:lang w:val="zh-CN"/>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88"/>
    <w:qFormat/>
    <w:uiPriority w:val="99"/>
    <w:pPr>
      <w:overflowPunct w:val="0"/>
      <w:spacing w:line="360" w:lineRule="auto"/>
    </w:pPr>
    <w:rPr>
      <w:rFonts w:ascii="宋体" w:hAnsi="Courier New" w:eastAsia="仿宋_GB2312"/>
      <w:sz w:val="24"/>
      <w:lang w:val="zh-CN"/>
    </w:rPr>
  </w:style>
  <w:style w:type="paragraph" w:styleId="8">
    <w:name w:val="Normal Indent"/>
    <w:basedOn w:val="1"/>
    <w:link w:val="64"/>
    <w:qFormat/>
    <w:uiPriority w:val="0"/>
    <w:pPr>
      <w:ind w:firstLine="420"/>
    </w:pPr>
    <w:rPr>
      <w:kern w:val="0"/>
      <w:sz w:val="20"/>
    </w:rPr>
  </w:style>
  <w:style w:type="paragraph" w:styleId="13">
    <w:name w:val="toc 7"/>
    <w:basedOn w:val="1"/>
    <w:next w:val="1"/>
    <w:qFormat/>
    <w:uiPriority w:val="0"/>
    <w:pPr>
      <w:ind w:left="2520" w:leftChars="1200"/>
    </w:pPr>
  </w:style>
  <w:style w:type="paragraph" w:styleId="14">
    <w:name w:val="Note Heading"/>
    <w:basedOn w:val="1"/>
    <w:next w:val="1"/>
    <w:link w:val="115"/>
    <w:qFormat/>
    <w:uiPriority w:val="0"/>
    <w:pPr>
      <w:adjustRightInd w:val="0"/>
      <w:snapToGrid w:val="0"/>
      <w:jc w:val="center"/>
    </w:pPr>
    <w:rPr>
      <w:lang w:val="zh-CN" w:eastAsia="zh-TW"/>
    </w:rPr>
  </w:style>
  <w:style w:type="paragraph" w:styleId="15">
    <w:name w:val="caption"/>
    <w:basedOn w:val="1"/>
    <w:next w:val="1"/>
    <w:qFormat/>
    <w:uiPriority w:val="0"/>
    <w:rPr>
      <w:rFonts w:ascii="Cambria" w:hAnsi="Cambria" w:eastAsia="黑体"/>
    </w:rPr>
  </w:style>
  <w:style w:type="paragraph" w:styleId="16">
    <w:name w:val="Document Map"/>
    <w:basedOn w:val="1"/>
    <w:link w:val="111"/>
    <w:qFormat/>
    <w:uiPriority w:val="0"/>
    <w:pPr>
      <w:shd w:val="clear" w:color="auto" w:fill="000080"/>
    </w:pPr>
    <w:rPr>
      <w:kern w:val="0"/>
      <w:sz w:val="20"/>
    </w:rPr>
  </w:style>
  <w:style w:type="paragraph" w:styleId="17">
    <w:name w:val="toa heading"/>
    <w:basedOn w:val="1"/>
    <w:next w:val="1"/>
    <w:qFormat/>
    <w:uiPriority w:val="0"/>
    <w:pPr>
      <w:adjustRightInd w:val="0"/>
      <w:spacing w:before="120" w:line="312" w:lineRule="atLeast"/>
      <w:textAlignment w:val="baseline"/>
    </w:pPr>
    <w:rPr>
      <w:rFonts w:ascii="Arial" w:hAnsi="Arial"/>
      <w:sz w:val="24"/>
    </w:rPr>
  </w:style>
  <w:style w:type="paragraph" w:styleId="18">
    <w:name w:val="annotation text"/>
    <w:basedOn w:val="1"/>
    <w:link w:val="105"/>
    <w:qFormat/>
    <w:uiPriority w:val="0"/>
    <w:pPr>
      <w:adjustRightInd w:val="0"/>
      <w:spacing w:line="360" w:lineRule="atLeast"/>
      <w:textAlignment w:val="baseline"/>
    </w:pPr>
    <w:rPr>
      <w:kern w:val="0"/>
      <w:sz w:val="24"/>
      <w:lang w:val="zh-CN"/>
    </w:rPr>
  </w:style>
  <w:style w:type="paragraph" w:styleId="19">
    <w:name w:val="Body Text 3"/>
    <w:basedOn w:val="1"/>
    <w:link w:val="82"/>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20">
    <w:name w:val="Body Text"/>
    <w:basedOn w:val="1"/>
    <w:link w:val="77"/>
    <w:qFormat/>
    <w:uiPriority w:val="99"/>
    <w:rPr>
      <w:sz w:val="24"/>
    </w:rPr>
  </w:style>
  <w:style w:type="paragraph" w:styleId="21">
    <w:name w:val="Body Text Indent"/>
    <w:basedOn w:val="1"/>
    <w:link w:val="110"/>
    <w:qFormat/>
    <w:uiPriority w:val="0"/>
    <w:pPr>
      <w:ind w:firstLine="360"/>
    </w:pPr>
    <w:rPr>
      <w:kern w:val="0"/>
      <w:sz w:val="28"/>
      <w:szCs w:val="24"/>
    </w:rPr>
  </w:style>
  <w:style w:type="paragraph" w:styleId="22">
    <w:name w:val="Block Text"/>
    <w:basedOn w:val="1"/>
    <w:qFormat/>
    <w:uiPriority w:val="0"/>
    <w:pPr>
      <w:ind w:left="-540" w:right="-1054"/>
    </w:pPr>
    <w:rPr>
      <w:sz w:val="28"/>
    </w:rPr>
  </w:style>
  <w:style w:type="paragraph" w:styleId="23">
    <w:name w:val="toc 5"/>
    <w:basedOn w:val="1"/>
    <w:next w:val="1"/>
    <w:qFormat/>
    <w:uiPriority w:val="0"/>
    <w:pPr>
      <w:ind w:left="1680" w:leftChars="800"/>
    </w:pPr>
  </w:style>
  <w:style w:type="paragraph" w:styleId="24">
    <w:name w:val="toc 3"/>
    <w:basedOn w:val="1"/>
    <w:next w:val="1"/>
    <w:qFormat/>
    <w:uiPriority w:val="39"/>
    <w:pPr>
      <w:ind w:left="840" w:leftChars="400"/>
    </w:pPr>
  </w:style>
  <w:style w:type="paragraph" w:styleId="25">
    <w:name w:val="toc 8"/>
    <w:basedOn w:val="1"/>
    <w:next w:val="1"/>
    <w:qFormat/>
    <w:uiPriority w:val="0"/>
    <w:pPr>
      <w:ind w:left="2940" w:leftChars="1400"/>
    </w:pPr>
  </w:style>
  <w:style w:type="paragraph" w:styleId="26">
    <w:name w:val="Date"/>
    <w:basedOn w:val="1"/>
    <w:next w:val="1"/>
    <w:link w:val="126"/>
    <w:qFormat/>
    <w:uiPriority w:val="99"/>
    <w:rPr>
      <w:kern w:val="0"/>
      <w:sz w:val="24"/>
    </w:rPr>
  </w:style>
  <w:style w:type="paragraph" w:styleId="27">
    <w:name w:val="Body Text Indent 2"/>
    <w:basedOn w:val="1"/>
    <w:link w:val="76"/>
    <w:qFormat/>
    <w:uiPriority w:val="0"/>
    <w:pPr>
      <w:spacing w:before="60" w:after="60"/>
      <w:ind w:left="720" w:hanging="720"/>
    </w:pPr>
    <w:rPr>
      <w:color w:val="000000"/>
      <w:kern w:val="0"/>
      <w:sz w:val="24"/>
    </w:rPr>
  </w:style>
  <w:style w:type="paragraph" w:styleId="28">
    <w:name w:val="endnote text"/>
    <w:basedOn w:val="1"/>
    <w:link w:val="206"/>
    <w:semiHidden/>
    <w:unhideWhenUsed/>
    <w:qFormat/>
    <w:uiPriority w:val="0"/>
    <w:pPr>
      <w:snapToGrid w:val="0"/>
      <w:jc w:val="left"/>
    </w:pPr>
    <w:rPr>
      <w:rFonts w:eastAsia="??"/>
      <w:color w:val="000000"/>
      <w:kern w:val="0"/>
      <w:sz w:val="24"/>
      <w:szCs w:val="24"/>
      <w:lang w:val="zh-CN"/>
    </w:rPr>
  </w:style>
  <w:style w:type="paragraph" w:styleId="29">
    <w:name w:val="Balloon Text"/>
    <w:basedOn w:val="1"/>
    <w:link w:val="107"/>
    <w:qFormat/>
    <w:uiPriority w:val="0"/>
    <w:rPr>
      <w:sz w:val="18"/>
      <w:szCs w:val="18"/>
      <w:lang w:val="zh-CN"/>
    </w:rPr>
  </w:style>
  <w:style w:type="paragraph" w:styleId="30">
    <w:name w:val="footer"/>
    <w:basedOn w:val="1"/>
    <w:link w:val="175"/>
    <w:qFormat/>
    <w:uiPriority w:val="99"/>
    <w:pPr>
      <w:tabs>
        <w:tab w:val="center" w:pos="4153"/>
        <w:tab w:val="right" w:pos="8306"/>
      </w:tabs>
      <w:snapToGrid w:val="0"/>
    </w:pPr>
    <w:rPr>
      <w:sz w:val="18"/>
      <w:lang w:val="zh-CN"/>
    </w:rPr>
  </w:style>
  <w:style w:type="paragraph" w:styleId="31">
    <w:name w:val="header"/>
    <w:basedOn w:val="1"/>
    <w:link w:val="162"/>
    <w:qFormat/>
    <w:uiPriority w:val="99"/>
    <w:pPr>
      <w:pBdr>
        <w:bottom w:val="single" w:color="auto" w:sz="6" w:space="1"/>
      </w:pBdr>
      <w:tabs>
        <w:tab w:val="center" w:pos="4153"/>
        <w:tab w:val="right" w:pos="8306"/>
      </w:tabs>
      <w:snapToGrid w:val="0"/>
      <w:jc w:val="center"/>
    </w:pPr>
    <w:rPr>
      <w:sz w:val="18"/>
      <w:lang w:val="zh-CN"/>
    </w:rPr>
  </w:style>
  <w:style w:type="paragraph" w:styleId="32">
    <w:name w:val="toc 1"/>
    <w:basedOn w:val="1"/>
    <w:next w:val="1"/>
    <w:qFormat/>
    <w:uiPriority w:val="39"/>
  </w:style>
  <w:style w:type="paragraph" w:styleId="33">
    <w:name w:val="toc 4"/>
    <w:basedOn w:val="1"/>
    <w:next w:val="1"/>
    <w:qFormat/>
    <w:uiPriority w:val="0"/>
    <w:pPr>
      <w:ind w:left="1260" w:leftChars="600"/>
    </w:pPr>
  </w:style>
  <w:style w:type="paragraph" w:styleId="34">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5">
    <w:name w:val="footnote text"/>
    <w:basedOn w:val="1"/>
    <w:link w:val="129"/>
    <w:qFormat/>
    <w:uiPriority w:val="0"/>
    <w:pPr>
      <w:snapToGrid w:val="0"/>
    </w:pPr>
    <w:rPr>
      <w:sz w:val="18"/>
      <w:szCs w:val="18"/>
      <w:lang w:val="zh-CN"/>
    </w:rPr>
  </w:style>
  <w:style w:type="paragraph" w:styleId="36">
    <w:name w:val="toc 6"/>
    <w:basedOn w:val="1"/>
    <w:next w:val="1"/>
    <w:qFormat/>
    <w:uiPriority w:val="0"/>
    <w:pPr>
      <w:ind w:left="2100" w:leftChars="1000"/>
    </w:pPr>
  </w:style>
  <w:style w:type="paragraph" w:styleId="37">
    <w:name w:val="Body Text Indent 3"/>
    <w:basedOn w:val="1"/>
    <w:link w:val="83"/>
    <w:qFormat/>
    <w:uiPriority w:val="0"/>
    <w:pPr>
      <w:ind w:firstLine="720"/>
    </w:pPr>
    <w:rPr>
      <w:kern w:val="0"/>
      <w:sz w:val="24"/>
    </w:rPr>
  </w:style>
  <w:style w:type="paragraph" w:styleId="38">
    <w:name w:val="table of figures"/>
    <w:basedOn w:val="1"/>
    <w:next w:val="1"/>
    <w:qFormat/>
    <w:uiPriority w:val="0"/>
    <w:pPr>
      <w:ind w:left="440" w:hanging="440"/>
    </w:pPr>
    <w:rPr>
      <w:rFonts w:ascii="Arial" w:hAnsi="Arial"/>
      <w:sz w:val="22"/>
      <w:lang w:val="en-GB" w:eastAsia="en-US"/>
    </w:rPr>
  </w:style>
  <w:style w:type="paragraph" w:styleId="39">
    <w:name w:val="toc 2"/>
    <w:basedOn w:val="1"/>
    <w:next w:val="1"/>
    <w:qFormat/>
    <w:uiPriority w:val="39"/>
    <w:pPr>
      <w:ind w:left="420" w:leftChars="200"/>
    </w:pPr>
  </w:style>
  <w:style w:type="paragraph" w:styleId="40">
    <w:name w:val="toc 9"/>
    <w:basedOn w:val="1"/>
    <w:next w:val="1"/>
    <w:qFormat/>
    <w:uiPriority w:val="0"/>
    <w:pPr>
      <w:ind w:left="3360" w:leftChars="1600"/>
    </w:pPr>
  </w:style>
  <w:style w:type="paragraph" w:styleId="41">
    <w:name w:val="Body Text 2"/>
    <w:basedOn w:val="1"/>
    <w:link w:val="100"/>
    <w:qFormat/>
    <w:uiPriority w:val="0"/>
    <w:pPr>
      <w:spacing w:before="60" w:after="60"/>
    </w:pPr>
    <w:rPr>
      <w:color w:val="0000FF"/>
      <w:kern w:val="0"/>
      <w:sz w:val="24"/>
    </w:rPr>
  </w:style>
  <w:style w:type="paragraph" w:styleId="42">
    <w:name w:val="HTML Preformatted"/>
    <w:basedOn w:val="1"/>
    <w:link w:val="132"/>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3">
    <w:name w:val="Normal (Web)"/>
    <w:basedOn w:val="1"/>
    <w:qFormat/>
    <w:uiPriority w:val="99"/>
    <w:rPr>
      <w:rFonts w:ascii="宋体" w:hAnsi="宋体" w:cs="宋体"/>
      <w:sz w:val="24"/>
      <w:szCs w:val="24"/>
    </w:rPr>
  </w:style>
  <w:style w:type="paragraph" w:styleId="44">
    <w:name w:val="Title"/>
    <w:basedOn w:val="1"/>
    <w:next w:val="1"/>
    <w:link w:val="96"/>
    <w:qFormat/>
    <w:uiPriority w:val="0"/>
    <w:pPr>
      <w:spacing w:before="240" w:after="60"/>
      <w:jc w:val="center"/>
      <w:outlineLvl w:val="0"/>
    </w:pPr>
    <w:rPr>
      <w:rFonts w:ascii="Cambria" w:hAnsi="Cambria"/>
      <w:b/>
      <w:bCs/>
      <w:kern w:val="0"/>
      <w:sz w:val="32"/>
      <w:szCs w:val="32"/>
      <w:lang w:val="zh-CN"/>
    </w:rPr>
  </w:style>
  <w:style w:type="paragraph" w:styleId="45">
    <w:name w:val="annotation subject"/>
    <w:basedOn w:val="18"/>
    <w:next w:val="18"/>
    <w:link w:val="120"/>
    <w:qFormat/>
    <w:uiPriority w:val="0"/>
    <w:pPr>
      <w:adjustRightInd/>
      <w:spacing w:line="240" w:lineRule="auto"/>
      <w:textAlignment w:val="auto"/>
    </w:pPr>
  </w:style>
  <w:style w:type="paragraph" w:styleId="46">
    <w:name w:val="Body Text First Indent"/>
    <w:basedOn w:val="20"/>
    <w:link w:val="121"/>
    <w:qFormat/>
    <w:uiPriority w:val="0"/>
    <w:pPr>
      <w:spacing w:after="120"/>
      <w:ind w:firstLine="420" w:firstLineChars="100"/>
    </w:pPr>
    <w:rPr>
      <w:rFonts w:ascii="宋体" w:hAnsi="宋体"/>
      <w:color w:val="000000"/>
      <w:lang w:val="zh-CN"/>
    </w:rPr>
  </w:style>
  <w:style w:type="paragraph" w:styleId="47">
    <w:name w:val="Body Text First Indent 2"/>
    <w:basedOn w:val="21"/>
    <w:next w:val="1"/>
    <w:link w:val="109"/>
    <w:qFormat/>
    <w:uiPriority w:val="0"/>
    <w:pPr>
      <w:spacing w:after="120"/>
      <w:ind w:left="420" w:leftChars="200" w:firstLine="420" w:firstLineChars="200"/>
    </w:pPr>
    <w:rPr>
      <w:kern w:val="2"/>
      <w:sz w:val="21"/>
    </w:rPr>
  </w:style>
  <w:style w:type="table" w:styleId="49">
    <w:name w:val="Table Grid"/>
    <w:basedOn w:val="48"/>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1">
    <w:name w:val="Strong"/>
    <w:qFormat/>
    <w:uiPriority w:val="0"/>
    <w:rPr>
      <w:b/>
      <w:bCs/>
    </w:rPr>
  </w:style>
  <w:style w:type="character" w:styleId="52">
    <w:name w:val="page number"/>
    <w:basedOn w:val="50"/>
    <w:qFormat/>
    <w:uiPriority w:val="0"/>
  </w:style>
  <w:style w:type="character" w:styleId="53">
    <w:name w:val="Emphasis"/>
    <w:qFormat/>
    <w:uiPriority w:val="0"/>
    <w:rPr>
      <w:i/>
      <w:iCs/>
    </w:rPr>
  </w:style>
  <w:style w:type="character" w:styleId="54">
    <w:name w:val="Hyperlink"/>
    <w:basedOn w:val="50"/>
    <w:qFormat/>
    <w:uiPriority w:val="99"/>
    <w:rPr>
      <w:color w:val="0000FF"/>
      <w:u w:val="single"/>
    </w:rPr>
  </w:style>
  <w:style w:type="character" w:styleId="55">
    <w:name w:val="annotation reference"/>
    <w:qFormat/>
    <w:uiPriority w:val="0"/>
    <w:rPr>
      <w:sz w:val="21"/>
      <w:szCs w:val="21"/>
    </w:rPr>
  </w:style>
  <w:style w:type="character" w:styleId="56">
    <w:name w:val="footnote reference"/>
    <w:qFormat/>
    <w:uiPriority w:val="0"/>
    <w:rPr>
      <w:vertAlign w:val="superscript"/>
    </w:rPr>
  </w:style>
  <w:style w:type="paragraph" w:customStyle="1" w:styleId="57">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customStyle="1" w:styleId="58">
    <w:name w:val="一级条标题"/>
    <w:basedOn w:val="59"/>
    <w:next w:val="60"/>
    <w:qFormat/>
    <w:uiPriority w:val="0"/>
    <w:pPr>
      <w:ind w:hanging="840"/>
    </w:pPr>
  </w:style>
  <w:style w:type="paragraph" w:customStyle="1" w:styleId="59">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0">
    <w:name w:val="段"/>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1">
    <w:name w:val="标题 1 字符"/>
    <w:link w:val="3"/>
    <w:qFormat/>
    <w:uiPriority w:val="0"/>
    <w:rPr>
      <w:b/>
      <w:kern w:val="44"/>
      <w:sz w:val="44"/>
      <w:lang w:val="zh-CN" w:eastAsia="zh-CN"/>
    </w:rPr>
  </w:style>
  <w:style w:type="character" w:customStyle="1" w:styleId="62">
    <w:name w:val="标题 2 字符"/>
    <w:link w:val="4"/>
    <w:qFormat/>
    <w:uiPriority w:val="0"/>
    <w:rPr>
      <w:rFonts w:ascii="Arial" w:hAnsi="Arial" w:eastAsia="黑体"/>
      <w:b/>
      <w:sz w:val="32"/>
      <w:lang w:val="zh-CN" w:eastAsia="zh-CN"/>
    </w:rPr>
  </w:style>
  <w:style w:type="character" w:customStyle="1" w:styleId="63">
    <w:name w:val="标题 3 字符"/>
    <w:link w:val="5"/>
    <w:qFormat/>
    <w:uiPriority w:val="0"/>
    <w:rPr>
      <w:b/>
      <w:sz w:val="32"/>
      <w:lang w:val="zh-CN" w:eastAsia="zh-CN"/>
    </w:rPr>
  </w:style>
  <w:style w:type="character" w:customStyle="1" w:styleId="64">
    <w:name w:val="正文缩进 字符"/>
    <w:link w:val="8"/>
    <w:qFormat/>
    <w:uiPriority w:val="0"/>
    <w:rPr>
      <w:rFonts w:eastAsia="宋体"/>
      <w:lang w:val="en-US" w:eastAsia="zh-CN" w:bidi="ar-SA"/>
    </w:rPr>
  </w:style>
  <w:style w:type="character" w:customStyle="1" w:styleId="65">
    <w:name w:val="标题 4 字符"/>
    <w:link w:val="6"/>
    <w:qFormat/>
    <w:uiPriority w:val="0"/>
    <w:rPr>
      <w:rFonts w:ascii="Arial" w:hAnsi="Arial" w:eastAsia="黑体"/>
      <w:b/>
      <w:kern w:val="2"/>
      <w:sz w:val="28"/>
      <w:lang w:val="zh-CN" w:eastAsia="zh-CN"/>
    </w:rPr>
  </w:style>
  <w:style w:type="character" w:customStyle="1" w:styleId="66">
    <w:name w:val="标题 5 字符"/>
    <w:link w:val="7"/>
    <w:qFormat/>
    <w:uiPriority w:val="0"/>
    <w:rPr>
      <w:b/>
      <w:kern w:val="2"/>
      <w:sz w:val="28"/>
      <w:lang w:val="zh-CN" w:eastAsia="zh-CN"/>
    </w:rPr>
  </w:style>
  <w:style w:type="character" w:customStyle="1" w:styleId="67">
    <w:name w:val="标题 6 字符"/>
    <w:link w:val="9"/>
    <w:qFormat/>
    <w:uiPriority w:val="0"/>
    <w:rPr>
      <w:rFonts w:ascii="Arial" w:hAnsi="Arial" w:eastAsia="黑体"/>
      <w:b/>
      <w:kern w:val="2"/>
      <w:sz w:val="24"/>
      <w:lang w:val="zh-CN" w:eastAsia="zh-CN"/>
    </w:rPr>
  </w:style>
  <w:style w:type="character" w:customStyle="1" w:styleId="68">
    <w:name w:val="标题 7 字符"/>
    <w:link w:val="10"/>
    <w:qFormat/>
    <w:uiPriority w:val="0"/>
    <w:rPr>
      <w:b/>
      <w:kern w:val="2"/>
      <w:sz w:val="24"/>
      <w:lang w:val="zh-CN" w:eastAsia="zh-CN"/>
    </w:rPr>
  </w:style>
  <w:style w:type="character" w:customStyle="1" w:styleId="69">
    <w:name w:val="标题 8 字符"/>
    <w:link w:val="11"/>
    <w:qFormat/>
    <w:uiPriority w:val="0"/>
    <w:rPr>
      <w:rFonts w:ascii="Arial" w:hAnsi="Arial" w:eastAsia="黑体"/>
      <w:kern w:val="2"/>
      <w:sz w:val="24"/>
      <w:lang w:val="zh-CN" w:eastAsia="zh-CN"/>
    </w:rPr>
  </w:style>
  <w:style w:type="character" w:customStyle="1" w:styleId="70">
    <w:name w:val="标题 9 字符"/>
    <w:link w:val="12"/>
    <w:qFormat/>
    <w:uiPriority w:val="0"/>
    <w:rPr>
      <w:rFonts w:ascii="Arial" w:hAnsi="Arial" w:eastAsia="黑体"/>
      <w:kern w:val="2"/>
      <w:sz w:val="21"/>
      <w:lang w:val="zh-CN" w:eastAsia="zh-CN"/>
    </w:rPr>
  </w:style>
  <w:style w:type="character" w:customStyle="1" w:styleId="71">
    <w:name w:val="已访问的超链接1"/>
    <w:qFormat/>
    <w:uiPriority w:val="99"/>
    <w:rPr>
      <w:color w:val="800080"/>
      <w:u w:val="single"/>
    </w:rPr>
  </w:style>
  <w:style w:type="character" w:customStyle="1" w:styleId="72">
    <w:name w:val="Char Char9"/>
    <w:qFormat/>
    <w:uiPriority w:val="0"/>
    <w:rPr>
      <w:rFonts w:ascii="Arial" w:hAnsi="Arial" w:eastAsia="黑体"/>
      <w:sz w:val="21"/>
      <w:lang w:val="en-US" w:eastAsia="zh-CN" w:bidi="ar-SA"/>
    </w:rPr>
  </w:style>
  <w:style w:type="character" w:customStyle="1" w:styleId="73">
    <w:name w:val="页脚 Char Char"/>
    <w:qFormat/>
    <w:uiPriority w:val="0"/>
    <w:rPr>
      <w:sz w:val="18"/>
    </w:rPr>
  </w:style>
  <w:style w:type="character" w:customStyle="1" w:styleId="74">
    <w:name w:val="Char Char14"/>
    <w:qFormat/>
    <w:uiPriority w:val="0"/>
    <w:rPr>
      <w:kern w:val="2"/>
      <w:sz w:val="18"/>
      <w:szCs w:val="18"/>
      <w:lang w:bidi="ar-SA"/>
    </w:rPr>
  </w:style>
  <w:style w:type="character" w:customStyle="1" w:styleId="75">
    <w:name w:val="Comment Text Char"/>
    <w:qFormat/>
    <w:uiPriority w:val="0"/>
    <w:rPr>
      <w:rFonts w:cs="Times New Roman"/>
      <w:kern w:val="2"/>
      <w:sz w:val="28"/>
      <w:szCs w:val="28"/>
    </w:rPr>
  </w:style>
  <w:style w:type="character" w:customStyle="1" w:styleId="76">
    <w:name w:val="正文文本缩进 2 字符"/>
    <w:link w:val="27"/>
    <w:qFormat/>
    <w:uiPriority w:val="0"/>
    <w:rPr>
      <w:rFonts w:eastAsia="宋体"/>
      <w:color w:val="000000"/>
      <w:sz w:val="24"/>
      <w:lang w:val="en-US" w:eastAsia="zh-CN" w:bidi="ar-SA"/>
    </w:rPr>
  </w:style>
  <w:style w:type="character" w:customStyle="1" w:styleId="77">
    <w:name w:val="正文文本 字符"/>
    <w:link w:val="20"/>
    <w:qFormat/>
    <w:uiPriority w:val="99"/>
    <w:rPr>
      <w:rFonts w:eastAsia="宋体"/>
      <w:kern w:val="2"/>
      <w:sz w:val="24"/>
      <w:lang w:val="en-US" w:eastAsia="zh-CN" w:bidi="ar-SA"/>
    </w:rPr>
  </w:style>
  <w:style w:type="character" w:customStyle="1" w:styleId="78">
    <w:name w:val="No Spacing Char"/>
    <w:link w:val="79"/>
    <w:qFormat/>
    <w:uiPriority w:val="0"/>
    <w:rPr>
      <w:rFonts w:ascii="Calibri" w:hAnsi="Calibri"/>
      <w:sz w:val="22"/>
      <w:szCs w:val="22"/>
      <w:lang w:val="en-US" w:eastAsia="zh-CN" w:bidi="ar-SA"/>
    </w:rPr>
  </w:style>
  <w:style w:type="paragraph" w:customStyle="1" w:styleId="79">
    <w:name w:val="无间隔1"/>
    <w:link w:val="78"/>
    <w:qFormat/>
    <w:uiPriority w:val="0"/>
    <w:rPr>
      <w:rFonts w:ascii="Calibri" w:hAnsi="Calibri" w:eastAsia="宋体" w:cs="Times New Roman"/>
      <w:sz w:val="22"/>
      <w:szCs w:val="22"/>
      <w:lang w:val="en-US" w:eastAsia="zh-CN" w:bidi="ar-SA"/>
    </w:rPr>
  </w:style>
  <w:style w:type="character" w:customStyle="1" w:styleId="80">
    <w:name w:val="Char Char111"/>
    <w:qFormat/>
    <w:uiPriority w:val="0"/>
    <w:rPr>
      <w:rFonts w:eastAsia="黑体"/>
      <w:kern w:val="2"/>
      <w:sz w:val="44"/>
      <w:szCs w:val="44"/>
      <w:lang w:val="en-US" w:eastAsia="zh-CN" w:bidi="ar-SA"/>
    </w:rPr>
  </w:style>
  <w:style w:type="character" w:customStyle="1" w:styleId="81">
    <w:name w:val="Char Char26"/>
    <w:qFormat/>
    <w:uiPriority w:val="0"/>
    <w:rPr>
      <w:rFonts w:eastAsia="宋体"/>
      <w:b/>
      <w:bCs/>
      <w:kern w:val="44"/>
      <w:sz w:val="44"/>
      <w:szCs w:val="44"/>
      <w:lang w:val="en-US" w:eastAsia="zh-CN" w:bidi="ar-SA"/>
    </w:rPr>
  </w:style>
  <w:style w:type="character" w:customStyle="1" w:styleId="82">
    <w:name w:val="正文文本 3 字符"/>
    <w:link w:val="19"/>
    <w:qFormat/>
    <w:uiPriority w:val="0"/>
    <w:rPr>
      <w:rFonts w:ascii="Arial" w:hAnsi="Arial"/>
      <w:color w:val="FF0000"/>
      <w:spacing w:val="-3"/>
      <w:sz w:val="22"/>
      <w:lang w:val="en-GB" w:eastAsia="en-US" w:bidi="ar-SA"/>
    </w:rPr>
  </w:style>
  <w:style w:type="character" w:customStyle="1" w:styleId="83">
    <w:name w:val="正文文本缩进 3 字符"/>
    <w:link w:val="37"/>
    <w:qFormat/>
    <w:uiPriority w:val="0"/>
    <w:rPr>
      <w:rFonts w:eastAsia="宋体"/>
      <w:sz w:val="24"/>
      <w:lang w:val="en-US" w:eastAsia="zh-CN" w:bidi="ar-SA"/>
    </w:rPr>
  </w:style>
  <w:style w:type="character" w:customStyle="1" w:styleId="84">
    <w:name w:val="正文缩进 Char2"/>
    <w:qFormat/>
    <w:uiPriority w:val="0"/>
    <w:rPr>
      <w:rFonts w:eastAsia="楷体_GB2312"/>
      <w:kern w:val="2"/>
      <w:sz w:val="28"/>
    </w:rPr>
  </w:style>
  <w:style w:type="character" w:customStyle="1" w:styleId="85">
    <w:name w:val="apple-style-span"/>
    <w:basedOn w:val="50"/>
    <w:qFormat/>
    <w:uiPriority w:val="0"/>
  </w:style>
  <w:style w:type="character" w:customStyle="1" w:styleId="86">
    <w:name w:val="Char Char15"/>
    <w:qFormat/>
    <w:uiPriority w:val="0"/>
    <w:rPr>
      <w:rFonts w:eastAsia="宋体"/>
      <w:b/>
      <w:sz w:val="28"/>
      <w:lang w:val="en-US" w:eastAsia="zh-CN" w:bidi="ar-SA"/>
    </w:rPr>
  </w:style>
  <w:style w:type="character" w:customStyle="1" w:styleId="87">
    <w:name w:val="Char Char19"/>
    <w:qFormat/>
    <w:uiPriority w:val="0"/>
    <w:rPr>
      <w:rFonts w:ascii="仿宋_GB2312" w:eastAsia="仿宋_GB2312" w:cs="MingLiU"/>
      <w:b/>
      <w:spacing w:val="1"/>
      <w:w w:val="99"/>
      <w:sz w:val="28"/>
      <w:szCs w:val="32"/>
    </w:rPr>
  </w:style>
  <w:style w:type="character" w:customStyle="1" w:styleId="88">
    <w:name w:val="纯文本 字符"/>
    <w:link w:val="2"/>
    <w:qFormat/>
    <w:uiPriority w:val="99"/>
    <w:rPr>
      <w:rFonts w:ascii="宋体" w:hAnsi="Courier New" w:eastAsia="仿宋_GB2312"/>
      <w:kern w:val="2"/>
      <w:sz w:val="24"/>
    </w:rPr>
  </w:style>
  <w:style w:type="character" w:customStyle="1" w:styleId="89">
    <w:name w:val="批注主题 Char1"/>
    <w:qFormat/>
    <w:uiPriority w:val="0"/>
    <w:rPr>
      <w:rFonts w:cs="Times New Roman"/>
      <w:b/>
      <w:bCs/>
      <w:kern w:val="2"/>
      <w:sz w:val="21"/>
      <w:szCs w:val="24"/>
      <w:lang w:val="en-US" w:eastAsia="zh-CN"/>
    </w:rPr>
  </w:style>
  <w:style w:type="character" w:customStyle="1" w:styleId="90">
    <w:name w:val="正文文字2 Char Char Char"/>
    <w:qFormat/>
    <w:uiPriority w:val="0"/>
    <w:rPr>
      <w:rFonts w:ascii="Arial" w:eastAsia="黑体"/>
      <w:sz w:val="21"/>
    </w:rPr>
  </w:style>
  <w:style w:type="character" w:customStyle="1" w:styleId="91">
    <w:name w:val="Char Char6"/>
    <w:qFormat/>
    <w:uiPriority w:val="0"/>
    <w:rPr>
      <w:kern w:val="2"/>
      <w:sz w:val="18"/>
      <w:szCs w:val="18"/>
    </w:rPr>
  </w:style>
  <w:style w:type="character" w:customStyle="1" w:styleId="92">
    <w:name w:val="cucd-0 Char Char Char"/>
    <w:qFormat/>
    <w:uiPriority w:val="0"/>
    <w:rPr>
      <w:kern w:val="2"/>
      <w:sz w:val="24"/>
      <w:szCs w:val="24"/>
      <w:lang w:bidi="ar-SA"/>
    </w:rPr>
  </w:style>
  <w:style w:type="character" w:customStyle="1" w:styleId="93">
    <w:name w:val="页脚 Char Char Char"/>
    <w:qFormat/>
    <w:uiPriority w:val="0"/>
    <w:rPr>
      <w:sz w:val="18"/>
    </w:rPr>
  </w:style>
  <w:style w:type="character" w:customStyle="1" w:styleId="94">
    <w:name w:val="无间隔 字符"/>
    <w:link w:val="95"/>
    <w:qFormat/>
    <w:uiPriority w:val="0"/>
    <w:rPr>
      <w:rFonts w:ascii="Calibri" w:hAnsi="Calibri"/>
      <w:sz w:val="22"/>
      <w:szCs w:val="22"/>
      <w:lang w:val="en-US" w:eastAsia="zh-CN" w:bidi="ar-SA"/>
    </w:rPr>
  </w:style>
  <w:style w:type="paragraph" w:styleId="95">
    <w:name w:val="No Spacing"/>
    <w:link w:val="94"/>
    <w:qFormat/>
    <w:uiPriority w:val="0"/>
    <w:rPr>
      <w:rFonts w:ascii="Calibri" w:hAnsi="Calibri" w:eastAsia="宋体" w:cs="Times New Roman"/>
      <w:sz w:val="22"/>
      <w:szCs w:val="22"/>
      <w:lang w:val="en-US" w:eastAsia="zh-CN" w:bidi="ar-SA"/>
    </w:rPr>
  </w:style>
  <w:style w:type="character" w:customStyle="1" w:styleId="96">
    <w:name w:val="标题 字符"/>
    <w:link w:val="44"/>
    <w:qFormat/>
    <w:uiPriority w:val="0"/>
    <w:rPr>
      <w:rFonts w:ascii="Cambria" w:hAnsi="Cambria" w:cs="Times New Roman"/>
      <w:b/>
      <w:bCs/>
      <w:sz w:val="32"/>
      <w:szCs w:val="32"/>
    </w:rPr>
  </w:style>
  <w:style w:type="character" w:customStyle="1" w:styleId="97">
    <w:name w:val="页脚 Char1"/>
    <w:qFormat/>
    <w:uiPriority w:val="0"/>
    <w:rPr>
      <w:sz w:val="18"/>
    </w:rPr>
  </w:style>
  <w:style w:type="character" w:customStyle="1" w:styleId="98">
    <w:name w:val="正文文本缩进 Char1"/>
    <w:qFormat/>
    <w:uiPriority w:val="0"/>
    <w:rPr>
      <w:rFonts w:ascii="宋体" w:hAnsi="宋体"/>
      <w:color w:val="000000"/>
      <w:sz w:val="24"/>
      <w:szCs w:val="24"/>
      <w:lang w:val="en-US" w:eastAsia="zh-CN"/>
    </w:rPr>
  </w:style>
  <w:style w:type="character" w:customStyle="1" w:styleId="99">
    <w:name w:val="副标题 字符"/>
    <w:link w:val="34"/>
    <w:qFormat/>
    <w:uiPriority w:val="0"/>
    <w:rPr>
      <w:rFonts w:ascii="Cambria" w:hAnsi="Cambria"/>
      <w:b/>
      <w:bCs/>
      <w:kern w:val="28"/>
      <w:sz w:val="32"/>
      <w:szCs w:val="32"/>
      <w:lang w:val="en-US" w:eastAsia="zh-CN"/>
    </w:rPr>
  </w:style>
  <w:style w:type="character" w:customStyle="1" w:styleId="100">
    <w:name w:val="正文文本 2 字符"/>
    <w:link w:val="41"/>
    <w:qFormat/>
    <w:uiPriority w:val="0"/>
    <w:rPr>
      <w:rFonts w:eastAsia="宋体"/>
      <w:color w:val="0000FF"/>
      <w:sz w:val="24"/>
      <w:lang w:val="en-US" w:eastAsia="zh-CN" w:bidi="ar-SA"/>
    </w:rPr>
  </w:style>
  <w:style w:type="character" w:customStyle="1" w:styleId="101">
    <w:name w:val="h4 Char Char1"/>
    <w:qFormat/>
    <w:uiPriority w:val="0"/>
    <w:rPr>
      <w:rFonts w:ascii="仿宋_GB2312" w:eastAsia="仿宋_GB2312" w:cs="MingLiU"/>
      <w:b/>
      <w:sz w:val="24"/>
      <w:szCs w:val="28"/>
    </w:rPr>
  </w:style>
  <w:style w:type="character" w:customStyle="1" w:styleId="102">
    <w:name w:val="Char Char24"/>
    <w:qFormat/>
    <w:uiPriority w:val="0"/>
    <w:rPr>
      <w:rFonts w:eastAsia="宋体"/>
      <w:b/>
      <w:bCs/>
      <w:kern w:val="2"/>
      <w:sz w:val="28"/>
      <w:szCs w:val="32"/>
      <w:lang w:val="en-US" w:eastAsia="zh-CN" w:bidi="ar-SA"/>
    </w:rPr>
  </w:style>
  <w:style w:type="character" w:customStyle="1" w:styleId="103">
    <w:name w:val="Char Char13"/>
    <w:qFormat/>
    <w:uiPriority w:val="0"/>
    <w:rPr>
      <w:rFonts w:ascii="Arial" w:hAnsi="Arial"/>
      <w:spacing w:val="-3"/>
      <w:sz w:val="22"/>
      <w:lang w:val="en-GB" w:eastAsia="en-US" w:bidi="ar-SA"/>
    </w:rPr>
  </w:style>
  <w:style w:type="character" w:customStyle="1" w:styleId="104">
    <w:name w:val="Char Char23"/>
    <w:qFormat/>
    <w:uiPriority w:val="0"/>
    <w:rPr>
      <w:rFonts w:ascii="Arial" w:hAnsi="Arial" w:eastAsia="黑体"/>
      <w:b/>
      <w:bCs/>
      <w:kern w:val="2"/>
      <w:sz w:val="28"/>
      <w:szCs w:val="28"/>
      <w:lang w:val="en-US" w:eastAsia="zh-CN" w:bidi="ar-SA"/>
    </w:rPr>
  </w:style>
  <w:style w:type="character" w:customStyle="1" w:styleId="105">
    <w:name w:val="批注文字 字符"/>
    <w:link w:val="18"/>
    <w:qFormat/>
    <w:uiPriority w:val="0"/>
    <w:rPr>
      <w:sz w:val="24"/>
    </w:rPr>
  </w:style>
  <w:style w:type="character" w:customStyle="1" w:styleId="106">
    <w:name w:val="Char Char12"/>
    <w:qFormat/>
    <w:uiPriority w:val="0"/>
    <w:rPr>
      <w:rFonts w:ascii="Arial" w:hAnsi="Arial" w:eastAsia="黑体"/>
      <w:b/>
      <w:sz w:val="24"/>
      <w:lang w:val="en-US" w:eastAsia="zh-CN" w:bidi="ar-SA"/>
    </w:rPr>
  </w:style>
  <w:style w:type="character" w:customStyle="1" w:styleId="107">
    <w:name w:val="批注框文本 字符"/>
    <w:link w:val="29"/>
    <w:qFormat/>
    <w:uiPriority w:val="0"/>
    <w:rPr>
      <w:kern w:val="2"/>
      <w:sz w:val="18"/>
      <w:szCs w:val="18"/>
    </w:rPr>
  </w:style>
  <w:style w:type="character" w:customStyle="1" w:styleId="108">
    <w:name w:val="Char Char16"/>
    <w:qFormat/>
    <w:uiPriority w:val="0"/>
    <w:rPr>
      <w:rFonts w:ascii="Calibri" w:hAnsi="Calibri" w:eastAsia="宋体"/>
      <w:kern w:val="2"/>
      <w:sz w:val="18"/>
      <w:szCs w:val="18"/>
      <w:lang w:val="en-US" w:eastAsia="zh-CN" w:bidi="ar-SA"/>
    </w:rPr>
  </w:style>
  <w:style w:type="character" w:customStyle="1" w:styleId="109">
    <w:name w:val="正文文本首行缩进 2 字符"/>
    <w:link w:val="47"/>
    <w:qFormat/>
    <w:uiPriority w:val="0"/>
    <w:rPr>
      <w:rFonts w:eastAsia="宋体"/>
      <w:kern w:val="2"/>
      <w:sz w:val="21"/>
      <w:szCs w:val="24"/>
      <w:lang w:val="en-US" w:eastAsia="zh-CN" w:bidi="ar-SA"/>
    </w:rPr>
  </w:style>
  <w:style w:type="character" w:customStyle="1" w:styleId="110">
    <w:name w:val="正文文本缩进 字符"/>
    <w:link w:val="21"/>
    <w:qFormat/>
    <w:uiPriority w:val="0"/>
    <w:rPr>
      <w:rFonts w:eastAsia="宋体"/>
      <w:sz w:val="28"/>
      <w:szCs w:val="24"/>
      <w:lang w:val="en-US" w:eastAsia="zh-CN" w:bidi="ar-SA"/>
    </w:rPr>
  </w:style>
  <w:style w:type="character" w:customStyle="1" w:styleId="111">
    <w:name w:val="文档结构图 字符"/>
    <w:link w:val="16"/>
    <w:qFormat/>
    <w:uiPriority w:val="0"/>
    <w:rPr>
      <w:rFonts w:eastAsia="宋体"/>
      <w:lang w:val="en-US" w:eastAsia="zh-CN" w:bidi="ar-SA"/>
    </w:rPr>
  </w:style>
  <w:style w:type="character" w:customStyle="1" w:styleId="112">
    <w:name w:val="Char Char17"/>
    <w:qFormat/>
    <w:uiPriority w:val="0"/>
    <w:rPr>
      <w:rFonts w:ascii="Calibri" w:hAnsi="Calibri" w:eastAsia="宋体"/>
      <w:kern w:val="2"/>
      <w:sz w:val="18"/>
      <w:szCs w:val="18"/>
      <w:lang w:val="en-US" w:eastAsia="zh-CN" w:bidi="ar-SA"/>
    </w:rPr>
  </w:style>
  <w:style w:type="character" w:customStyle="1" w:styleId="113">
    <w:name w:val="Char Char10"/>
    <w:qFormat/>
    <w:uiPriority w:val="0"/>
    <w:rPr>
      <w:rFonts w:ascii="Arial" w:hAnsi="Arial" w:eastAsia="黑体"/>
      <w:sz w:val="24"/>
      <w:lang w:val="en-US" w:eastAsia="zh-CN" w:bidi="ar-SA"/>
    </w:rPr>
  </w:style>
  <w:style w:type="character" w:customStyle="1" w:styleId="114">
    <w:name w:val="Char Char18"/>
    <w:qFormat/>
    <w:uiPriority w:val="0"/>
    <w:rPr>
      <w:rFonts w:ascii="仿宋_GB2312" w:eastAsia="仿宋_GB2312" w:cs="MingLiU"/>
      <w:b/>
      <w:sz w:val="24"/>
      <w:szCs w:val="28"/>
    </w:rPr>
  </w:style>
  <w:style w:type="character" w:customStyle="1" w:styleId="115">
    <w:name w:val="注释标题 字符"/>
    <w:link w:val="14"/>
    <w:qFormat/>
    <w:uiPriority w:val="0"/>
    <w:rPr>
      <w:kern w:val="2"/>
      <w:sz w:val="21"/>
      <w:lang w:eastAsia="zh-TW"/>
    </w:rPr>
  </w:style>
  <w:style w:type="character" w:customStyle="1" w:styleId="116">
    <w:name w:val="h4 Char Char"/>
    <w:qFormat/>
    <w:uiPriority w:val="0"/>
    <w:rPr>
      <w:rFonts w:ascii="仿宋_GB2312" w:eastAsia="仿宋_GB2312" w:cs="MingLiU"/>
      <w:b/>
      <w:sz w:val="24"/>
      <w:szCs w:val="28"/>
    </w:rPr>
  </w:style>
  <w:style w:type="character" w:customStyle="1" w:styleId="117">
    <w:name w:val="纯文本 Char1"/>
    <w:qFormat/>
    <w:uiPriority w:val="0"/>
    <w:rPr>
      <w:rFonts w:ascii="宋体" w:hAnsi="Courier New"/>
      <w:kern w:val="2"/>
      <w:sz w:val="21"/>
      <w:lang w:val="en-US" w:eastAsia="zh-CN"/>
    </w:rPr>
  </w:style>
  <w:style w:type="character" w:customStyle="1" w:styleId="118">
    <w:name w:val="Char Char11"/>
    <w:qFormat/>
    <w:uiPriority w:val="0"/>
    <w:rPr>
      <w:rFonts w:eastAsia="宋体"/>
      <w:b/>
      <w:sz w:val="24"/>
      <w:lang w:val="en-US" w:eastAsia="zh-CN" w:bidi="ar-SA"/>
    </w:rPr>
  </w:style>
  <w:style w:type="character" w:customStyle="1" w:styleId="119">
    <w:name w:val="页眉 Char1"/>
    <w:qFormat/>
    <w:uiPriority w:val="0"/>
    <w:rPr>
      <w:sz w:val="18"/>
    </w:rPr>
  </w:style>
  <w:style w:type="character" w:customStyle="1" w:styleId="120">
    <w:name w:val="批注主题 字符"/>
    <w:basedOn w:val="105"/>
    <w:link w:val="45"/>
    <w:qFormat/>
    <w:uiPriority w:val="0"/>
    <w:rPr>
      <w:sz w:val="24"/>
    </w:rPr>
  </w:style>
  <w:style w:type="character" w:customStyle="1" w:styleId="121">
    <w:name w:val="正文文本首行缩进 字符"/>
    <w:link w:val="46"/>
    <w:qFormat/>
    <w:uiPriority w:val="0"/>
    <w:rPr>
      <w:rFonts w:ascii="宋体" w:hAnsi="宋体"/>
      <w:color w:val="000000"/>
      <w:kern w:val="2"/>
      <w:sz w:val="24"/>
    </w:rPr>
  </w:style>
  <w:style w:type="character" w:customStyle="1" w:styleId="122">
    <w:name w:val="Char Char8"/>
    <w:qFormat/>
    <w:uiPriority w:val="0"/>
    <w:rPr>
      <w:kern w:val="2"/>
      <w:sz w:val="18"/>
      <w:szCs w:val="18"/>
    </w:rPr>
  </w:style>
  <w:style w:type="character" w:customStyle="1" w:styleId="123">
    <w:name w:val="页脚2 Char Char Char"/>
    <w:qFormat/>
    <w:uiPriority w:val="0"/>
    <w:rPr>
      <w:rFonts w:ascii="宋体" w:hAnsi="宋体"/>
      <w:sz w:val="18"/>
      <w:szCs w:val="18"/>
    </w:rPr>
  </w:style>
  <w:style w:type="character" w:customStyle="1" w:styleId="124">
    <w:name w:val="普通文字 Char2"/>
    <w:qFormat/>
    <w:uiPriority w:val="0"/>
    <w:rPr>
      <w:rFonts w:ascii="宋体" w:hAnsi="Courier New"/>
      <w:kern w:val="2"/>
      <w:sz w:val="28"/>
      <w:szCs w:val="28"/>
    </w:rPr>
  </w:style>
  <w:style w:type="character" w:customStyle="1" w:styleId="125">
    <w:name w:val="章 Char"/>
    <w:qFormat/>
    <w:uiPriority w:val="0"/>
    <w:rPr>
      <w:rFonts w:eastAsia="宋体"/>
      <w:b/>
      <w:kern w:val="44"/>
      <w:sz w:val="44"/>
      <w:lang w:val="en-US" w:eastAsia="zh-CN" w:bidi="ar-SA"/>
    </w:rPr>
  </w:style>
  <w:style w:type="character" w:customStyle="1" w:styleId="126">
    <w:name w:val="日期 字符"/>
    <w:link w:val="26"/>
    <w:qFormat/>
    <w:uiPriority w:val="99"/>
    <w:rPr>
      <w:rFonts w:eastAsia="宋体"/>
      <w:sz w:val="24"/>
      <w:lang w:val="en-US" w:eastAsia="zh-CN" w:bidi="ar-SA"/>
    </w:rPr>
  </w:style>
  <w:style w:type="character" w:customStyle="1" w:styleId="127">
    <w:name w:val="Char Char25"/>
    <w:qFormat/>
    <w:uiPriority w:val="0"/>
    <w:rPr>
      <w:rFonts w:ascii="Arial" w:hAnsi="Arial" w:eastAsia="黑体"/>
      <w:b/>
      <w:bCs/>
      <w:kern w:val="2"/>
      <w:sz w:val="30"/>
      <w:szCs w:val="32"/>
      <w:lang w:val="en-US" w:eastAsia="zh-CN" w:bidi="ar-SA"/>
    </w:rPr>
  </w:style>
  <w:style w:type="character" w:customStyle="1" w:styleId="128">
    <w:name w:val="正文文本 3 Char1"/>
    <w:qFormat/>
    <w:uiPriority w:val="0"/>
    <w:rPr>
      <w:kern w:val="2"/>
      <w:sz w:val="16"/>
      <w:szCs w:val="16"/>
      <w:lang w:val="en-US" w:eastAsia="zh-CN"/>
    </w:rPr>
  </w:style>
  <w:style w:type="character" w:customStyle="1" w:styleId="129">
    <w:name w:val="脚注文本 字符"/>
    <w:link w:val="35"/>
    <w:qFormat/>
    <w:uiPriority w:val="0"/>
    <w:rPr>
      <w:kern w:val="2"/>
      <w:sz w:val="18"/>
      <w:szCs w:val="18"/>
    </w:rPr>
  </w:style>
  <w:style w:type="character" w:customStyle="1" w:styleId="130">
    <w:name w:val="Char Char41"/>
    <w:qFormat/>
    <w:uiPriority w:val="0"/>
    <w:rPr>
      <w:rFonts w:ascii="Arial" w:hAnsi="Arial" w:eastAsia="黑体"/>
      <w:b/>
      <w:sz w:val="32"/>
      <w:lang w:val="en-US" w:eastAsia="zh-CN" w:bidi="ar-SA"/>
    </w:rPr>
  </w:style>
  <w:style w:type="character" w:customStyle="1" w:styleId="131">
    <w:name w:val="页眉 Char Char Char"/>
    <w:qFormat/>
    <w:uiPriority w:val="0"/>
    <w:rPr>
      <w:sz w:val="18"/>
    </w:rPr>
  </w:style>
  <w:style w:type="character" w:customStyle="1" w:styleId="132">
    <w:name w:val="HTML 预设格式 字符"/>
    <w:link w:val="42"/>
    <w:qFormat/>
    <w:uiPriority w:val="0"/>
    <w:rPr>
      <w:rFonts w:ascii="Arial" w:hAnsi="Arial" w:eastAsia="宋体" w:cs="Arial"/>
      <w:sz w:val="24"/>
      <w:szCs w:val="24"/>
      <w:lang w:val="en-US" w:eastAsia="zh-CN" w:bidi="ar-SA"/>
    </w:rPr>
  </w:style>
  <w:style w:type="character" w:customStyle="1" w:styleId="133">
    <w:name w:val="页脚2 Char Char"/>
    <w:link w:val="134"/>
    <w:qFormat/>
    <w:uiPriority w:val="0"/>
    <w:rPr>
      <w:rFonts w:ascii="宋体" w:hAnsi="宋体"/>
      <w:sz w:val="18"/>
      <w:szCs w:val="18"/>
    </w:rPr>
  </w:style>
  <w:style w:type="paragraph" w:customStyle="1" w:styleId="134">
    <w:name w:val="页脚2"/>
    <w:basedOn w:val="1"/>
    <w:link w:val="133"/>
    <w:qFormat/>
    <w:uiPriority w:val="0"/>
    <w:pPr>
      <w:pBdr>
        <w:top w:val="single" w:color="auto" w:sz="6" w:space="0"/>
      </w:pBdr>
      <w:jc w:val="right"/>
      <w:textAlignment w:val="center"/>
    </w:pPr>
    <w:rPr>
      <w:rFonts w:ascii="宋体" w:hAnsi="宋体"/>
      <w:kern w:val="0"/>
      <w:sz w:val="18"/>
      <w:szCs w:val="18"/>
      <w:lang w:val="zh-CN"/>
    </w:rPr>
  </w:style>
  <w:style w:type="character" w:customStyle="1" w:styleId="135">
    <w:name w:val="页眉 Char Char"/>
    <w:qFormat/>
    <w:uiPriority w:val="0"/>
    <w:rPr>
      <w:sz w:val="18"/>
    </w:rPr>
  </w:style>
  <w:style w:type="character" w:customStyle="1" w:styleId="136">
    <w:name w:val="Char Char20"/>
    <w:qFormat/>
    <w:uiPriority w:val="0"/>
    <w:rPr>
      <w:rFonts w:eastAsia="黑体"/>
      <w:kern w:val="2"/>
      <w:sz w:val="44"/>
      <w:szCs w:val="44"/>
      <w:lang w:val="en-US" w:eastAsia="zh-CN" w:bidi="ar-SA"/>
    </w:rPr>
  </w:style>
  <w:style w:type="character" w:customStyle="1" w:styleId="137">
    <w:name w:val="cucd-2 Char1"/>
    <w:link w:val="138"/>
    <w:qFormat/>
    <w:uiPriority w:val="0"/>
    <w:rPr>
      <w:rFonts w:ascii="宋体" w:hAnsi="宋体"/>
      <w:b/>
      <w:kern w:val="2"/>
      <w:sz w:val="28"/>
      <w:szCs w:val="28"/>
      <w:lang w:val="en-US" w:eastAsia="zh-CN" w:bidi="ar-SA"/>
    </w:rPr>
  </w:style>
  <w:style w:type="paragraph" w:customStyle="1" w:styleId="138">
    <w:name w:val="cucd-2"/>
    <w:next w:val="1"/>
    <w:link w:val="137"/>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39">
    <w:name w:val="Char Char231"/>
    <w:qFormat/>
    <w:uiPriority w:val="0"/>
    <w:rPr>
      <w:rFonts w:ascii="Arial" w:hAnsi="Arial" w:eastAsia="黑体"/>
      <w:b/>
      <w:sz w:val="32"/>
      <w:lang w:val="en-US" w:eastAsia="zh-CN" w:bidi="ar-SA"/>
    </w:rPr>
  </w:style>
  <w:style w:type="character" w:customStyle="1" w:styleId="140">
    <w:name w:val="cucd-0 Char Char"/>
    <w:link w:val="141"/>
    <w:qFormat/>
    <w:uiPriority w:val="0"/>
    <w:rPr>
      <w:kern w:val="2"/>
      <w:sz w:val="24"/>
      <w:szCs w:val="24"/>
      <w:lang w:val="en-US" w:eastAsia="zh-CN" w:bidi="ar-SA"/>
    </w:rPr>
  </w:style>
  <w:style w:type="paragraph" w:customStyle="1" w:styleId="141">
    <w:name w:val="cucd-0"/>
    <w:link w:val="140"/>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2">
    <w:name w:val="正文文字2 Char Char"/>
    <w:link w:val="143"/>
    <w:qFormat/>
    <w:uiPriority w:val="0"/>
    <w:rPr>
      <w:rFonts w:ascii="Arial" w:eastAsia="黑体"/>
      <w:sz w:val="21"/>
      <w:lang w:val="en-US" w:eastAsia="zh-CN" w:bidi="ar-SA"/>
    </w:rPr>
  </w:style>
  <w:style w:type="paragraph" w:customStyle="1" w:styleId="143">
    <w:name w:val="正文文字2"/>
    <w:basedOn w:val="20"/>
    <w:link w:val="142"/>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4">
    <w:name w:val="CM23"/>
    <w:basedOn w:val="57"/>
    <w:next w:val="57"/>
    <w:qFormat/>
    <w:uiPriority w:val="0"/>
    <w:pPr>
      <w:spacing w:after="120"/>
    </w:pPr>
    <w:rPr>
      <w:color w:val="auto"/>
    </w:rPr>
  </w:style>
  <w:style w:type="paragraph" w:customStyle="1" w:styleId="145">
    <w:name w:val="样式 正文首行缩进 + 首行缩进:  2 字符1 Char Char"/>
    <w:basedOn w:val="46"/>
    <w:qFormat/>
    <w:uiPriority w:val="0"/>
    <w:pPr>
      <w:adjustRightInd w:val="0"/>
      <w:spacing w:after="0" w:line="400" w:lineRule="exact"/>
      <w:ind w:firstLine="480" w:firstLineChars="200"/>
      <w:textAlignment w:val="baseline"/>
    </w:pPr>
    <w:rPr>
      <w:rFonts w:eastAsia="仿宋_GB2312" w:cs="宋体"/>
    </w:rPr>
  </w:style>
  <w:style w:type="paragraph" w:customStyle="1" w:styleId="146">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7">
    <w:name w:val="1"/>
    <w:basedOn w:val="1"/>
    <w:qFormat/>
    <w:uiPriority w:val="0"/>
    <w:pPr>
      <w:spacing w:after="156" w:afterLines="50" w:line="360" w:lineRule="auto"/>
      <w:jc w:val="center"/>
    </w:pPr>
    <w:rPr>
      <w:rFonts w:ascii="宋体" w:hAnsi="宋体"/>
      <w:b/>
      <w:sz w:val="28"/>
      <w:szCs w:val="28"/>
    </w:rPr>
  </w:style>
  <w:style w:type="paragraph" w:customStyle="1" w:styleId="148">
    <w:name w:val="CM24"/>
    <w:basedOn w:val="57"/>
    <w:next w:val="57"/>
    <w:qFormat/>
    <w:uiPriority w:val="0"/>
    <w:pPr>
      <w:spacing w:after="218"/>
    </w:pPr>
    <w:rPr>
      <w:color w:val="auto"/>
    </w:rPr>
  </w:style>
  <w:style w:type="paragraph" w:customStyle="1" w:styleId="149">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0">
    <w:name w:val="正文缩进1"/>
    <w:basedOn w:val="1"/>
    <w:qFormat/>
    <w:uiPriority w:val="0"/>
    <w:pPr>
      <w:ind w:firstLine="420"/>
    </w:pPr>
    <w:rPr>
      <w:szCs w:val="24"/>
    </w:rPr>
  </w:style>
  <w:style w:type="paragraph" w:styleId="151">
    <w:name w:val="List Paragraph"/>
    <w:basedOn w:val="1"/>
    <w:qFormat/>
    <w:uiPriority w:val="34"/>
    <w:pPr>
      <w:ind w:firstLine="420" w:firstLineChars="200"/>
    </w:pPr>
  </w:style>
  <w:style w:type="paragraph" w:customStyle="1" w:styleId="152">
    <w:name w:val="空半行"/>
    <w:basedOn w:val="1"/>
    <w:qFormat/>
    <w:uiPriority w:val="0"/>
    <w:pPr>
      <w:adjustRightInd w:val="0"/>
      <w:spacing w:line="120" w:lineRule="exact"/>
      <w:textAlignment w:val="baseline"/>
    </w:pPr>
    <w:rPr>
      <w:rFonts w:eastAsia="仿宋_GB2312"/>
      <w:color w:val="FFFFFF"/>
      <w:sz w:val="30"/>
    </w:rPr>
  </w:style>
  <w:style w:type="paragraph" w:customStyle="1" w:styleId="153">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4">
    <w:name w:val="普通(Web)23"/>
    <w:basedOn w:val="1"/>
    <w:qFormat/>
    <w:uiPriority w:val="0"/>
    <w:pPr>
      <w:spacing w:after="75" w:line="360" w:lineRule="atLeast"/>
    </w:pPr>
    <w:rPr>
      <w:rFonts w:ascii="宋体" w:hAnsi="宋体" w:cs="宋体"/>
      <w:sz w:val="24"/>
      <w:szCs w:val="24"/>
    </w:rPr>
  </w:style>
  <w:style w:type="paragraph" w:customStyle="1" w:styleId="155">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6">
    <w:name w:val="批注框文本1"/>
    <w:basedOn w:val="1"/>
    <w:qFormat/>
    <w:uiPriority w:val="0"/>
    <w:rPr>
      <w:sz w:val="18"/>
      <w:szCs w:val="18"/>
    </w:rPr>
  </w:style>
  <w:style w:type="paragraph" w:customStyle="1" w:styleId="157">
    <w:name w:val="注"/>
    <w:basedOn w:val="1"/>
    <w:qFormat/>
    <w:uiPriority w:val="0"/>
    <w:pPr>
      <w:adjustRightInd w:val="0"/>
      <w:spacing w:line="360" w:lineRule="atLeast"/>
      <w:ind w:left="840" w:hanging="420"/>
      <w:textAlignment w:val="baseline"/>
    </w:pPr>
  </w:style>
  <w:style w:type="paragraph" w:customStyle="1" w:styleId="158">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59">
    <w:name w:val="表格"/>
    <w:basedOn w:val="1"/>
    <w:qFormat/>
    <w:uiPriority w:val="0"/>
    <w:pPr>
      <w:adjustRightInd w:val="0"/>
      <w:spacing w:before="160" w:line="400" w:lineRule="exact"/>
      <w:jc w:val="center"/>
      <w:textAlignment w:val="baseline"/>
    </w:pPr>
    <w:rPr>
      <w:spacing w:val="20"/>
      <w:sz w:val="24"/>
    </w:rPr>
  </w:style>
  <w:style w:type="paragraph" w:customStyle="1" w:styleId="160">
    <w:name w:val="Zchn Zchn Char Char"/>
    <w:basedOn w:val="1"/>
    <w:qFormat/>
    <w:uiPriority w:val="0"/>
    <w:pPr>
      <w:adjustRightInd w:val="0"/>
      <w:spacing w:line="360" w:lineRule="auto"/>
    </w:pPr>
    <w:rPr>
      <w:sz w:val="24"/>
    </w:rPr>
  </w:style>
  <w:style w:type="paragraph" w:customStyle="1" w:styleId="161">
    <w:name w:val="Char1 Char Char Char1 Char Char Char Char Char Char Char Char Char"/>
    <w:basedOn w:val="16"/>
    <w:qFormat/>
    <w:uiPriority w:val="0"/>
    <w:pPr>
      <w:adjustRightInd w:val="0"/>
      <w:spacing w:line="436" w:lineRule="exact"/>
      <w:ind w:left="357"/>
      <w:outlineLvl w:val="3"/>
    </w:pPr>
    <w:rPr>
      <w:rFonts w:ascii="Tahoma" w:hAnsi="Tahoma"/>
      <w:b/>
      <w:kern w:val="2"/>
      <w:sz w:val="24"/>
      <w:szCs w:val="24"/>
    </w:rPr>
  </w:style>
  <w:style w:type="character" w:customStyle="1" w:styleId="162">
    <w:name w:val="页眉 字符"/>
    <w:link w:val="31"/>
    <w:qFormat/>
    <w:uiPriority w:val="99"/>
    <w:rPr>
      <w:kern w:val="2"/>
      <w:sz w:val="18"/>
    </w:rPr>
  </w:style>
  <w:style w:type="paragraph" w:customStyle="1" w:styleId="163">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4">
    <w:name w:val="panj"/>
    <w:basedOn w:val="1"/>
    <w:qFormat/>
    <w:uiPriority w:val="0"/>
    <w:pPr>
      <w:spacing w:line="440" w:lineRule="exact"/>
      <w:ind w:firstLine="200" w:firstLineChars="200"/>
    </w:pPr>
    <w:rPr>
      <w:sz w:val="24"/>
      <w:szCs w:val="24"/>
    </w:rPr>
  </w:style>
  <w:style w:type="paragraph" w:customStyle="1" w:styleId="165">
    <w:name w:val="Char Char Char Char Char Char Char"/>
    <w:basedOn w:val="1"/>
    <w:qFormat/>
    <w:uiPriority w:val="0"/>
    <w:pPr>
      <w:snapToGrid w:val="0"/>
      <w:spacing w:after="160" w:line="360" w:lineRule="auto"/>
    </w:pPr>
    <w:rPr>
      <w:sz w:val="24"/>
      <w:szCs w:val="24"/>
      <w:lang w:eastAsia="en-US"/>
    </w:rPr>
  </w:style>
  <w:style w:type="paragraph" w:customStyle="1" w:styleId="166">
    <w:name w:val="样式 cucd-0 + 宋体"/>
    <w:basedOn w:val="1"/>
    <w:qFormat/>
    <w:uiPriority w:val="0"/>
    <w:pPr>
      <w:spacing w:line="360" w:lineRule="auto"/>
      <w:ind w:firstLine="480" w:firstLineChars="200"/>
    </w:pPr>
    <w:rPr>
      <w:rFonts w:ascii="宋体" w:hAnsi="宋体"/>
      <w:sz w:val="24"/>
      <w:szCs w:val="24"/>
    </w:rPr>
  </w:style>
  <w:style w:type="paragraph" w:customStyle="1" w:styleId="167">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8">
    <w:name w:val="TOC 标题1"/>
    <w:basedOn w:val="3"/>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69">
    <w:name w:val="标题2.2.1"/>
    <w:basedOn w:val="1"/>
    <w:qFormat/>
    <w:uiPriority w:val="0"/>
    <w:pPr>
      <w:tabs>
        <w:tab w:val="left" w:pos="-164"/>
      </w:tabs>
      <w:ind w:left="1418" w:hanging="1582"/>
    </w:pPr>
    <w:rPr>
      <w:szCs w:val="24"/>
    </w:rPr>
  </w:style>
  <w:style w:type="paragraph" w:customStyle="1" w:styleId="170">
    <w:name w:val="TOC 标题11"/>
    <w:basedOn w:val="3"/>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1">
    <w:name w:val="CM21"/>
    <w:basedOn w:val="57"/>
    <w:next w:val="57"/>
    <w:qFormat/>
    <w:uiPriority w:val="0"/>
    <w:pPr>
      <w:spacing w:line="228" w:lineRule="atLeast"/>
    </w:pPr>
    <w:rPr>
      <w:color w:val="auto"/>
    </w:rPr>
  </w:style>
  <w:style w:type="paragraph" w:customStyle="1" w:styleId="172">
    <w:name w:val="表文字"/>
    <w:basedOn w:val="1"/>
    <w:qFormat/>
    <w:uiPriority w:val="0"/>
    <w:pPr>
      <w:wordWrap w:val="0"/>
      <w:adjustRightInd w:val="0"/>
      <w:snapToGrid w:val="0"/>
    </w:pPr>
  </w:style>
  <w:style w:type="paragraph" w:customStyle="1" w:styleId="173">
    <w:name w:val="列出段落1"/>
    <w:basedOn w:val="1"/>
    <w:qFormat/>
    <w:uiPriority w:val="0"/>
    <w:pPr>
      <w:ind w:firstLine="420" w:firstLineChars="200"/>
    </w:pPr>
    <w:rPr>
      <w:szCs w:val="24"/>
    </w:rPr>
  </w:style>
  <w:style w:type="paragraph" w:customStyle="1" w:styleId="174">
    <w:name w:val="纯文本1"/>
    <w:basedOn w:val="1"/>
    <w:qFormat/>
    <w:uiPriority w:val="0"/>
    <w:pPr>
      <w:adjustRightInd w:val="0"/>
      <w:textAlignment w:val="baseline"/>
    </w:pPr>
    <w:rPr>
      <w:rFonts w:ascii="宋体" w:hAnsi="Courier New"/>
    </w:rPr>
  </w:style>
  <w:style w:type="character" w:customStyle="1" w:styleId="175">
    <w:name w:val="页脚 字符"/>
    <w:link w:val="30"/>
    <w:qFormat/>
    <w:uiPriority w:val="99"/>
    <w:rPr>
      <w:kern w:val="2"/>
      <w:sz w:val="18"/>
    </w:rPr>
  </w:style>
  <w:style w:type="paragraph" w:customStyle="1" w:styleId="176">
    <w:name w:val="Char Char Char Char Char Char Char Char Char"/>
    <w:basedOn w:val="1"/>
    <w:qFormat/>
    <w:uiPriority w:val="0"/>
    <w:pPr>
      <w:spacing w:after="160" w:line="240" w:lineRule="exact"/>
    </w:pPr>
    <w:rPr>
      <w:szCs w:val="24"/>
    </w:rPr>
  </w:style>
  <w:style w:type="paragraph" w:customStyle="1" w:styleId="177">
    <w:name w:val="body 2"/>
    <w:basedOn w:val="4"/>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8">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79">
    <w:name w:val="note 2"/>
    <w:basedOn w:val="177"/>
    <w:qFormat/>
    <w:uiPriority w:val="0"/>
    <w:pPr>
      <w:ind w:left="1260" w:hanging="1080"/>
      <w:jc w:val="left"/>
    </w:pPr>
    <w:rPr>
      <w:b/>
    </w:rPr>
  </w:style>
  <w:style w:type="paragraph" w:customStyle="1" w:styleId="180">
    <w:name w:val="CM1"/>
    <w:basedOn w:val="57"/>
    <w:next w:val="57"/>
    <w:qFormat/>
    <w:uiPriority w:val="0"/>
    <w:pPr>
      <w:spacing w:line="191" w:lineRule="atLeast"/>
    </w:pPr>
    <w:rPr>
      <w:color w:val="auto"/>
    </w:rPr>
  </w:style>
  <w:style w:type="paragraph" w:customStyle="1" w:styleId="181">
    <w:name w:val="Text"/>
    <w:basedOn w:val="1"/>
    <w:qFormat/>
    <w:uiPriority w:val="0"/>
    <w:rPr>
      <w:rFonts w:ascii="Arial" w:hAnsi="Arial"/>
      <w:lang w:val="en-GB" w:eastAsia="de-DE"/>
    </w:rPr>
  </w:style>
  <w:style w:type="paragraph" w:customStyle="1" w:styleId="182">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3">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4">
    <w:name w:val="修订1"/>
    <w:qFormat/>
    <w:uiPriority w:val="99"/>
    <w:rPr>
      <w:rFonts w:ascii="Times New Roman" w:hAnsi="Times New Roman" w:eastAsia="宋体" w:cs="Times New Roman"/>
      <w:kern w:val="2"/>
      <w:sz w:val="21"/>
      <w:szCs w:val="24"/>
      <w:lang w:val="en-US" w:eastAsia="zh-CN" w:bidi="ar-SA"/>
    </w:rPr>
  </w:style>
  <w:style w:type="paragraph" w:customStyle="1" w:styleId="185">
    <w:name w:val="Heading 2a"/>
    <w:basedOn w:val="4"/>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6">
    <w:name w:val="List Paragraph1"/>
    <w:basedOn w:val="1"/>
    <w:qFormat/>
    <w:uiPriority w:val="0"/>
    <w:pPr>
      <w:ind w:firstLine="420" w:firstLineChars="200"/>
    </w:pPr>
    <w:rPr>
      <w:rFonts w:ascii="Calibri" w:hAnsi="Calibri"/>
      <w:szCs w:val="22"/>
    </w:rPr>
  </w:style>
  <w:style w:type="paragraph" w:customStyle="1" w:styleId="187">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8">
    <w:name w:val="Char"/>
    <w:basedOn w:val="1"/>
    <w:qFormat/>
    <w:uiPriority w:val="0"/>
    <w:rPr>
      <w:rFonts w:ascii="Tahoma" w:hAnsi="Tahoma"/>
      <w:sz w:val="24"/>
    </w:rPr>
  </w:style>
  <w:style w:type="paragraph" w:customStyle="1" w:styleId="189">
    <w:name w:val="cucd-1"/>
    <w:next w:val="138"/>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0">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1">
    <w:name w:val="Char11"/>
    <w:basedOn w:val="1"/>
    <w:qFormat/>
    <w:uiPriority w:val="0"/>
    <w:pPr>
      <w:spacing w:after="160" w:line="240" w:lineRule="exact"/>
    </w:pPr>
  </w:style>
  <w:style w:type="paragraph" w:customStyle="1" w:styleId="192">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3">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4">
    <w:name w:val="2"/>
    <w:basedOn w:val="1"/>
    <w:next w:val="8"/>
    <w:qFormat/>
    <w:uiPriority w:val="0"/>
    <w:pPr>
      <w:ind w:left="708"/>
    </w:pPr>
    <w:rPr>
      <w:rFonts w:ascii="CG Times (WN)" w:hAnsi="CG Times (WN)"/>
      <w:sz w:val="24"/>
      <w:lang w:val="de-DE" w:eastAsia="de-DE"/>
    </w:rPr>
  </w:style>
  <w:style w:type="paragraph" w:customStyle="1" w:styleId="195">
    <w:name w:val="Char Char Char1 Char Char Char Char Char Char Char"/>
    <w:basedOn w:val="1"/>
    <w:qFormat/>
    <w:uiPriority w:val="0"/>
    <w:pPr>
      <w:autoSpaceDE w:val="0"/>
      <w:autoSpaceDN w:val="0"/>
    </w:pPr>
    <w:rPr>
      <w:rFonts w:ascii="Tahoma" w:hAnsi="Tahoma"/>
      <w:sz w:val="24"/>
    </w:rPr>
  </w:style>
  <w:style w:type="paragraph" w:customStyle="1" w:styleId="196">
    <w:name w:val="目录文字"/>
    <w:basedOn w:val="1"/>
    <w:qFormat/>
    <w:uiPriority w:val="0"/>
    <w:pPr>
      <w:spacing w:line="480" w:lineRule="auto"/>
    </w:pPr>
    <w:rPr>
      <w:rFonts w:ascii="宋体" w:hAnsi="宋体"/>
      <w:sz w:val="24"/>
    </w:rPr>
  </w:style>
  <w:style w:type="paragraph" w:customStyle="1" w:styleId="197">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8">
    <w:name w:val="Char Char2"/>
    <w:basedOn w:val="1"/>
    <w:qFormat/>
    <w:uiPriority w:val="0"/>
    <w:pPr>
      <w:jc w:val="center"/>
    </w:pPr>
    <w:rPr>
      <w:rFonts w:ascii="宋体"/>
      <w:szCs w:val="21"/>
    </w:rPr>
  </w:style>
  <w:style w:type="paragraph" w:customStyle="1" w:styleId="199">
    <w:name w:val="Robot List Items 2"/>
    <w:basedOn w:val="1"/>
    <w:qFormat/>
    <w:uiPriority w:val="0"/>
    <w:pPr>
      <w:tabs>
        <w:tab w:val="left" w:pos="1068"/>
      </w:tabs>
      <w:ind w:left="1068" w:hanging="360"/>
    </w:pPr>
    <w:rPr>
      <w:rFonts w:ascii="Arial" w:hAnsi="Arial"/>
      <w:sz w:val="18"/>
      <w:lang w:eastAsia="en-US"/>
    </w:rPr>
  </w:style>
  <w:style w:type="paragraph" w:customStyle="1" w:styleId="200">
    <w:name w:val="样式2"/>
    <w:basedOn w:val="1"/>
    <w:qFormat/>
    <w:uiPriority w:val="0"/>
    <w:pPr>
      <w:adjustRightInd w:val="0"/>
      <w:spacing w:line="410" w:lineRule="atLeast"/>
      <w:textAlignment w:val="baseline"/>
    </w:pPr>
  </w:style>
  <w:style w:type="paragraph" w:customStyle="1" w:styleId="201">
    <w:name w:val="Char Char1 Char Char Char Char"/>
    <w:basedOn w:val="1"/>
    <w:qFormat/>
    <w:uiPriority w:val="0"/>
    <w:rPr>
      <w:rFonts w:eastAsia="楷体_GB2312"/>
      <w:sz w:val="32"/>
    </w:rPr>
  </w:style>
  <w:style w:type="paragraph" w:customStyle="1" w:styleId="202">
    <w:name w:val="1 Char Char Char Char"/>
    <w:basedOn w:val="1"/>
    <w:qFormat/>
    <w:uiPriority w:val="0"/>
    <w:rPr>
      <w:rFonts w:ascii="Tahoma" w:hAnsi="Tahoma"/>
      <w:sz w:val="24"/>
    </w:rPr>
  </w:style>
  <w:style w:type="paragraph" w:customStyle="1" w:styleId="203">
    <w:name w:val="Char1"/>
    <w:basedOn w:val="1"/>
    <w:qFormat/>
    <w:uiPriority w:val="0"/>
    <w:rPr>
      <w:rFonts w:ascii="Tahoma" w:hAnsi="Tahoma"/>
      <w:sz w:val="24"/>
    </w:rPr>
  </w:style>
  <w:style w:type="paragraph" w:customStyle="1" w:styleId="204">
    <w:name w:val="Char Char Char Char"/>
    <w:basedOn w:val="1"/>
    <w:qFormat/>
    <w:uiPriority w:val="0"/>
    <w:rPr>
      <w:szCs w:val="24"/>
    </w:rPr>
  </w:style>
  <w:style w:type="paragraph" w:customStyle="1" w:styleId="205">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6">
    <w:name w:val="尾注文本 字符"/>
    <w:link w:val="28"/>
    <w:semiHidden/>
    <w:qFormat/>
    <w:locked/>
    <w:uiPriority w:val="0"/>
    <w:rPr>
      <w:rFonts w:eastAsia="??"/>
      <w:color w:val="000000"/>
      <w:sz w:val="24"/>
      <w:szCs w:val="24"/>
    </w:rPr>
  </w:style>
  <w:style w:type="character" w:customStyle="1" w:styleId="207">
    <w:name w:val="尾注文本 Char"/>
    <w:semiHidden/>
    <w:qFormat/>
    <w:uiPriority w:val="0"/>
    <w:rPr>
      <w:kern w:val="2"/>
      <w:sz w:val="21"/>
    </w:rPr>
  </w:style>
  <w:style w:type="character" w:customStyle="1" w:styleId="208">
    <w:name w:val="签名 Char"/>
    <w:link w:val="209"/>
    <w:qFormat/>
    <w:locked/>
    <w:uiPriority w:val="0"/>
    <w:rPr>
      <w:rFonts w:ascii="??" w:hAnsi="??" w:eastAsia="??"/>
      <w:color w:val="000000"/>
      <w:sz w:val="24"/>
      <w:lang w:eastAsia="en-US"/>
    </w:rPr>
  </w:style>
  <w:style w:type="paragraph" w:customStyle="1" w:styleId="209">
    <w:name w:val="签名1"/>
    <w:basedOn w:val="1"/>
    <w:link w:val="208"/>
    <w:qFormat/>
    <w:uiPriority w:val="0"/>
    <w:pPr>
      <w:widowControl/>
      <w:ind w:left="4410" w:leftChars="2100"/>
      <w:jc w:val="left"/>
    </w:pPr>
    <w:rPr>
      <w:rFonts w:ascii="??" w:hAnsi="??" w:eastAsia="??"/>
      <w:color w:val="000000"/>
      <w:kern w:val="0"/>
      <w:sz w:val="24"/>
      <w:lang w:val="zh-CN" w:eastAsia="en-US"/>
    </w:rPr>
  </w:style>
  <w:style w:type="character" w:customStyle="1" w:styleId="210">
    <w:name w:val="信息标题 Char"/>
    <w:link w:val="211"/>
    <w:qFormat/>
    <w:locked/>
    <w:uiPriority w:val="0"/>
    <w:rPr>
      <w:rFonts w:ascii="Arial" w:hAnsi="Arial" w:eastAsia="??" w:cs="Arial"/>
      <w:color w:val="000000"/>
      <w:sz w:val="24"/>
      <w:szCs w:val="24"/>
      <w:shd w:val="pct20" w:color="auto" w:fill="auto"/>
    </w:rPr>
  </w:style>
  <w:style w:type="paragraph" w:customStyle="1" w:styleId="211">
    <w:name w:val="信息标题1"/>
    <w:basedOn w:val="1"/>
    <w:link w:val="210"/>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2">
    <w:name w:val="正文首行缩进 21"/>
    <w:basedOn w:val="213"/>
    <w:qFormat/>
    <w:uiPriority w:val="0"/>
  </w:style>
  <w:style w:type="paragraph" w:customStyle="1" w:styleId="213">
    <w:name w:val="正文文本缩进1"/>
    <w:basedOn w:val="1"/>
    <w:qFormat/>
    <w:uiPriority w:val="0"/>
    <w:pPr>
      <w:spacing w:after="120"/>
      <w:ind w:left="420" w:leftChars="200"/>
    </w:pPr>
    <w:rPr>
      <w:rFonts w:ascii="??" w:hAnsi="??" w:eastAsia="??"/>
      <w:color w:val="000000"/>
      <w:kern w:val="0"/>
      <w:sz w:val="20"/>
      <w:szCs w:val="24"/>
    </w:rPr>
  </w:style>
  <w:style w:type="character" w:customStyle="1" w:styleId="214">
    <w:name w:val="结束语 Char"/>
    <w:link w:val="215"/>
    <w:qFormat/>
    <w:locked/>
    <w:uiPriority w:val="0"/>
    <w:rPr>
      <w:rFonts w:ascii="??" w:hAnsi="??" w:eastAsia="??"/>
      <w:color w:val="000000"/>
      <w:sz w:val="24"/>
      <w:lang w:eastAsia="en-US"/>
    </w:rPr>
  </w:style>
  <w:style w:type="paragraph" w:customStyle="1" w:styleId="215">
    <w:name w:val="结束语1"/>
    <w:basedOn w:val="1"/>
    <w:link w:val="214"/>
    <w:qFormat/>
    <w:uiPriority w:val="0"/>
    <w:pPr>
      <w:widowControl/>
      <w:ind w:left="4410" w:leftChars="2100"/>
      <w:jc w:val="left"/>
    </w:pPr>
    <w:rPr>
      <w:rFonts w:ascii="??" w:hAnsi="??" w:eastAsia="??"/>
      <w:color w:val="000000"/>
      <w:kern w:val="0"/>
      <w:sz w:val="24"/>
      <w:lang w:val="zh-CN" w:eastAsia="en-US"/>
    </w:rPr>
  </w:style>
  <w:style w:type="paragraph" w:customStyle="1" w:styleId="216">
    <w:name w:val="正文首行缩进1"/>
    <w:basedOn w:val="20"/>
    <w:qFormat/>
    <w:uiPriority w:val="0"/>
  </w:style>
  <w:style w:type="paragraph" w:customStyle="1" w:styleId="217">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8">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19">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0">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1">
    <w:name w:val="潍柴文档正文"/>
    <w:basedOn w:val="1"/>
    <w:qFormat/>
    <w:uiPriority w:val="0"/>
    <w:pPr>
      <w:spacing w:line="360" w:lineRule="auto"/>
      <w:ind w:firstLine="200" w:firstLineChars="200"/>
    </w:pPr>
    <w:rPr>
      <w:sz w:val="24"/>
      <w:szCs w:val="22"/>
    </w:rPr>
  </w:style>
  <w:style w:type="character" w:customStyle="1" w:styleId="222">
    <w:name w:val="ca-141"/>
    <w:qFormat/>
    <w:uiPriority w:val="0"/>
    <w:rPr>
      <w:rFonts w:hint="eastAsia" w:ascii="仿宋_GB2312" w:eastAsia="仿宋_GB2312"/>
      <w:sz w:val="21"/>
      <w:szCs w:val="21"/>
    </w:rPr>
  </w:style>
  <w:style w:type="paragraph" w:customStyle="1" w:styleId="223">
    <w:name w:val="1正文段落"/>
    <w:basedOn w:val="1"/>
    <w:qFormat/>
    <w:uiPriority w:val="0"/>
    <w:pPr>
      <w:spacing w:line="360" w:lineRule="auto"/>
      <w:ind w:firstLine="480" w:firstLineChars="200"/>
      <w:jc w:val="left"/>
    </w:pPr>
    <w:rPr>
      <w:snapToGrid w:val="0"/>
      <w:kern w:val="0"/>
      <w:sz w:val="24"/>
      <w:szCs w:val="24"/>
    </w:rPr>
  </w:style>
  <w:style w:type="character" w:customStyle="1" w:styleId="224">
    <w:name w:val="NormalCharacter"/>
    <w:qFormat/>
    <w:uiPriority w:val="0"/>
  </w:style>
  <w:style w:type="character" w:customStyle="1" w:styleId="225">
    <w:name w:val="font51"/>
    <w:basedOn w:val="50"/>
    <w:qFormat/>
    <w:uiPriority w:val="99"/>
    <w:rPr>
      <w:rFonts w:ascii="Times New Roman" w:hAnsi="Times New Roman" w:cs="Times New Roman"/>
      <w:color w:val="000000"/>
      <w:sz w:val="24"/>
      <w:szCs w:val="24"/>
      <w:u w:val="none"/>
    </w:rPr>
  </w:style>
  <w:style w:type="character" w:customStyle="1" w:styleId="226">
    <w:name w:val="font61"/>
    <w:basedOn w:val="50"/>
    <w:qFormat/>
    <w:uiPriority w:val="99"/>
    <w:rPr>
      <w:rFonts w:ascii="宋体" w:hAnsi="宋体" w:eastAsia="宋体" w:cs="宋体"/>
      <w:color w:val="000000"/>
      <w:sz w:val="24"/>
      <w:szCs w:val="24"/>
      <w:u w:val="none"/>
    </w:rPr>
  </w:style>
  <w:style w:type="character" w:customStyle="1" w:styleId="227">
    <w:name w:val="font31"/>
    <w:basedOn w:val="50"/>
    <w:qFormat/>
    <w:uiPriority w:val="0"/>
    <w:rPr>
      <w:rFonts w:hint="eastAsia" w:ascii="微软雅黑" w:hAnsi="微软雅黑" w:eastAsia="微软雅黑" w:cs="微软雅黑"/>
      <w:color w:val="000000"/>
      <w:sz w:val="16"/>
      <w:szCs w:val="16"/>
      <w:u w:val="none"/>
    </w:rPr>
  </w:style>
  <w:style w:type="paragraph" w:customStyle="1" w:styleId="228">
    <w:name w:val="（二）级标题"/>
    <w:basedOn w:val="2"/>
    <w:qFormat/>
    <w:uiPriority w:val="2"/>
    <w:pPr>
      <w:numPr>
        <w:ilvl w:val="0"/>
        <w:numId w:val="1"/>
      </w:numPr>
      <w:outlineLvl w:val="2"/>
    </w:pPr>
    <w:rPr>
      <w:b/>
    </w:rPr>
  </w:style>
  <w:style w:type="paragraph" w:customStyle="1" w:styleId="229">
    <w:name w:val="标书正文格式"/>
    <w:basedOn w:val="2"/>
    <w:qFormat/>
    <w:uiPriority w:val="0"/>
    <w:pPr>
      <w:ind w:firstLine="200" w:firstLineChars="200"/>
    </w:pPr>
    <w:rPr>
      <w:rFonts w:hAnsi="宋体"/>
      <w:color w:val="000000"/>
      <w:szCs w:val="24"/>
    </w:rPr>
  </w:style>
  <w:style w:type="paragraph" w:customStyle="1" w:styleId="230">
    <w:name w:val="（4）级标题"/>
    <w:basedOn w:val="2"/>
    <w:qFormat/>
    <w:uiPriority w:val="8"/>
    <w:pPr>
      <w:numPr>
        <w:ilvl w:val="0"/>
        <w:numId w:val="2"/>
      </w:numPr>
      <w:outlineLvl w:val="4"/>
    </w:pPr>
  </w:style>
  <w:style w:type="paragraph" w:customStyle="1" w:styleId="231">
    <w:name w:val="Table Paragraph"/>
    <w:basedOn w:val="1"/>
    <w:qFormat/>
    <w:uiPriority w:val="1"/>
    <w:rPr>
      <w:rFonts w:ascii="宋体" w:hAnsi="宋体" w:cs="宋体"/>
    </w:rPr>
  </w:style>
  <w:style w:type="table" w:customStyle="1" w:styleId="232">
    <w:name w:val="Table Normal"/>
    <w:qFormat/>
    <w:uiPriority w:val="0"/>
    <w:tblPr>
      <w:tblCellMar>
        <w:top w:w="0" w:type="dxa"/>
        <w:left w:w="0" w:type="dxa"/>
        <w:bottom w:w="0" w:type="dxa"/>
        <w:right w:w="0" w:type="dxa"/>
      </w:tblCellMar>
    </w:tblPr>
  </w:style>
  <w:style w:type="paragraph" w:customStyle="1" w:styleId="233">
    <w:name w:val="HR正文表格"/>
    <w:basedOn w:val="1"/>
    <w:qFormat/>
    <w:uiPriority w:val="0"/>
    <w:pPr>
      <w:spacing w:beforeLines="25" w:afterLines="25" w:line="300" w:lineRule="auto"/>
    </w:pPr>
    <w:rPr>
      <w:szCs w:val="24"/>
    </w:rPr>
  </w:style>
  <w:style w:type="paragraph" w:customStyle="1" w:styleId="234">
    <w:name w:val="一级标题"/>
    <w:basedOn w:val="2"/>
    <w:qFormat/>
    <w:uiPriority w:val="1"/>
    <w:pPr>
      <w:numPr>
        <w:ilvl w:val="0"/>
        <w:numId w:val="3"/>
      </w:numPr>
      <w:ind w:left="420"/>
      <w:outlineLvl w:val="1"/>
    </w:pPr>
    <w:rPr>
      <w:rFonts w:ascii="黑体" w:eastAsia="黑体"/>
      <w:b/>
      <w:bCs/>
      <w:sz w:val="28"/>
    </w:rPr>
  </w:style>
  <w:style w:type="character" w:customStyle="1" w:styleId="235">
    <w:name w:val="font21"/>
    <w:basedOn w:val="50"/>
    <w:qFormat/>
    <w:uiPriority w:val="0"/>
    <w:rPr>
      <w:rFonts w:hint="eastAsia" w:ascii="宋体" w:hAnsi="宋体" w:eastAsia="宋体" w:cs="宋体"/>
      <w:color w:val="000000"/>
      <w:sz w:val="24"/>
      <w:szCs w:val="24"/>
      <w:u w:val="none"/>
    </w:rPr>
  </w:style>
  <w:style w:type="character" w:customStyle="1" w:styleId="236">
    <w:name w:val="font11"/>
    <w:basedOn w:val="50"/>
    <w:qFormat/>
    <w:uiPriority w:val="0"/>
    <w:rPr>
      <w:rFonts w:hint="eastAsia" w:ascii="宋体" w:hAnsi="宋体" w:eastAsia="宋体" w:cs="宋体"/>
      <w:color w:val="000000"/>
      <w:sz w:val="24"/>
      <w:szCs w:val="24"/>
      <w:u w:val="single"/>
    </w:rPr>
  </w:style>
  <w:style w:type="paragraph" w:customStyle="1" w:styleId="237">
    <w:name w:val="首行缩进"/>
    <w:basedOn w:val="1"/>
    <w:qFormat/>
    <w:uiPriority w:val="0"/>
    <w:pPr>
      <w:spacing w:line="360" w:lineRule="auto"/>
      <w:ind w:firstLine="480" w:firstLineChars="200"/>
    </w:pPr>
    <w:rPr>
      <w:rFonts w:ascii="宋体" w:hAnsi="宋体" w:cs="宋体"/>
      <w:kern w:val="0"/>
      <w:sz w:val="24"/>
    </w:rPr>
  </w:style>
  <w:style w:type="paragraph" w:customStyle="1" w:styleId="238">
    <w:name w:val="标书表格"/>
    <w:basedOn w:val="1"/>
    <w:qFormat/>
    <w:uiPriority w:val="0"/>
    <w:pPr>
      <w:jc w:val="center"/>
    </w:pPr>
    <w:rPr>
      <w:b/>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14.png"/><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30</Pages>
  <Words>6187</Words>
  <Characters>6622</Characters>
  <Lines>315</Lines>
  <Paragraphs>203</Paragraphs>
  <TotalTime>1</TotalTime>
  <ScaleCrop>false</ScaleCrop>
  <LinksUpToDate>false</LinksUpToDate>
  <CharactersWithSpaces>12606</CharactersWithSpaces>
  <Application>WPS Office_11.8.2.11019_F1E327BC-269C-435d-A152-05C5408002CA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Administrator</cp:lastModifiedBy>
  <cp:lastPrinted>2020-01-08T06:44:00Z</cp:lastPrinted>
  <dcterms:modified xsi:type="dcterms:W3CDTF">2025-12-17T02:42:21Z</dcterms:modified>
  <dc:title>招标文件</dc:title>
  <cp:revision>117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2052-11.8.2.11019</vt:lpwstr>
  </property>
  <property fmtid="{D5CDD505-2E9C-101B-9397-08002B2CF9AE}" pid="3" name="Base Target">
    <vt:lpwstr>_blank</vt:lpwstr>
  </property>
  <property fmtid="{D5CDD505-2E9C-101B-9397-08002B2CF9AE}" pid="4" name="ICV">
    <vt:lpwstr>9FECC2E08D2549479C02DD5BBA898D27_13</vt:lpwstr>
  </property>
  <property fmtid="{D5CDD505-2E9C-101B-9397-08002B2CF9AE}" pid="5" name="KSOTemplateDocerSaveRecord">
    <vt:lpwstr>eyJoZGlkIjoiYzc3ODk5MWQ2ODkxYjIzNzI1YmVhYjkyYmE4NWMzNGUiLCJ1c2VySWQiOiIyNTA0NTg1ODYifQ==</vt:lpwstr>
  </property>
</Properties>
</file>