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FF10FC">
      <w:pPr>
        <w:jc w:val="center"/>
        <w:rPr>
          <w:rFonts w:ascii="Times New Roman" w:hAnsi="Times New Roman" w:cs="Times New Roman"/>
          <w:b/>
          <w:sz w:val="44"/>
          <w:szCs w:val="44"/>
          <w:lang w:val="ru-RU"/>
        </w:rPr>
      </w:pPr>
    </w:p>
    <w:p w14:paraId="583B8044">
      <w:pPr>
        <w:jc w:val="center"/>
        <w:rPr>
          <w:rFonts w:ascii="Times New Roman" w:hAnsi="Times New Roman" w:cs="Times New Roman"/>
          <w:b/>
          <w:sz w:val="44"/>
          <w:szCs w:val="44"/>
        </w:rPr>
      </w:pPr>
    </w:p>
    <w:p w14:paraId="7DB4A00B">
      <w:pPr>
        <w:spacing w:line="560" w:lineRule="exact"/>
        <w:jc w:val="center"/>
        <w:rPr>
          <w:rFonts w:hint="default" w:ascii="Times New Roman" w:hAnsi="Times New Roman" w:eastAsia="方正小标宋简体" w:cs="Times New Roman"/>
          <w:sz w:val="44"/>
          <w:lang w:val="en-US" w:eastAsia="zh-CN"/>
        </w:rPr>
      </w:pPr>
      <w:r>
        <w:rPr>
          <w:rFonts w:hint="eastAsia" w:ascii="Times New Roman" w:hAnsi="Times New Roman" w:eastAsia="方正小标宋简体" w:cs="Times New Roman"/>
          <w:sz w:val="44"/>
          <w:szCs w:val="44"/>
        </w:rPr>
        <w:t>中国重汽</w:t>
      </w:r>
      <w:r>
        <w:rPr>
          <w:rFonts w:hint="eastAsia" w:ascii="Times New Roman" w:hAnsi="Times New Roman" w:eastAsia="方正小标宋简体" w:cs="Times New Roman"/>
          <w:sz w:val="44"/>
          <w:szCs w:val="44"/>
          <w:lang w:val="en-US" w:eastAsia="zh-CN"/>
        </w:rPr>
        <w:t>集团出口系统2026年会</w:t>
      </w:r>
    </w:p>
    <w:p w14:paraId="0883A9B6">
      <w:pPr>
        <w:jc w:val="center"/>
        <w:rPr>
          <w:rFonts w:ascii="Times New Roman" w:hAnsi="Times New Roman" w:cs="Times New Roman"/>
          <w:sz w:val="44"/>
        </w:rPr>
      </w:pPr>
    </w:p>
    <w:p w14:paraId="5818D0FF">
      <w:pPr>
        <w:jc w:val="center"/>
        <w:rPr>
          <w:rFonts w:ascii="Times New Roman" w:hAnsi="Times New Roman" w:cs="Times New Roman"/>
          <w:sz w:val="44"/>
        </w:rPr>
      </w:pPr>
    </w:p>
    <w:p w14:paraId="3FE8E50B">
      <w:pPr>
        <w:jc w:val="center"/>
        <w:rPr>
          <w:rFonts w:ascii="Times New Roman" w:hAnsi="Times New Roman" w:cs="Times New Roman"/>
          <w:b/>
          <w:sz w:val="32"/>
          <w:szCs w:val="32"/>
          <w:lang w:val="ru-RU"/>
        </w:rPr>
      </w:pPr>
    </w:p>
    <w:p w14:paraId="3E125261">
      <w:pPr>
        <w:jc w:val="center"/>
        <w:rPr>
          <w:rFonts w:ascii="Times New Roman" w:hAnsi="Times New Roman" w:cs="Times New Roman"/>
          <w:b/>
          <w:sz w:val="32"/>
          <w:szCs w:val="32"/>
          <w:lang w:val="ru-RU"/>
        </w:rPr>
      </w:pPr>
    </w:p>
    <w:p w14:paraId="5FEF33F8">
      <w:pPr>
        <w:jc w:val="center"/>
        <w:rPr>
          <w:rFonts w:ascii="Times New Roman" w:hAnsi="Times New Roman" w:cs="Times New Roman"/>
          <w:b/>
          <w:sz w:val="32"/>
          <w:szCs w:val="32"/>
          <w:lang w:val="ru-RU"/>
        </w:rPr>
      </w:pPr>
    </w:p>
    <w:p w14:paraId="76A99E09">
      <w:pPr>
        <w:jc w:val="center"/>
        <w:rPr>
          <w:rFonts w:hint="default" w:ascii="Times New Roman" w:hAnsi="Times New Roman" w:eastAsia="黑体" w:cs="Times New Roman"/>
          <w:b/>
          <w:sz w:val="92"/>
          <w:szCs w:val="92"/>
          <w:lang w:val="en-US" w:eastAsia="zh-CN"/>
        </w:rPr>
      </w:pPr>
      <w:r>
        <w:rPr>
          <w:rFonts w:hint="eastAsia" w:ascii="Times New Roman" w:hAnsi="Times New Roman" w:eastAsia="黑体" w:cs="Times New Roman"/>
          <w:b/>
          <w:sz w:val="92"/>
          <w:szCs w:val="92"/>
          <w:lang w:val="en-US" w:eastAsia="zh-CN"/>
        </w:rPr>
        <w:t>招标公告</w:t>
      </w:r>
      <w:bookmarkStart w:id="1" w:name="_GoBack"/>
      <w:bookmarkEnd w:id="1"/>
    </w:p>
    <w:p w14:paraId="57F98FB8">
      <w:pPr>
        <w:jc w:val="center"/>
        <w:rPr>
          <w:rFonts w:ascii="Times New Roman" w:hAnsi="Times New Roman" w:cs="Times New Roman"/>
          <w:b/>
          <w:sz w:val="32"/>
          <w:szCs w:val="32"/>
          <w:lang w:val="ru-RU"/>
        </w:rPr>
      </w:pPr>
    </w:p>
    <w:p w14:paraId="1C0B6DD9">
      <w:pPr>
        <w:jc w:val="center"/>
        <w:rPr>
          <w:rFonts w:ascii="Times New Roman" w:hAnsi="Times New Roman" w:cs="Times New Roman"/>
          <w:b/>
          <w:sz w:val="32"/>
          <w:szCs w:val="32"/>
          <w:lang w:val="ru-RU"/>
        </w:rPr>
      </w:pPr>
    </w:p>
    <w:p w14:paraId="7D81D5CD">
      <w:pPr>
        <w:jc w:val="center"/>
        <w:rPr>
          <w:rFonts w:ascii="Times New Roman" w:hAnsi="Times New Roman" w:cs="Times New Roman"/>
          <w:b/>
          <w:sz w:val="32"/>
          <w:szCs w:val="32"/>
          <w:lang w:val="ru-RU"/>
        </w:rPr>
      </w:pPr>
    </w:p>
    <w:p w14:paraId="78F40D9C">
      <w:pPr>
        <w:jc w:val="center"/>
        <w:rPr>
          <w:rFonts w:ascii="Times New Roman" w:hAnsi="Times New Roman" w:cs="Times New Roman"/>
          <w:b/>
          <w:sz w:val="32"/>
          <w:szCs w:val="32"/>
          <w:lang w:val="ru-RU"/>
        </w:rPr>
      </w:pPr>
    </w:p>
    <w:p w14:paraId="45BB087E">
      <w:pPr>
        <w:jc w:val="center"/>
        <w:rPr>
          <w:rFonts w:ascii="Times New Roman" w:hAnsi="Times New Roman" w:eastAsia="宋体" w:cs="Times New Roman"/>
          <w:b/>
          <w:sz w:val="32"/>
          <w:szCs w:val="32"/>
          <w:lang w:val="ru-RU"/>
        </w:rPr>
      </w:pPr>
      <w:r>
        <w:rPr>
          <w:rFonts w:ascii="Times New Roman" w:hAnsi="Times New Roman" w:eastAsia="宋体" w:cs="Times New Roman"/>
          <w:b/>
          <w:sz w:val="32"/>
          <w:szCs w:val="32"/>
        </w:rPr>
        <w:t>招标人</w:t>
      </w:r>
      <w:r>
        <w:rPr>
          <w:rFonts w:ascii="Times New Roman" w:hAnsi="Times New Roman" w:eastAsia="宋体" w:cs="Times New Roman"/>
          <w:b/>
          <w:sz w:val="32"/>
          <w:szCs w:val="32"/>
          <w:lang w:val="ru-RU"/>
        </w:rPr>
        <w:t>：</w:t>
      </w:r>
      <w:r>
        <w:rPr>
          <w:rFonts w:hint="eastAsia" w:ascii="Times New Roman" w:hAnsi="Times New Roman" w:eastAsia="宋体" w:cs="Times New Roman"/>
          <w:b/>
          <w:sz w:val="32"/>
          <w:szCs w:val="32"/>
        </w:rPr>
        <w:t>中国重汽集团国际有限公司</w:t>
      </w:r>
    </w:p>
    <w:p w14:paraId="33419620">
      <w:pPr>
        <w:ind w:firstLine="3373" w:firstLineChars="1400"/>
        <w:rPr>
          <w:rFonts w:ascii="Times New Roman" w:hAnsi="Times New Roman" w:eastAsia="宋体" w:cs="Times New Roman"/>
          <w:b/>
          <w:color w:val="000000" w:themeColor="text1"/>
          <w:sz w:val="24"/>
          <w:szCs w:val="24"/>
          <w:lang w:val="ru-RU"/>
          <w14:textFill>
            <w14:solidFill>
              <w14:schemeClr w14:val="tx1"/>
            </w14:solidFill>
          </w14:textFill>
        </w:rPr>
      </w:pPr>
    </w:p>
    <w:p w14:paraId="762926FC">
      <w:pPr>
        <w:jc w:val="center"/>
        <w:rPr>
          <w:rFonts w:ascii="Times New Roman" w:hAnsi="Times New Roman" w:eastAsia="Times New Roman" w:cs="Times New Roman"/>
          <w:sz w:val="32"/>
          <w:lang w:val="ru-RU"/>
        </w:rPr>
      </w:pPr>
      <w:r>
        <w:rPr>
          <w:rFonts w:ascii="Times New Roman" w:hAnsi="Times New Roman" w:eastAsia="宋体" w:cs="Times New Roman"/>
          <w:b/>
          <w:sz w:val="32"/>
          <w:szCs w:val="32"/>
        </w:rPr>
        <w:t>日期</w:t>
      </w:r>
      <w:r>
        <w:rPr>
          <w:rFonts w:ascii="Times New Roman" w:hAnsi="Times New Roman" w:eastAsia="宋体" w:cs="Times New Roman"/>
          <w:b/>
          <w:sz w:val="32"/>
          <w:szCs w:val="32"/>
          <w:lang w:val="ru-RU"/>
        </w:rPr>
        <w:t>：</w:t>
      </w:r>
      <w:r>
        <w:rPr>
          <w:rFonts w:ascii="Times New Roman" w:hAnsi="Times New Roman" w:eastAsia="宋体" w:cs="Times New Roman"/>
          <w:b/>
          <w:sz w:val="32"/>
          <w:szCs w:val="32"/>
        </w:rPr>
        <w:t>二〇二</w:t>
      </w:r>
      <w:r>
        <w:rPr>
          <w:rFonts w:hint="eastAsia" w:ascii="Times New Roman" w:hAnsi="Times New Roman" w:eastAsia="宋体" w:cs="Times New Roman"/>
          <w:b/>
          <w:sz w:val="32"/>
          <w:szCs w:val="32"/>
          <w:lang w:val="en-US" w:eastAsia="zh-CN"/>
        </w:rPr>
        <w:t>五</w:t>
      </w:r>
      <w:r>
        <w:rPr>
          <w:rFonts w:ascii="Times New Roman" w:hAnsi="Times New Roman" w:eastAsia="宋体" w:cs="Times New Roman"/>
          <w:b/>
          <w:sz w:val="32"/>
          <w:szCs w:val="32"/>
        </w:rPr>
        <w:t>年</w:t>
      </w:r>
      <w:r>
        <w:rPr>
          <w:rFonts w:hint="eastAsia" w:ascii="Times New Roman" w:hAnsi="Times New Roman" w:eastAsia="宋体" w:cs="Times New Roman"/>
          <w:b/>
          <w:sz w:val="32"/>
          <w:szCs w:val="32"/>
          <w:lang w:val="en-US" w:eastAsia="zh-CN"/>
        </w:rPr>
        <w:t>十二</w:t>
      </w:r>
      <w:r>
        <w:rPr>
          <w:rFonts w:ascii="Times New Roman" w:hAnsi="Times New Roman" w:eastAsia="宋体" w:cs="Times New Roman"/>
          <w:b/>
          <w:sz w:val="32"/>
          <w:szCs w:val="32"/>
        </w:rPr>
        <w:t>月</w:t>
      </w:r>
    </w:p>
    <w:p w14:paraId="23C977D3">
      <w:pPr>
        <w:jc w:val="center"/>
        <w:rPr>
          <w:rFonts w:ascii="Times New Roman" w:hAnsi="Times New Roman" w:eastAsia="Times New Roman" w:cs="Times New Roman"/>
          <w:b/>
          <w:sz w:val="32"/>
          <w:lang w:val="ru-RU"/>
        </w:rPr>
      </w:pPr>
      <w:r>
        <w:rPr>
          <w:rFonts w:ascii="Times New Roman" w:hAnsi="Times New Roman" w:eastAsia="Times New Roman" w:cs="Times New Roman"/>
          <w:b/>
          <w:sz w:val="32"/>
          <w:lang w:val="ru-RU"/>
        </w:rPr>
        <w:br w:type="page"/>
      </w:r>
    </w:p>
    <w:p w14:paraId="32CA7E54">
      <w:pPr>
        <w:pStyle w:val="22"/>
        <w:tabs>
          <w:tab w:val="left" w:pos="862"/>
        </w:tabs>
        <w:spacing w:line="360" w:lineRule="auto"/>
        <w:ind w:firstLine="0" w:firstLineChars="0"/>
        <w:contextualSpacing/>
        <w:outlineLvl w:val="0"/>
        <w:rPr>
          <w:rFonts w:ascii="Times New Roman" w:hAnsi="Times New Roman" w:cs="Times New Roman"/>
          <w:b/>
          <w:sz w:val="28"/>
          <w:lang w:val="ru-RU"/>
        </w:rPr>
      </w:pPr>
      <w:r>
        <w:rPr>
          <w:rFonts w:ascii="Times New Roman" w:hAnsi="Times New Roman" w:eastAsia="仿宋" w:cs="Times New Roman"/>
          <w:b/>
          <w:sz w:val="28"/>
          <w:szCs w:val="28"/>
        </w:rPr>
        <w:t>一、投标人须知</w:t>
      </w:r>
    </w:p>
    <w:p w14:paraId="1771DDFC">
      <w:pPr>
        <w:pStyle w:val="22"/>
        <w:spacing w:line="360" w:lineRule="auto"/>
        <w:ind w:firstLine="560"/>
        <w:contextualSpacing/>
        <w:rPr>
          <w:rFonts w:ascii="Times New Roman" w:hAnsi="Times New Roman" w:eastAsia="仿宋" w:cs="Times New Roman"/>
          <w:bCs/>
          <w:color w:val="FF0000"/>
          <w:sz w:val="32"/>
          <w:lang w:val="ru-RU"/>
        </w:rPr>
      </w:pPr>
      <w:r>
        <w:rPr>
          <w:rFonts w:hint="eastAsia" w:ascii="Times New Roman" w:hAnsi="Times New Roman" w:eastAsia="仿宋" w:cs="Times New Roman"/>
          <w:sz w:val="28"/>
          <w:szCs w:val="28"/>
          <w:lang w:val="ru-RU"/>
        </w:rPr>
        <w:t>1.</w:t>
      </w:r>
      <w:r>
        <w:rPr>
          <w:rFonts w:ascii="Times New Roman" w:hAnsi="Times New Roman" w:eastAsia="仿宋" w:cs="Times New Roman"/>
          <w:sz w:val="28"/>
          <w:szCs w:val="28"/>
        </w:rPr>
        <w:t>招标人</w:t>
      </w:r>
      <w:r>
        <w:rPr>
          <w:rFonts w:ascii="Times New Roman" w:hAnsi="Times New Roman" w:eastAsia="仿宋" w:cs="Times New Roman"/>
          <w:sz w:val="28"/>
          <w:szCs w:val="28"/>
          <w:lang w:val="ru-RU"/>
        </w:rPr>
        <w:t>：</w:t>
      </w:r>
      <w:r>
        <w:rPr>
          <w:rFonts w:hint="eastAsia" w:ascii="仿宋" w:hAnsi="仿宋" w:eastAsia="仿宋" w:cs="仿宋"/>
          <w:sz w:val="28"/>
          <w:szCs w:val="28"/>
        </w:rPr>
        <w:t>中国重汽集团国际有限公司</w:t>
      </w:r>
    </w:p>
    <w:p w14:paraId="5679CDE4">
      <w:pPr>
        <w:pStyle w:val="22"/>
        <w:spacing w:line="360" w:lineRule="auto"/>
        <w:ind w:firstLine="560"/>
        <w:contextualSpacing/>
        <w:rPr>
          <w:rFonts w:hint="default" w:ascii="Times New Roman" w:hAnsi="Times New Roman" w:eastAsia="仿宋" w:cs="Times New Roman"/>
          <w:sz w:val="28"/>
          <w:lang w:val="en-US" w:eastAsia="zh-CN"/>
        </w:rPr>
      </w:pPr>
      <w:r>
        <w:rPr>
          <w:rFonts w:ascii="Times New Roman" w:hAnsi="Times New Roman" w:eastAsia="仿宋" w:cs="Times New Roman"/>
          <w:sz w:val="28"/>
          <w:szCs w:val="28"/>
          <w:lang w:val="ru-RU"/>
        </w:rPr>
        <w:t>2.</w:t>
      </w:r>
      <w:r>
        <w:rPr>
          <w:rFonts w:ascii="Times New Roman" w:hAnsi="Times New Roman" w:eastAsia="仿宋" w:cs="Times New Roman"/>
          <w:sz w:val="28"/>
          <w:szCs w:val="28"/>
        </w:rPr>
        <w:t>项目名称</w:t>
      </w:r>
      <w:r>
        <w:rPr>
          <w:rFonts w:ascii="Times New Roman" w:hAnsi="Times New Roman" w:eastAsia="仿宋" w:cs="Times New Roman"/>
          <w:sz w:val="28"/>
          <w:szCs w:val="28"/>
          <w:lang w:val="ru-RU"/>
        </w:rPr>
        <w:t>：</w:t>
      </w:r>
      <w:r>
        <w:rPr>
          <w:rFonts w:hint="eastAsia" w:ascii="Times New Roman" w:hAnsi="Times New Roman" w:eastAsia="仿宋" w:cs="Times New Roman"/>
          <w:sz w:val="28"/>
          <w:szCs w:val="28"/>
        </w:rPr>
        <w:t>中国重汽</w:t>
      </w:r>
      <w:r>
        <w:rPr>
          <w:rFonts w:hint="eastAsia" w:ascii="Times New Roman" w:hAnsi="Times New Roman" w:eastAsia="仿宋" w:cs="Times New Roman"/>
          <w:sz w:val="28"/>
          <w:szCs w:val="28"/>
          <w:lang w:val="en-US" w:eastAsia="zh-CN"/>
        </w:rPr>
        <w:t>集团出口系统2026年会</w:t>
      </w:r>
    </w:p>
    <w:p w14:paraId="3EECCB55">
      <w:pPr>
        <w:pStyle w:val="22"/>
        <w:spacing w:line="360" w:lineRule="auto"/>
        <w:ind w:firstLine="560"/>
        <w:contextualSpacing/>
        <w:rPr>
          <w:rFonts w:ascii="Times New Roman" w:hAnsi="Times New Roman" w:cs="Times New Roman"/>
          <w:sz w:val="28"/>
        </w:rPr>
      </w:pPr>
      <w:r>
        <w:rPr>
          <w:rFonts w:ascii="Times New Roman" w:hAnsi="Times New Roman" w:eastAsia="仿宋" w:cs="Times New Roman"/>
          <w:sz w:val="28"/>
          <w:szCs w:val="28"/>
        </w:rPr>
        <w:t>3.投标内容：</w:t>
      </w:r>
      <w:r>
        <w:rPr>
          <w:rFonts w:hint="eastAsia" w:ascii="Times New Roman" w:hAnsi="Times New Roman" w:eastAsia="仿宋" w:cs="Times New Roman"/>
          <w:sz w:val="28"/>
          <w:szCs w:val="28"/>
          <w:lang w:val="en-US" w:eastAsia="zh-CN"/>
        </w:rPr>
        <w:t>活动总体策划、</w:t>
      </w:r>
      <w:r>
        <w:rPr>
          <w:rFonts w:ascii="Times New Roman" w:hAnsi="Times New Roman" w:eastAsia="仿宋" w:cs="Times New Roman"/>
          <w:sz w:val="28"/>
          <w:szCs w:val="28"/>
        </w:rPr>
        <w:t>物料制作、</w:t>
      </w:r>
      <w:r>
        <w:rPr>
          <w:rFonts w:hint="eastAsia" w:ascii="Times New Roman" w:hAnsi="Times New Roman" w:eastAsia="仿宋" w:cs="Times New Roman"/>
          <w:sz w:val="28"/>
          <w:szCs w:val="28"/>
          <w:lang w:val="en-US" w:eastAsia="zh-CN"/>
        </w:rPr>
        <w:t>视频拍摄及剪辑、会议</w:t>
      </w:r>
      <w:r>
        <w:rPr>
          <w:rFonts w:ascii="Times New Roman" w:hAnsi="Times New Roman" w:eastAsia="仿宋" w:cs="Times New Roman"/>
          <w:sz w:val="28"/>
          <w:szCs w:val="28"/>
        </w:rPr>
        <w:t>搭建</w:t>
      </w:r>
      <w:r>
        <w:rPr>
          <w:rFonts w:hint="eastAsia" w:ascii="Times New Roman" w:hAnsi="Times New Roman" w:eastAsia="仿宋" w:cs="Times New Roman"/>
          <w:sz w:val="28"/>
          <w:szCs w:val="28"/>
          <w:lang w:eastAsia="zh-CN"/>
        </w:rPr>
        <w:t>、</w:t>
      </w:r>
      <w:r>
        <w:rPr>
          <w:rFonts w:hint="eastAsia" w:ascii="Times New Roman" w:hAnsi="Times New Roman" w:eastAsia="仿宋" w:cs="Times New Roman"/>
          <w:sz w:val="28"/>
          <w:szCs w:val="28"/>
          <w:lang w:val="en-US" w:eastAsia="zh-CN"/>
        </w:rPr>
        <w:t>晚宴策划组织</w:t>
      </w:r>
      <w:r>
        <w:rPr>
          <w:rFonts w:hint="eastAsia" w:ascii="Times New Roman" w:hAnsi="Times New Roman" w:eastAsia="仿宋" w:cs="Times New Roman"/>
          <w:sz w:val="28"/>
          <w:szCs w:val="28"/>
        </w:rPr>
        <w:t>等</w:t>
      </w:r>
      <w:r>
        <w:rPr>
          <w:rFonts w:ascii="Times New Roman" w:hAnsi="Times New Roman" w:eastAsia="仿宋" w:cs="Times New Roman"/>
          <w:sz w:val="28"/>
          <w:szCs w:val="28"/>
        </w:rPr>
        <w:t>相关服务。</w:t>
      </w:r>
    </w:p>
    <w:p w14:paraId="0F8A1438">
      <w:pPr>
        <w:pStyle w:val="22"/>
        <w:spacing w:line="360" w:lineRule="auto"/>
        <w:ind w:firstLine="560"/>
        <w:contextualSpacing/>
        <w:rPr>
          <w:rFonts w:hint="default" w:ascii="Times New Roman" w:hAnsi="Times New Roman" w:eastAsia="仿宋" w:cs="Times New Roman"/>
          <w:sz w:val="28"/>
          <w:szCs w:val="28"/>
          <w:lang w:val="en-US" w:eastAsia="zh-CN"/>
        </w:rPr>
      </w:pPr>
      <w:r>
        <w:rPr>
          <w:rFonts w:ascii="Times New Roman" w:hAnsi="Times New Roman" w:eastAsia="仿宋" w:cs="Times New Roman"/>
          <w:sz w:val="28"/>
          <w:szCs w:val="28"/>
          <w:lang w:val="ru-RU"/>
        </w:rPr>
        <w:t>4.</w:t>
      </w:r>
      <w:r>
        <w:rPr>
          <w:rFonts w:hint="eastAsia" w:ascii="Times New Roman" w:hAnsi="Times New Roman" w:eastAsia="仿宋" w:cs="Times New Roman"/>
          <w:sz w:val="28"/>
          <w:szCs w:val="28"/>
          <w:lang w:val="en-US" w:eastAsia="zh-CN"/>
        </w:rPr>
        <w:t>项目周期</w:t>
      </w:r>
      <w:r>
        <w:rPr>
          <w:rFonts w:ascii="Times New Roman" w:hAnsi="Times New Roman" w:eastAsia="仿宋" w:cs="Times New Roman"/>
          <w:sz w:val="28"/>
          <w:szCs w:val="28"/>
          <w:lang w:val="ru-RU"/>
        </w:rPr>
        <w:t>：</w:t>
      </w:r>
      <w:r>
        <w:rPr>
          <w:rFonts w:hint="eastAsia" w:ascii="Times New Roman" w:hAnsi="Times New Roman" w:eastAsia="仿宋" w:cs="Times New Roman"/>
          <w:sz w:val="28"/>
          <w:szCs w:val="28"/>
          <w:lang w:val="en-US" w:eastAsia="zh-CN"/>
        </w:rPr>
        <w:t>2025年12月-2026年2月。</w:t>
      </w:r>
    </w:p>
    <w:p w14:paraId="5A99CB20">
      <w:pPr>
        <w:pStyle w:val="22"/>
        <w:spacing w:line="360" w:lineRule="auto"/>
        <w:ind w:firstLine="560"/>
        <w:contextualSpacing/>
        <w:rPr>
          <w:rFonts w:ascii="Times New Roman" w:hAnsi="Times New Roman" w:eastAsia="仿宋" w:cs="Times New Roman"/>
          <w:sz w:val="28"/>
          <w:szCs w:val="28"/>
        </w:rPr>
      </w:pPr>
      <w:r>
        <w:rPr>
          <w:rFonts w:ascii="Times New Roman" w:hAnsi="Times New Roman" w:eastAsia="仿宋" w:cs="Times New Roman"/>
          <w:sz w:val="28"/>
          <w:szCs w:val="28"/>
          <w:lang w:val="ru-RU"/>
        </w:rPr>
        <w:t>5.</w:t>
      </w:r>
      <w:r>
        <w:rPr>
          <w:rFonts w:ascii="Times New Roman" w:hAnsi="Times New Roman" w:eastAsia="仿宋" w:cs="Times New Roman"/>
          <w:sz w:val="28"/>
          <w:szCs w:val="28"/>
        </w:rPr>
        <w:t>报价方式</w:t>
      </w:r>
      <w:r>
        <w:rPr>
          <w:rFonts w:ascii="Times New Roman" w:hAnsi="Times New Roman" w:eastAsia="仿宋" w:cs="Times New Roman"/>
          <w:sz w:val="28"/>
          <w:szCs w:val="28"/>
          <w:lang w:val="ru-RU"/>
        </w:rPr>
        <w:t>：</w:t>
      </w:r>
      <w:r>
        <w:rPr>
          <w:rFonts w:hint="eastAsia" w:ascii="Times New Roman" w:hAnsi="Times New Roman" w:eastAsia="仿宋" w:cs="Times New Roman"/>
          <w:sz w:val="28"/>
          <w:szCs w:val="28"/>
        </w:rPr>
        <w:t>人民币</w:t>
      </w:r>
      <w:r>
        <w:rPr>
          <w:rFonts w:hint="eastAsia" w:ascii="Times New Roman" w:hAnsi="Times New Roman" w:eastAsia="仿宋" w:cs="Times New Roman"/>
          <w:sz w:val="28"/>
          <w:szCs w:val="28"/>
          <w:lang w:eastAsia="zh-CN"/>
        </w:rPr>
        <w:t>，</w:t>
      </w:r>
      <w:r>
        <w:rPr>
          <w:rFonts w:hint="eastAsia" w:ascii="Times New Roman" w:hAnsi="Times New Roman" w:eastAsia="仿宋" w:cs="Times New Roman"/>
          <w:sz w:val="28"/>
          <w:szCs w:val="28"/>
          <w:lang w:val="en-US" w:eastAsia="zh-CN"/>
        </w:rPr>
        <w:t>未税及含税价</w:t>
      </w:r>
      <w:r>
        <w:rPr>
          <w:rFonts w:hint="eastAsia" w:ascii="Times New Roman" w:hAnsi="Times New Roman" w:eastAsia="仿宋" w:cs="Times New Roman"/>
          <w:sz w:val="28"/>
          <w:szCs w:val="28"/>
          <w:lang w:eastAsia="zh-CN"/>
        </w:rPr>
        <w:t>，</w:t>
      </w:r>
      <w:r>
        <w:rPr>
          <w:rFonts w:ascii="Times New Roman" w:hAnsi="Times New Roman" w:eastAsia="仿宋" w:cs="Times New Roman"/>
          <w:sz w:val="28"/>
          <w:szCs w:val="28"/>
        </w:rPr>
        <w:t>报价应包括合同签订到项目执行完成验收周期内所包含的一切费用</w:t>
      </w:r>
      <w:r>
        <w:rPr>
          <w:rFonts w:ascii="Times New Roman" w:hAnsi="Times New Roman" w:eastAsia="仿宋" w:cs="Times New Roman"/>
          <w:sz w:val="28"/>
          <w:szCs w:val="28"/>
          <w:lang w:val="ru-RU"/>
        </w:rPr>
        <w:t>（</w:t>
      </w:r>
      <w:r>
        <w:rPr>
          <w:rFonts w:hint="eastAsia" w:ascii="Times New Roman" w:hAnsi="Times New Roman" w:eastAsia="仿宋" w:cs="Times New Roman"/>
          <w:sz w:val="28"/>
          <w:szCs w:val="28"/>
          <w:lang w:val="en-US" w:eastAsia="zh-CN"/>
        </w:rPr>
        <w:t>可参考标的内容</w:t>
      </w:r>
      <w:r>
        <w:rPr>
          <w:rFonts w:ascii="Times New Roman" w:hAnsi="Times New Roman" w:eastAsia="仿宋" w:cs="Times New Roman"/>
          <w:sz w:val="28"/>
          <w:szCs w:val="28"/>
          <w:lang w:val="ru-RU"/>
        </w:rPr>
        <w:t>）</w:t>
      </w:r>
      <w:r>
        <w:rPr>
          <w:rFonts w:ascii="Times New Roman" w:hAnsi="Times New Roman" w:eastAsia="仿宋" w:cs="Times New Roman"/>
          <w:sz w:val="28"/>
          <w:szCs w:val="28"/>
        </w:rPr>
        <w:t>。</w:t>
      </w:r>
    </w:p>
    <w:p w14:paraId="78FB5189">
      <w:pPr>
        <w:pStyle w:val="22"/>
        <w:spacing w:line="360" w:lineRule="auto"/>
        <w:ind w:firstLine="560"/>
        <w:contextualSpacing/>
        <w:rPr>
          <w:rFonts w:ascii="Times New Roman" w:hAnsi="Times New Roman" w:eastAsia="仿宋" w:cs="Times New Roman"/>
          <w:sz w:val="28"/>
          <w:szCs w:val="28"/>
        </w:rPr>
      </w:pPr>
      <w:r>
        <w:rPr>
          <w:rFonts w:hint="eastAsia" w:ascii="Times New Roman" w:hAnsi="Times New Roman" w:eastAsia="仿宋" w:cs="Times New Roman"/>
          <w:sz w:val="28"/>
          <w:szCs w:val="28"/>
        </w:rPr>
        <w:t>6.招标方式：</w:t>
      </w:r>
      <w:r>
        <w:rPr>
          <w:rFonts w:hint="eastAsia" w:ascii="Times New Roman" w:hAnsi="Times New Roman" w:eastAsia="仿宋" w:cs="Times New Roman"/>
          <w:sz w:val="28"/>
          <w:szCs w:val="28"/>
          <w:lang w:val="en-US" w:eastAsia="zh-CN"/>
        </w:rPr>
        <w:t>公开</w:t>
      </w:r>
      <w:r>
        <w:rPr>
          <w:rFonts w:hint="eastAsia" w:ascii="Times New Roman" w:hAnsi="Times New Roman" w:eastAsia="仿宋" w:cs="Times New Roman"/>
          <w:sz w:val="28"/>
          <w:szCs w:val="28"/>
        </w:rPr>
        <w:t>招标</w:t>
      </w:r>
    </w:p>
    <w:p w14:paraId="70B73BA4">
      <w:pPr>
        <w:pStyle w:val="22"/>
        <w:spacing w:line="360" w:lineRule="auto"/>
        <w:ind w:firstLine="560"/>
        <w:contextualSpacing/>
        <w:rPr>
          <w:rFonts w:ascii="Times New Roman" w:hAnsi="Times New Roman" w:eastAsia="仿宋" w:cs="Times New Roman"/>
          <w:sz w:val="28"/>
          <w:szCs w:val="28"/>
          <w:lang w:val="ru-RU"/>
        </w:rPr>
      </w:pPr>
      <w:r>
        <w:rPr>
          <w:rFonts w:hint="eastAsia" w:ascii="Times New Roman" w:hAnsi="Times New Roman" w:eastAsia="仿宋" w:cs="Times New Roman"/>
          <w:sz w:val="28"/>
          <w:szCs w:val="28"/>
        </w:rPr>
        <w:t>7.招标文件获取：</w:t>
      </w:r>
      <w:r>
        <w:rPr>
          <w:rFonts w:hint="eastAsia" w:ascii="仿宋" w:hAnsi="仿宋" w:eastAsia="仿宋"/>
          <w:sz w:val="28"/>
          <w:szCs w:val="28"/>
        </w:rPr>
        <w:t>招标人将本项目有关招标文件，通过重汽e采通平</w:t>
      </w:r>
      <w:r>
        <w:rPr>
          <w:rFonts w:hint="eastAsia" w:ascii="Times New Roman" w:hAnsi="Times New Roman" w:eastAsia="仿宋" w:cs="Times New Roman"/>
          <w:sz w:val="28"/>
          <w:szCs w:val="28"/>
        </w:rPr>
        <w:t>台进行公布，具体</w:t>
      </w:r>
      <w:r>
        <w:rPr>
          <w:rFonts w:hint="eastAsia" w:ascii="Times New Roman" w:hAnsi="Times New Roman" w:eastAsia="仿宋" w:cs="Times New Roman"/>
          <w:sz w:val="28"/>
          <w:szCs w:val="28"/>
          <w:lang w:val="en-US" w:eastAsia="zh-CN"/>
        </w:rPr>
        <w:t>内容参见附件《</w:t>
      </w:r>
      <w:r>
        <w:rPr>
          <w:rFonts w:hint="eastAsia" w:ascii="Times New Roman" w:hAnsi="Times New Roman" w:eastAsia="仿宋" w:cs="Times New Roman"/>
          <w:sz w:val="28"/>
          <w:szCs w:val="28"/>
        </w:rPr>
        <w:t>SRM非生产供应商注册操作手册</w:t>
      </w:r>
      <w:r>
        <w:rPr>
          <w:rFonts w:hint="eastAsia" w:ascii="Times New Roman" w:hAnsi="Times New Roman" w:eastAsia="仿宋" w:cs="Times New Roman"/>
          <w:sz w:val="28"/>
          <w:szCs w:val="28"/>
          <w:lang w:eastAsia="zh-CN"/>
        </w:rPr>
        <w:t>》</w:t>
      </w:r>
      <w:r>
        <w:rPr>
          <w:rFonts w:hint="eastAsia" w:ascii="Times New Roman" w:hAnsi="Times New Roman" w:eastAsia="仿宋" w:cs="Times New Roman"/>
          <w:sz w:val="28"/>
          <w:szCs w:val="28"/>
        </w:rPr>
        <w:t>。</w:t>
      </w:r>
    </w:p>
    <w:p w14:paraId="3453FBFF">
      <w:pPr>
        <w:pStyle w:val="22"/>
        <w:spacing w:line="360" w:lineRule="auto"/>
        <w:ind w:firstLine="560"/>
        <w:contextualSpacing/>
        <w:rPr>
          <w:rFonts w:ascii="Times New Roman" w:hAnsi="Times New Roman" w:cs="Times New Roman"/>
          <w:sz w:val="28"/>
        </w:rPr>
      </w:pPr>
      <w:r>
        <w:rPr>
          <w:rFonts w:hint="eastAsia" w:ascii="Times New Roman" w:hAnsi="Times New Roman" w:eastAsia="仿宋" w:cs="Times New Roman"/>
          <w:sz w:val="28"/>
          <w:szCs w:val="28"/>
        </w:rPr>
        <w:t>8</w:t>
      </w:r>
      <w:r>
        <w:rPr>
          <w:rFonts w:ascii="Times New Roman" w:hAnsi="Times New Roman" w:eastAsia="仿宋" w:cs="Times New Roman"/>
          <w:sz w:val="28"/>
          <w:szCs w:val="28"/>
        </w:rPr>
        <w:t>.投标截止</w:t>
      </w:r>
      <w:r>
        <w:rPr>
          <w:rFonts w:ascii="Times New Roman" w:hAnsi="Times New Roman" w:eastAsia="仿宋" w:cs="Times New Roman"/>
          <w:color w:val="000000"/>
          <w:sz w:val="28"/>
          <w:szCs w:val="28"/>
        </w:rPr>
        <w:t>：原则上为开标会前一自然日截止，具体另行通知</w:t>
      </w:r>
      <w:r>
        <w:rPr>
          <w:rFonts w:ascii="Times New Roman" w:hAnsi="Times New Roman" w:eastAsia="仿宋" w:cs="Times New Roman"/>
          <w:sz w:val="28"/>
          <w:szCs w:val="28"/>
        </w:rPr>
        <w:t>。</w:t>
      </w:r>
    </w:p>
    <w:p w14:paraId="685A0A62">
      <w:pPr>
        <w:pStyle w:val="22"/>
        <w:spacing w:line="360" w:lineRule="auto"/>
        <w:ind w:firstLine="560"/>
        <w:contextualSpacing/>
        <w:rPr>
          <w:rFonts w:ascii="Times New Roman" w:hAnsi="Times New Roman" w:cs="Times New Roman"/>
          <w:sz w:val="28"/>
          <w:lang w:val="ru-RU"/>
        </w:rPr>
      </w:pPr>
      <w:r>
        <w:rPr>
          <w:rFonts w:ascii="Times New Roman" w:hAnsi="Times New Roman" w:eastAsia="仿宋" w:cs="Times New Roman"/>
          <w:sz w:val="28"/>
          <w:szCs w:val="28"/>
          <w:lang w:val="ru-RU"/>
        </w:rPr>
        <w:t>7.</w:t>
      </w:r>
      <w:r>
        <w:rPr>
          <w:rFonts w:ascii="Times New Roman" w:hAnsi="Times New Roman" w:eastAsia="仿宋" w:cs="Times New Roman"/>
          <w:sz w:val="28"/>
          <w:szCs w:val="28"/>
        </w:rPr>
        <w:t>开标</w:t>
      </w:r>
    </w:p>
    <w:p w14:paraId="614D460A">
      <w:pPr>
        <w:pStyle w:val="22"/>
        <w:spacing w:line="360" w:lineRule="auto"/>
        <w:ind w:firstLine="560"/>
        <w:contextualSpacing/>
        <w:rPr>
          <w:rFonts w:hint="default" w:ascii="Times New Roman" w:hAnsi="Times New Roman" w:eastAsia="仿宋" w:cs="Times New Roman"/>
          <w:sz w:val="28"/>
          <w:lang w:val="en-US" w:eastAsia="zh-CN"/>
        </w:rPr>
      </w:pPr>
      <w:r>
        <w:rPr>
          <w:rFonts w:ascii="Times New Roman" w:hAnsi="Times New Roman" w:eastAsia="仿宋" w:cs="Times New Roman"/>
          <w:sz w:val="28"/>
          <w:szCs w:val="28"/>
        </w:rPr>
        <w:t>时间</w:t>
      </w:r>
      <w:r>
        <w:rPr>
          <w:rFonts w:ascii="Times New Roman" w:hAnsi="Times New Roman" w:eastAsia="仿宋" w:cs="Times New Roman"/>
          <w:sz w:val="28"/>
          <w:szCs w:val="28"/>
          <w:lang w:val="ru-RU"/>
        </w:rPr>
        <w:t>：</w:t>
      </w:r>
      <w:r>
        <w:rPr>
          <w:rFonts w:hint="eastAsia" w:ascii="Times New Roman" w:hAnsi="Times New Roman" w:eastAsia="仿宋" w:cs="Times New Roman"/>
          <w:sz w:val="28"/>
          <w:szCs w:val="28"/>
          <w:lang w:val="en-US" w:eastAsia="zh-CN"/>
        </w:rPr>
        <w:t>2025年12月12日</w:t>
      </w:r>
    </w:p>
    <w:p w14:paraId="3E71ECC8">
      <w:pPr>
        <w:pStyle w:val="22"/>
        <w:spacing w:line="360" w:lineRule="auto"/>
        <w:ind w:firstLine="560"/>
        <w:contextualSpacing/>
        <w:rPr>
          <w:rFonts w:ascii="Times New Roman" w:hAnsi="Times New Roman" w:cs="Times New Roman"/>
          <w:sz w:val="28"/>
          <w:lang w:val="ru-RU"/>
        </w:rPr>
      </w:pPr>
      <w:r>
        <w:rPr>
          <w:rFonts w:ascii="Times New Roman" w:hAnsi="Times New Roman" w:eastAsia="仿宋" w:cs="Times New Roman"/>
          <w:sz w:val="28"/>
          <w:szCs w:val="28"/>
        </w:rPr>
        <w:t>地点</w:t>
      </w:r>
      <w:r>
        <w:rPr>
          <w:rFonts w:ascii="Times New Roman" w:hAnsi="Times New Roman" w:eastAsia="仿宋" w:cs="Times New Roman"/>
          <w:sz w:val="28"/>
          <w:szCs w:val="28"/>
          <w:lang w:val="ru-RU"/>
        </w:rPr>
        <w:t>：</w:t>
      </w:r>
      <w:r>
        <w:rPr>
          <w:rFonts w:hint="eastAsia" w:ascii="Times New Roman" w:hAnsi="Times New Roman" w:eastAsia="仿宋" w:cs="Times New Roman"/>
          <w:sz w:val="28"/>
          <w:szCs w:val="28"/>
          <w:lang w:val="en-US" w:eastAsia="zh-CN"/>
        </w:rPr>
        <w:t>科技大厦会议室（</w:t>
      </w:r>
      <w:r>
        <w:rPr>
          <w:rFonts w:ascii="Times New Roman" w:hAnsi="Times New Roman" w:eastAsia="仿宋" w:cs="Times New Roman"/>
          <w:sz w:val="28"/>
          <w:szCs w:val="28"/>
        </w:rPr>
        <w:t>具体另行通知</w:t>
      </w:r>
      <w:r>
        <w:rPr>
          <w:rFonts w:ascii="Times New Roman" w:hAnsi="Times New Roman" w:eastAsia="仿宋" w:cs="Times New Roman"/>
          <w:sz w:val="28"/>
          <w:szCs w:val="28"/>
          <w:lang w:val="ru-RU"/>
        </w:rPr>
        <w:t>）</w:t>
      </w:r>
    </w:p>
    <w:p w14:paraId="4842B46D">
      <w:pPr>
        <w:pStyle w:val="22"/>
        <w:spacing w:line="360" w:lineRule="auto"/>
        <w:ind w:firstLine="560"/>
        <w:contextualSpacing/>
        <w:rPr>
          <w:rFonts w:hint="default" w:ascii="Times New Roman" w:hAnsi="Times New Roman" w:eastAsia="仿宋" w:cs="Times New Roman"/>
          <w:sz w:val="28"/>
          <w:szCs w:val="28"/>
          <w:lang w:val="en-US" w:eastAsia="zh-CN"/>
        </w:rPr>
      </w:pPr>
      <w:r>
        <w:rPr>
          <w:rFonts w:hint="eastAsia" w:ascii="Times New Roman" w:hAnsi="Times New Roman" w:eastAsia="仿宋" w:cs="Times New Roman"/>
          <w:sz w:val="28"/>
          <w:szCs w:val="28"/>
          <w:lang w:val="en-US" w:eastAsia="zh-CN"/>
        </w:rPr>
        <w:t>8、</w:t>
      </w:r>
      <w:r>
        <w:rPr>
          <w:rFonts w:hint="eastAsia" w:ascii="Times New Roman" w:hAnsi="Times New Roman" w:eastAsia="仿宋" w:cs="Times New Roman"/>
          <w:sz w:val="28"/>
          <w:szCs w:val="28"/>
        </w:rPr>
        <w:t>标事宜联系人：</w:t>
      </w:r>
      <w:r>
        <w:rPr>
          <w:rFonts w:hint="eastAsia" w:ascii="Times New Roman" w:hAnsi="Times New Roman" w:eastAsia="仿宋" w:cs="Times New Roman"/>
          <w:sz w:val="28"/>
          <w:szCs w:val="28"/>
          <w:lang w:val="en-US" w:eastAsia="zh-CN"/>
        </w:rPr>
        <w:t>王瑄</w:t>
      </w:r>
    </w:p>
    <w:p w14:paraId="71154E14">
      <w:pPr>
        <w:pStyle w:val="22"/>
        <w:spacing w:line="360" w:lineRule="auto"/>
        <w:ind w:firstLine="560"/>
        <w:contextualSpacing/>
        <w:rPr>
          <w:rFonts w:hint="default" w:ascii="Times New Roman" w:hAnsi="Times New Roman" w:eastAsia="仿宋" w:cs="Times New Roman"/>
          <w:sz w:val="28"/>
          <w:szCs w:val="28"/>
          <w:lang w:val="en-US" w:eastAsia="zh-CN"/>
        </w:rPr>
      </w:pPr>
      <w:r>
        <w:rPr>
          <w:rFonts w:hint="eastAsia" w:ascii="Times New Roman" w:hAnsi="Times New Roman" w:eastAsia="仿宋" w:cs="Times New Roman"/>
          <w:sz w:val="28"/>
          <w:szCs w:val="28"/>
          <w:lang w:val="en-US" w:eastAsia="zh-CN"/>
        </w:rPr>
        <w:t>电话：17860605786</w:t>
      </w:r>
    </w:p>
    <w:p w14:paraId="412224C5">
      <w:pPr>
        <w:pStyle w:val="22"/>
        <w:spacing w:line="360" w:lineRule="auto"/>
        <w:ind w:firstLine="560"/>
        <w:contextualSpacing/>
        <w:rPr>
          <w:rFonts w:hint="eastAsia" w:ascii="Times New Roman" w:hAnsi="Times New Roman" w:eastAsia="仿宋" w:cs="Times New Roman"/>
          <w:sz w:val="28"/>
          <w:szCs w:val="28"/>
          <w:lang w:val="en-US" w:eastAsia="zh-CN"/>
        </w:rPr>
      </w:pPr>
      <w:r>
        <w:rPr>
          <w:rFonts w:hint="eastAsia" w:ascii="Times New Roman" w:hAnsi="Times New Roman" w:eastAsia="仿宋" w:cs="Times New Roman"/>
          <w:sz w:val="28"/>
          <w:szCs w:val="28"/>
          <w:lang w:val="en-US" w:eastAsia="zh-CN"/>
        </w:rPr>
        <w:t>邮箱：</w:t>
      </w:r>
      <w:r>
        <w:rPr>
          <w:rFonts w:hint="eastAsia" w:ascii="Times New Roman" w:hAnsi="Times New Roman" w:eastAsia="仿宋" w:cs="Times New Roman"/>
          <w:sz w:val="28"/>
          <w:szCs w:val="28"/>
          <w:lang w:val="en-US" w:eastAsia="zh-CN"/>
        </w:rPr>
        <w:fldChar w:fldCharType="begin"/>
      </w:r>
      <w:r>
        <w:rPr>
          <w:rFonts w:hint="eastAsia" w:ascii="Times New Roman" w:hAnsi="Times New Roman" w:eastAsia="仿宋" w:cs="Times New Roman"/>
          <w:sz w:val="28"/>
          <w:szCs w:val="28"/>
          <w:lang w:val="en-US" w:eastAsia="zh-CN"/>
        </w:rPr>
        <w:instrText xml:space="preserve"> HYPERLINK "mailto:lvyidi@sinotruk.com" </w:instrText>
      </w:r>
      <w:r>
        <w:rPr>
          <w:rFonts w:hint="eastAsia" w:ascii="Times New Roman" w:hAnsi="Times New Roman" w:eastAsia="仿宋" w:cs="Times New Roman"/>
          <w:sz w:val="28"/>
          <w:szCs w:val="28"/>
          <w:lang w:val="en-US" w:eastAsia="zh-CN"/>
        </w:rPr>
        <w:fldChar w:fldCharType="separate"/>
      </w:r>
      <w:r>
        <w:rPr>
          <w:rFonts w:hint="eastAsia" w:ascii="Times New Roman" w:hAnsi="Times New Roman" w:eastAsia="仿宋" w:cs="Times New Roman"/>
          <w:sz w:val="28"/>
          <w:szCs w:val="28"/>
          <w:lang w:val="en-US" w:eastAsia="zh-CN"/>
        </w:rPr>
        <w:t>wangxuan1@sinotruk.com</w:t>
      </w:r>
      <w:r>
        <w:rPr>
          <w:rFonts w:hint="eastAsia" w:ascii="Times New Roman" w:hAnsi="Times New Roman" w:eastAsia="仿宋" w:cs="Times New Roman"/>
          <w:sz w:val="28"/>
          <w:szCs w:val="28"/>
          <w:lang w:val="en-US" w:eastAsia="zh-CN"/>
        </w:rPr>
        <w:fldChar w:fldCharType="end"/>
      </w:r>
    </w:p>
    <w:p w14:paraId="2C61C685">
      <w:pPr>
        <w:pStyle w:val="22"/>
        <w:numPr>
          <w:ilvl w:val="0"/>
          <w:numId w:val="0"/>
        </w:numPr>
        <w:spacing w:line="360" w:lineRule="auto"/>
        <w:ind w:firstLine="560" w:firstLineChars="200"/>
        <w:contextualSpacing/>
        <w:rPr>
          <w:rFonts w:hint="default" w:ascii="Times New Roman" w:hAnsi="Times New Roman" w:eastAsia="仿宋" w:cs="Times New Roman"/>
          <w:sz w:val="28"/>
          <w:szCs w:val="28"/>
          <w:lang w:val="en-US" w:eastAsia="zh-CN"/>
        </w:rPr>
      </w:pPr>
      <w:r>
        <w:rPr>
          <w:rFonts w:hint="eastAsia" w:ascii="Times New Roman" w:hAnsi="Times New Roman" w:eastAsia="仿宋" w:cs="Times New Roman"/>
          <w:sz w:val="28"/>
          <w:szCs w:val="28"/>
          <w:lang w:val="en-US" w:eastAsia="zh-CN"/>
        </w:rPr>
        <w:t>项目了联系人</w:t>
      </w:r>
    </w:p>
    <w:p w14:paraId="64AEC1ED">
      <w:pPr>
        <w:pStyle w:val="22"/>
        <w:spacing w:line="360" w:lineRule="auto"/>
        <w:ind w:firstLine="560"/>
        <w:contextualSpacing/>
        <w:rPr>
          <w:rFonts w:ascii="Times New Roman" w:hAnsi="Times New Roman" w:eastAsia="仿宋" w:cs="Times New Roman"/>
          <w:sz w:val="28"/>
          <w:szCs w:val="28"/>
        </w:rPr>
      </w:pPr>
      <w:r>
        <w:rPr>
          <w:rFonts w:hint="eastAsia" w:ascii="Times New Roman" w:hAnsi="Times New Roman" w:eastAsia="仿宋" w:cs="Times New Roman"/>
          <w:sz w:val="28"/>
          <w:szCs w:val="28"/>
        </w:rPr>
        <w:t>技术：郭志刚</w:t>
      </w:r>
      <w:r>
        <w:rPr>
          <w:rFonts w:ascii="Times New Roman" w:hAnsi="Times New Roman" w:eastAsia="仿宋" w:cs="Times New Roman"/>
          <w:sz w:val="28"/>
          <w:szCs w:val="28"/>
        </w:rPr>
        <w:tab/>
      </w:r>
      <w:r>
        <w:rPr>
          <w:rFonts w:ascii="Times New Roman" w:hAnsi="Times New Roman" w:eastAsia="仿宋" w:cs="Times New Roman"/>
          <w:sz w:val="28"/>
          <w:szCs w:val="28"/>
        </w:rPr>
        <w:tab/>
      </w:r>
      <w:r>
        <w:rPr>
          <w:rFonts w:ascii="Times New Roman" w:hAnsi="Times New Roman" w:eastAsia="仿宋" w:cs="Times New Roman"/>
          <w:sz w:val="28"/>
          <w:szCs w:val="28"/>
        </w:rPr>
        <w:tab/>
      </w:r>
    </w:p>
    <w:p w14:paraId="0C79E4F3">
      <w:pPr>
        <w:pStyle w:val="22"/>
        <w:spacing w:line="360" w:lineRule="auto"/>
        <w:ind w:firstLine="560"/>
        <w:contextualSpacing/>
        <w:rPr>
          <w:rFonts w:ascii="Times New Roman" w:hAnsi="Times New Roman" w:eastAsia="仿宋" w:cs="Times New Roman"/>
          <w:sz w:val="28"/>
          <w:szCs w:val="28"/>
        </w:rPr>
      </w:pPr>
      <w:r>
        <w:rPr>
          <w:rFonts w:hint="eastAsia" w:ascii="Times New Roman" w:hAnsi="Times New Roman" w:eastAsia="仿宋" w:cs="Times New Roman"/>
          <w:sz w:val="28"/>
          <w:szCs w:val="28"/>
        </w:rPr>
        <w:t>电话：</w:t>
      </w:r>
      <w:r>
        <w:rPr>
          <w:rFonts w:ascii="Times New Roman" w:hAnsi="Times New Roman" w:eastAsia="仿宋" w:cs="Times New Roman"/>
          <w:sz w:val="28"/>
          <w:szCs w:val="28"/>
        </w:rPr>
        <w:t>15275137523</w:t>
      </w:r>
    </w:p>
    <w:p w14:paraId="2B238D1D">
      <w:pPr>
        <w:pStyle w:val="22"/>
        <w:tabs>
          <w:tab w:val="left" w:pos="862"/>
        </w:tabs>
        <w:spacing w:line="360" w:lineRule="auto"/>
        <w:ind w:firstLine="0" w:firstLineChars="0"/>
        <w:contextualSpacing/>
        <w:outlineLvl w:val="0"/>
        <w:rPr>
          <w:rFonts w:ascii="Times New Roman" w:hAnsi="Times New Roman" w:eastAsia="仿宋" w:cs="Times New Roman"/>
          <w:b/>
          <w:sz w:val="28"/>
          <w:szCs w:val="28"/>
          <w:lang w:val="ru-RU"/>
        </w:rPr>
      </w:pPr>
      <w:r>
        <w:rPr>
          <w:rFonts w:ascii="Times New Roman" w:hAnsi="Times New Roman" w:eastAsia="仿宋" w:cs="Times New Roman"/>
          <w:b/>
          <w:sz w:val="28"/>
          <w:szCs w:val="28"/>
        </w:rPr>
        <w:t>二、项目说明</w:t>
      </w:r>
    </w:p>
    <w:p w14:paraId="24A4CD99">
      <w:pPr>
        <w:pStyle w:val="22"/>
        <w:spacing w:line="360" w:lineRule="auto"/>
        <w:ind w:firstLineChars="0"/>
        <w:contextualSpacing/>
        <w:rPr>
          <w:rFonts w:hint="default" w:ascii="Times New Roman" w:hAnsi="Times New Roman" w:eastAsia="仿宋" w:cs="Times New Roman"/>
          <w:sz w:val="28"/>
          <w:szCs w:val="28"/>
          <w:lang w:val="en-US" w:eastAsia="zh-CN"/>
        </w:rPr>
      </w:pPr>
      <w:r>
        <w:rPr>
          <w:rFonts w:ascii="Times New Roman" w:hAnsi="Times New Roman" w:eastAsia="仿宋" w:cs="Times New Roman"/>
          <w:sz w:val="28"/>
          <w:szCs w:val="28"/>
          <w:lang w:val="ru-RU"/>
        </w:rPr>
        <w:t>1.</w:t>
      </w:r>
      <w:r>
        <w:rPr>
          <w:rFonts w:ascii="Times New Roman" w:hAnsi="Times New Roman" w:eastAsia="仿宋" w:cs="Times New Roman"/>
          <w:sz w:val="28"/>
          <w:szCs w:val="28"/>
        </w:rPr>
        <w:t>活动背景</w:t>
      </w:r>
      <w:r>
        <w:rPr>
          <w:rFonts w:ascii="Times New Roman" w:hAnsi="Times New Roman" w:eastAsia="仿宋" w:cs="Times New Roman"/>
          <w:sz w:val="28"/>
          <w:szCs w:val="28"/>
          <w:lang w:val="ru-RU"/>
        </w:rPr>
        <w:t>：</w:t>
      </w:r>
      <w:r>
        <w:rPr>
          <w:rFonts w:hint="eastAsia" w:ascii="Times New Roman" w:hAnsi="Times New Roman" w:eastAsia="仿宋" w:cs="Times New Roman"/>
          <w:sz w:val="28"/>
          <w:szCs w:val="28"/>
          <w:lang w:val="en-US" w:eastAsia="zh-CN"/>
        </w:rPr>
        <w:t>中国重汽出口业务近年来一直保持稳步快速增长态势，成绩的取得离不开团队及个人的努力。为表彰先进，提高团队凝聚力，为下一阶段发展加油鼓劲，特组织本次出口系统年会。</w:t>
      </w:r>
    </w:p>
    <w:p w14:paraId="584BA2D5">
      <w:pPr>
        <w:pStyle w:val="9"/>
        <w:widowControl/>
        <w:spacing w:line="360" w:lineRule="auto"/>
        <w:ind w:firstLine="560" w:firstLineChars="200"/>
        <w:contextualSpacing/>
        <w:jc w:val="both"/>
        <w:rPr>
          <w:rFonts w:hint="eastAsia" w:ascii="Times New Roman" w:hAnsi="Times New Roman" w:eastAsia="仿宋" w:cs="Times New Roman"/>
          <w:color w:val="000000" w:themeColor="text1"/>
          <w:sz w:val="28"/>
          <w:lang w:val="ru-RU" w:eastAsia="zh-CN"/>
          <w14:textFill>
            <w14:solidFill>
              <w14:schemeClr w14:val="tx1"/>
            </w14:solidFill>
          </w14:textFill>
        </w:rPr>
      </w:pPr>
      <w:r>
        <w:rPr>
          <w:rFonts w:hint="eastAsia" w:ascii="Times New Roman" w:hAnsi="Times New Roman" w:eastAsia="仿宋" w:cs="Times New Roman"/>
          <w:sz w:val="28"/>
          <w:szCs w:val="28"/>
          <w:lang w:val="ru-RU"/>
        </w:rPr>
        <w:t>2</w:t>
      </w:r>
      <w:r>
        <w:rPr>
          <w:rFonts w:ascii="Times New Roman" w:hAnsi="Times New Roman" w:eastAsia="仿宋" w:cs="Times New Roman"/>
          <w:sz w:val="28"/>
          <w:szCs w:val="28"/>
          <w:lang w:val="ru-RU"/>
        </w:rPr>
        <w:t>.</w:t>
      </w:r>
      <w:r>
        <w:rPr>
          <w:rFonts w:ascii="Times New Roman" w:hAnsi="Times New Roman" w:eastAsia="仿宋" w:cs="Times New Roman"/>
          <w:sz w:val="28"/>
          <w:szCs w:val="28"/>
        </w:rPr>
        <w:t>活动时间</w:t>
      </w:r>
      <w:r>
        <w:rPr>
          <w:rFonts w:ascii="Times New Roman" w:hAnsi="Times New Roman" w:eastAsia="仿宋" w:cs="Times New Roman"/>
          <w:sz w:val="28"/>
          <w:szCs w:val="28"/>
          <w:lang w:val="ru-RU"/>
        </w:rPr>
        <w:t>：202</w:t>
      </w:r>
      <w:r>
        <w:rPr>
          <w:rFonts w:hint="eastAsia" w:ascii="Times New Roman" w:hAnsi="Times New Roman" w:eastAsia="仿宋" w:cs="Times New Roman"/>
          <w:sz w:val="28"/>
          <w:szCs w:val="28"/>
          <w:lang w:val="en-US" w:eastAsia="zh-CN"/>
        </w:rPr>
        <w:t>6</w:t>
      </w:r>
      <w:r>
        <w:rPr>
          <w:rFonts w:ascii="Times New Roman" w:hAnsi="Times New Roman" w:eastAsia="仿宋" w:cs="Times New Roman"/>
          <w:sz w:val="28"/>
          <w:szCs w:val="28"/>
        </w:rPr>
        <w:t>年</w:t>
      </w:r>
      <w:r>
        <w:rPr>
          <w:rFonts w:hint="eastAsia" w:ascii="Times New Roman" w:hAnsi="Times New Roman" w:eastAsia="仿宋" w:cs="Times New Roman"/>
          <w:sz w:val="28"/>
          <w:szCs w:val="28"/>
          <w:lang w:val="en-US" w:eastAsia="zh-CN"/>
        </w:rPr>
        <w:t>2</w:t>
      </w:r>
      <w:r>
        <w:rPr>
          <w:rFonts w:ascii="Times New Roman" w:hAnsi="Times New Roman" w:eastAsia="仿宋" w:cs="Times New Roman"/>
          <w:sz w:val="28"/>
          <w:szCs w:val="28"/>
        </w:rPr>
        <w:t>月</w:t>
      </w:r>
      <w:r>
        <w:rPr>
          <w:rFonts w:hint="eastAsia" w:ascii="Times New Roman" w:hAnsi="Times New Roman" w:eastAsia="仿宋" w:cs="Times New Roman"/>
          <w:sz w:val="28"/>
          <w:szCs w:val="28"/>
          <w:lang w:val="en-US" w:eastAsia="zh-CN"/>
        </w:rPr>
        <w:t>6</w:t>
      </w:r>
      <w:r>
        <w:rPr>
          <w:rFonts w:hint="eastAsia" w:ascii="Times New Roman" w:hAnsi="Times New Roman" w:eastAsia="仿宋" w:cs="Times New Roman"/>
          <w:sz w:val="28"/>
          <w:szCs w:val="28"/>
          <w:lang w:val="ru-RU"/>
        </w:rPr>
        <w:t>日</w:t>
      </w:r>
      <w:r>
        <w:rPr>
          <w:rFonts w:hint="eastAsia" w:ascii="Times New Roman" w:hAnsi="Times New Roman" w:eastAsia="仿宋" w:cs="Times New Roman"/>
          <w:sz w:val="28"/>
          <w:szCs w:val="28"/>
          <w:lang w:val="ru-RU" w:eastAsia="zh-CN"/>
        </w:rPr>
        <w:t>。</w:t>
      </w:r>
      <w:r>
        <w:rPr>
          <w:rFonts w:hint="eastAsia" w:ascii="仿宋" w:hAnsi="仿宋" w:eastAsia="仿宋" w:cstheme="minorBidi"/>
          <w:kern w:val="2"/>
          <w:sz w:val="28"/>
          <w:szCs w:val="28"/>
          <w:lang w:val="en-US" w:eastAsia="zh-CN"/>
        </w:rPr>
        <w:t>预计</w:t>
      </w:r>
      <w:r>
        <w:rPr>
          <w:rFonts w:hint="eastAsia" w:ascii="仿宋" w:hAnsi="仿宋" w:eastAsia="仿宋" w:cstheme="minorBidi"/>
          <w:kern w:val="2"/>
          <w:sz w:val="28"/>
          <w:szCs w:val="28"/>
        </w:rPr>
        <w:t>安排</w:t>
      </w:r>
      <w:r>
        <w:rPr>
          <w:rFonts w:hint="eastAsia" w:ascii="仿宋" w:hAnsi="仿宋" w:eastAsia="仿宋" w:cstheme="minorBidi"/>
          <w:kern w:val="2"/>
          <w:sz w:val="28"/>
          <w:szCs w:val="28"/>
          <w:lang w:val="en-US" w:eastAsia="zh-CN"/>
        </w:rPr>
        <w:t>为2</w:t>
      </w:r>
      <w:r>
        <w:rPr>
          <w:rFonts w:hint="eastAsia" w:ascii="仿宋" w:hAnsi="仿宋" w:eastAsia="仿宋" w:cstheme="minorBidi"/>
          <w:kern w:val="2"/>
          <w:sz w:val="28"/>
          <w:szCs w:val="28"/>
        </w:rPr>
        <w:t>月</w:t>
      </w:r>
      <w:r>
        <w:rPr>
          <w:rFonts w:hint="eastAsia" w:ascii="仿宋" w:hAnsi="仿宋" w:eastAsia="仿宋" w:cstheme="minorBidi"/>
          <w:kern w:val="2"/>
          <w:sz w:val="28"/>
          <w:szCs w:val="28"/>
          <w:lang w:val="en-US" w:eastAsia="zh-CN"/>
        </w:rPr>
        <w:t>5</w:t>
      </w:r>
      <w:r>
        <w:rPr>
          <w:rFonts w:hint="eastAsia" w:ascii="仿宋" w:hAnsi="仿宋" w:eastAsia="仿宋" w:cstheme="minorBidi"/>
          <w:kern w:val="2"/>
          <w:sz w:val="28"/>
          <w:szCs w:val="28"/>
        </w:rPr>
        <w:t>日搭建</w:t>
      </w:r>
      <w:r>
        <w:rPr>
          <w:rFonts w:hint="eastAsia" w:ascii="仿宋" w:hAnsi="仿宋" w:eastAsia="仿宋" w:cstheme="minorBidi"/>
          <w:kern w:val="2"/>
          <w:sz w:val="28"/>
          <w:szCs w:val="28"/>
          <w:lang w:eastAsia="zh-CN"/>
        </w:rPr>
        <w:t>，</w:t>
      </w:r>
      <w:r>
        <w:rPr>
          <w:rFonts w:hint="eastAsia" w:ascii="仿宋" w:hAnsi="仿宋" w:eastAsia="仿宋" w:cstheme="minorBidi"/>
          <w:kern w:val="2"/>
          <w:sz w:val="28"/>
          <w:szCs w:val="28"/>
          <w:lang w:val="en-US" w:eastAsia="zh-CN"/>
        </w:rPr>
        <w:t>2</w:t>
      </w:r>
      <w:r>
        <w:rPr>
          <w:rFonts w:hint="eastAsia" w:ascii="仿宋" w:hAnsi="仿宋" w:eastAsia="仿宋" w:cstheme="minorBidi"/>
          <w:kern w:val="2"/>
          <w:sz w:val="28"/>
          <w:szCs w:val="28"/>
        </w:rPr>
        <w:t>月</w:t>
      </w:r>
      <w:r>
        <w:rPr>
          <w:rFonts w:hint="eastAsia" w:ascii="仿宋" w:hAnsi="仿宋" w:eastAsia="仿宋" w:cstheme="minorBidi"/>
          <w:kern w:val="2"/>
          <w:sz w:val="28"/>
          <w:szCs w:val="28"/>
          <w:lang w:val="en-US" w:eastAsia="zh-CN"/>
        </w:rPr>
        <w:t>6</w:t>
      </w:r>
      <w:r>
        <w:rPr>
          <w:rFonts w:hint="eastAsia" w:ascii="仿宋" w:hAnsi="仿宋" w:eastAsia="仿宋" w:cstheme="minorBidi"/>
          <w:kern w:val="2"/>
          <w:sz w:val="28"/>
          <w:szCs w:val="28"/>
        </w:rPr>
        <w:t>日</w:t>
      </w:r>
      <w:r>
        <w:rPr>
          <w:rFonts w:hint="eastAsia" w:ascii="仿宋" w:hAnsi="仿宋" w:eastAsia="仿宋" w:cstheme="minorBidi"/>
          <w:kern w:val="2"/>
          <w:sz w:val="28"/>
          <w:szCs w:val="28"/>
          <w:lang w:val="en-US" w:eastAsia="zh-CN"/>
        </w:rPr>
        <w:t>活动执行，2月7日</w:t>
      </w:r>
      <w:r>
        <w:rPr>
          <w:rFonts w:hint="eastAsia" w:ascii="Times New Roman" w:hAnsi="Times New Roman" w:eastAsia="仿宋" w:cs="Times New Roman"/>
          <w:sz w:val="28"/>
          <w:szCs w:val="28"/>
          <w:lang w:val="en-US" w:eastAsia="zh-CN"/>
        </w:rPr>
        <w:t>撤出</w:t>
      </w:r>
      <w:r>
        <w:rPr>
          <w:rFonts w:hint="eastAsia" w:ascii="仿宋" w:hAnsi="仿宋" w:eastAsia="仿宋" w:cstheme="minorBidi"/>
          <w:kern w:val="2"/>
          <w:sz w:val="28"/>
          <w:szCs w:val="28"/>
          <w:lang w:val="en-US" w:eastAsia="zh-CN"/>
        </w:rPr>
        <w:t>所有物料。</w:t>
      </w:r>
    </w:p>
    <w:p w14:paraId="4A0EE11E">
      <w:pPr>
        <w:pStyle w:val="22"/>
        <w:spacing w:line="360" w:lineRule="auto"/>
        <w:ind w:firstLineChars="0"/>
        <w:contextualSpacing/>
        <w:rPr>
          <w:rFonts w:hint="default" w:ascii="Times New Roman" w:hAnsi="Times New Roman" w:eastAsia="仿宋" w:cs="Times New Roman"/>
          <w:sz w:val="28"/>
          <w:szCs w:val="28"/>
          <w:lang w:val="en-US" w:eastAsia="zh-CN"/>
        </w:rPr>
      </w:pPr>
      <w:r>
        <w:rPr>
          <w:rFonts w:hint="eastAsia" w:ascii="Times New Roman" w:hAnsi="Times New Roman" w:eastAsia="仿宋" w:cs="Times New Roman"/>
          <w:sz w:val="28"/>
          <w:szCs w:val="28"/>
          <w:lang w:val="ru-RU"/>
        </w:rPr>
        <w:t>3</w:t>
      </w:r>
      <w:r>
        <w:rPr>
          <w:rFonts w:ascii="Times New Roman" w:hAnsi="Times New Roman" w:eastAsia="仿宋" w:cs="Times New Roman"/>
          <w:sz w:val="28"/>
          <w:szCs w:val="28"/>
          <w:lang w:val="ru-RU"/>
        </w:rPr>
        <w:t>.</w:t>
      </w:r>
      <w:r>
        <w:rPr>
          <w:rFonts w:ascii="Times New Roman" w:hAnsi="Times New Roman" w:eastAsia="仿宋" w:cs="Times New Roman"/>
          <w:sz w:val="28"/>
          <w:szCs w:val="28"/>
        </w:rPr>
        <w:t>活动地点</w:t>
      </w:r>
      <w:r>
        <w:rPr>
          <w:rFonts w:ascii="Times New Roman" w:hAnsi="Times New Roman" w:eastAsia="仿宋" w:cs="Times New Roman"/>
          <w:sz w:val="28"/>
          <w:szCs w:val="28"/>
          <w:lang w:val="ru-RU"/>
        </w:rPr>
        <w:t>：</w:t>
      </w:r>
      <w:r>
        <w:rPr>
          <w:rFonts w:hint="eastAsia" w:ascii="Times New Roman" w:hAnsi="Times New Roman" w:eastAsia="仿宋" w:cs="Times New Roman"/>
          <w:sz w:val="28"/>
          <w:szCs w:val="28"/>
          <w:lang w:val="en-US" w:eastAsia="zh-CN"/>
        </w:rPr>
        <w:t>中国重汽营销楼</w:t>
      </w:r>
      <w:r>
        <w:rPr>
          <w:rFonts w:hint="eastAsia" w:ascii="Times New Roman" w:hAnsi="Times New Roman" w:eastAsia="仿宋" w:cs="Times New Roman"/>
          <w:sz w:val="28"/>
          <w:szCs w:val="28"/>
          <w:lang w:val="ru-RU"/>
        </w:rPr>
        <w:t>礼堂、中国重汽博物馆、</w:t>
      </w:r>
      <w:r>
        <w:rPr>
          <w:rFonts w:hint="eastAsia" w:ascii="Times New Roman" w:hAnsi="Times New Roman" w:eastAsia="仿宋" w:cs="Times New Roman"/>
          <w:sz w:val="28"/>
          <w:szCs w:val="28"/>
          <w:lang w:val="en-US" w:eastAsia="zh-CN"/>
        </w:rPr>
        <w:t>科技大厦</w:t>
      </w:r>
      <w:r>
        <w:rPr>
          <w:rFonts w:hint="eastAsia" w:ascii="Times New Roman" w:hAnsi="Times New Roman" w:eastAsia="仿宋" w:cs="Times New Roman"/>
          <w:sz w:val="28"/>
          <w:szCs w:val="28"/>
          <w:lang w:val="ru-RU"/>
        </w:rPr>
        <w:t>负一楼餐厅</w:t>
      </w:r>
    </w:p>
    <w:p w14:paraId="0654AB0B">
      <w:pPr>
        <w:pStyle w:val="22"/>
        <w:spacing w:line="360" w:lineRule="auto"/>
        <w:ind w:firstLineChars="0"/>
        <w:contextualSpacing/>
        <w:rPr>
          <w:rFonts w:hint="default" w:ascii="Times New Roman" w:hAnsi="Times New Roman" w:eastAsia="仿宋" w:cs="Times New Roman"/>
          <w:sz w:val="28"/>
          <w:lang w:val="en-US" w:eastAsia="zh-CN"/>
        </w:rPr>
      </w:pPr>
      <w:r>
        <w:rPr>
          <w:rFonts w:hint="eastAsia" w:ascii="Times New Roman" w:hAnsi="Times New Roman" w:eastAsia="仿宋" w:cs="Times New Roman"/>
          <w:sz w:val="28"/>
          <w:szCs w:val="28"/>
          <w:lang w:val="ru-RU"/>
        </w:rPr>
        <w:t>4</w:t>
      </w:r>
      <w:r>
        <w:rPr>
          <w:rFonts w:ascii="Times New Roman" w:hAnsi="Times New Roman" w:eastAsia="仿宋" w:cs="Times New Roman"/>
          <w:sz w:val="28"/>
          <w:szCs w:val="28"/>
          <w:lang w:val="ru-RU"/>
        </w:rPr>
        <w:t>.</w:t>
      </w:r>
      <w:r>
        <w:rPr>
          <w:rFonts w:ascii="Times New Roman" w:hAnsi="Times New Roman" w:eastAsia="仿宋" w:cs="Times New Roman"/>
          <w:sz w:val="28"/>
          <w:szCs w:val="28"/>
        </w:rPr>
        <w:t>活动规模</w:t>
      </w:r>
      <w:r>
        <w:rPr>
          <w:rFonts w:ascii="Times New Roman" w:hAnsi="Times New Roman" w:eastAsia="仿宋" w:cs="Times New Roman"/>
          <w:sz w:val="28"/>
          <w:szCs w:val="28"/>
          <w:lang w:val="ru-RU"/>
        </w:rPr>
        <w:t>：</w:t>
      </w:r>
      <w:r>
        <w:rPr>
          <w:rFonts w:hint="eastAsia" w:ascii="Times New Roman" w:hAnsi="Times New Roman" w:eastAsia="仿宋" w:cs="Times New Roman"/>
          <w:sz w:val="28"/>
          <w:szCs w:val="28"/>
          <w:lang w:val="en-US" w:eastAsia="zh-CN"/>
        </w:rPr>
        <w:t>线下约720人</w:t>
      </w:r>
      <w:r>
        <w:rPr>
          <w:rFonts w:ascii="Times New Roman" w:hAnsi="Times New Roman" w:eastAsia="仿宋" w:cs="Times New Roman"/>
          <w:sz w:val="28"/>
          <w:szCs w:val="28"/>
          <w:lang w:val="ru-RU"/>
        </w:rPr>
        <w:t>（</w:t>
      </w:r>
      <w:r>
        <w:rPr>
          <w:rFonts w:hint="eastAsia" w:ascii="Times New Roman" w:hAnsi="Times New Roman" w:eastAsia="仿宋" w:cs="Times New Roman"/>
          <w:sz w:val="28"/>
          <w:szCs w:val="28"/>
          <w:lang w:val="en-US" w:eastAsia="zh-CN"/>
        </w:rPr>
        <w:t>含集团领导、集团相关部室、研发及生产单位、国际公司及大区部全体人员，获奖团队及个人的家属</w:t>
      </w:r>
      <w:r>
        <w:rPr>
          <w:rFonts w:ascii="Times New Roman" w:hAnsi="Times New Roman" w:eastAsia="仿宋" w:cs="Times New Roman"/>
          <w:sz w:val="28"/>
          <w:szCs w:val="28"/>
          <w:lang w:val="ru-RU"/>
        </w:rPr>
        <w:t>）</w:t>
      </w:r>
      <w:r>
        <w:rPr>
          <w:rFonts w:hint="eastAsia" w:ascii="Times New Roman" w:hAnsi="Times New Roman" w:eastAsia="仿宋" w:cs="Times New Roman"/>
          <w:sz w:val="28"/>
          <w:szCs w:val="28"/>
          <w:lang w:val="ru-RU" w:eastAsia="zh-CN"/>
        </w:rPr>
        <w:t>、</w:t>
      </w:r>
      <w:r>
        <w:rPr>
          <w:rFonts w:hint="eastAsia" w:ascii="Times New Roman" w:hAnsi="Times New Roman" w:eastAsia="仿宋" w:cs="Times New Roman"/>
          <w:sz w:val="28"/>
          <w:szCs w:val="28"/>
          <w:lang w:val="en-US" w:eastAsia="zh-CN"/>
        </w:rPr>
        <w:t>线上约300人（大区部驻外未返济人员）</w:t>
      </w:r>
    </w:p>
    <w:p w14:paraId="65EAE62C">
      <w:pPr>
        <w:widowControl/>
        <w:spacing w:line="360" w:lineRule="auto"/>
        <w:contextualSpacing/>
        <w:jc w:val="left"/>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三、</w:t>
      </w:r>
      <w:r>
        <w:rPr>
          <w:rFonts w:ascii="Times New Roman" w:hAnsi="Times New Roman" w:eastAsia="仿宋" w:cs="Times New Roman"/>
          <w:b/>
          <w:bCs/>
          <w:sz w:val="28"/>
          <w:szCs w:val="28"/>
        </w:rPr>
        <w:t>标的内容</w:t>
      </w:r>
      <w:bookmarkStart w:id="0" w:name="_Hlk171067128"/>
    </w:p>
    <w:p w14:paraId="5708F778">
      <w:pPr>
        <w:widowControl/>
        <w:spacing w:line="360" w:lineRule="auto"/>
        <w:ind w:firstLine="562" w:firstLineChars="200"/>
        <w:contextualSpacing/>
        <w:jc w:val="left"/>
        <w:rPr>
          <w:rFonts w:hint="default" w:ascii="Times New Roman" w:hAnsi="Times New Roman" w:eastAsia="仿宋" w:cs="Times New Roman"/>
          <w:b/>
          <w:bCs/>
          <w:sz w:val="28"/>
          <w:szCs w:val="28"/>
          <w:lang w:val="en-US" w:eastAsia="zh-CN"/>
        </w:rPr>
      </w:pPr>
      <w:r>
        <w:rPr>
          <w:rFonts w:hint="eastAsia" w:ascii="Times New Roman" w:hAnsi="Times New Roman" w:eastAsia="仿宋" w:cs="Times New Roman"/>
          <w:b/>
          <w:bCs/>
          <w:sz w:val="28"/>
          <w:szCs w:val="28"/>
          <w:lang w:val="en-US" w:eastAsia="zh-CN"/>
        </w:rPr>
        <w:t>1.活动的整体策划、全环节执行；活动拍摄及视频剪辑。</w:t>
      </w:r>
    </w:p>
    <w:p w14:paraId="17174969">
      <w:pPr>
        <w:widowControl/>
        <w:spacing w:line="360" w:lineRule="auto"/>
        <w:ind w:firstLine="562" w:firstLineChars="200"/>
        <w:contextualSpacing/>
        <w:jc w:val="left"/>
        <w:rPr>
          <w:rFonts w:hint="eastAsia" w:ascii="Times New Roman" w:hAnsi="Times New Roman" w:eastAsia="仿宋" w:cs="Times New Roman"/>
          <w:b/>
          <w:bCs/>
          <w:sz w:val="28"/>
          <w:szCs w:val="28"/>
          <w:lang w:val="en-US" w:eastAsia="zh-CN"/>
        </w:rPr>
      </w:pPr>
      <w:r>
        <w:rPr>
          <w:rFonts w:hint="eastAsia" w:ascii="Times New Roman" w:hAnsi="Times New Roman" w:eastAsia="仿宋" w:cs="Times New Roman"/>
          <w:b/>
          <w:bCs/>
          <w:sz w:val="28"/>
          <w:szCs w:val="28"/>
          <w:lang w:val="en-US" w:eastAsia="zh-CN"/>
        </w:rPr>
        <w:t>2.博物馆的内外布置；互动活动区域搭建及互动活动物品制作；负一楼食堂布置及用餐期间轻音乐的安排；食堂至七楼礼堂引导指示；七楼礼堂布置；</w:t>
      </w:r>
    </w:p>
    <w:p w14:paraId="684FA32C">
      <w:pPr>
        <w:widowControl/>
        <w:spacing w:line="360" w:lineRule="auto"/>
        <w:ind w:firstLine="562" w:firstLineChars="200"/>
        <w:contextualSpacing/>
        <w:jc w:val="left"/>
        <w:rPr>
          <w:rFonts w:hint="eastAsia" w:ascii="Times New Roman" w:hAnsi="Times New Roman" w:eastAsia="仿宋" w:cs="Times New Roman"/>
          <w:b/>
          <w:bCs/>
          <w:sz w:val="28"/>
          <w:szCs w:val="28"/>
          <w:lang w:val="en-US" w:eastAsia="zh-CN"/>
        </w:rPr>
      </w:pPr>
      <w:r>
        <w:rPr>
          <w:rFonts w:hint="eastAsia" w:ascii="Times New Roman" w:hAnsi="Times New Roman" w:eastAsia="仿宋" w:cs="Times New Roman"/>
          <w:b/>
          <w:bCs/>
          <w:sz w:val="28"/>
          <w:szCs w:val="28"/>
          <w:lang w:val="en-US" w:eastAsia="zh-CN"/>
        </w:rPr>
        <w:t>3.卓越营销团队、优秀营销团队、轻卡先锋团队、优秀支持团队、功勋家庭等团队及个人奖项的奖杯制作，团队奖项及个人奖项银质勋章制作；抽奖奖品的采买。</w:t>
      </w:r>
    </w:p>
    <w:bookmarkEnd w:id="0"/>
    <w:p w14:paraId="1D761E71">
      <w:pPr>
        <w:pStyle w:val="22"/>
        <w:tabs>
          <w:tab w:val="left" w:pos="862"/>
        </w:tabs>
        <w:spacing w:line="360" w:lineRule="auto"/>
        <w:rPr>
          <w:rFonts w:hint="default" w:ascii="Times New Roman" w:hAnsi="Times New Roman" w:eastAsia="仿宋"/>
          <w:sz w:val="28"/>
          <w:szCs w:val="28"/>
          <w:lang w:val="en-US" w:eastAsia="zh-CN"/>
        </w:rPr>
      </w:pPr>
      <w:r>
        <w:rPr>
          <w:rFonts w:hint="eastAsia" w:ascii="Times New Roman" w:hAnsi="Times New Roman" w:eastAsia="仿宋" w:cs="Times New Roman"/>
          <w:sz w:val="28"/>
          <w:szCs w:val="28"/>
          <w:lang w:val="en-US" w:eastAsia="zh-CN"/>
        </w:rPr>
        <w:t>以上为初步规划的标的内容，</w:t>
      </w:r>
      <w:r>
        <w:rPr>
          <w:rFonts w:hint="eastAsia" w:ascii="Times New Roman" w:hAnsi="Times New Roman" w:eastAsia="仿宋"/>
          <w:sz w:val="28"/>
          <w:szCs w:val="28"/>
          <w:lang w:val="en-US" w:eastAsia="zh-CN"/>
        </w:rPr>
        <w:t>具体内容可参考明细表，根据年会活动要求，</w:t>
      </w:r>
      <w:r>
        <w:rPr>
          <w:rFonts w:hint="eastAsia" w:ascii="Times New Roman" w:hAnsi="Times New Roman" w:eastAsia="仿宋" w:cs="Times New Roman"/>
          <w:sz w:val="28"/>
          <w:szCs w:val="28"/>
          <w:lang w:val="en-US" w:eastAsia="zh-CN"/>
        </w:rPr>
        <w:t>中标方需按照招标方要求进行事项及数量的</w:t>
      </w:r>
      <w:r>
        <w:rPr>
          <w:rFonts w:ascii="Times New Roman" w:hAnsi="Times New Roman" w:eastAsia="仿宋" w:cs="Times New Roman"/>
          <w:sz w:val="28"/>
          <w:szCs w:val="28"/>
        </w:rPr>
        <w:t>补充或调整</w:t>
      </w:r>
      <w:r>
        <w:rPr>
          <w:rFonts w:hint="eastAsia" w:ascii="Times New Roman" w:hAnsi="Times New Roman" w:eastAsia="仿宋"/>
          <w:sz w:val="28"/>
          <w:szCs w:val="28"/>
          <w:lang w:val="en-US" w:eastAsia="zh-CN"/>
        </w:rPr>
        <w:t>。</w:t>
      </w:r>
    </w:p>
    <w:p w14:paraId="49FAFC1A">
      <w:pPr>
        <w:widowControl/>
        <w:spacing w:line="360" w:lineRule="auto"/>
        <w:contextualSpacing/>
        <w:jc w:val="left"/>
        <w:rPr>
          <w:rFonts w:ascii="Times New Roman" w:hAnsi="Times New Roman" w:eastAsia="仿宋" w:cs="Times New Roman"/>
          <w:b/>
          <w:sz w:val="28"/>
          <w:szCs w:val="28"/>
        </w:rPr>
      </w:pPr>
      <w:r>
        <w:rPr>
          <w:rFonts w:ascii="Times New Roman" w:hAnsi="Times New Roman" w:eastAsia="仿宋" w:cs="Times New Roman"/>
          <w:b/>
          <w:sz w:val="28"/>
          <w:szCs w:val="28"/>
        </w:rPr>
        <w:t>四、付款条件及付款方式</w:t>
      </w:r>
    </w:p>
    <w:p w14:paraId="1AA6DF9F">
      <w:pPr>
        <w:widowControl/>
        <w:spacing w:line="360" w:lineRule="auto"/>
        <w:ind w:firstLine="557"/>
        <w:textAlignment w:val="baseline"/>
        <w:rPr>
          <w:rFonts w:ascii="Times New Roman" w:hAnsi="Times New Roman" w:eastAsia="仿宋" w:cs="Times New Roman"/>
          <w:color w:val="000000" w:themeColor="text1"/>
          <w:kern w:val="0"/>
          <w:sz w:val="28"/>
          <w:szCs w:val="28"/>
          <w:lang w:val="en-US" w:eastAsia="zh-CN" w:bidi="ar-SA"/>
          <w14:textFill>
            <w14:solidFill>
              <w14:schemeClr w14:val="tx1"/>
            </w14:solidFill>
          </w14:textFill>
        </w:rPr>
      </w:pPr>
      <w:r>
        <w:rPr>
          <w:rFonts w:hint="eastAsia" w:ascii="Times New Roman" w:hAnsi="Times New Roman" w:eastAsia="仿宋" w:cs="Times New Roman"/>
          <w:color w:val="000000" w:themeColor="text1"/>
          <w:kern w:val="0"/>
          <w:sz w:val="28"/>
          <w:szCs w:val="28"/>
          <w:lang w:val="en-US" w:eastAsia="zh-CN" w:bidi="ar-SA"/>
          <w14:textFill>
            <w14:solidFill>
              <w14:schemeClr w14:val="tx1"/>
            </w14:solidFill>
          </w14:textFill>
        </w:rPr>
        <w:t>活动结束后，中标人提供活动总结报告，</w:t>
      </w:r>
      <w:r>
        <w:rPr>
          <w:rFonts w:ascii="Times New Roman" w:hAnsi="Times New Roman" w:eastAsia="仿宋" w:cs="Times New Roman"/>
          <w:color w:val="000000" w:themeColor="text1"/>
          <w:kern w:val="0"/>
          <w:sz w:val="28"/>
          <w:szCs w:val="28"/>
          <w:lang w:val="en-US" w:eastAsia="zh-CN" w:bidi="ar-SA"/>
          <w14:textFill>
            <w14:solidFill>
              <w14:schemeClr w14:val="tx1"/>
            </w14:solidFill>
          </w14:textFill>
        </w:rPr>
        <w:t>经</w:t>
      </w:r>
      <w:r>
        <w:rPr>
          <w:rFonts w:hint="eastAsia" w:ascii="Times New Roman" w:hAnsi="Times New Roman" w:eastAsia="仿宋" w:cs="Times New Roman"/>
          <w:color w:val="000000" w:themeColor="text1"/>
          <w:kern w:val="0"/>
          <w:sz w:val="28"/>
          <w:szCs w:val="28"/>
          <w:lang w:val="en-US" w:eastAsia="zh-CN" w:bidi="ar-SA"/>
          <w14:textFill>
            <w14:solidFill>
              <w14:schemeClr w14:val="tx1"/>
            </w14:solidFill>
          </w14:textFill>
        </w:rPr>
        <w:t>招标人确认</w:t>
      </w:r>
      <w:r>
        <w:rPr>
          <w:rFonts w:ascii="Times New Roman" w:hAnsi="Times New Roman" w:eastAsia="仿宋" w:cs="Times New Roman"/>
          <w:color w:val="000000" w:themeColor="text1"/>
          <w:kern w:val="0"/>
          <w:sz w:val="28"/>
          <w:szCs w:val="28"/>
          <w:lang w:val="en-US" w:eastAsia="zh-CN" w:bidi="ar-SA"/>
          <w14:textFill>
            <w14:solidFill>
              <w14:schemeClr w14:val="tx1"/>
            </w14:solidFill>
          </w14:textFill>
        </w:rPr>
        <w:t>后</w:t>
      </w:r>
      <w:r>
        <w:rPr>
          <w:rFonts w:hint="eastAsia" w:ascii="Times New Roman" w:hAnsi="Times New Roman" w:eastAsia="仿宋" w:cs="Times New Roman"/>
          <w:color w:val="000000" w:themeColor="text1"/>
          <w:kern w:val="0"/>
          <w:sz w:val="28"/>
          <w:szCs w:val="28"/>
          <w:lang w:val="en-US" w:eastAsia="zh-CN" w:bidi="ar-SA"/>
          <w14:textFill>
            <w14:solidFill>
              <w14:schemeClr w14:val="tx1"/>
            </w14:solidFill>
          </w14:textFill>
        </w:rPr>
        <w:t>一次性全额付款。</w:t>
      </w:r>
    </w:p>
    <w:p w14:paraId="56BB3F96">
      <w:pPr>
        <w:widowControl/>
        <w:spacing w:line="360" w:lineRule="auto"/>
        <w:ind w:firstLine="557"/>
        <w:textAlignment w:val="baseline"/>
        <w:rPr>
          <w:rFonts w:ascii="Times New Roman" w:hAnsi="Times New Roman" w:eastAsia="仿宋" w:cs="Times New Roman"/>
          <w:color w:val="000000" w:themeColor="text1"/>
          <w:kern w:val="0"/>
          <w:sz w:val="28"/>
          <w:szCs w:val="28"/>
          <w:lang w:val="en-US" w:eastAsia="zh-CN" w:bidi="ar-SA"/>
          <w14:textFill>
            <w14:solidFill>
              <w14:schemeClr w14:val="tx1"/>
            </w14:solidFill>
          </w14:textFill>
        </w:rPr>
      </w:pPr>
      <w:r>
        <w:rPr>
          <w:rFonts w:hint="eastAsia" w:ascii="Times New Roman" w:hAnsi="Times New Roman" w:eastAsia="仿宋" w:cs="Times New Roman"/>
          <w:color w:val="000000" w:themeColor="text1"/>
          <w:kern w:val="0"/>
          <w:sz w:val="28"/>
          <w:szCs w:val="28"/>
          <w:lang w:val="en-US" w:eastAsia="zh-CN" w:bidi="ar-SA"/>
          <w14:textFill>
            <w14:solidFill>
              <w14:schemeClr w14:val="tx1"/>
            </w14:solidFill>
          </w14:textFill>
        </w:rPr>
        <w:t>结算方式：半年期商业汇票</w:t>
      </w:r>
      <w:r>
        <w:rPr>
          <w:rFonts w:ascii="Times New Roman" w:hAnsi="Times New Roman" w:eastAsia="仿宋" w:cs="Times New Roman"/>
          <w:color w:val="000000" w:themeColor="text1"/>
          <w:kern w:val="0"/>
          <w:sz w:val="28"/>
          <w:szCs w:val="28"/>
          <w:lang w:val="en-US" w:eastAsia="zh-CN" w:bidi="ar-SA"/>
          <w14:textFill>
            <w14:solidFill>
              <w14:schemeClr w14:val="tx1"/>
            </w14:solidFill>
          </w14:textFill>
        </w:rPr>
        <w:t>(包括银行承兑汇票和商业承兑汇</w:t>
      </w:r>
      <w:r>
        <w:rPr>
          <w:rFonts w:hint="eastAsia" w:ascii="Times New Roman" w:hAnsi="Times New Roman" w:eastAsia="仿宋" w:cs="Times New Roman"/>
          <w:color w:val="000000" w:themeColor="text1"/>
          <w:kern w:val="0"/>
          <w:sz w:val="28"/>
          <w:szCs w:val="28"/>
          <w:lang w:val="en-US" w:eastAsia="zh-CN" w:bidi="ar-SA"/>
          <w14:textFill>
            <w14:solidFill>
              <w14:schemeClr w14:val="tx1"/>
            </w14:solidFill>
          </w14:textFill>
        </w:rPr>
        <w:t>票)。</w:t>
      </w:r>
    </w:p>
    <w:p w14:paraId="5BD912C1">
      <w:pPr>
        <w:pStyle w:val="22"/>
        <w:tabs>
          <w:tab w:val="left" w:pos="862"/>
        </w:tabs>
        <w:spacing w:line="360" w:lineRule="auto"/>
        <w:ind w:firstLine="0" w:firstLineChars="0"/>
        <w:contextualSpacing/>
        <w:rPr>
          <w:rFonts w:ascii="Times New Roman" w:hAnsi="Times New Roman" w:cs="Times New Roman"/>
          <w:b/>
          <w:sz w:val="28"/>
        </w:rPr>
      </w:pPr>
      <w:r>
        <w:rPr>
          <w:rFonts w:ascii="Times New Roman" w:hAnsi="Times New Roman" w:eastAsia="仿宋" w:cs="Times New Roman"/>
          <w:b/>
          <w:sz w:val="28"/>
          <w:szCs w:val="28"/>
        </w:rPr>
        <w:t>五、投标人资格条件及要求</w:t>
      </w:r>
    </w:p>
    <w:p w14:paraId="05DE831C">
      <w:pPr>
        <w:pStyle w:val="22"/>
        <w:spacing w:line="360" w:lineRule="auto"/>
        <w:ind w:firstLine="560"/>
        <w:contextualSpacing/>
        <w:rPr>
          <w:rFonts w:ascii="Times New Roman" w:hAnsi="Times New Roman" w:cs="Times New Roman"/>
          <w:sz w:val="28"/>
        </w:rPr>
      </w:pPr>
      <w:r>
        <w:rPr>
          <w:rFonts w:ascii="Times New Roman" w:hAnsi="Times New Roman" w:eastAsia="仿宋" w:cs="Times New Roman"/>
          <w:sz w:val="28"/>
          <w:szCs w:val="28"/>
        </w:rPr>
        <w:t>1.投标人应遵守《中华人民共和国招投标法》及有关的法律和法规。具备独立法人资格，</w:t>
      </w:r>
      <w:r>
        <w:rPr>
          <w:rFonts w:ascii="Times New Roman" w:hAnsi="Times New Roman" w:eastAsia="仿宋" w:cs="Times New Roman"/>
          <w:kern w:val="0"/>
          <w:sz w:val="28"/>
          <w:szCs w:val="28"/>
        </w:rPr>
        <w:t>具有独立承担民事责任能力</w:t>
      </w:r>
      <w:r>
        <w:rPr>
          <w:rFonts w:ascii="Times New Roman" w:hAnsi="Times New Roman" w:eastAsia="仿宋" w:cs="Times New Roman"/>
          <w:sz w:val="28"/>
          <w:szCs w:val="28"/>
        </w:rPr>
        <w:t>、良好的财务状况并具有一定的垫资能力，能切实履行合同。</w:t>
      </w:r>
    </w:p>
    <w:p w14:paraId="11C9BCF2">
      <w:pPr>
        <w:pStyle w:val="22"/>
        <w:spacing w:line="360" w:lineRule="auto"/>
        <w:ind w:firstLine="560"/>
        <w:contextualSpacing/>
        <w:rPr>
          <w:rFonts w:ascii="Times New Roman" w:hAnsi="Times New Roman" w:cs="Times New Roman"/>
          <w:sz w:val="28"/>
        </w:rPr>
      </w:pPr>
      <w:r>
        <w:rPr>
          <w:rFonts w:ascii="Times New Roman" w:hAnsi="Times New Roman" w:eastAsia="仿宋" w:cs="Times New Roman"/>
          <w:sz w:val="28"/>
          <w:szCs w:val="28"/>
        </w:rPr>
        <w:t>2.投标人在国家企业信用信息公示系统中有不良记录、近三年的公司财物报表异常、存在严重违规或被列入招标人“黑名单”的，招标人有权取消其投标资格。</w:t>
      </w:r>
    </w:p>
    <w:p w14:paraId="6C7DDC76">
      <w:pPr>
        <w:pStyle w:val="22"/>
        <w:spacing w:line="360" w:lineRule="auto"/>
        <w:ind w:firstLine="560"/>
        <w:contextualSpacing/>
        <w:rPr>
          <w:rFonts w:ascii="Times New Roman" w:hAnsi="Times New Roman" w:cs="Times New Roman"/>
          <w:sz w:val="28"/>
        </w:rPr>
      </w:pPr>
      <w:r>
        <w:rPr>
          <w:rFonts w:ascii="Times New Roman" w:hAnsi="Times New Roman" w:eastAsia="仿宋" w:cs="Times New Roman"/>
          <w:sz w:val="28"/>
          <w:szCs w:val="28"/>
        </w:rPr>
        <w:t>3.投标人注册资本金应不低于500万元，营业执照在有效期内并且经营范围满足招标人需求，在国内注册三年以上（以营业执照成立日期到开标当日计算）。不符合本条款要求的视为废标项，招标人有权取消其投标资格。</w:t>
      </w:r>
    </w:p>
    <w:p w14:paraId="40D75A03">
      <w:pPr>
        <w:pStyle w:val="22"/>
        <w:spacing w:line="360" w:lineRule="auto"/>
        <w:ind w:firstLine="560"/>
        <w:contextualSpacing/>
        <w:rPr>
          <w:rFonts w:ascii="Times New Roman" w:hAnsi="Times New Roman" w:cs="Times New Roman"/>
          <w:sz w:val="28"/>
        </w:rPr>
      </w:pPr>
      <w:r>
        <w:rPr>
          <w:rFonts w:ascii="Times New Roman" w:hAnsi="Times New Roman" w:eastAsia="仿宋" w:cs="Times New Roman"/>
          <w:sz w:val="28"/>
          <w:szCs w:val="28"/>
        </w:rPr>
        <w:t>4.投标人应有策划执行大型</w:t>
      </w:r>
      <w:r>
        <w:rPr>
          <w:rFonts w:hint="eastAsia" w:ascii="Times New Roman" w:hAnsi="Times New Roman" w:eastAsia="仿宋" w:cs="Times New Roman"/>
          <w:sz w:val="28"/>
          <w:szCs w:val="28"/>
          <w:lang w:val="en-US" w:eastAsia="zh-CN"/>
        </w:rPr>
        <w:t>活动</w:t>
      </w:r>
      <w:r>
        <w:rPr>
          <w:rFonts w:ascii="Times New Roman" w:hAnsi="Times New Roman" w:eastAsia="仿宋" w:cs="Times New Roman"/>
          <w:sz w:val="28"/>
          <w:szCs w:val="28"/>
        </w:rPr>
        <w:t>的经验,具有良好的风险应对能力，能够认可招标人的工作指令，包括节、假日能正常开展工作等要求，并在开标时携带以往项目策划执行资料、企业资信材料、财务报表及完税证明等备查。</w:t>
      </w:r>
    </w:p>
    <w:p w14:paraId="5E2BF5B9">
      <w:pPr>
        <w:pStyle w:val="22"/>
        <w:spacing w:line="360" w:lineRule="auto"/>
        <w:ind w:firstLine="560"/>
        <w:contextualSpacing/>
        <w:rPr>
          <w:rFonts w:hint="eastAsia" w:ascii="Times New Roman" w:hAnsi="Times New Roman" w:eastAsia="仿宋" w:cs="Times New Roman"/>
          <w:sz w:val="28"/>
          <w:szCs w:val="28"/>
          <w:lang w:val="en-US" w:eastAsia="zh-CN"/>
        </w:rPr>
      </w:pPr>
      <w:r>
        <w:rPr>
          <w:rFonts w:ascii="Times New Roman" w:hAnsi="Times New Roman" w:eastAsia="仿宋" w:cs="Times New Roman"/>
          <w:sz w:val="28"/>
          <w:szCs w:val="28"/>
        </w:rPr>
        <w:t>5.投标人三年内无招标违规、谎报年度报告信息、提供虚假资质资料等行为或其他行政处罚记录。</w:t>
      </w:r>
    </w:p>
    <w:p w14:paraId="3A49B373">
      <w:pPr>
        <w:pStyle w:val="22"/>
        <w:spacing w:line="360" w:lineRule="auto"/>
        <w:ind w:firstLine="0" w:firstLineChars="0"/>
        <w:contextualSpacing/>
        <w:rPr>
          <w:rFonts w:ascii="Times New Roman" w:hAnsi="Times New Roman" w:eastAsia="Times New Roman" w:cs="Times New Roman"/>
          <w:b/>
          <w:sz w:val="28"/>
          <w:lang w:val="ru-RU"/>
        </w:rPr>
      </w:pPr>
      <w:r>
        <w:rPr>
          <w:rFonts w:ascii="Times New Roman" w:hAnsi="Times New Roman" w:eastAsia="仿宋" w:cs="Times New Roman"/>
          <w:b/>
          <w:sz w:val="28"/>
          <w:szCs w:val="28"/>
        </w:rPr>
        <w:t>六、评标原则和方法</w:t>
      </w:r>
    </w:p>
    <w:p w14:paraId="27CFB894">
      <w:pPr>
        <w:pStyle w:val="22"/>
        <w:spacing w:line="360" w:lineRule="auto"/>
        <w:ind w:firstLine="560"/>
        <w:contextualSpacing/>
        <w:rPr>
          <w:rFonts w:ascii="Times New Roman" w:hAnsi="Times New Roman" w:cs="Times New Roman"/>
          <w:sz w:val="28"/>
          <w:lang w:val="ru-RU"/>
        </w:rPr>
      </w:pPr>
      <w:r>
        <w:rPr>
          <w:rFonts w:ascii="Times New Roman" w:hAnsi="Times New Roman" w:eastAsia="仿宋" w:cs="Times New Roman"/>
          <w:sz w:val="28"/>
          <w:szCs w:val="28"/>
          <w:lang w:val="ru-RU"/>
        </w:rPr>
        <w:t>1.</w:t>
      </w:r>
      <w:r>
        <w:rPr>
          <w:rFonts w:ascii="Times New Roman" w:hAnsi="Times New Roman" w:eastAsia="仿宋" w:cs="Times New Roman"/>
          <w:sz w:val="28"/>
          <w:szCs w:val="28"/>
        </w:rPr>
        <w:t>招标人将坚持</w:t>
      </w:r>
      <w:r>
        <w:rPr>
          <w:rFonts w:ascii="Times New Roman" w:hAnsi="Times New Roman" w:eastAsia="仿宋" w:cs="Times New Roman"/>
          <w:sz w:val="28"/>
          <w:szCs w:val="28"/>
          <w:lang w:val="ru-RU"/>
        </w:rPr>
        <w:t>“</w:t>
      </w:r>
      <w:r>
        <w:rPr>
          <w:rFonts w:ascii="Times New Roman" w:hAnsi="Times New Roman" w:eastAsia="仿宋" w:cs="Times New Roman"/>
          <w:sz w:val="28"/>
          <w:szCs w:val="28"/>
        </w:rPr>
        <w:t>公开、公平、公正</w:t>
      </w:r>
      <w:r>
        <w:rPr>
          <w:rFonts w:ascii="Times New Roman" w:hAnsi="Times New Roman" w:eastAsia="仿宋" w:cs="Times New Roman"/>
          <w:sz w:val="28"/>
          <w:szCs w:val="28"/>
          <w:lang w:val="ru-RU"/>
        </w:rPr>
        <w:t>”</w:t>
      </w:r>
      <w:r>
        <w:rPr>
          <w:rFonts w:ascii="Times New Roman" w:hAnsi="Times New Roman" w:eastAsia="仿宋" w:cs="Times New Roman"/>
          <w:sz w:val="28"/>
          <w:szCs w:val="28"/>
        </w:rPr>
        <w:t>原则</w:t>
      </w:r>
      <w:r>
        <w:rPr>
          <w:rFonts w:ascii="Times New Roman" w:hAnsi="Times New Roman" w:eastAsia="仿宋" w:cs="Times New Roman"/>
          <w:sz w:val="28"/>
          <w:szCs w:val="28"/>
          <w:lang w:val="ru-RU"/>
        </w:rPr>
        <w:t>，</w:t>
      </w:r>
      <w:r>
        <w:rPr>
          <w:rFonts w:ascii="Times New Roman" w:hAnsi="Times New Roman" w:eastAsia="仿宋" w:cs="Times New Roman"/>
          <w:sz w:val="28"/>
          <w:szCs w:val="28"/>
        </w:rPr>
        <w:t>严格按照国家法律法规及公司规章制度要求</w:t>
      </w:r>
      <w:r>
        <w:rPr>
          <w:rFonts w:ascii="Times New Roman" w:hAnsi="Times New Roman" w:eastAsia="仿宋" w:cs="Times New Roman"/>
          <w:sz w:val="28"/>
          <w:szCs w:val="28"/>
          <w:lang w:val="ru-RU"/>
        </w:rPr>
        <w:t>，</w:t>
      </w:r>
      <w:r>
        <w:rPr>
          <w:rFonts w:ascii="Times New Roman" w:hAnsi="Times New Roman" w:eastAsia="仿宋" w:cs="Times New Roman"/>
          <w:sz w:val="28"/>
          <w:szCs w:val="28"/>
        </w:rPr>
        <w:t>设立专家评审小组进行招标评审。</w:t>
      </w:r>
    </w:p>
    <w:p w14:paraId="66E8D14B">
      <w:pPr>
        <w:pStyle w:val="22"/>
        <w:spacing w:line="360" w:lineRule="auto"/>
        <w:ind w:firstLine="560"/>
        <w:contextualSpacing/>
        <w:rPr>
          <w:rFonts w:ascii="Times New Roman" w:hAnsi="Times New Roman" w:eastAsia="Times New Roman" w:cs="Times New Roman"/>
          <w:sz w:val="28"/>
        </w:rPr>
      </w:pPr>
      <w:r>
        <w:rPr>
          <w:rFonts w:ascii="Times New Roman" w:hAnsi="Times New Roman" w:eastAsia="仿宋" w:cs="Times New Roman"/>
          <w:sz w:val="28"/>
          <w:szCs w:val="28"/>
        </w:rPr>
        <w:t>2.评标方法：</w:t>
      </w:r>
    </w:p>
    <w:p w14:paraId="0CB207AF">
      <w:pPr>
        <w:pStyle w:val="22"/>
        <w:spacing w:line="360" w:lineRule="auto"/>
        <w:ind w:firstLine="560"/>
        <w:contextualSpacing/>
        <w:rPr>
          <w:rFonts w:ascii="Times New Roman" w:hAnsi="Times New Roman" w:eastAsia="仿宋" w:cs="Times New Roman"/>
          <w:sz w:val="28"/>
          <w:szCs w:val="28"/>
          <w:lang w:val="ru-RU"/>
        </w:rPr>
      </w:pPr>
      <w:r>
        <w:rPr>
          <w:rFonts w:ascii="Times New Roman" w:hAnsi="Times New Roman" w:eastAsia="仿宋"/>
          <w:sz w:val="28"/>
          <w:szCs w:val="28"/>
          <w:lang w:val="ru-RU"/>
        </w:rPr>
        <w:t>（1）</w:t>
      </w:r>
      <w:r>
        <w:rPr>
          <w:rFonts w:ascii="Times New Roman" w:hAnsi="Times New Roman" w:eastAsia="仿宋" w:cs="Times New Roman"/>
          <w:sz w:val="28"/>
          <w:szCs w:val="28"/>
        </w:rPr>
        <w:t>开标会议由招标人组织并主持。招标人将坚持“公开、公平、公正”原则，严格按照国家法律法规及公司规章制度要求，设立专家评审小组进行招标评审；</w:t>
      </w:r>
    </w:p>
    <w:p w14:paraId="24DD8B75">
      <w:pPr>
        <w:pStyle w:val="22"/>
        <w:spacing w:line="360" w:lineRule="auto"/>
        <w:ind w:firstLine="560"/>
        <w:contextualSpacing/>
        <w:rPr>
          <w:rFonts w:ascii="Times New Roman" w:hAnsi="Times New Roman" w:eastAsia="仿宋" w:cs="Times New Roman"/>
          <w:sz w:val="28"/>
          <w:szCs w:val="28"/>
          <w:lang w:val="ru-RU"/>
        </w:rPr>
      </w:pPr>
      <w:r>
        <w:rPr>
          <w:rFonts w:ascii="Times New Roman" w:hAnsi="Times New Roman" w:eastAsia="仿宋"/>
          <w:sz w:val="28"/>
          <w:szCs w:val="28"/>
          <w:lang w:val="ru-RU"/>
        </w:rPr>
        <w:t>（2）</w:t>
      </w:r>
      <w:r>
        <w:rPr>
          <w:rFonts w:ascii="Times New Roman" w:hAnsi="Times New Roman" w:eastAsia="仿宋" w:cs="Times New Roman"/>
          <w:sz w:val="28"/>
          <w:szCs w:val="28"/>
        </w:rPr>
        <w:t>招标人邀请各投标人派人员参加开标会议。投标人未参加开标的，视同认可开标结果；</w:t>
      </w:r>
    </w:p>
    <w:p w14:paraId="4892AFAF">
      <w:pPr>
        <w:pStyle w:val="22"/>
        <w:spacing w:line="360" w:lineRule="auto"/>
        <w:ind w:firstLine="560"/>
        <w:contextualSpacing/>
        <w:rPr>
          <w:rFonts w:hint="eastAsia" w:ascii="Times New Roman" w:hAnsi="Times New Roman" w:eastAsia="仿宋" w:cs="Times New Roman"/>
          <w:sz w:val="28"/>
          <w:szCs w:val="28"/>
        </w:rPr>
      </w:pPr>
      <w:r>
        <w:rPr>
          <w:rFonts w:ascii="Times New Roman" w:hAnsi="Times New Roman" w:eastAsia="仿宋"/>
          <w:sz w:val="28"/>
          <w:szCs w:val="28"/>
          <w:lang w:val="ru-RU"/>
        </w:rPr>
        <w:t>（3</w:t>
      </w:r>
      <w:r>
        <w:rPr>
          <w:rFonts w:hint="eastAsia" w:ascii="Times New Roman" w:hAnsi="Times New Roman" w:eastAsia="仿宋"/>
          <w:sz w:val="28"/>
          <w:szCs w:val="28"/>
          <w:lang w:val="ru-RU" w:eastAsia="zh-CN"/>
        </w:rPr>
        <w:t>）</w:t>
      </w:r>
      <w:r>
        <w:rPr>
          <w:rFonts w:hint="eastAsia" w:ascii="Times New Roman" w:hAnsi="Times New Roman" w:eastAsia="仿宋" w:cs="Times New Roman"/>
          <w:sz w:val="28"/>
          <w:szCs w:val="28"/>
        </w:rPr>
        <w:t>评审小组专家成员先进行技术标</w:t>
      </w:r>
      <w:r>
        <w:rPr>
          <w:rFonts w:hint="eastAsia" w:ascii="Times New Roman" w:hAnsi="Times New Roman" w:eastAsia="仿宋" w:cs="Times New Roman"/>
          <w:sz w:val="28"/>
          <w:szCs w:val="28"/>
          <w:lang w:eastAsia="zh-CN"/>
        </w:rPr>
        <w:t>，</w:t>
      </w:r>
      <w:r>
        <w:rPr>
          <w:rFonts w:hint="eastAsia" w:ascii="Times New Roman" w:hAnsi="Times New Roman" w:eastAsia="仿宋" w:cs="Times New Roman"/>
          <w:sz w:val="28"/>
          <w:szCs w:val="28"/>
        </w:rPr>
        <w:t>后进行商务标。其中</w:t>
      </w:r>
      <w:r>
        <w:rPr>
          <w:rFonts w:hint="eastAsia" w:ascii="Times New Roman" w:hAnsi="Times New Roman" w:eastAsia="仿宋" w:cs="Times New Roman"/>
          <w:sz w:val="28"/>
          <w:szCs w:val="28"/>
          <w:lang w:val="en-US" w:eastAsia="zh-CN"/>
        </w:rPr>
        <w:t>技术标</w:t>
      </w:r>
      <w:r>
        <w:rPr>
          <w:rFonts w:hint="eastAsia" w:ascii="Times New Roman" w:hAnsi="Times New Roman" w:eastAsia="仿宋" w:cs="Times New Roman"/>
          <w:sz w:val="28"/>
          <w:szCs w:val="28"/>
        </w:rPr>
        <w:t>讲标时间20分钟(方案讲解)、答疑时间10分钟。</w:t>
      </w:r>
    </w:p>
    <w:p w14:paraId="6062CB1A">
      <w:pPr>
        <w:pStyle w:val="22"/>
        <w:spacing w:line="360" w:lineRule="auto"/>
        <w:ind w:firstLine="560"/>
        <w:contextualSpacing/>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技术标得分超过80分的计入商务标评议，严重偏离招标人技术标准的直接淘汰，技术标得分不带入商务标评议，商务标不再进行打分，以价格评议结果排序。</w:t>
      </w:r>
    </w:p>
    <w:tbl>
      <w:tblPr>
        <w:tblStyle w:val="11"/>
        <w:tblW w:w="10080" w:type="dxa"/>
        <w:jc w:val="center"/>
        <w:tblLayout w:type="autofit"/>
        <w:tblCellMar>
          <w:top w:w="0" w:type="dxa"/>
          <w:left w:w="108" w:type="dxa"/>
          <w:bottom w:w="0" w:type="dxa"/>
          <w:right w:w="108" w:type="dxa"/>
        </w:tblCellMar>
      </w:tblPr>
      <w:tblGrid>
        <w:gridCol w:w="1685"/>
        <w:gridCol w:w="7101"/>
        <w:gridCol w:w="1294"/>
      </w:tblGrid>
      <w:tr w14:paraId="01096B04">
        <w:tblPrEx>
          <w:tblCellMar>
            <w:top w:w="0" w:type="dxa"/>
            <w:left w:w="108" w:type="dxa"/>
            <w:bottom w:w="0" w:type="dxa"/>
            <w:right w:w="108" w:type="dxa"/>
          </w:tblCellMar>
        </w:tblPrEx>
        <w:trPr>
          <w:trHeight w:val="458" w:hRule="atLeast"/>
          <w:jc w:val="center"/>
        </w:trPr>
        <w:tc>
          <w:tcPr>
            <w:tcW w:w="10080"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72DF7145">
            <w:pPr>
              <w:widowControl/>
              <w:spacing w:line="460" w:lineRule="exact"/>
              <w:jc w:val="center"/>
              <w:rPr>
                <w:rFonts w:ascii="Times New Roman" w:hAnsi="Times New Roman" w:cs="Times New Roman"/>
                <w:sz w:val="36"/>
              </w:rPr>
            </w:pPr>
            <w:r>
              <w:rPr>
                <w:rFonts w:ascii="Times New Roman" w:hAnsi="Times New Roman" w:eastAsia="黑体" w:cs="Times New Roman"/>
                <w:color w:val="000000"/>
                <w:kern w:val="0"/>
                <w:sz w:val="36"/>
                <w:szCs w:val="40"/>
              </w:rPr>
              <w:t>技术标评分标准</w:t>
            </w:r>
          </w:p>
        </w:tc>
      </w:tr>
      <w:tr w14:paraId="184FF131">
        <w:tblPrEx>
          <w:tblCellMar>
            <w:top w:w="0" w:type="dxa"/>
            <w:left w:w="108" w:type="dxa"/>
            <w:bottom w:w="0" w:type="dxa"/>
            <w:right w:w="108" w:type="dxa"/>
          </w:tblCellMar>
        </w:tblPrEx>
        <w:trPr>
          <w:trHeight w:val="414" w:hRule="atLeast"/>
          <w:jc w:val="center"/>
        </w:trPr>
        <w:tc>
          <w:tcPr>
            <w:tcW w:w="1685" w:type="dxa"/>
            <w:tcBorders>
              <w:top w:val="nil"/>
              <w:left w:val="single" w:color="auto" w:sz="4" w:space="0"/>
              <w:bottom w:val="single" w:color="auto" w:sz="4" w:space="0"/>
              <w:right w:val="single" w:color="auto" w:sz="4" w:space="0"/>
            </w:tcBorders>
            <w:shd w:val="clear" w:color="auto" w:fill="auto"/>
            <w:vAlign w:val="center"/>
          </w:tcPr>
          <w:p w14:paraId="027A5216">
            <w:pPr>
              <w:widowControl/>
              <w:spacing w:line="460" w:lineRule="exact"/>
              <w:jc w:val="center"/>
              <w:rPr>
                <w:rFonts w:ascii="Times New Roman" w:hAnsi="Times New Roman" w:cs="Times New Roman"/>
                <w:sz w:val="24"/>
              </w:rPr>
            </w:pPr>
            <w:r>
              <w:rPr>
                <w:rFonts w:ascii="Times New Roman" w:hAnsi="Times New Roman" w:eastAsia="宋体" w:cs="Times New Roman"/>
                <w:b/>
                <w:bCs/>
                <w:color w:val="000000"/>
                <w:kern w:val="0"/>
                <w:sz w:val="24"/>
                <w:szCs w:val="24"/>
              </w:rPr>
              <w:t>项目</w:t>
            </w:r>
          </w:p>
        </w:tc>
        <w:tc>
          <w:tcPr>
            <w:tcW w:w="7101" w:type="dxa"/>
            <w:tcBorders>
              <w:top w:val="nil"/>
              <w:left w:val="nil"/>
              <w:bottom w:val="single" w:color="auto" w:sz="4" w:space="0"/>
              <w:right w:val="single" w:color="auto" w:sz="4" w:space="0"/>
            </w:tcBorders>
            <w:shd w:val="clear" w:color="auto" w:fill="auto"/>
            <w:vAlign w:val="center"/>
          </w:tcPr>
          <w:p w14:paraId="3D06C1A9">
            <w:pPr>
              <w:widowControl/>
              <w:spacing w:line="460" w:lineRule="exact"/>
              <w:jc w:val="center"/>
              <w:rPr>
                <w:rFonts w:ascii="Times New Roman" w:hAnsi="Times New Roman" w:cs="Times New Roman"/>
                <w:sz w:val="24"/>
              </w:rPr>
            </w:pPr>
            <w:r>
              <w:rPr>
                <w:rFonts w:ascii="Times New Roman" w:hAnsi="Times New Roman" w:eastAsia="宋体" w:cs="Times New Roman"/>
                <w:b/>
                <w:bCs/>
                <w:color w:val="000000"/>
                <w:kern w:val="0"/>
                <w:sz w:val="24"/>
                <w:szCs w:val="24"/>
              </w:rPr>
              <w:t>描述</w:t>
            </w:r>
          </w:p>
        </w:tc>
        <w:tc>
          <w:tcPr>
            <w:tcW w:w="1294" w:type="dxa"/>
            <w:tcBorders>
              <w:top w:val="nil"/>
              <w:left w:val="nil"/>
              <w:bottom w:val="single" w:color="auto" w:sz="4" w:space="0"/>
              <w:right w:val="single" w:color="auto" w:sz="4" w:space="0"/>
            </w:tcBorders>
            <w:shd w:val="clear" w:color="auto" w:fill="auto"/>
            <w:vAlign w:val="center"/>
          </w:tcPr>
          <w:p w14:paraId="04CF1B1E">
            <w:pPr>
              <w:widowControl/>
              <w:spacing w:line="460" w:lineRule="exact"/>
              <w:jc w:val="center"/>
              <w:rPr>
                <w:rFonts w:ascii="Times New Roman" w:hAnsi="Times New Roman" w:cs="Times New Roman"/>
                <w:sz w:val="24"/>
              </w:rPr>
            </w:pPr>
            <w:r>
              <w:rPr>
                <w:rFonts w:ascii="Times New Roman" w:hAnsi="Times New Roman" w:eastAsia="宋体" w:cs="Times New Roman"/>
                <w:b/>
                <w:bCs/>
                <w:color w:val="000000"/>
                <w:kern w:val="0"/>
                <w:sz w:val="24"/>
                <w:szCs w:val="24"/>
              </w:rPr>
              <w:t>分值</w:t>
            </w:r>
          </w:p>
        </w:tc>
      </w:tr>
      <w:tr w14:paraId="6A1F0968">
        <w:tblPrEx>
          <w:tblCellMar>
            <w:top w:w="0" w:type="dxa"/>
            <w:left w:w="108" w:type="dxa"/>
            <w:bottom w:w="0" w:type="dxa"/>
            <w:right w:w="108" w:type="dxa"/>
          </w:tblCellMar>
        </w:tblPrEx>
        <w:trPr>
          <w:trHeight w:val="1223" w:hRule="atLeast"/>
          <w:jc w:val="center"/>
        </w:trPr>
        <w:tc>
          <w:tcPr>
            <w:tcW w:w="1685" w:type="dxa"/>
            <w:vMerge w:val="restart"/>
            <w:tcBorders>
              <w:top w:val="nil"/>
              <w:left w:val="single" w:color="auto" w:sz="4" w:space="0"/>
              <w:right w:val="single" w:color="auto" w:sz="4" w:space="0"/>
            </w:tcBorders>
            <w:shd w:val="clear" w:color="auto" w:fill="auto"/>
            <w:vAlign w:val="center"/>
          </w:tcPr>
          <w:p w14:paraId="58E028DD">
            <w:pPr>
              <w:spacing w:line="460" w:lineRule="exact"/>
              <w:jc w:val="center"/>
              <w:rPr>
                <w:rFonts w:ascii="Times New Roman" w:hAnsi="Times New Roman" w:cs="Times New Roman"/>
              </w:rPr>
            </w:pPr>
            <w:r>
              <w:rPr>
                <w:rFonts w:ascii="Times New Roman" w:hAnsi="Times New Roman" w:eastAsia="仿宋_GB2312" w:cs="Times New Roman"/>
                <w:color w:val="000000"/>
                <w:kern w:val="0"/>
                <w:szCs w:val="21"/>
              </w:rPr>
              <w:t>技术方案</w:t>
            </w:r>
          </w:p>
        </w:tc>
        <w:tc>
          <w:tcPr>
            <w:tcW w:w="7101" w:type="dxa"/>
            <w:tcBorders>
              <w:top w:val="nil"/>
              <w:left w:val="nil"/>
              <w:bottom w:val="single" w:color="auto" w:sz="4" w:space="0"/>
              <w:right w:val="single" w:color="auto" w:sz="4" w:space="0"/>
            </w:tcBorders>
            <w:shd w:val="clear" w:color="auto" w:fill="auto"/>
            <w:vAlign w:val="center"/>
          </w:tcPr>
          <w:p w14:paraId="6E7D565E">
            <w:pPr>
              <w:widowControl/>
              <w:numPr>
                <w:ilvl w:val="0"/>
                <w:numId w:val="1"/>
              </w:numPr>
              <w:spacing w:line="460" w:lineRule="exact"/>
              <w:rPr>
                <w:rFonts w:ascii="Times New Roman" w:hAnsi="Times New Roman" w:eastAsia="仿宋_GB2312" w:cs="Times New Roman"/>
                <w:color w:val="000000"/>
                <w:kern w:val="0"/>
                <w:szCs w:val="21"/>
              </w:rPr>
            </w:pPr>
            <w:r>
              <w:rPr>
                <w:rFonts w:ascii="Times New Roman" w:hAnsi="Times New Roman" w:eastAsia="仿宋_GB2312" w:cs="Times New Roman"/>
                <w:color w:val="000000"/>
                <w:kern w:val="0"/>
                <w:szCs w:val="21"/>
              </w:rPr>
              <w:t>项目经验：有大型活动</w:t>
            </w:r>
            <w:r>
              <w:rPr>
                <w:rFonts w:hint="eastAsia" w:ascii="Times New Roman" w:hAnsi="Times New Roman" w:eastAsia="仿宋_GB2312" w:cs="Times New Roman"/>
                <w:color w:val="000000"/>
                <w:kern w:val="0"/>
                <w:szCs w:val="21"/>
                <w:lang w:eastAsia="zh-CN"/>
              </w:rPr>
              <w:t>（</w:t>
            </w:r>
            <w:r>
              <w:rPr>
                <w:rFonts w:hint="eastAsia" w:ascii="Times New Roman" w:hAnsi="Times New Roman" w:eastAsia="仿宋_GB2312" w:cs="Times New Roman"/>
                <w:color w:val="000000"/>
                <w:kern w:val="0"/>
                <w:szCs w:val="21"/>
                <w:lang w:val="en-US" w:eastAsia="zh-CN"/>
              </w:rPr>
              <w:t>200人及以上）策划执行</w:t>
            </w:r>
            <w:r>
              <w:rPr>
                <w:rFonts w:ascii="Times New Roman" w:hAnsi="Times New Roman" w:eastAsia="仿宋_GB2312" w:cs="Times New Roman"/>
                <w:color w:val="000000"/>
                <w:kern w:val="0"/>
                <w:szCs w:val="21"/>
              </w:rPr>
              <w:t>经验，</w:t>
            </w:r>
            <w:r>
              <w:rPr>
                <w:rFonts w:hint="eastAsia" w:ascii="Times New Roman" w:hAnsi="Times New Roman" w:eastAsia="仿宋_GB2312" w:cs="Times New Roman"/>
                <w:color w:val="000000"/>
                <w:kern w:val="0"/>
                <w:szCs w:val="21"/>
                <w:lang w:val="en-US" w:eastAsia="zh-CN"/>
              </w:rPr>
              <w:t>每提供一项证明材料得2分，同等条件下，优先考虑具有中国重汽或省内其他企业大型活动的执行经验。</w:t>
            </w:r>
            <w:r>
              <w:rPr>
                <w:rFonts w:ascii="Times New Roman" w:hAnsi="Times New Roman" w:eastAsia="仿宋_GB2312" w:cs="Times New Roman"/>
                <w:color w:val="000000"/>
                <w:kern w:val="0"/>
                <w:szCs w:val="21"/>
              </w:rPr>
              <w:t>本项最高得</w:t>
            </w:r>
            <w:r>
              <w:rPr>
                <w:rFonts w:hint="eastAsia" w:ascii="Times New Roman" w:hAnsi="Times New Roman" w:eastAsia="仿宋_GB2312" w:cs="Times New Roman"/>
                <w:color w:val="000000"/>
                <w:kern w:val="0"/>
                <w:szCs w:val="21"/>
                <w:lang w:val="en-US" w:eastAsia="zh-CN"/>
              </w:rPr>
              <w:t>10</w:t>
            </w:r>
            <w:r>
              <w:rPr>
                <w:rFonts w:ascii="Times New Roman" w:hAnsi="Times New Roman" w:eastAsia="仿宋_GB2312" w:cs="Times New Roman"/>
                <w:color w:val="000000"/>
                <w:kern w:val="0"/>
                <w:szCs w:val="21"/>
              </w:rPr>
              <w:t>分。</w:t>
            </w:r>
          </w:p>
        </w:tc>
        <w:tc>
          <w:tcPr>
            <w:tcW w:w="1294" w:type="dxa"/>
            <w:tcBorders>
              <w:top w:val="nil"/>
              <w:left w:val="single" w:color="auto" w:sz="4" w:space="0"/>
              <w:bottom w:val="single" w:color="auto" w:sz="4" w:space="0"/>
              <w:right w:val="single" w:color="auto" w:sz="4" w:space="0"/>
            </w:tcBorders>
            <w:shd w:val="clear" w:color="auto" w:fill="auto"/>
            <w:vAlign w:val="center"/>
          </w:tcPr>
          <w:p w14:paraId="59674716">
            <w:pPr>
              <w:widowControl/>
              <w:spacing w:line="460" w:lineRule="exact"/>
              <w:jc w:val="center"/>
              <w:rPr>
                <w:rFonts w:ascii="Times New Roman" w:hAnsi="Times New Roman" w:eastAsia="仿宋_GB2312" w:cs="Times New Roman"/>
                <w:color w:val="000000"/>
                <w:kern w:val="0"/>
                <w:sz w:val="24"/>
                <w:szCs w:val="24"/>
              </w:rPr>
            </w:pPr>
          </w:p>
        </w:tc>
      </w:tr>
      <w:tr w14:paraId="5DA90F82">
        <w:tblPrEx>
          <w:tblCellMar>
            <w:top w:w="0" w:type="dxa"/>
            <w:left w:w="108" w:type="dxa"/>
            <w:bottom w:w="0" w:type="dxa"/>
            <w:right w:w="108" w:type="dxa"/>
          </w:tblCellMar>
        </w:tblPrEx>
        <w:trPr>
          <w:trHeight w:val="1512" w:hRule="atLeast"/>
          <w:jc w:val="center"/>
        </w:trPr>
        <w:tc>
          <w:tcPr>
            <w:tcW w:w="1685" w:type="dxa"/>
            <w:vMerge w:val="continue"/>
            <w:tcBorders>
              <w:left w:val="single" w:color="auto" w:sz="4" w:space="0"/>
              <w:right w:val="single" w:color="auto" w:sz="4" w:space="0"/>
            </w:tcBorders>
            <w:shd w:val="clear" w:color="auto" w:fill="auto"/>
            <w:vAlign w:val="center"/>
          </w:tcPr>
          <w:p w14:paraId="43B8C2A2">
            <w:pPr>
              <w:widowControl/>
              <w:spacing w:line="460" w:lineRule="exact"/>
              <w:jc w:val="center"/>
              <w:rPr>
                <w:rFonts w:ascii="Times New Roman" w:hAnsi="Times New Roman" w:eastAsia="仿宋_GB2312" w:cs="Times New Roman"/>
                <w:color w:val="000000"/>
                <w:kern w:val="0"/>
                <w:szCs w:val="21"/>
              </w:rPr>
            </w:pPr>
          </w:p>
        </w:tc>
        <w:tc>
          <w:tcPr>
            <w:tcW w:w="7101" w:type="dxa"/>
            <w:tcBorders>
              <w:top w:val="nil"/>
              <w:left w:val="nil"/>
              <w:bottom w:val="single" w:color="auto" w:sz="4" w:space="0"/>
              <w:right w:val="single" w:color="auto" w:sz="4" w:space="0"/>
            </w:tcBorders>
            <w:shd w:val="clear" w:color="auto" w:fill="auto"/>
            <w:vAlign w:val="center"/>
          </w:tcPr>
          <w:p w14:paraId="4A441A44">
            <w:pPr>
              <w:widowControl/>
              <w:spacing w:line="460" w:lineRule="exact"/>
              <w:rPr>
                <w:rFonts w:ascii="Times New Roman" w:hAnsi="Times New Roman" w:cs="Times New Roman"/>
              </w:rPr>
            </w:pPr>
            <w:r>
              <w:rPr>
                <w:rFonts w:ascii="Times New Roman" w:hAnsi="Times New Roman" w:eastAsia="仿宋_GB2312" w:cs="Times New Roman"/>
                <w:color w:val="000000"/>
                <w:kern w:val="0"/>
                <w:szCs w:val="21"/>
              </w:rPr>
              <w:t>2）项目策划：对标的内容有完整的规划，可操作性强，创作思路清晰，主题明确，整体规划布局完善、合理，对整个活动有较完善的项目规划及开展筹备</w:t>
            </w:r>
            <w:r>
              <w:rPr>
                <w:rFonts w:hint="eastAsia" w:ascii="Times New Roman" w:hAnsi="Times New Roman" w:eastAsia="仿宋_GB2312" w:cs="Times New Roman"/>
                <w:color w:val="000000"/>
                <w:kern w:val="0"/>
                <w:szCs w:val="21"/>
                <w:lang w:eastAsia="zh-CN"/>
              </w:rPr>
              <w:t>。</w:t>
            </w:r>
            <w:r>
              <w:rPr>
                <w:rFonts w:ascii="Times New Roman" w:hAnsi="Times New Roman" w:eastAsia="仿宋_GB2312" w:cs="Times New Roman"/>
                <w:color w:val="000000"/>
                <w:kern w:val="0"/>
                <w:szCs w:val="21"/>
              </w:rPr>
              <w:t>本项最高得</w:t>
            </w:r>
            <w:r>
              <w:rPr>
                <w:rFonts w:hint="eastAsia" w:ascii="Times New Roman" w:hAnsi="Times New Roman" w:eastAsia="仿宋_GB2312" w:cs="Times New Roman"/>
                <w:color w:val="000000"/>
                <w:kern w:val="0"/>
                <w:szCs w:val="21"/>
                <w:lang w:val="en-US" w:eastAsia="zh-CN"/>
              </w:rPr>
              <w:t>30</w:t>
            </w:r>
            <w:r>
              <w:rPr>
                <w:rFonts w:ascii="Times New Roman" w:hAnsi="Times New Roman" w:eastAsia="仿宋_GB2312" w:cs="Times New Roman"/>
                <w:color w:val="000000"/>
                <w:kern w:val="0"/>
                <w:szCs w:val="21"/>
              </w:rPr>
              <w:t>分。</w:t>
            </w:r>
          </w:p>
        </w:tc>
        <w:tc>
          <w:tcPr>
            <w:tcW w:w="1294" w:type="dxa"/>
            <w:tcBorders>
              <w:top w:val="nil"/>
              <w:left w:val="single" w:color="auto" w:sz="4" w:space="0"/>
              <w:bottom w:val="single" w:color="auto" w:sz="4" w:space="0"/>
              <w:right w:val="single" w:color="auto" w:sz="4" w:space="0"/>
            </w:tcBorders>
            <w:shd w:val="clear" w:color="auto" w:fill="auto"/>
            <w:vAlign w:val="center"/>
          </w:tcPr>
          <w:p w14:paraId="31B090A0">
            <w:pPr>
              <w:widowControl/>
              <w:spacing w:line="460" w:lineRule="exact"/>
              <w:jc w:val="center"/>
              <w:rPr>
                <w:rFonts w:ascii="Times New Roman" w:hAnsi="Times New Roman" w:eastAsia="仿宋_GB2312" w:cs="Times New Roman"/>
                <w:color w:val="000000"/>
                <w:kern w:val="0"/>
                <w:sz w:val="24"/>
                <w:szCs w:val="24"/>
              </w:rPr>
            </w:pPr>
          </w:p>
        </w:tc>
      </w:tr>
      <w:tr w14:paraId="3D304B38">
        <w:tblPrEx>
          <w:tblCellMar>
            <w:top w:w="0" w:type="dxa"/>
            <w:left w:w="108" w:type="dxa"/>
            <w:bottom w:w="0" w:type="dxa"/>
            <w:right w:w="108" w:type="dxa"/>
          </w:tblCellMar>
        </w:tblPrEx>
        <w:trPr>
          <w:trHeight w:val="1609" w:hRule="atLeast"/>
          <w:jc w:val="center"/>
        </w:trPr>
        <w:tc>
          <w:tcPr>
            <w:tcW w:w="1685" w:type="dxa"/>
            <w:vMerge w:val="continue"/>
            <w:tcBorders>
              <w:left w:val="single" w:color="auto" w:sz="4" w:space="0"/>
              <w:right w:val="single" w:color="auto" w:sz="4" w:space="0"/>
            </w:tcBorders>
            <w:vAlign w:val="center"/>
          </w:tcPr>
          <w:p w14:paraId="39C4CFB5">
            <w:pPr>
              <w:widowControl/>
              <w:spacing w:line="460" w:lineRule="exact"/>
              <w:jc w:val="left"/>
              <w:rPr>
                <w:rFonts w:ascii="Times New Roman" w:hAnsi="Times New Roman" w:eastAsia="仿宋_GB2312" w:cs="Times New Roman"/>
                <w:color w:val="000000"/>
                <w:kern w:val="0"/>
                <w:szCs w:val="21"/>
              </w:rPr>
            </w:pPr>
          </w:p>
        </w:tc>
        <w:tc>
          <w:tcPr>
            <w:tcW w:w="7101" w:type="dxa"/>
            <w:tcBorders>
              <w:top w:val="single" w:color="auto" w:sz="4" w:space="0"/>
              <w:left w:val="nil"/>
              <w:right w:val="single" w:color="auto" w:sz="4" w:space="0"/>
            </w:tcBorders>
            <w:shd w:val="clear" w:color="auto" w:fill="auto"/>
            <w:vAlign w:val="center"/>
          </w:tcPr>
          <w:p w14:paraId="02C76013">
            <w:pPr>
              <w:widowControl/>
              <w:spacing w:line="460" w:lineRule="exact"/>
              <w:rPr>
                <w:rFonts w:ascii="Times New Roman" w:hAnsi="Times New Roman" w:cs="Times New Roman"/>
              </w:rPr>
            </w:pPr>
            <w:r>
              <w:rPr>
                <w:rFonts w:ascii="Times New Roman" w:hAnsi="Times New Roman" w:eastAsia="仿宋_GB2312" w:cs="Times New Roman"/>
                <w:color w:val="000000"/>
                <w:kern w:val="0"/>
                <w:szCs w:val="21"/>
              </w:rPr>
              <w:t>3）物料设计</w:t>
            </w:r>
            <w:r>
              <w:rPr>
                <w:rFonts w:hint="eastAsia" w:ascii="Times New Roman" w:hAnsi="Times New Roman" w:eastAsia="仿宋_GB2312" w:cs="Times New Roman"/>
                <w:color w:val="000000"/>
                <w:kern w:val="0"/>
                <w:szCs w:val="21"/>
              </w:rPr>
              <w:t>及制作</w:t>
            </w:r>
            <w:r>
              <w:rPr>
                <w:rFonts w:ascii="Times New Roman" w:hAnsi="Times New Roman" w:eastAsia="仿宋_GB2312" w:cs="Times New Roman"/>
                <w:color w:val="000000"/>
                <w:kern w:val="0"/>
                <w:szCs w:val="21"/>
              </w:rPr>
              <w:t>：方案中的物料画面设计视觉及体验效果突出，具有较好的吸引力、感染力，对</w:t>
            </w:r>
            <w:r>
              <w:rPr>
                <w:rFonts w:hint="eastAsia" w:ascii="Times New Roman" w:hAnsi="Times New Roman" w:eastAsia="仿宋_GB2312" w:cs="Times New Roman"/>
                <w:color w:val="000000"/>
                <w:kern w:val="0"/>
                <w:szCs w:val="21"/>
                <w:lang w:val="en-US" w:eastAsia="zh-CN"/>
              </w:rPr>
              <w:t>中国重汽的品牌</w:t>
            </w:r>
            <w:r>
              <w:rPr>
                <w:rFonts w:ascii="Times New Roman" w:hAnsi="Times New Roman" w:eastAsia="仿宋_GB2312" w:cs="Times New Roman"/>
                <w:color w:val="000000"/>
                <w:kern w:val="0"/>
                <w:szCs w:val="21"/>
              </w:rPr>
              <w:t>形象提升有积极作用的</w:t>
            </w:r>
            <w:r>
              <w:rPr>
                <w:rFonts w:hint="eastAsia" w:ascii="Times New Roman" w:hAnsi="Times New Roman" w:eastAsia="仿宋_GB2312" w:cs="Times New Roman"/>
                <w:color w:val="000000"/>
                <w:kern w:val="0"/>
                <w:szCs w:val="21"/>
                <w:lang w:eastAsia="zh-CN"/>
              </w:rPr>
              <w:t>，</w:t>
            </w:r>
            <w:r>
              <w:rPr>
                <w:rFonts w:hint="eastAsia" w:ascii="Times New Roman" w:hAnsi="Times New Roman" w:eastAsia="仿宋_GB2312" w:cs="Times New Roman"/>
                <w:color w:val="000000"/>
                <w:kern w:val="0"/>
                <w:szCs w:val="21"/>
                <w:lang w:val="en-US" w:eastAsia="zh-CN"/>
              </w:rPr>
              <w:t>符合出口系统对年会活动的要求。</w:t>
            </w:r>
            <w:r>
              <w:rPr>
                <w:rFonts w:ascii="Times New Roman" w:hAnsi="Times New Roman" w:eastAsia="仿宋_GB2312" w:cs="Times New Roman"/>
                <w:color w:val="000000"/>
                <w:kern w:val="0"/>
                <w:szCs w:val="21"/>
              </w:rPr>
              <w:t>本项最高得分</w:t>
            </w:r>
            <w:r>
              <w:rPr>
                <w:rFonts w:hint="eastAsia" w:ascii="Times New Roman" w:hAnsi="Times New Roman" w:eastAsia="仿宋_GB2312" w:cs="Times New Roman"/>
                <w:color w:val="000000"/>
                <w:kern w:val="0"/>
                <w:szCs w:val="21"/>
                <w:lang w:val="en-US" w:eastAsia="zh-CN"/>
              </w:rPr>
              <w:t>30</w:t>
            </w:r>
            <w:r>
              <w:rPr>
                <w:rFonts w:ascii="Times New Roman" w:hAnsi="Times New Roman" w:eastAsia="仿宋_GB2312" w:cs="Times New Roman"/>
                <w:color w:val="000000"/>
                <w:kern w:val="0"/>
                <w:szCs w:val="21"/>
              </w:rPr>
              <w:t>分。</w:t>
            </w:r>
          </w:p>
        </w:tc>
        <w:tc>
          <w:tcPr>
            <w:tcW w:w="1294" w:type="dxa"/>
            <w:tcBorders>
              <w:top w:val="single" w:color="auto" w:sz="4" w:space="0"/>
              <w:left w:val="single" w:color="auto" w:sz="4" w:space="0"/>
              <w:bottom w:val="single" w:color="auto" w:sz="4" w:space="0"/>
              <w:right w:val="single" w:color="auto" w:sz="4" w:space="0"/>
            </w:tcBorders>
            <w:vAlign w:val="center"/>
          </w:tcPr>
          <w:p w14:paraId="35BD609E">
            <w:pPr>
              <w:widowControl/>
              <w:spacing w:line="460" w:lineRule="exact"/>
              <w:jc w:val="left"/>
              <w:rPr>
                <w:rFonts w:ascii="Times New Roman" w:hAnsi="Times New Roman" w:eastAsia="仿宋_GB2312" w:cs="Times New Roman"/>
                <w:color w:val="000000"/>
                <w:kern w:val="0"/>
                <w:sz w:val="24"/>
                <w:szCs w:val="24"/>
                <w:lang w:val="ru-RU"/>
              </w:rPr>
            </w:pPr>
          </w:p>
        </w:tc>
      </w:tr>
      <w:tr w14:paraId="66A6A7F6">
        <w:tblPrEx>
          <w:tblCellMar>
            <w:top w:w="0" w:type="dxa"/>
            <w:left w:w="108" w:type="dxa"/>
            <w:bottom w:w="0" w:type="dxa"/>
            <w:right w:w="108" w:type="dxa"/>
          </w:tblCellMar>
        </w:tblPrEx>
        <w:trPr>
          <w:trHeight w:val="2033" w:hRule="atLeast"/>
          <w:jc w:val="center"/>
        </w:trPr>
        <w:tc>
          <w:tcPr>
            <w:tcW w:w="1685" w:type="dxa"/>
            <w:vMerge w:val="continue"/>
            <w:tcBorders>
              <w:left w:val="single" w:color="auto" w:sz="4" w:space="0"/>
              <w:right w:val="single" w:color="auto" w:sz="4" w:space="0"/>
            </w:tcBorders>
            <w:vAlign w:val="center"/>
          </w:tcPr>
          <w:p w14:paraId="57742E40">
            <w:pPr>
              <w:widowControl/>
              <w:spacing w:line="460" w:lineRule="exact"/>
              <w:jc w:val="left"/>
              <w:rPr>
                <w:rFonts w:ascii="Times New Roman" w:hAnsi="Times New Roman" w:eastAsia="仿宋_GB2312" w:cs="Times New Roman"/>
                <w:color w:val="000000"/>
                <w:kern w:val="0"/>
                <w:szCs w:val="21"/>
                <w:lang w:val="ru-RU"/>
              </w:rPr>
            </w:pPr>
          </w:p>
        </w:tc>
        <w:tc>
          <w:tcPr>
            <w:tcW w:w="7101" w:type="dxa"/>
            <w:tcBorders>
              <w:top w:val="nil"/>
              <w:left w:val="nil"/>
              <w:bottom w:val="nil"/>
              <w:right w:val="single" w:color="auto" w:sz="4" w:space="0"/>
            </w:tcBorders>
            <w:shd w:val="clear" w:color="auto" w:fill="auto"/>
            <w:vAlign w:val="center"/>
          </w:tcPr>
          <w:p w14:paraId="01DF2061">
            <w:pPr>
              <w:widowControl/>
              <w:spacing w:line="460" w:lineRule="exact"/>
              <w:rPr>
                <w:rFonts w:ascii="Times New Roman" w:hAnsi="Times New Roman" w:cs="Times New Roman"/>
              </w:rPr>
            </w:pPr>
            <w:r>
              <w:rPr>
                <w:rFonts w:hint="eastAsia" w:ascii="Times New Roman" w:hAnsi="Times New Roman" w:eastAsia="仿宋_GB2312" w:cs="Times New Roman"/>
                <w:color w:val="000000"/>
                <w:kern w:val="0"/>
                <w:szCs w:val="21"/>
                <w:lang w:val="en-US" w:eastAsia="zh-CN"/>
              </w:rPr>
              <w:t>4</w:t>
            </w:r>
            <w:r>
              <w:rPr>
                <w:rFonts w:ascii="Times New Roman" w:hAnsi="Times New Roman" w:eastAsia="仿宋_GB2312" w:cs="Times New Roman"/>
                <w:color w:val="000000"/>
                <w:kern w:val="0"/>
                <w:szCs w:val="21"/>
              </w:rPr>
              <w:t>）实施过程：实施方案应当具有针对性、可操作性、服务保障等，包括人员配备、责任分工、项目推进周期、配合协调事项、应急方案以及质量问题解决方法及补救措施等具体分类</w:t>
            </w:r>
            <w:r>
              <w:rPr>
                <w:rFonts w:hint="eastAsia" w:ascii="Times New Roman" w:hAnsi="Times New Roman" w:eastAsia="仿宋_GB2312" w:cs="Times New Roman"/>
                <w:color w:val="000000"/>
                <w:kern w:val="0"/>
                <w:szCs w:val="21"/>
                <w:lang w:eastAsia="zh-CN"/>
              </w:rPr>
              <w:t>；</w:t>
            </w:r>
            <w:r>
              <w:rPr>
                <w:rFonts w:hint="eastAsia" w:ascii="Times New Roman" w:hAnsi="Times New Roman" w:eastAsia="仿宋_GB2312" w:cs="Times New Roman"/>
                <w:color w:val="000000"/>
                <w:kern w:val="0"/>
                <w:szCs w:val="21"/>
                <w:lang w:val="en-US" w:eastAsia="zh-CN"/>
              </w:rPr>
              <w:t>能协调活动举办地做好展品清洁布置、场地搭建及撤出、活动开展等相关</w:t>
            </w:r>
            <w:r>
              <w:rPr>
                <w:rFonts w:ascii="Times New Roman" w:hAnsi="Times New Roman" w:eastAsia="仿宋_GB2312" w:cs="Times New Roman"/>
                <w:color w:val="000000"/>
                <w:kern w:val="0"/>
                <w:szCs w:val="21"/>
              </w:rPr>
              <w:t>协调</w:t>
            </w:r>
            <w:r>
              <w:rPr>
                <w:rFonts w:hint="eastAsia" w:ascii="Times New Roman" w:hAnsi="Times New Roman" w:eastAsia="仿宋_GB2312" w:cs="Times New Roman"/>
                <w:color w:val="000000"/>
                <w:kern w:val="0"/>
                <w:szCs w:val="21"/>
                <w:lang w:eastAsia="zh-CN"/>
              </w:rPr>
              <w:t>，</w:t>
            </w:r>
            <w:r>
              <w:rPr>
                <w:rFonts w:hint="eastAsia" w:ascii="Times New Roman" w:hAnsi="Times New Roman" w:eastAsia="仿宋_GB2312" w:cs="Times New Roman"/>
                <w:color w:val="000000"/>
                <w:kern w:val="0"/>
                <w:szCs w:val="21"/>
                <w:lang w:val="en-US" w:eastAsia="zh-CN"/>
              </w:rPr>
              <w:t>确保</w:t>
            </w:r>
            <w:r>
              <w:rPr>
                <w:rFonts w:ascii="Times New Roman" w:hAnsi="Times New Roman" w:eastAsia="仿宋_GB2312" w:cs="Times New Roman"/>
                <w:color w:val="000000"/>
                <w:kern w:val="0"/>
                <w:szCs w:val="21"/>
              </w:rPr>
              <w:t>保证活动的顺利开展</w:t>
            </w:r>
            <w:r>
              <w:rPr>
                <w:rFonts w:hint="eastAsia" w:ascii="Times New Roman" w:hAnsi="Times New Roman" w:eastAsia="仿宋_GB2312" w:cs="Times New Roman"/>
                <w:color w:val="000000"/>
                <w:kern w:val="0"/>
                <w:szCs w:val="21"/>
                <w:lang w:eastAsia="zh-CN"/>
              </w:rPr>
              <w:t>。</w:t>
            </w:r>
            <w:r>
              <w:rPr>
                <w:rFonts w:ascii="Times New Roman" w:hAnsi="Times New Roman" w:eastAsia="仿宋_GB2312" w:cs="Times New Roman"/>
                <w:color w:val="000000"/>
                <w:kern w:val="0"/>
                <w:szCs w:val="21"/>
              </w:rPr>
              <w:t>本项最高得</w:t>
            </w:r>
            <w:r>
              <w:rPr>
                <w:rFonts w:hint="eastAsia" w:ascii="Times New Roman" w:hAnsi="Times New Roman" w:eastAsia="仿宋_GB2312" w:cs="Times New Roman"/>
                <w:color w:val="000000"/>
                <w:kern w:val="0"/>
                <w:szCs w:val="21"/>
                <w:lang w:val="en-US" w:eastAsia="zh-CN"/>
              </w:rPr>
              <w:t>30</w:t>
            </w:r>
            <w:r>
              <w:rPr>
                <w:rFonts w:ascii="Times New Roman" w:hAnsi="Times New Roman" w:eastAsia="仿宋_GB2312" w:cs="Times New Roman"/>
                <w:color w:val="000000"/>
                <w:kern w:val="0"/>
                <w:szCs w:val="21"/>
              </w:rPr>
              <w:t>分。</w:t>
            </w:r>
          </w:p>
        </w:tc>
        <w:tc>
          <w:tcPr>
            <w:tcW w:w="1294" w:type="dxa"/>
            <w:tcBorders>
              <w:top w:val="single" w:color="auto" w:sz="4" w:space="0"/>
              <w:left w:val="single" w:color="auto" w:sz="4" w:space="0"/>
              <w:bottom w:val="single" w:color="auto" w:sz="4" w:space="0"/>
              <w:right w:val="single" w:color="auto" w:sz="4" w:space="0"/>
            </w:tcBorders>
            <w:vAlign w:val="center"/>
          </w:tcPr>
          <w:p w14:paraId="120BB836">
            <w:pPr>
              <w:widowControl/>
              <w:spacing w:line="460" w:lineRule="exact"/>
              <w:jc w:val="left"/>
              <w:rPr>
                <w:rFonts w:ascii="Times New Roman" w:hAnsi="Times New Roman" w:eastAsia="仿宋_GB2312" w:cs="Times New Roman"/>
                <w:color w:val="000000"/>
                <w:kern w:val="0"/>
                <w:sz w:val="24"/>
                <w:szCs w:val="24"/>
              </w:rPr>
            </w:pPr>
          </w:p>
        </w:tc>
      </w:tr>
      <w:tr w14:paraId="5EF36B15">
        <w:tblPrEx>
          <w:tblCellMar>
            <w:top w:w="0" w:type="dxa"/>
            <w:left w:w="108" w:type="dxa"/>
            <w:bottom w:w="0" w:type="dxa"/>
            <w:right w:w="108" w:type="dxa"/>
          </w:tblCellMar>
        </w:tblPrEx>
        <w:trPr>
          <w:trHeight w:val="92" w:hRule="atLeast"/>
          <w:jc w:val="center"/>
        </w:trPr>
        <w:tc>
          <w:tcPr>
            <w:tcW w:w="8786" w:type="dxa"/>
            <w:gridSpan w:val="2"/>
            <w:tcBorders>
              <w:left w:val="single" w:color="auto" w:sz="4" w:space="0"/>
              <w:right w:val="single" w:color="auto" w:sz="4" w:space="0"/>
            </w:tcBorders>
            <w:vAlign w:val="center"/>
          </w:tcPr>
          <w:p w14:paraId="4A596025">
            <w:pPr>
              <w:widowControl/>
              <w:spacing w:line="460" w:lineRule="exact"/>
              <w:jc w:val="center"/>
              <w:rPr>
                <w:rFonts w:hint="eastAsia" w:ascii="Times New Roman" w:hAnsi="Times New Roman" w:eastAsia="仿宋_GB2312" w:cs="Times New Roman"/>
                <w:color w:val="000000"/>
                <w:kern w:val="0"/>
                <w:szCs w:val="21"/>
                <w:lang w:val="en-US" w:eastAsia="zh-CN"/>
              </w:rPr>
            </w:pPr>
            <w:r>
              <w:rPr>
                <w:rFonts w:hint="eastAsia" w:ascii="Times New Roman" w:hAnsi="Times New Roman" w:eastAsia="仿宋_GB2312" w:cs="Times New Roman"/>
                <w:color w:val="000000"/>
                <w:kern w:val="0"/>
                <w:szCs w:val="21"/>
                <w:lang w:val="en-US" w:eastAsia="zh-CN"/>
              </w:rPr>
              <w:t>得分</w:t>
            </w:r>
          </w:p>
        </w:tc>
        <w:tc>
          <w:tcPr>
            <w:tcW w:w="1294" w:type="dxa"/>
            <w:tcBorders>
              <w:top w:val="single" w:color="auto" w:sz="4" w:space="0"/>
              <w:left w:val="single" w:color="auto" w:sz="4" w:space="0"/>
              <w:bottom w:val="single" w:color="auto" w:sz="4" w:space="0"/>
              <w:right w:val="single" w:color="auto" w:sz="4" w:space="0"/>
            </w:tcBorders>
            <w:vAlign w:val="center"/>
          </w:tcPr>
          <w:p w14:paraId="72D0886B">
            <w:pPr>
              <w:widowControl/>
              <w:spacing w:line="460" w:lineRule="exact"/>
              <w:jc w:val="left"/>
              <w:rPr>
                <w:rFonts w:ascii="Times New Roman" w:hAnsi="Times New Roman" w:eastAsia="仿宋_GB2312" w:cs="Times New Roman"/>
                <w:color w:val="000000"/>
                <w:kern w:val="0"/>
                <w:sz w:val="24"/>
                <w:szCs w:val="24"/>
              </w:rPr>
            </w:pPr>
          </w:p>
        </w:tc>
      </w:tr>
    </w:tbl>
    <w:p w14:paraId="398AB3BC">
      <w:pPr>
        <w:pStyle w:val="22"/>
        <w:spacing w:line="360" w:lineRule="auto"/>
        <w:ind w:left="0" w:leftChars="0" w:firstLine="0" w:firstLineChars="0"/>
        <w:contextualSpacing/>
        <w:rPr>
          <w:rFonts w:ascii="Times New Roman" w:hAnsi="Times New Roman" w:eastAsia="仿宋" w:cs="Times New Roman"/>
          <w:sz w:val="28"/>
          <w:szCs w:val="28"/>
        </w:rPr>
      </w:pPr>
    </w:p>
    <w:p w14:paraId="012A61FD">
      <w:pPr>
        <w:pStyle w:val="22"/>
        <w:spacing w:line="360" w:lineRule="auto"/>
        <w:ind w:firstLine="560"/>
        <w:contextualSpacing/>
        <w:rPr>
          <w:rFonts w:ascii="Times New Roman" w:hAnsi="Times New Roman" w:cs="Times New Roman"/>
          <w:sz w:val="28"/>
        </w:rPr>
      </w:pPr>
      <w:r>
        <w:rPr>
          <w:rFonts w:ascii="Times New Roman" w:hAnsi="Times New Roman" w:eastAsia="仿宋" w:cs="Times New Roman"/>
          <w:sz w:val="28"/>
          <w:szCs w:val="28"/>
        </w:rPr>
        <w:t>3.投标文件资料不完整、投标人对招标文件的实质性要求未做出全面响应、有迹象表明投标人串通投标、中标后无正当理由在规定的时间不签订合同的、投标人提供的投标文件弄虚作假及其它违反法律、法规规定情形的，视为无效投标。</w:t>
      </w:r>
    </w:p>
    <w:p w14:paraId="1CBD6CE2">
      <w:pPr>
        <w:widowControl/>
        <w:spacing w:line="360" w:lineRule="auto"/>
        <w:contextualSpacing/>
        <w:jc w:val="left"/>
        <w:rPr>
          <w:rFonts w:ascii="Times New Roman" w:hAnsi="Times New Roman" w:eastAsia="Times New Roman" w:cs="Times New Roman"/>
          <w:sz w:val="28"/>
          <w:lang w:val="ru-RU"/>
        </w:rPr>
      </w:pPr>
      <w:r>
        <w:rPr>
          <w:rFonts w:ascii="Times New Roman" w:hAnsi="Times New Roman" w:eastAsia="仿宋" w:cs="Times New Roman"/>
          <w:b/>
          <w:sz w:val="28"/>
          <w:szCs w:val="28"/>
        </w:rPr>
        <w:t>七、投标书</w:t>
      </w:r>
    </w:p>
    <w:p w14:paraId="65F78B2C">
      <w:pPr>
        <w:spacing w:line="360" w:lineRule="auto"/>
        <w:ind w:firstLine="562" w:firstLineChars="200"/>
        <w:contextualSpacing/>
        <w:rPr>
          <w:rFonts w:ascii="Times New Roman" w:hAnsi="Times New Roman" w:cs="Times New Roman"/>
          <w:sz w:val="28"/>
          <w:lang w:val="ru-RU"/>
        </w:rPr>
      </w:pPr>
      <w:r>
        <w:rPr>
          <w:rFonts w:ascii="Times New Roman" w:hAnsi="Times New Roman" w:eastAsia="仿宋" w:cs="Times New Roman"/>
          <w:b/>
          <w:sz w:val="28"/>
          <w:szCs w:val="28"/>
          <w:lang w:val="ru-RU"/>
        </w:rPr>
        <w:t>1.</w:t>
      </w:r>
      <w:r>
        <w:rPr>
          <w:rFonts w:ascii="Times New Roman" w:hAnsi="Times New Roman" w:eastAsia="仿宋" w:cs="Times New Roman"/>
          <w:b/>
          <w:sz w:val="28"/>
          <w:szCs w:val="28"/>
        </w:rPr>
        <w:t>投标文件的密封、装袋和</w:t>
      </w:r>
      <w:r>
        <w:rPr>
          <w:rFonts w:hint="eastAsia" w:ascii="Times New Roman" w:hAnsi="Times New Roman" w:eastAsia="仿宋" w:cs="Times New Roman"/>
          <w:b/>
          <w:sz w:val="28"/>
          <w:szCs w:val="28"/>
        </w:rPr>
        <w:t>递交</w:t>
      </w:r>
    </w:p>
    <w:p w14:paraId="64A2FFCF">
      <w:pPr>
        <w:spacing w:line="360" w:lineRule="auto"/>
        <w:ind w:firstLine="560" w:firstLineChars="200"/>
        <w:contextualSpacing/>
        <w:rPr>
          <w:rFonts w:ascii="Times New Roman" w:hAnsi="Times New Roman" w:eastAsia="Times New Roman" w:cs="Times New Roman"/>
          <w:sz w:val="28"/>
          <w:lang w:val="ru-RU"/>
        </w:rPr>
      </w:pPr>
      <w:r>
        <w:rPr>
          <w:rFonts w:ascii="Times New Roman" w:hAnsi="Times New Roman" w:eastAsia="仿宋" w:cs="Times New Roman"/>
          <w:sz w:val="28"/>
          <w:szCs w:val="28"/>
          <w:lang w:val="ru-RU"/>
        </w:rPr>
        <w:t>（1）</w:t>
      </w:r>
      <w:r>
        <w:rPr>
          <w:rFonts w:ascii="Times New Roman" w:hAnsi="Times New Roman" w:eastAsia="仿宋" w:cs="Times New Roman"/>
          <w:sz w:val="28"/>
          <w:szCs w:val="28"/>
        </w:rPr>
        <w:t>投标人应将投标文件正本一份、副本一份及U盘电子版一份</w:t>
      </w:r>
      <w:r>
        <w:rPr>
          <w:rFonts w:ascii="Times New Roman" w:hAnsi="Times New Roman" w:eastAsia="仿宋" w:cs="Times New Roman"/>
          <w:sz w:val="28"/>
          <w:szCs w:val="28"/>
          <w:lang w:val="ru-RU"/>
        </w:rPr>
        <w:t>（</w:t>
      </w:r>
      <w:r>
        <w:rPr>
          <w:rFonts w:ascii="Times New Roman" w:hAnsi="Times New Roman" w:eastAsia="仿宋" w:cs="Times New Roman"/>
          <w:sz w:val="28"/>
          <w:szCs w:val="28"/>
        </w:rPr>
        <w:t>所有投标文件存于U盘</w:t>
      </w:r>
      <w:r>
        <w:rPr>
          <w:rFonts w:ascii="Times New Roman" w:hAnsi="Times New Roman" w:eastAsia="仿宋" w:cs="Times New Roman"/>
          <w:sz w:val="28"/>
          <w:szCs w:val="28"/>
          <w:lang w:val="ru-RU"/>
        </w:rPr>
        <w:t>）</w:t>
      </w:r>
      <w:r>
        <w:rPr>
          <w:rFonts w:ascii="Times New Roman" w:hAnsi="Times New Roman" w:eastAsia="仿宋" w:cs="Times New Roman"/>
          <w:sz w:val="28"/>
          <w:szCs w:val="28"/>
        </w:rPr>
        <w:t>分别单独密封送达</w:t>
      </w:r>
      <w:r>
        <w:rPr>
          <w:rFonts w:ascii="Times New Roman" w:hAnsi="Times New Roman" w:eastAsia="仿宋" w:cs="Times New Roman"/>
          <w:sz w:val="28"/>
          <w:szCs w:val="28"/>
          <w:lang w:val="ru-RU"/>
        </w:rPr>
        <w:t>，</w:t>
      </w:r>
      <w:r>
        <w:rPr>
          <w:rFonts w:ascii="Times New Roman" w:hAnsi="Times New Roman" w:eastAsia="仿宋" w:cs="Times New Roman"/>
          <w:sz w:val="28"/>
          <w:szCs w:val="28"/>
        </w:rPr>
        <w:t>并在封面明显处注明以下内容</w:t>
      </w:r>
      <w:r>
        <w:rPr>
          <w:rFonts w:ascii="Times New Roman" w:hAnsi="Times New Roman" w:eastAsia="仿宋" w:cs="Times New Roman"/>
          <w:sz w:val="28"/>
          <w:szCs w:val="28"/>
          <w:lang w:val="ru-RU"/>
        </w:rPr>
        <w:t>：</w:t>
      </w:r>
    </w:p>
    <w:p w14:paraId="76FA1BA6">
      <w:pPr>
        <w:pStyle w:val="5"/>
        <w:spacing w:line="360" w:lineRule="auto"/>
        <w:ind w:firstLine="560"/>
        <w:contextualSpacing/>
        <w:rPr>
          <w:rFonts w:hint="default" w:ascii="Times New Roman" w:hAnsi="Times New Roman" w:eastAsia="仿宋" w:cs="Times New Roman"/>
          <w:sz w:val="28"/>
          <w:szCs w:val="28"/>
          <w:lang w:val="en-US" w:eastAsia="zh-CN"/>
        </w:rPr>
      </w:pPr>
      <w:r>
        <w:rPr>
          <w:rFonts w:hint="eastAsia" w:hAnsi="宋体" w:cs="宋体"/>
          <w:sz w:val="28"/>
          <w:szCs w:val="28"/>
        </w:rPr>
        <w:t>①</w:t>
      </w:r>
      <w:r>
        <w:rPr>
          <w:rFonts w:ascii="Times New Roman" w:hAnsi="Times New Roman" w:eastAsia="仿宋" w:cs="Times New Roman"/>
          <w:sz w:val="28"/>
          <w:szCs w:val="28"/>
        </w:rPr>
        <w:t>　项目名称：</w:t>
      </w:r>
      <w:r>
        <w:rPr>
          <w:rFonts w:hint="eastAsia" w:ascii="Times New Roman" w:hAnsi="Times New Roman" w:eastAsia="仿宋" w:cs="Times New Roman"/>
          <w:sz w:val="28"/>
          <w:szCs w:val="28"/>
        </w:rPr>
        <w:t>中国重汽</w:t>
      </w:r>
      <w:r>
        <w:rPr>
          <w:rFonts w:hint="eastAsia" w:ascii="Times New Roman" w:hAnsi="Times New Roman" w:eastAsia="仿宋" w:cs="Times New Roman"/>
          <w:sz w:val="28"/>
          <w:szCs w:val="28"/>
          <w:lang w:val="en-US" w:eastAsia="zh-CN"/>
        </w:rPr>
        <w:t>集团出口系统2026年会</w:t>
      </w:r>
    </w:p>
    <w:p w14:paraId="18FF23AD">
      <w:pPr>
        <w:pStyle w:val="5"/>
        <w:spacing w:line="360" w:lineRule="auto"/>
        <w:ind w:firstLine="560"/>
        <w:contextualSpacing/>
        <w:rPr>
          <w:rFonts w:ascii="Times New Roman" w:hAnsi="Times New Roman" w:eastAsia="Times New Roman" w:cs="Times New Roman"/>
          <w:sz w:val="28"/>
        </w:rPr>
      </w:pPr>
      <w:r>
        <w:rPr>
          <w:rFonts w:hint="eastAsia" w:hAnsi="宋体" w:cs="宋体"/>
          <w:sz w:val="28"/>
          <w:szCs w:val="28"/>
        </w:rPr>
        <w:t>②</w:t>
      </w:r>
      <w:r>
        <w:rPr>
          <w:rFonts w:ascii="Times New Roman" w:hAnsi="Times New Roman" w:eastAsia="仿宋" w:cs="Times New Roman"/>
          <w:sz w:val="28"/>
          <w:szCs w:val="28"/>
        </w:rPr>
        <w:t>　投标人名称（加盖公章）、地址、邮编、电话，每一密封文件在封口处黏贴封条并加盖投标人公章。</w:t>
      </w:r>
    </w:p>
    <w:p w14:paraId="0F087047">
      <w:pPr>
        <w:pStyle w:val="5"/>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2）如果投标人未按上述要求对投标文件密封及加写标记，招标人对投标提前启封概不负责。对由此造成提前开封的投标文件，招标人有权予以拒绝，并退回投标人取消其投标资格。招标结束后，无论投标人中标是否，投标人递交的投标资料一律不予退回。</w:t>
      </w:r>
    </w:p>
    <w:p w14:paraId="51C811C2">
      <w:pPr>
        <w:pStyle w:val="5"/>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（3）投标文件由投标人在开标日自行带到开标现场，在开标时当场交与招标负责人。如遇特殊情况，招标形式改为线上，需根据招标负责人的通知进行邮寄。</w:t>
      </w:r>
    </w:p>
    <w:p w14:paraId="035E21A3">
      <w:pPr>
        <w:spacing w:line="360" w:lineRule="auto"/>
        <w:ind w:firstLine="562" w:firstLineChars="200"/>
        <w:contextualSpacing/>
        <w:rPr>
          <w:rFonts w:ascii="Times New Roman" w:hAnsi="Times New Roman" w:eastAsia="Times New Roman" w:cs="Times New Roman"/>
          <w:sz w:val="28"/>
          <w:lang w:val="ru-RU"/>
        </w:rPr>
      </w:pPr>
      <w:r>
        <w:rPr>
          <w:rFonts w:ascii="Times New Roman" w:hAnsi="Times New Roman" w:eastAsia="仿宋" w:cs="Times New Roman"/>
          <w:b/>
          <w:sz w:val="28"/>
          <w:szCs w:val="28"/>
          <w:lang w:val="ru-RU"/>
        </w:rPr>
        <w:t>2.</w:t>
      </w:r>
      <w:r>
        <w:rPr>
          <w:rFonts w:ascii="Times New Roman" w:hAnsi="Times New Roman" w:eastAsia="仿宋" w:cs="Times New Roman"/>
          <w:b/>
          <w:sz w:val="28"/>
          <w:szCs w:val="28"/>
        </w:rPr>
        <w:t>投标文件的组成</w:t>
      </w:r>
    </w:p>
    <w:p w14:paraId="3C5E2456">
      <w:pPr>
        <w:spacing w:line="360" w:lineRule="auto"/>
        <w:ind w:firstLine="560" w:firstLineChars="200"/>
        <w:contextualSpacing/>
        <w:rPr>
          <w:rFonts w:ascii="Times New Roman" w:hAnsi="Times New Roman" w:cs="Times New Roman"/>
          <w:sz w:val="28"/>
          <w:lang w:val="ru-RU"/>
        </w:rPr>
      </w:pPr>
      <w:r>
        <w:rPr>
          <w:rFonts w:ascii="Times New Roman" w:hAnsi="Times New Roman" w:eastAsia="仿宋"/>
          <w:sz w:val="28"/>
          <w:szCs w:val="28"/>
          <w:lang w:val="ru-RU"/>
        </w:rPr>
        <w:t>（1）</w:t>
      </w:r>
      <w:r>
        <w:rPr>
          <w:rFonts w:ascii="Times New Roman" w:hAnsi="Times New Roman" w:eastAsia="仿宋" w:cs="Times New Roman"/>
          <w:b/>
          <w:sz w:val="28"/>
          <w:szCs w:val="28"/>
        </w:rPr>
        <w:t>资质文件</w:t>
      </w:r>
      <w:r>
        <w:rPr>
          <w:rFonts w:ascii="Times New Roman" w:hAnsi="Times New Roman" w:eastAsia="仿宋" w:cs="Times New Roman"/>
          <w:b/>
          <w:sz w:val="28"/>
          <w:szCs w:val="28"/>
          <w:lang w:val="ru-RU"/>
        </w:rPr>
        <w:t>（</w:t>
      </w:r>
      <w:r>
        <w:rPr>
          <w:rFonts w:ascii="Times New Roman" w:hAnsi="Times New Roman" w:eastAsia="仿宋" w:cs="Times New Roman"/>
          <w:b/>
          <w:sz w:val="28"/>
          <w:szCs w:val="28"/>
        </w:rPr>
        <w:t>独立封装在一个档案袋</w:t>
      </w:r>
      <w:r>
        <w:rPr>
          <w:rFonts w:ascii="Times New Roman" w:hAnsi="Times New Roman" w:eastAsia="仿宋" w:cs="Times New Roman"/>
          <w:b/>
          <w:sz w:val="28"/>
          <w:szCs w:val="28"/>
          <w:lang w:val="ru-RU"/>
        </w:rPr>
        <w:t>，</w:t>
      </w:r>
      <w:r>
        <w:rPr>
          <w:rFonts w:ascii="Times New Roman" w:hAnsi="Times New Roman" w:eastAsia="仿宋" w:cs="Times New Roman"/>
          <w:b/>
          <w:sz w:val="28"/>
          <w:szCs w:val="28"/>
        </w:rPr>
        <w:t>一式两份</w:t>
      </w:r>
      <w:r>
        <w:rPr>
          <w:rFonts w:ascii="Times New Roman" w:hAnsi="Times New Roman" w:eastAsia="仿宋" w:cs="Times New Roman"/>
          <w:b/>
          <w:sz w:val="28"/>
          <w:szCs w:val="28"/>
          <w:lang w:val="ru-RU"/>
        </w:rPr>
        <w:t>，</w:t>
      </w:r>
      <w:r>
        <w:rPr>
          <w:rFonts w:ascii="Times New Roman" w:hAnsi="Times New Roman" w:eastAsia="仿宋" w:cs="Times New Roman"/>
          <w:b/>
          <w:sz w:val="28"/>
          <w:szCs w:val="28"/>
        </w:rPr>
        <w:t>正本一份、副本一份</w:t>
      </w:r>
      <w:r>
        <w:rPr>
          <w:rFonts w:ascii="Times New Roman" w:hAnsi="Times New Roman" w:eastAsia="仿宋" w:cs="Times New Roman"/>
          <w:b/>
          <w:sz w:val="28"/>
          <w:szCs w:val="28"/>
          <w:lang w:val="ru-RU"/>
        </w:rPr>
        <w:t>）</w:t>
      </w:r>
    </w:p>
    <w:p w14:paraId="06B3F2CA">
      <w:pPr>
        <w:spacing w:line="360" w:lineRule="auto"/>
        <w:ind w:firstLine="560" w:firstLineChars="200"/>
        <w:contextualSpacing/>
        <w:rPr>
          <w:rFonts w:ascii="Times New Roman" w:hAnsi="Times New Roman" w:eastAsia="仿宋" w:cs="Times New Roman"/>
          <w:sz w:val="28"/>
          <w:szCs w:val="28"/>
          <w:lang w:val="ru-RU"/>
        </w:rPr>
      </w:pPr>
      <w:r>
        <w:rPr>
          <w:rFonts w:hint="eastAsia" w:ascii="Times New Roman" w:hAnsi="Times New Roman" w:eastAsia="仿宋" w:cs="Times New Roman"/>
          <w:sz w:val="28"/>
          <w:szCs w:val="28"/>
          <w:lang w:val="ru-RU"/>
        </w:rPr>
        <w:t>1）</w:t>
      </w:r>
      <w:r>
        <w:rPr>
          <w:rFonts w:ascii="Times New Roman" w:hAnsi="Times New Roman" w:eastAsia="仿宋" w:cs="Times New Roman"/>
          <w:sz w:val="28"/>
          <w:szCs w:val="28"/>
        </w:rPr>
        <w:t>投标公司单位简介</w:t>
      </w:r>
      <w:r>
        <w:rPr>
          <w:rFonts w:ascii="Times New Roman" w:hAnsi="Times New Roman" w:eastAsia="仿宋" w:cs="Times New Roman"/>
          <w:sz w:val="28"/>
          <w:szCs w:val="28"/>
          <w:lang w:val="ru-RU"/>
        </w:rPr>
        <w:t>（</w:t>
      </w:r>
      <w:r>
        <w:rPr>
          <w:rFonts w:ascii="Times New Roman" w:hAnsi="Times New Roman" w:eastAsia="仿宋" w:cs="Times New Roman"/>
          <w:sz w:val="28"/>
          <w:szCs w:val="28"/>
        </w:rPr>
        <w:t>包含但不仅限于公司名称、成立时间、注册资本、公司在册员工人数</w:t>
      </w:r>
      <w:r>
        <w:rPr>
          <w:rFonts w:ascii="Times New Roman" w:hAnsi="Times New Roman" w:eastAsia="仿宋" w:cs="Times New Roman"/>
          <w:sz w:val="28"/>
          <w:szCs w:val="28"/>
          <w:lang w:val="ru-RU"/>
        </w:rPr>
        <w:t>（</w:t>
      </w:r>
      <w:r>
        <w:rPr>
          <w:rFonts w:ascii="Times New Roman" w:hAnsi="Times New Roman" w:eastAsia="仿宋" w:cs="Times New Roman"/>
          <w:sz w:val="28"/>
          <w:szCs w:val="28"/>
        </w:rPr>
        <w:t>缴纳社保人员</w:t>
      </w:r>
      <w:r>
        <w:rPr>
          <w:rFonts w:ascii="Times New Roman" w:hAnsi="Times New Roman" w:eastAsia="仿宋" w:cs="Times New Roman"/>
          <w:sz w:val="28"/>
          <w:szCs w:val="28"/>
          <w:lang w:val="ru-RU"/>
        </w:rPr>
        <w:t>）</w:t>
      </w:r>
      <w:r>
        <w:rPr>
          <w:rFonts w:ascii="Times New Roman" w:hAnsi="Times New Roman" w:eastAsia="仿宋" w:cs="Times New Roman"/>
          <w:sz w:val="28"/>
          <w:szCs w:val="28"/>
        </w:rPr>
        <w:t>、地址、主营业务介绍等</w:t>
      </w:r>
      <w:r>
        <w:rPr>
          <w:rFonts w:ascii="Times New Roman" w:hAnsi="Times New Roman" w:eastAsia="仿宋" w:cs="Times New Roman"/>
          <w:sz w:val="28"/>
          <w:szCs w:val="28"/>
          <w:lang w:val="ru-RU"/>
        </w:rPr>
        <w:t>）</w:t>
      </w:r>
    </w:p>
    <w:p w14:paraId="4075E39C">
      <w:pPr>
        <w:pStyle w:val="22"/>
        <w:spacing w:line="360" w:lineRule="auto"/>
        <w:ind w:left="560" w:firstLine="0" w:firstLineChars="0"/>
        <w:contextualSpacing/>
        <w:rPr>
          <w:rFonts w:ascii="Times New Roman" w:hAnsi="Times New Roman" w:eastAsia="Times New Roman" w:cs="Times New Roman"/>
          <w:sz w:val="28"/>
        </w:rPr>
      </w:pPr>
      <w:r>
        <w:rPr>
          <w:rFonts w:hint="eastAsia" w:ascii="Times New Roman" w:hAnsi="Times New Roman" w:eastAsia="仿宋" w:cs="Times New Roman"/>
          <w:sz w:val="28"/>
          <w:szCs w:val="28"/>
        </w:rPr>
        <w:t>2）</w:t>
      </w:r>
      <w:r>
        <w:rPr>
          <w:rFonts w:ascii="Times New Roman" w:hAnsi="Times New Roman" w:eastAsia="仿宋" w:cs="Times New Roman"/>
          <w:sz w:val="28"/>
          <w:szCs w:val="28"/>
        </w:rPr>
        <w:t>提供企业缴纳社保证明复印件（加盖公章），原件备查；</w:t>
      </w:r>
    </w:p>
    <w:p w14:paraId="05A9B94C">
      <w:pPr>
        <w:pStyle w:val="22"/>
        <w:spacing w:line="360" w:lineRule="auto"/>
        <w:ind w:firstLine="560"/>
        <w:contextualSpacing/>
        <w:rPr>
          <w:rFonts w:ascii="Times New Roman" w:hAnsi="Times New Roman" w:eastAsia="Times New Roman" w:cs="Times New Roman"/>
          <w:sz w:val="28"/>
        </w:rPr>
      </w:pPr>
      <w:r>
        <w:rPr>
          <w:rFonts w:hint="eastAsia" w:ascii="Times New Roman" w:hAnsi="Times New Roman" w:eastAsia="仿宋" w:cs="Times New Roman"/>
          <w:sz w:val="28"/>
          <w:szCs w:val="28"/>
        </w:rPr>
        <w:t>3）</w:t>
      </w:r>
      <w:r>
        <w:rPr>
          <w:rFonts w:ascii="Times New Roman" w:hAnsi="Times New Roman" w:eastAsia="仿宋" w:cs="Times New Roman"/>
          <w:sz w:val="28"/>
          <w:szCs w:val="28"/>
        </w:rPr>
        <w:t>投标人基本情况表，附带投标人三证合一的营业执照副本复印件（加盖公章），原件备查；</w:t>
      </w:r>
    </w:p>
    <w:p w14:paraId="5B3656CC">
      <w:pPr>
        <w:pStyle w:val="22"/>
        <w:spacing w:line="360" w:lineRule="auto"/>
        <w:ind w:firstLine="560"/>
        <w:contextualSpacing/>
        <w:rPr>
          <w:rFonts w:ascii="Times New Roman" w:hAnsi="Times New Roman" w:eastAsia="Times New Roman" w:cs="Times New Roman"/>
          <w:sz w:val="28"/>
        </w:rPr>
      </w:pPr>
      <w:r>
        <w:rPr>
          <w:rFonts w:hint="eastAsia" w:ascii="Times New Roman" w:hAnsi="Times New Roman" w:eastAsia="仿宋" w:cs="Times New Roman"/>
          <w:sz w:val="28"/>
          <w:szCs w:val="28"/>
        </w:rPr>
        <w:t>4）</w:t>
      </w:r>
      <w:r>
        <w:rPr>
          <w:rFonts w:ascii="Times New Roman" w:hAnsi="Times New Roman" w:eastAsia="仿宋" w:cs="Times New Roman"/>
          <w:sz w:val="28"/>
          <w:szCs w:val="28"/>
        </w:rPr>
        <w:t>若是法定代表人参加，需有法定代表人身份证复印件（加盖公章），原件备查。若不是法定代表人参加，需有法定代表人授权委托书原件、法定代表人身份证及被委托人身份证复印件（均加盖公章），投标人或被委托人应提供授权委托书原件、身份证原件备查；</w:t>
      </w:r>
    </w:p>
    <w:p w14:paraId="4EACC72B">
      <w:pPr>
        <w:spacing w:line="360" w:lineRule="auto"/>
        <w:ind w:firstLine="560" w:firstLineChars="200"/>
        <w:contextualSpacing/>
        <w:rPr>
          <w:rFonts w:ascii="Times New Roman" w:hAnsi="Times New Roman" w:eastAsia="仿宋" w:cs="Times New Roman"/>
          <w:sz w:val="28"/>
          <w:szCs w:val="28"/>
          <w:lang w:val="ru-RU"/>
        </w:rPr>
      </w:pPr>
      <w:r>
        <w:rPr>
          <w:rFonts w:hint="eastAsia" w:ascii="Times New Roman" w:hAnsi="Times New Roman" w:eastAsia="仿宋" w:cs="Times New Roman"/>
          <w:sz w:val="28"/>
          <w:szCs w:val="28"/>
        </w:rPr>
        <w:t>5）</w:t>
      </w:r>
      <w:r>
        <w:rPr>
          <w:rFonts w:ascii="Times New Roman" w:hAnsi="Times New Roman" w:eastAsia="仿宋" w:cs="Times New Roman"/>
          <w:sz w:val="28"/>
          <w:szCs w:val="28"/>
        </w:rPr>
        <w:t>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5561AE83">
      <w:pPr>
        <w:spacing w:line="360" w:lineRule="auto"/>
        <w:ind w:firstLine="560" w:firstLineChars="200"/>
        <w:contextualSpacing/>
        <w:rPr>
          <w:rFonts w:ascii="Times New Roman" w:hAnsi="Times New Roman" w:eastAsia="Times New Roman" w:cs="Times New Roman"/>
          <w:sz w:val="28"/>
        </w:rPr>
      </w:pPr>
      <w:r>
        <w:rPr>
          <w:rFonts w:hint="eastAsia" w:ascii="Times New Roman" w:hAnsi="Times New Roman" w:eastAsia="仿宋" w:cs="Times New Roman"/>
          <w:sz w:val="28"/>
          <w:szCs w:val="28"/>
        </w:rPr>
        <w:t>6）</w:t>
      </w:r>
      <w:r>
        <w:rPr>
          <w:rFonts w:hint="eastAsia" w:ascii="仿宋" w:hAnsi="仿宋" w:eastAsia="仿宋"/>
          <w:sz w:val="28"/>
          <w:szCs w:val="28"/>
        </w:rPr>
        <w:t>企业最近半年完税证明、信用证明材料（中国人民银行信用代码证+征信报告）；</w:t>
      </w:r>
    </w:p>
    <w:p w14:paraId="1F70B507">
      <w:pPr>
        <w:spacing w:line="360" w:lineRule="auto"/>
        <w:ind w:firstLine="560" w:firstLineChars="200"/>
        <w:rPr>
          <w:rFonts w:ascii="仿宋" w:hAnsi="仿宋" w:eastAsia="仿宋"/>
          <w:sz w:val="28"/>
          <w:szCs w:val="28"/>
        </w:rPr>
      </w:pPr>
      <w:r>
        <w:rPr>
          <w:rFonts w:hint="eastAsia" w:ascii="Times New Roman" w:hAnsi="Times New Roman" w:eastAsia="仿宋" w:cs="Times New Roman"/>
          <w:sz w:val="28"/>
          <w:szCs w:val="28"/>
        </w:rPr>
        <w:t>7）</w:t>
      </w:r>
      <w:r>
        <w:rPr>
          <w:rFonts w:hint="eastAsia" w:ascii="仿宋" w:hAnsi="仿宋" w:eastAsia="仿宋"/>
          <w:sz w:val="28"/>
          <w:szCs w:val="28"/>
        </w:rPr>
        <w:t>年度纳税信用评价信息（可从电子税务局查询截图，需加盖公章）；</w:t>
      </w:r>
    </w:p>
    <w:p w14:paraId="41DD946D">
      <w:pPr>
        <w:spacing w:line="360" w:lineRule="auto"/>
        <w:ind w:firstLine="560" w:firstLineChars="200"/>
        <w:rPr>
          <w:rFonts w:ascii="仿宋" w:hAnsi="仿宋" w:eastAsia="仿宋"/>
          <w:sz w:val="28"/>
          <w:szCs w:val="28"/>
        </w:rPr>
      </w:pPr>
      <w:r>
        <w:rPr>
          <w:rFonts w:hint="eastAsia" w:ascii="Times New Roman" w:hAnsi="Times New Roman" w:eastAsia="仿宋" w:cs="Times New Roman"/>
          <w:sz w:val="28"/>
          <w:szCs w:val="28"/>
        </w:rPr>
        <w:t>8）</w:t>
      </w:r>
      <w:r>
        <w:rPr>
          <w:rFonts w:hint="eastAsia" w:ascii="仿宋" w:hAnsi="仿宋" w:eastAsia="仿宋"/>
          <w:sz w:val="28"/>
          <w:szCs w:val="28"/>
        </w:rPr>
        <w:t>企业对外担保说明（写明贵单位有无对外担保和质押业务，需加盖公章）；</w:t>
      </w:r>
    </w:p>
    <w:p w14:paraId="769A3DDC">
      <w:pPr>
        <w:spacing w:line="360" w:lineRule="auto"/>
        <w:ind w:firstLine="560" w:firstLineChars="200"/>
        <w:rPr>
          <w:rFonts w:ascii="仿宋" w:hAnsi="仿宋" w:eastAsia="仿宋"/>
          <w:sz w:val="28"/>
          <w:szCs w:val="28"/>
        </w:rPr>
      </w:pPr>
      <w:r>
        <w:rPr>
          <w:rFonts w:hint="eastAsia" w:ascii="Times New Roman" w:hAnsi="Times New Roman" w:eastAsia="仿宋" w:cs="Times New Roman"/>
          <w:sz w:val="28"/>
          <w:szCs w:val="28"/>
        </w:rPr>
        <w:t>9）</w:t>
      </w:r>
      <w:r>
        <w:rPr>
          <w:rFonts w:hint="eastAsia" w:ascii="仿宋" w:hAnsi="仿宋" w:eastAsia="仿宋"/>
          <w:sz w:val="28"/>
          <w:szCs w:val="28"/>
        </w:rPr>
        <w:t>企业服务业绩：提供与此招标项目类似的项目服务业绩合同复印件，合同原件现场携带备查。</w:t>
      </w:r>
    </w:p>
    <w:p w14:paraId="6C93ECFE">
      <w:pPr>
        <w:spacing w:line="360" w:lineRule="auto"/>
        <w:ind w:firstLine="560" w:firstLineChars="200"/>
        <w:rPr>
          <w:rFonts w:ascii="仿宋" w:hAnsi="仿宋" w:eastAsia="仿宋"/>
          <w:sz w:val="28"/>
          <w:szCs w:val="28"/>
        </w:rPr>
      </w:pPr>
      <w:r>
        <w:rPr>
          <w:rFonts w:hint="eastAsia" w:ascii="Times New Roman" w:hAnsi="Times New Roman" w:eastAsia="仿宋" w:cs="Times New Roman"/>
          <w:sz w:val="28"/>
          <w:szCs w:val="28"/>
        </w:rPr>
        <w:t>10）</w:t>
      </w:r>
      <w:r>
        <w:rPr>
          <w:rFonts w:ascii="Times New Roman" w:hAnsi="Times New Roman" w:eastAsia="仿宋" w:cs="Times New Roman"/>
          <w:sz w:val="28"/>
          <w:szCs w:val="28"/>
        </w:rPr>
        <w:t>证明投标人资格条件的其他资质，如行业内相关荣誉等可附上。</w:t>
      </w:r>
    </w:p>
    <w:p w14:paraId="01F7AC7C">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sz w:val="28"/>
          <w:szCs w:val="28"/>
          <w:lang w:val="ru-RU"/>
        </w:rPr>
        <w:t>（2）</w:t>
      </w:r>
      <w:r>
        <w:rPr>
          <w:rFonts w:ascii="Times New Roman" w:hAnsi="Times New Roman" w:eastAsia="仿宋" w:cs="Times New Roman"/>
          <w:b/>
          <w:sz w:val="28"/>
          <w:szCs w:val="28"/>
        </w:rPr>
        <w:t>技术文件（独立封装在一个档案袋，一式两份，正本一份、副本一份）</w:t>
      </w:r>
    </w:p>
    <w:p w14:paraId="15A0CD38">
      <w:pPr>
        <w:pStyle w:val="22"/>
        <w:spacing w:line="360" w:lineRule="auto"/>
        <w:ind w:firstLine="560"/>
        <w:contextualSpacing/>
        <w:rPr>
          <w:rFonts w:ascii="Times New Roman" w:hAnsi="Times New Roman" w:eastAsia="Times New Roman" w:cs="Times New Roman"/>
          <w:sz w:val="28"/>
        </w:rPr>
      </w:pPr>
      <w:r>
        <w:rPr>
          <w:rFonts w:ascii="Times New Roman" w:hAnsi="Times New Roman" w:eastAsia="仿宋" w:cs="Times New Roman"/>
          <w:sz w:val="28"/>
          <w:szCs w:val="28"/>
        </w:rPr>
        <w:t>项目策划方案，包括针对招标文件技术要求提出的解决方案，明确项目推进进度及总体规划、具体实施、项目团队等。</w:t>
      </w:r>
    </w:p>
    <w:p w14:paraId="54ED8B5A">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sz w:val="28"/>
          <w:szCs w:val="28"/>
          <w:lang w:val="ru-RU"/>
        </w:rPr>
        <w:t>（3）</w:t>
      </w:r>
      <w:r>
        <w:rPr>
          <w:rFonts w:ascii="Times New Roman" w:hAnsi="Times New Roman" w:eastAsia="仿宋" w:cs="Times New Roman"/>
          <w:b/>
          <w:sz w:val="28"/>
          <w:szCs w:val="28"/>
        </w:rPr>
        <w:t>商务文件（独立封装在一个档案袋，一式两份，正本一份、副本一份）</w:t>
      </w:r>
    </w:p>
    <w:p w14:paraId="3807DA68">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所有报价均采用</w:t>
      </w:r>
      <w:r>
        <w:rPr>
          <w:rFonts w:hint="eastAsia" w:ascii="Times New Roman" w:hAnsi="Times New Roman" w:eastAsia="仿宋" w:cs="Times New Roman"/>
          <w:sz w:val="28"/>
          <w:szCs w:val="28"/>
        </w:rPr>
        <w:t>人民币</w:t>
      </w:r>
      <w:r>
        <w:rPr>
          <w:rFonts w:ascii="Times New Roman" w:hAnsi="Times New Roman" w:eastAsia="仿宋" w:cs="Times New Roman"/>
          <w:sz w:val="28"/>
          <w:szCs w:val="28"/>
        </w:rPr>
        <w:t>报价，</w:t>
      </w:r>
      <w:r>
        <w:rPr>
          <w:rFonts w:hint="eastAsia" w:ascii="仿宋" w:hAnsi="仿宋" w:eastAsia="仿宋"/>
          <w:sz w:val="28"/>
          <w:szCs w:val="28"/>
        </w:rPr>
        <w:t>报价时需将不含税价、税率、价税合计金额列明。项目需涵盖“报价明细标准”中所有项目。</w:t>
      </w:r>
    </w:p>
    <w:p w14:paraId="2052920A">
      <w:pPr>
        <w:pStyle w:val="22"/>
        <w:spacing w:line="360" w:lineRule="auto"/>
        <w:ind w:firstLine="560"/>
        <w:contextualSpacing/>
        <w:rPr>
          <w:rFonts w:ascii="Times New Roman" w:hAnsi="Times New Roman" w:eastAsia="Times New Roman" w:cs="Times New Roman"/>
          <w:sz w:val="28"/>
        </w:rPr>
      </w:pPr>
      <w:r>
        <w:rPr>
          <w:rFonts w:ascii="Times New Roman" w:hAnsi="Times New Roman" w:eastAsia="仿宋"/>
          <w:sz w:val="28"/>
          <w:szCs w:val="28"/>
          <w:lang w:val="ru-RU"/>
        </w:rPr>
        <w:t>（4）</w:t>
      </w:r>
      <w:r>
        <w:rPr>
          <w:rFonts w:ascii="Times New Roman" w:hAnsi="Times New Roman" w:eastAsia="仿宋" w:cs="Times New Roman"/>
          <w:b/>
          <w:sz w:val="28"/>
          <w:szCs w:val="28"/>
        </w:rPr>
        <w:t>电子版文件（独立封装在一个档案袋）</w:t>
      </w:r>
    </w:p>
    <w:p w14:paraId="1AB93D56">
      <w:pPr>
        <w:pStyle w:val="22"/>
        <w:spacing w:line="360" w:lineRule="auto"/>
        <w:ind w:firstLine="560"/>
        <w:contextualSpacing/>
        <w:rPr>
          <w:rFonts w:ascii="Times New Roman" w:hAnsi="Times New Roman" w:eastAsia="仿宋" w:cs="Times New Roman"/>
          <w:sz w:val="28"/>
          <w:szCs w:val="28"/>
        </w:rPr>
      </w:pPr>
      <w:r>
        <w:rPr>
          <w:rFonts w:ascii="Times New Roman" w:hAnsi="Times New Roman" w:eastAsia="仿宋" w:cs="Times New Roman"/>
          <w:sz w:val="28"/>
          <w:szCs w:val="28"/>
        </w:rPr>
        <w:t>请在U盘中分别建立资质标文件、技术标文件、商务标文件三个文件夹，并分别放入投标相关资料。U盘总文件名称为投标单位全称，U盘上交存档，不返还。</w:t>
      </w:r>
    </w:p>
    <w:p w14:paraId="4F72CC75">
      <w:pPr>
        <w:widowControl/>
        <w:spacing w:line="360" w:lineRule="auto"/>
        <w:contextualSpacing/>
        <w:jc w:val="left"/>
        <w:rPr>
          <w:rFonts w:ascii="Times New Roman" w:hAnsi="Times New Roman" w:eastAsia="Times New Roman" w:cs="Times New Roman"/>
          <w:sz w:val="28"/>
          <w:lang w:val="ru-RU"/>
        </w:rPr>
      </w:pPr>
      <w:r>
        <w:rPr>
          <w:rFonts w:ascii="Times New Roman" w:hAnsi="Times New Roman" w:eastAsia="仿宋" w:cs="Times New Roman"/>
          <w:b/>
          <w:sz w:val="28"/>
          <w:szCs w:val="28"/>
        </w:rPr>
        <w:t>八、合同授予</w:t>
      </w:r>
    </w:p>
    <w:p w14:paraId="021A7189">
      <w:pPr>
        <w:spacing w:line="360" w:lineRule="auto"/>
        <w:ind w:firstLine="560" w:firstLineChars="200"/>
        <w:contextualSpacing/>
        <w:rPr>
          <w:rFonts w:ascii="Times New Roman" w:hAnsi="Times New Roman" w:eastAsia="仿宋" w:cs="Times New Roman"/>
          <w:sz w:val="28"/>
          <w:szCs w:val="28"/>
          <w:lang w:val="ru-RU"/>
        </w:rPr>
      </w:pPr>
      <w:r>
        <w:rPr>
          <w:rFonts w:ascii="Times New Roman" w:hAnsi="Times New Roman" w:eastAsia="仿宋" w:cs="Times New Roman"/>
          <w:sz w:val="28"/>
          <w:szCs w:val="28"/>
          <w:lang w:val="ru-RU"/>
        </w:rPr>
        <w:t>1.</w:t>
      </w:r>
      <w:r>
        <w:rPr>
          <w:rFonts w:ascii="Times New Roman" w:hAnsi="Times New Roman" w:eastAsia="仿宋" w:cs="Times New Roman"/>
          <w:sz w:val="28"/>
          <w:szCs w:val="28"/>
        </w:rPr>
        <w:t>招标人根据评审工作小组的评标结果确定中标人</w:t>
      </w:r>
      <w:r>
        <w:rPr>
          <w:rFonts w:ascii="Times New Roman" w:hAnsi="Times New Roman" w:eastAsia="仿宋" w:cs="Times New Roman"/>
          <w:sz w:val="28"/>
          <w:szCs w:val="28"/>
          <w:lang w:val="ru-RU"/>
        </w:rPr>
        <w:t>，</w:t>
      </w:r>
      <w:r>
        <w:rPr>
          <w:rFonts w:ascii="Times New Roman" w:hAnsi="Times New Roman" w:eastAsia="仿宋" w:cs="Times New Roman"/>
          <w:sz w:val="28"/>
          <w:szCs w:val="28"/>
        </w:rPr>
        <w:t>并通知中标人</w:t>
      </w:r>
      <w:r>
        <w:rPr>
          <w:rFonts w:ascii="Times New Roman" w:hAnsi="Times New Roman" w:eastAsia="仿宋" w:cs="Times New Roman"/>
          <w:sz w:val="28"/>
          <w:szCs w:val="28"/>
          <w:lang w:val="ru-RU"/>
        </w:rPr>
        <w:t>，</w:t>
      </w:r>
      <w:r>
        <w:rPr>
          <w:rFonts w:ascii="Times New Roman" w:hAnsi="Times New Roman" w:eastAsia="仿宋" w:cs="Times New Roman"/>
          <w:sz w:val="28"/>
          <w:szCs w:val="28"/>
        </w:rPr>
        <w:t>对未中标单位不做任何解释。</w:t>
      </w:r>
    </w:p>
    <w:p w14:paraId="4B823DC1">
      <w:pPr>
        <w:spacing w:line="360" w:lineRule="auto"/>
        <w:ind w:firstLine="560" w:firstLineChars="200"/>
        <w:contextualSpacing/>
        <w:rPr>
          <w:rFonts w:ascii="Times New Roman" w:hAnsi="Times New Roman" w:eastAsia="仿宋" w:cs="Times New Roman"/>
          <w:sz w:val="28"/>
          <w:szCs w:val="28"/>
          <w:lang w:val="ru-RU"/>
        </w:rPr>
      </w:pPr>
      <w:r>
        <w:rPr>
          <w:rFonts w:ascii="Times New Roman" w:hAnsi="Times New Roman" w:eastAsia="仿宋" w:cs="Times New Roman"/>
          <w:sz w:val="28"/>
          <w:szCs w:val="28"/>
        </w:rPr>
        <w:t>2.中标人接到通知后，应及时与招标人联系（一般为3个工作日以内），到招标单位进行签字确认并尽快签订合同。如中标人无正当理由拒签合同或在签订合同时提出无理附加条件的，招标人有权取消该投标人中标资格，该投标人2年内不得参与该类服务的招标项目。</w:t>
      </w:r>
    </w:p>
    <w:p w14:paraId="5E87FCAA">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3.合同订立后，中标人应当按合同约定责任履约，不得将中标项目转包或分包给他人，否则视为违约，招标人有权解除合同。</w:t>
      </w:r>
    </w:p>
    <w:p w14:paraId="21F4F7A7">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4.若中标人在履约合同义务能力或信用有严重缺陷，招标人可终止履行本合同，并要求该中标人返还已支付的款项，招标人有权解除合同。</w:t>
      </w:r>
    </w:p>
    <w:p w14:paraId="021A4051">
      <w:pPr>
        <w:spacing w:line="360" w:lineRule="auto"/>
        <w:ind w:firstLine="560" w:firstLineChars="200"/>
        <w:contextualSpacing/>
        <w:rPr>
          <w:rFonts w:ascii="Times New Roman" w:hAnsi="Times New Roman" w:eastAsia="仿宋" w:cs="Times New Roman"/>
          <w:sz w:val="28"/>
          <w:szCs w:val="28"/>
          <w:lang w:val="ru-RU"/>
        </w:rPr>
      </w:pPr>
      <w:r>
        <w:rPr>
          <w:rFonts w:ascii="Times New Roman" w:hAnsi="Times New Roman" w:eastAsia="仿宋" w:cs="Times New Roman"/>
          <w:sz w:val="28"/>
          <w:szCs w:val="28"/>
          <w:lang w:val="ru-RU"/>
        </w:rPr>
        <w:t>5.</w:t>
      </w:r>
      <w:r>
        <w:rPr>
          <w:rFonts w:ascii="Times New Roman" w:hAnsi="Times New Roman" w:eastAsia="仿宋" w:cs="Times New Roman"/>
          <w:sz w:val="28"/>
          <w:szCs w:val="28"/>
        </w:rPr>
        <w:t>双方的权利义务以最终签署的合同为准。</w:t>
      </w:r>
    </w:p>
    <w:p w14:paraId="4683770E">
      <w:pPr>
        <w:spacing w:line="360" w:lineRule="auto"/>
        <w:contextualSpacing/>
        <w:rPr>
          <w:rFonts w:ascii="Times New Roman" w:hAnsi="Times New Roman" w:eastAsia="Times New Roman" w:cs="Times New Roman"/>
          <w:sz w:val="28"/>
          <w:lang w:val="ru-RU"/>
        </w:rPr>
      </w:pPr>
      <w:r>
        <w:rPr>
          <w:rFonts w:ascii="Times New Roman" w:hAnsi="Times New Roman" w:eastAsia="仿宋" w:cs="Times New Roman"/>
          <w:b/>
          <w:sz w:val="28"/>
          <w:szCs w:val="28"/>
        </w:rPr>
        <w:t>九、废标及终止招标</w:t>
      </w:r>
    </w:p>
    <w:p w14:paraId="3C7B369E">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lang w:val="ru-RU"/>
        </w:rPr>
        <w:t>1.</w:t>
      </w:r>
      <w:r>
        <w:rPr>
          <w:rFonts w:ascii="Times New Roman" w:hAnsi="Times New Roman" w:eastAsia="仿宋" w:cs="Times New Roman"/>
          <w:sz w:val="28"/>
          <w:szCs w:val="28"/>
        </w:rPr>
        <w:t>投标人有下列情形之一的</w:t>
      </w:r>
      <w:r>
        <w:rPr>
          <w:rFonts w:ascii="Times New Roman" w:hAnsi="Times New Roman" w:eastAsia="仿宋" w:cs="Times New Roman"/>
          <w:sz w:val="28"/>
          <w:szCs w:val="28"/>
          <w:lang w:val="ru-RU"/>
        </w:rPr>
        <w:t>，</w:t>
      </w:r>
      <w:r>
        <w:rPr>
          <w:rFonts w:ascii="Times New Roman" w:hAnsi="Times New Roman" w:eastAsia="仿宋" w:cs="Times New Roman"/>
          <w:sz w:val="28"/>
          <w:szCs w:val="28"/>
        </w:rPr>
        <w:t>将被视为废标</w:t>
      </w:r>
      <w:r>
        <w:rPr>
          <w:rFonts w:ascii="Times New Roman" w:hAnsi="Times New Roman" w:eastAsia="仿宋" w:cs="Times New Roman"/>
          <w:sz w:val="28"/>
          <w:szCs w:val="28"/>
          <w:lang w:val="ru-RU"/>
        </w:rPr>
        <w:t>，</w:t>
      </w:r>
      <w:r>
        <w:rPr>
          <w:rFonts w:ascii="Times New Roman" w:hAnsi="Times New Roman" w:eastAsia="仿宋" w:cs="Times New Roman"/>
          <w:sz w:val="28"/>
          <w:szCs w:val="28"/>
        </w:rPr>
        <w:t>招标人将按照有关法律法规行使权力。投标人给招标人造成损失的，招标人有索赔的权力，投标人应给予赔偿。</w:t>
      </w:r>
    </w:p>
    <w:p w14:paraId="5DEB1FC4">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（1）投标人提供的有关资格、资质证明文件不全、不真实；</w:t>
      </w:r>
    </w:p>
    <w:p w14:paraId="202E9046">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（2）投标人在报价有效期内撤回投标；</w:t>
      </w:r>
    </w:p>
    <w:p w14:paraId="3561A0C0">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（3）在评标过程中，投标人有企图影响评标结果公正性的任何项目；</w:t>
      </w:r>
    </w:p>
    <w:p w14:paraId="7D60BEFC">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（4）投标人以任何形式诋毁他人投标；</w:t>
      </w:r>
    </w:p>
    <w:p w14:paraId="038BD691">
      <w:pPr>
        <w:spacing w:line="360" w:lineRule="auto"/>
        <w:ind w:firstLine="560" w:firstLineChars="200"/>
        <w:contextualSpacing/>
        <w:rPr>
          <w:rFonts w:ascii="Times New Roman" w:hAnsi="Times New Roman" w:eastAsia="Times New Roman" w:cs="Times New Roman"/>
          <w:sz w:val="28"/>
          <w:lang w:val="ru-RU"/>
        </w:rPr>
      </w:pPr>
      <w:r>
        <w:rPr>
          <w:rFonts w:ascii="Times New Roman" w:hAnsi="Times New Roman" w:eastAsia="仿宋" w:cs="Times New Roman"/>
          <w:sz w:val="28"/>
          <w:szCs w:val="28"/>
          <w:lang w:val="ru-RU"/>
        </w:rPr>
        <w:t>（5）</w:t>
      </w:r>
      <w:r>
        <w:rPr>
          <w:rFonts w:ascii="Times New Roman" w:hAnsi="Times New Roman" w:eastAsia="仿宋" w:cs="Times New Roman"/>
          <w:sz w:val="28"/>
          <w:szCs w:val="28"/>
        </w:rPr>
        <w:t>投标人串通投标</w:t>
      </w:r>
      <w:r>
        <w:rPr>
          <w:rFonts w:ascii="Times New Roman" w:hAnsi="Times New Roman" w:eastAsia="仿宋" w:cs="Times New Roman"/>
          <w:sz w:val="28"/>
          <w:szCs w:val="28"/>
          <w:lang w:val="ru-RU"/>
        </w:rPr>
        <w:t>；</w:t>
      </w:r>
    </w:p>
    <w:p w14:paraId="26B32675">
      <w:pPr>
        <w:spacing w:line="360" w:lineRule="auto"/>
        <w:ind w:firstLine="560" w:firstLineChars="200"/>
        <w:contextualSpacing/>
        <w:rPr>
          <w:rFonts w:ascii="Times New Roman" w:hAnsi="Times New Roman" w:eastAsia="Times New Roman" w:cs="Times New Roman"/>
          <w:sz w:val="28"/>
          <w:lang w:val="ru-RU"/>
        </w:rPr>
      </w:pPr>
      <w:r>
        <w:rPr>
          <w:rFonts w:ascii="Times New Roman" w:hAnsi="Times New Roman" w:eastAsia="仿宋" w:cs="Times New Roman"/>
          <w:sz w:val="28"/>
          <w:szCs w:val="28"/>
          <w:lang w:val="ru-RU"/>
        </w:rPr>
        <w:t>（6）</w:t>
      </w:r>
      <w:r>
        <w:rPr>
          <w:rFonts w:ascii="Times New Roman" w:hAnsi="Times New Roman" w:eastAsia="仿宋" w:cs="Times New Roman"/>
          <w:sz w:val="28"/>
          <w:szCs w:val="28"/>
        </w:rPr>
        <w:t>以他人名义投标或以任何方式骗取中标</w:t>
      </w:r>
      <w:r>
        <w:rPr>
          <w:rFonts w:ascii="Times New Roman" w:hAnsi="Times New Roman" w:eastAsia="仿宋" w:cs="Times New Roman"/>
          <w:sz w:val="28"/>
          <w:szCs w:val="28"/>
          <w:lang w:val="ru-RU"/>
        </w:rPr>
        <w:t>；</w:t>
      </w:r>
    </w:p>
    <w:p w14:paraId="41D72FAB">
      <w:pPr>
        <w:spacing w:line="360" w:lineRule="auto"/>
        <w:ind w:firstLine="560" w:firstLineChars="200"/>
        <w:contextualSpacing/>
        <w:rPr>
          <w:rFonts w:ascii="Times New Roman" w:hAnsi="Times New Roman" w:eastAsia="仿宋" w:cs="Times New Roman"/>
          <w:sz w:val="28"/>
          <w:szCs w:val="28"/>
        </w:rPr>
      </w:pPr>
      <w:r>
        <w:rPr>
          <w:rFonts w:ascii="Times New Roman" w:hAnsi="Times New Roman" w:eastAsia="仿宋" w:cs="Times New Roman"/>
          <w:sz w:val="28"/>
          <w:szCs w:val="28"/>
        </w:rPr>
        <w:t>（7）投标人对招标文件做出实质性变更；</w:t>
      </w:r>
    </w:p>
    <w:p w14:paraId="1A57DC8A">
      <w:pPr>
        <w:spacing w:line="360" w:lineRule="auto"/>
        <w:ind w:firstLine="560" w:firstLineChars="200"/>
        <w:contextualSpacing/>
        <w:rPr>
          <w:rFonts w:hint="eastAsia" w:ascii="Times New Roman" w:hAnsi="Times New Roman" w:eastAsia="仿宋" w:cs="Times New Roman"/>
          <w:sz w:val="28"/>
          <w:szCs w:val="28"/>
          <w:lang w:eastAsia="zh-CN"/>
        </w:rPr>
      </w:pPr>
      <w:r>
        <w:rPr>
          <w:rFonts w:hint="eastAsia" w:ascii="Times New Roman" w:hAnsi="Times New Roman" w:eastAsia="仿宋" w:cs="Times New Roman"/>
          <w:sz w:val="28"/>
          <w:szCs w:val="28"/>
          <w:lang w:eastAsia="zh-CN"/>
        </w:rPr>
        <w:t>（</w:t>
      </w:r>
      <w:r>
        <w:rPr>
          <w:rFonts w:hint="eastAsia" w:ascii="Times New Roman" w:hAnsi="Times New Roman" w:eastAsia="仿宋" w:cs="Times New Roman"/>
          <w:sz w:val="28"/>
          <w:szCs w:val="28"/>
          <w:lang w:val="en-US" w:eastAsia="zh-CN"/>
        </w:rPr>
        <w:t>8）</w:t>
      </w:r>
      <w:r>
        <w:rPr>
          <w:rFonts w:ascii="Times New Roman" w:hAnsi="Times New Roman" w:eastAsia="仿宋" w:cs="Times New Roman"/>
          <w:sz w:val="28"/>
          <w:szCs w:val="28"/>
        </w:rPr>
        <w:t>投标单位负责人为同一人或存在管理关系的</w:t>
      </w:r>
      <w:r>
        <w:rPr>
          <w:rFonts w:hint="eastAsia" w:ascii="Times New Roman" w:hAnsi="Times New Roman" w:eastAsia="仿宋" w:cs="Times New Roman"/>
          <w:sz w:val="28"/>
          <w:szCs w:val="28"/>
          <w:lang w:eastAsia="zh-CN"/>
        </w:rPr>
        <w:t>；</w:t>
      </w:r>
    </w:p>
    <w:p w14:paraId="11D1F686">
      <w:pPr>
        <w:spacing w:line="360" w:lineRule="auto"/>
        <w:ind w:firstLine="560" w:firstLineChars="200"/>
        <w:contextualSpacing/>
        <w:rPr>
          <w:rFonts w:hint="eastAsia" w:ascii="Times New Roman" w:hAnsi="Times New Roman" w:eastAsia="仿宋" w:cs="Times New Roman"/>
          <w:sz w:val="28"/>
          <w:szCs w:val="28"/>
          <w:lang w:eastAsia="zh-CN"/>
        </w:rPr>
      </w:pPr>
      <w:r>
        <w:rPr>
          <w:rFonts w:hint="eastAsia" w:ascii="Times New Roman" w:hAnsi="Times New Roman" w:eastAsia="仿宋" w:cs="Times New Roman"/>
          <w:sz w:val="28"/>
          <w:szCs w:val="28"/>
          <w:lang w:eastAsia="zh-CN"/>
        </w:rPr>
        <w:t>（</w:t>
      </w:r>
      <w:r>
        <w:rPr>
          <w:rFonts w:hint="eastAsia" w:ascii="Times New Roman" w:hAnsi="Times New Roman" w:eastAsia="仿宋" w:cs="Times New Roman"/>
          <w:sz w:val="28"/>
          <w:szCs w:val="28"/>
          <w:lang w:val="en-US" w:eastAsia="zh-CN"/>
        </w:rPr>
        <w:t>9）</w:t>
      </w:r>
      <w:r>
        <w:rPr>
          <w:rFonts w:ascii="Times New Roman" w:hAnsi="Times New Roman" w:eastAsia="仿宋" w:cs="Times New Roman"/>
          <w:sz w:val="28"/>
          <w:szCs w:val="28"/>
        </w:rPr>
        <w:t>投标人被举报</w:t>
      </w:r>
      <w:r>
        <w:rPr>
          <w:rFonts w:hint="eastAsia" w:ascii="Times New Roman" w:hAnsi="Times New Roman" w:eastAsia="仿宋" w:cs="Times New Roman"/>
          <w:sz w:val="28"/>
          <w:szCs w:val="28"/>
          <w:lang w:val="en-US" w:eastAsia="zh-CN"/>
        </w:rPr>
        <w:t>或</w:t>
      </w:r>
      <w:r>
        <w:rPr>
          <w:rFonts w:ascii="Times New Roman" w:hAnsi="Times New Roman" w:eastAsia="仿宋" w:cs="Times New Roman"/>
          <w:sz w:val="28"/>
          <w:szCs w:val="28"/>
        </w:rPr>
        <w:t>检举</w:t>
      </w:r>
      <w:r>
        <w:rPr>
          <w:rFonts w:hint="eastAsia" w:ascii="Times New Roman" w:hAnsi="Times New Roman" w:eastAsia="仿宋" w:cs="Times New Roman"/>
          <w:sz w:val="28"/>
          <w:szCs w:val="28"/>
          <w:lang w:eastAsia="zh-CN"/>
        </w:rPr>
        <w:t>，</w:t>
      </w:r>
      <w:r>
        <w:rPr>
          <w:rFonts w:ascii="Times New Roman" w:hAnsi="Times New Roman" w:eastAsia="仿宋" w:cs="Times New Roman"/>
          <w:sz w:val="28"/>
          <w:szCs w:val="28"/>
        </w:rPr>
        <w:t>并经招标方查实无误的</w:t>
      </w:r>
      <w:r>
        <w:rPr>
          <w:rFonts w:hint="eastAsia" w:ascii="Times New Roman" w:hAnsi="Times New Roman" w:eastAsia="仿宋" w:cs="Times New Roman"/>
          <w:sz w:val="28"/>
          <w:szCs w:val="28"/>
          <w:lang w:eastAsia="zh-CN"/>
        </w:rPr>
        <w:t>；</w:t>
      </w:r>
    </w:p>
    <w:p w14:paraId="4FA8C0F3">
      <w:pPr>
        <w:spacing w:line="360" w:lineRule="auto"/>
        <w:ind w:firstLine="560" w:firstLineChars="200"/>
        <w:contextualSpacing/>
        <w:rPr>
          <w:rFonts w:ascii="Times New Roman" w:hAnsi="Times New Roman" w:eastAsia="仿宋" w:cs="Times New Roman"/>
          <w:sz w:val="28"/>
          <w:szCs w:val="28"/>
        </w:rPr>
      </w:pPr>
      <w:r>
        <w:rPr>
          <w:rFonts w:ascii="Times New Roman" w:hAnsi="Times New Roman" w:eastAsia="仿宋" w:cs="Times New Roman"/>
          <w:sz w:val="28"/>
          <w:szCs w:val="28"/>
        </w:rPr>
        <w:t>（</w:t>
      </w:r>
      <w:r>
        <w:rPr>
          <w:rFonts w:hint="eastAsia" w:ascii="Times New Roman" w:hAnsi="Times New Roman" w:eastAsia="仿宋" w:cs="Times New Roman"/>
          <w:sz w:val="28"/>
          <w:szCs w:val="28"/>
          <w:lang w:val="en-US" w:eastAsia="zh-CN"/>
        </w:rPr>
        <w:t>10</w:t>
      </w:r>
      <w:r>
        <w:rPr>
          <w:rFonts w:ascii="Times New Roman" w:hAnsi="Times New Roman" w:eastAsia="仿宋" w:cs="Times New Roman"/>
          <w:sz w:val="28"/>
          <w:szCs w:val="28"/>
        </w:rPr>
        <w:t>）法律、法规规定的其他情况。</w:t>
      </w:r>
    </w:p>
    <w:p w14:paraId="17FF1B7F">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2.出现下列情形，招标人有权否决所有投标人的投标，并终止招标。</w:t>
      </w:r>
    </w:p>
    <w:p w14:paraId="30CE9C39">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（1）符合条件的投标人或对招标文件做出实质性响应的投标人不足</w:t>
      </w:r>
      <w:r>
        <w:rPr>
          <w:rFonts w:hint="eastAsia" w:ascii="Times New Roman" w:hAnsi="Times New Roman" w:eastAsia="仿宋" w:cs="Times New Roman"/>
          <w:sz w:val="28"/>
          <w:szCs w:val="28"/>
        </w:rPr>
        <w:t>三</w:t>
      </w:r>
      <w:r>
        <w:rPr>
          <w:rFonts w:ascii="Times New Roman" w:hAnsi="Times New Roman" w:eastAsia="仿宋" w:cs="Times New Roman"/>
          <w:sz w:val="28"/>
          <w:szCs w:val="28"/>
        </w:rPr>
        <w:t>家；</w:t>
      </w:r>
    </w:p>
    <w:p w14:paraId="014BFC52">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（2）出现影响评审公正性的违法、违规行为；</w:t>
      </w:r>
    </w:p>
    <w:p w14:paraId="5B1B7F73">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（3）评标委员会经评审，认为所有投标都不符合招标文件要求的；</w:t>
      </w:r>
    </w:p>
    <w:p w14:paraId="48F53851">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（4）因重大变故，本项目取消。</w:t>
      </w:r>
    </w:p>
    <w:p w14:paraId="027E630E">
      <w:pPr>
        <w:spacing w:line="360" w:lineRule="auto"/>
        <w:ind w:firstLine="560" w:firstLineChars="200"/>
        <w:contextualSpacing/>
        <w:rPr>
          <w:rFonts w:ascii="Times New Roman" w:hAnsi="Times New Roman" w:eastAsia="Times New Roman" w:cs="Times New Roman"/>
          <w:sz w:val="28"/>
        </w:rPr>
      </w:pPr>
      <w:r>
        <w:rPr>
          <w:rFonts w:ascii="Times New Roman" w:hAnsi="Times New Roman" w:eastAsia="仿宋" w:cs="Times New Roman"/>
          <w:sz w:val="28"/>
          <w:szCs w:val="28"/>
        </w:rPr>
        <w:t>3.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p>
    <w:p w14:paraId="45AACB94">
      <w:pPr>
        <w:spacing w:line="360" w:lineRule="auto"/>
        <w:ind w:firstLine="562" w:firstLineChars="200"/>
        <w:contextualSpacing/>
        <w:rPr>
          <w:rFonts w:ascii="仿宋" w:hAnsi="仿宋" w:eastAsia="仿宋" w:cs="仿宋"/>
          <w:b/>
          <w:sz w:val="28"/>
          <w:szCs w:val="28"/>
        </w:rPr>
      </w:pPr>
      <w:r>
        <w:rPr>
          <w:rFonts w:hint="eastAsia" w:ascii="仿宋" w:hAnsi="仿宋" w:eastAsia="仿宋" w:cs="仿宋"/>
          <w:b/>
          <w:sz w:val="28"/>
          <w:szCs w:val="28"/>
        </w:rPr>
        <w:t>十、解释权</w:t>
      </w:r>
    </w:p>
    <w:p w14:paraId="6B27C23D">
      <w:pPr>
        <w:spacing w:line="360" w:lineRule="auto"/>
        <w:ind w:firstLine="560" w:firstLineChars="200"/>
        <w:contextualSpacing/>
        <w:rPr>
          <w:rFonts w:ascii="Times New Roman" w:hAnsi="Times New Roman" w:eastAsia="仿宋" w:cs="Times New Roman"/>
          <w:sz w:val="28"/>
          <w:szCs w:val="28"/>
          <w:lang w:val="ru-RU"/>
        </w:rPr>
      </w:pPr>
      <w:r>
        <w:rPr>
          <w:rFonts w:hint="eastAsia" w:ascii="仿宋" w:hAnsi="仿宋" w:eastAsia="仿宋" w:cs="仿宋"/>
          <w:sz w:val="28"/>
          <w:szCs w:val="28"/>
        </w:rPr>
        <w:t>本招标文件的最终解释权归招标人，当对一个问题有多种解释时以招标人的书面解释为准。招标文件未做须知明示，而又有相关法律、法规规定的，招标人对此所做解释以相关的法律、法规规定为依据。</w:t>
      </w:r>
    </w:p>
    <w:p w14:paraId="6F538B67">
      <w:pPr>
        <w:pStyle w:val="22"/>
        <w:spacing w:line="360" w:lineRule="auto"/>
        <w:ind w:right="560" w:firstLine="1680" w:firstLineChars="600"/>
        <w:contextualSpacing/>
        <w:jc w:val="right"/>
        <w:rPr>
          <w:rFonts w:ascii="Times New Roman" w:hAnsi="Times New Roman" w:eastAsia="仿宋" w:cs="Times New Roman"/>
          <w:color w:val="000000" w:themeColor="text1"/>
          <w:sz w:val="28"/>
          <w:szCs w:val="28"/>
          <w14:textFill>
            <w14:solidFill>
              <w14:schemeClr w14:val="tx1"/>
            </w14:solidFill>
          </w14:textFill>
        </w:rPr>
      </w:pPr>
      <w:r>
        <w:rPr>
          <w:rFonts w:hint="eastAsia" w:ascii="Times New Roman" w:hAnsi="Times New Roman" w:eastAsia="仿宋" w:cs="Times New Roman"/>
          <w:color w:val="000000" w:themeColor="text1"/>
          <w:sz w:val="28"/>
          <w:szCs w:val="28"/>
          <w14:textFill>
            <w14:solidFill>
              <w14:schemeClr w14:val="tx1"/>
            </w14:solidFill>
          </w14:textFill>
        </w:rPr>
        <w:t>中国重汽集团国际有限公司</w:t>
      </w:r>
    </w:p>
    <w:p w14:paraId="7738A65E">
      <w:pPr>
        <w:pStyle w:val="22"/>
        <w:spacing w:line="360" w:lineRule="auto"/>
        <w:ind w:left="5040" w:right="560" w:firstLine="0" w:firstLineChars="0"/>
        <w:contextualSpacing/>
        <w:jc w:val="center"/>
        <w:rPr>
          <w:rFonts w:hint="default" w:ascii="Times New Roman" w:hAnsi="Times New Roman" w:eastAsia="仿宋" w:cs="Times New Roman"/>
          <w:sz w:val="28"/>
          <w:szCs w:val="28"/>
          <w:lang w:val="en-US" w:eastAsia="zh-CN"/>
        </w:rPr>
      </w:pPr>
      <w:r>
        <w:rPr>
          <w:rFonts w:ascii="Times New Roman" w:hAnsi="Times New Roman" w:eastAsia="仿宋" w:cs="Times New Roman"/>
          <w:sz w:val="28"/>
          <w:szCs w:val="28"/>
        </w:rPr>
        <w:t xml:space="preserve">          202</w:t>
      </w:r>
      <w:r>
        <w:rPr>
          <w:rFonts w:hint="eastAsia" w:ascii="Times New Roman" w:hAnsi="Times New Roman" w:eastAsia="仿宋" w:cs="Times New Roman"/>
          <w:sz w:val="28"/>
          <w:szCs w:val="28"/>
          <w:lang w:val="en-US" w:eastAsia="zh-CN"/>
        </w:rPr>
        <w:t>5</w:t>
      </w:r>
      <w:r>
        <w:rPr>
          <w:rFonts w:hint="eastAsia" w:ascii="Times New Roman" w:hAnsi="Times New Roman" w:eastAsia="仿宋" w:cs="Times New Roman"/>
          <w:sz w:val="28"/>
          <w:szCs w:val="28"/>
        </w:rPr>
        <w:t>.</w:t>
      </w:r>
      <w:r>
        <w:rPr>
          <w:rFonts w:hint="eastAsia" w:ascii="Times New Roman" w:hAnsi="Times New Roman" w:eastAsia="仿宋" w:cs="Times New Roman"/>
          <w:sz w:val="28"/>
          <w:szCs w:val="28"/>
          <w:lang w:val="en-US" w:eastAsia="zh-CN"/>
        </w:rPr>
        <w:t>12</w:t>
      </w:r>
    </w:p>
    <w:p w14:paraId="76EB2BF9">
      <w:pPr>
        <w:spacing w:line="312" w:lineRule="auto"/>
        <w:rPr>
          <w:rFonts w:ascii="仿宋" w:hAnsi="仿宋" w:eastAsia="仿宋" w:cs="仿宋"/>
          <w:sz w:val="28"/>
          <w:szCs w:val="28"/>
        </w:rPr>
      </w:pPr>
    </w:p>
    <w:p w14:paraId="05286BD4">
      <w:pPr>
        <w:spacing w:line="312" w:lineRule="auto"/>
        <w:rPr>
          <w:rFonts w:ascii="仿宋" w:hAnsi="仿宋" w:eastAsia="仿宋" w:cs="仿宋"/>
          <w:sz w:val="28"/>
          <w:szCs w:val="28"/>
        </w:rPr>
      </w:pPr>
    </w:p>
    <w:p w14:paraId="4F19D431">
      <w:pPr>
        <w:spacing w:line="312" w:lineRule="auto"/>
        <w:rPr>
          <w:rFonts w:ascii="仿宋" w:hAnsi="仿宋" w:eastAsia="仿宋" w:cs="仿宋"/>
          <w:sz w:val="28"/>
          <w:szCs w:val="28"/>
        </w:rPr>
      </w:pPr>
    </w:p>
    <w:p w14:paraId="2F94B20F">
      <w:pPr>
        <w:spacing w:line="312" w:lineRule="auto"/>
        <w:rPr>
          <w:rFonts w:hint="eastAsia" w:ascii="仿宋" w:hAnsi="仿宋" w:eastAsia="仿宋" w:cs="仿宋"/>
          <w:sz w:val="28"/>
          <w:szCs w:val="28"/>
        </w:rPr>
      </w:pPr>
    </w:p>
    <w:p w14:paraId="2471EBCC">
      <w:pPr>
        <w:spacing w:line="312" w:lineRule="auto"/>
        <w:rPr>
          <w:rFonts w:hint="eastAsia" w:ascii="仿宋" w:hAnsi="仿宋" w:eastAsia="仿宋" w:cs="仿宋"/>
          <w:sz w:val="28"/>
          <w:szCs w:val="28"/>
        </w:rPr>
      </w:pPr>
    </w:p>
    <w:p w14:paraId="48E5D6AF">
      <w:pPr>
        <w:spacing w:line="312" w:lineRule="auto"/>
        <w:rPr>
          <w:rFonts w:hint="eastAsia" w:ascii="仿宋" w:hAnsi="仿宋" w:eastAsia="仿宋" w:cs="仿宋"/>
          <w:sz w:val="28"/>
          <w:szCs w:val="28"/>
        </w:rPr>
      </w:pPr>
    </w:p>
    <w:p w14:paraId="3C546132">
      <w:pPr>
        <w:spacing w:line="312" w:lineRule="auto"/>
        <w:rPr>
          <w:rFonts w:hint="eastAsia" w:ascii="仿宋" w:hAnsi="仿宋" w:eastAsia="仿宋" w:cs="仿宋"/>
          <w:sz w:val="28"/>
          <w:szCs w:val="28"/>
        </w:rPr>
      </w:pPr>
    </w:p>
    <w:p w14:paraId="36CB1223">
      <w:pPr>
        <w:spacing w:line="312" w:lineRule="auto"/>
        <w:rPr>
          <w:rFonts w:hint="eastAsia" w:ascii="仿宋" w:hAnsi="仿宋" w:eastAsia="仿宋" w:cs="仿宋"/>
          <w:sz w:val="28"/>
          <w:szCs w:val="28"/>
        </w:rPr>
      </w:pPr>
    </w:p>
    <w:p w14:paraId="7BB769C4">
      <w:pPr>
        <w:spacing w:line="312" w:lineRule="auto"/>
        <w:rPr>
          <w:rFonts w:hint="eastAsia" w:ascii="仿宋" w:hAnsi="仿宋" w:eastAsia="仿宋" w:cs="仿宋"/>
          <w:sz w:val="28"/>
          <w:szCs w:val="28"/>
        </w:rPr>
      </w:pPr>
    </w:p>
    <w:p w14:paraId="0E169040">
      <w:pPr>
        <w:spacing w:line="312" w:lineRule="auto"/>
        <w:rPr>
          <w:rFonts w:hint="eastAsia" w:ascii="仿宋" w:hAnsi="仿宋" w:eastAsia="仿宋" w:cs="仿宋"/>
          <w:sz w:val="28"/>
          <w:szCs w:val="28"/>
        </w:rPr>
      </w:pPr>
    </w:p>
    <w:p w14:paraId="3AE633ED">
      <w:pPr>
        <w:spacing w:line="312" w:lineRule="auto"/>
        <w:rPr>
          <w:rFonts w:hint="eastAsia" w:ascii="仿宋" w:hAnsi="仿宋" w:eastAsia="仿宋" w:cs="仿宋"/>
          <w:sz w:val="28"/>
          <w:szCs w:val="28"/>
        </w:rPr>
      </w:pPr>
    </w:p>
    <w:p w14:paraId="268788EE">
      <w:pPr>
        <w:spacing w:line="312" w:lineRule="auto"/>
        <w:rPr>
          <w:rFonts w:hint="eastAsia" w:ascii="仿宋" w:hAnsi="仿宋" w:eastAsia="仿宋" w:cs="仿宋"/>
          <w:sz w:val="28"/>
          <w:szCs w:val="28"/>
        </w:rPr>
      </w:pPr>
    </w:p>
    <w:p w14:paraId="2A8F2349">
      <w:pPr>
        <w:spacing w:line="312" w:lineRule="auto"/>
        <w:rPr>
          <w:rFonts w:hint="eastAsia" w:ascii="仿宋" w:hAnsi="仿宋" w:eastAsia="仿宋" w:cs="仿宋"/>
          <w:sz w:val="28"/>
          <w:szCs w:val="28"/>
        </w:rPr>
      </w:pPr>
    </w:p>
    <w:p w14:paraId="080F067B">
      <w:pPr>
        <w:spacing w:line="312" w:lineRule="auto"/>
        <w:rPr>
          <w:rFonts w:ascii="仿宋" w:hAnsi="仿宋" w:eastAsia="仿宋" w:cs="仿宋"/>
          <w:sz w:val="28"/>
          <w:szCs w:val="28"/>
        </w:rPr>
      </w:pPr>
      <w:r>
        <w:rPr>
          <w:rFonts w:hint="eastAsia" w:ascii="仿宋" w:hAnsi="仿宋" w:eastAsia="仿宋" w:cs="仿宋"/>
          <w:sz w:val="28"/>
          <w:szCs w:val="28"/>
        </w:rPr>
        <w:t>附件</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授权书</w:t>
      </w:r>
    </w:p>
    <w:p w14:paraId="43783F86">
      <w:pPr>
        <w:spacing w:after="156" w:afterLines="50" w:line="312" w:lineRule="auto"/>
        <w:ind w:firstLine="3962" w:firstLineChars="900"/>
        <w:jc w:val="left"/>
        <w:rPr>
          <w:rFonts w:asciiTheme="minorEastAsia" w:hAnsiTheme="minorEastAsia"/>
          <w:b/>
          <w:bCs/>
          <w:sz w:val="44"/>
          <w:szCs w:val="44"/>
        </w:rPr>
      </w:pPr>
      <w:r>
        <w:rPr>
          <w:rFonts w:hint="eastAsia" w:asciiTheme="minorEastAsia" w:hAnsiTheme="minorEastAsia"/>
          <w:b/>
          <w:bCs/>
          <w:sz w:val="44"/>
          <w:szCs w:val="44"/>
        </w:rPr>
        <w:t>授权书</w:t>
      </w:r>
    </w:p>
    <w:p w14:paraId="7729E346">
      <w:pPr>
        <w:spacing w:after="156" w:afterLines="50" w:line="312" w:lineRule="auto"/>
        <w:jc w:val="left"/>
        <w:rPr>
          <w:rFonts w:ascii="楷体" w:hAnsi="楷体" w:eastAsia="楷体"/>
          <w:sz w:val="28"/>
          <w:szCs w:val="28"/>
        </w:rPr>
      </w:pPr>
      <w:r>
        <w:rPr>
          <w:rFonts w:hint="eastAsia" w:ascii="楷体" w:hAnsi="楷体" w:eastAsia="楷体"/>
          <w:sz w:val="28"/>
          <w:szCs w:val="28"/>
        </w:rPr>
        <w:t>中国重汽集团国际有限公司：</w:t>
      </w:r>
    </w:p>
    <w:p w14:paraId="1D00EE57">
      <w:pPr>
        <w:spacing w:after="156" w:afterLines="50" w:line="312" w:lineRule="auto"/>
        <w:ind w:firstLine="560" w:firstLineChars="200"/>
        <w:jc w:val="left"/>
        <w:rPr>
          <w:rFonts w:ascii="楷体" w:hAnsi="楷体" w:eastAsia="楷体"/>
          <w:sz w:val="28"/>
          <w:szCs w:val="28"/>
        </w:rPr>
      </w:pPr>
      <w:r>
        <w:rPr>
          <w:rFonts w:hint="eastAsia" w:ascii="楷体" w:hAnsi="楷体" w:eastAsia="楷体"/>
          <w:sz w:val="28"/>
          <w:szCs w:val="28"/>
        </w:rPr>
        <w:t>本人</w:t>
      </w:r>
      <w:r>
        <w:rPr>
          <w:rFonts w:hint="eastAsia" w:ascii="楷体" w:hAnsi="楷体" w:eastAsia="楷体"/>
          <w:sz w:val="28"/>
          <w:szCs w:val="28"/>
          <w:u w:val="single"/>
        </w:rPr>
        <w:t xml:space="preserve">         </w:t>
      </w:r>
      <w:r>
        <w:rPr>
          <w:rFonts w:hint="eastAsia" w:ascii="楷体" w:hAnsi="楷体" w:eastAsia="楷体"/>
          <w:sz w:val="28"/>
          <w:szCs w:val="28"/>
        </w:rPr>
        <w:t>（姓名）系</w:t>
      </w:r>
      <w:r>
        <w:rPr>
          <w:rFonts w:hint="eastAsia" w:ascii="楷体" w:hAnsi="楷体" w:eastAsia="楷体"/>
          <w:sz w:val="28"/>
          <w:szCs w:val="28"/>
          <w:u w:val="single"/>
        </w:rPr>
        <w:t xml:space="preserve">         </w:t>
      </w:r>
      <w:r>
        <w:rPr>
          <w:rFonts w:hint="eastAsia" w:ascii="楷体" w:hAnsi="楷体" w:eastAsia="楷体"/>
          <w:sz w:val="28"/>
          <w:szCs w:val="28"/>
        </w:rPr>
        <w:t>（对方单位名称）的法定代表人，现委托</w:t>
      </w:r>
      <w:r>
        <w:rPr>
          <w:rFonts w:hint="eastAsia" w:ascii="楷体" w:hAnsi="楷体" w:eastAsia="楷体"/>
          <w:sz w:val="28"/>
          <w:szCs w:val="28"/>
          <w:u w:val="single"/>
        </w:rPr>
        <w:t xml:space="preserve">      </w:t>
      </w:r>
      <w:r>
        <w:rPr>
          <w:rFonts w:hint="eastAsia" w:ascii="楷体" w:hAnsi="楷体" w:eastAsia="楷体"/>
          <w:sz w:val="28"/>
          <w:szCs w:val="28"/>
        </w:rPr>
        <w:t>（姓名）为我方代理人。代理人根据授权，以我方名义签署</w:t>
      </w:r>
      <w:r>
        <w:rPr>
          <w:rFonts w:hint="eastAsia" w:ascii="楷体" w:hAnsi="楷体" w:eastAsia="楷体"/>
          <w:sz w:val="28"/>
          <w:szCs w:val="28"/>
          <w:u w:val="single"/>
        </w:rPr>
        <w:t xml:space="preserve">               </w:t>
      </w:r>
      <w:r>
        <w:rPr>
          <w:rFonts w:hint="eastAsia" w:ascii="楷体" w:hAnsi="楷体" w:eastAsia="楷体"/>
          <w:sz w:val="28"/>
          <w:szCs w:val="28"/>
        </w:rPr>
        <w:t>合同、处理招标等相关事宜，其一切法律后果均由我方承担。</w:t>
      </w:r>
    </w:p>
    <w:p w14:paraId="47C44776">
      <w:pPr>
        <w:spacing w:after="156" w:afterLines="50" w:line="312" w:lineRule="auto"/>
        <w:jc w:val="left"/>
        <w:rPr>
          <w:rFonts w:ascii="楷体" w:hAnsi="楷体" w:eastAsia="楷体"/>
          <w:sz w:val="28"/>
          <w:szCs w:val="28"/>
        </w:rPr>
      </w:pPr>
      <w:r>
        <w:rPr>
          <w:rFonts w:hint="eastAsia" w:ascii="楷体" w:hAnsi="楷体" w:eastAsia="楷体"/>
          <w:sz w:val="28"/>
          <w:szCs w:val="28"/>
        </w:rPr>
        <w:t>委托期限：</w:t>
      </w:r>
      <w:r>
        <w:rPr>
          <w:rFonts w:hint="eastAsia" w:ascii="楷体" w:hAnsi="楷体" w:eastAsia="楷体"/>
          <w:sz w:val="28"/>
          <w:szCs w:val="28"/>
          <w:u w:val="single"/>
        </w:rPr>
        <w:t xml:space="preserve">                                                          </w:t>
      </w:r>
    </w:p>
    <w:p w14:paraId="4FF65B20">
      <w:pPr>
        <w:spacing w:after="156" w:afterLines="50" w:line="312" w:lineRule="auto"/>
        <w:ind w:firstLine="560" w:firstLineChars="200"/>
        <w:jc w:val="left"/>
        <w:rPr>
          <w:rFonts w:ascii="楷体" w:hAnsi="楷体" w:eastAsia="楷体"/>
          <w:sz w:val="28"/>
          <w:szCs w:val="28"/>
        </w:rPr>
      </w:pPr>
      <w:r>
        <w:rPr>
          <w:rFonts w:hint="eastAsia" w:ascii="楷体" w:hAnsi="楷体" w:eastAsia="楷体"/>
          <w:sz w:val="28"/>
          <w:szCs w:val="28"/>
        </w:rPr>
        <w:t>代理人无转委托权。</w:t>
      </w:r>
    </w:p>
    <w:p w14:paraId="18144A36">
      <w:pPr>
        <w:spacing w:after="156" w:afterLines="50" w:line="312" w:lineRule="auto"/>
        <w:ind w:firstLine="560" w:firstLineChars="200"/>
        <w:jc w:val="left"/>
        <w:rPr>
          <w:rFonts w:ascii="楷体" w:hAnsi="楷体" w:eastAsia="楷体"/>
          <w:sz w:val="28"/>
          <w:szCs w:val="28"/>
        </w:rPr>
      </w:pPr>
      <w:r>
        <w:rPr>
          <w:rFonts w:hint="eastAsia" w:ascii="楷体" w:hAnsi="楷体" w:eastAsia="楷体"/>
          <w:sz w:val="28"/>
          <w:szCs w:val="28"/>
        </w:rPr>
        <w:t>附：</w:t>
      </w:r>
      <w:r>
        <w:rPr>
          <w:rFonts w:hint="eastAsia" w:ascii="楷体" w:hAnsi="楷体" w:eastAsia="楷体"/>
          <w:sz w:val="28"/>
          <w:szCs w:val="28"/>
          <w:lang w:val="en-US" w:eastAsia="zh-CN"/>
        </w:rPr>
        <w:t>法定代表人身份证、</w:t>
      </w:r>
      <w:r>
        <w:rPr>
          <w:rFonts w:hint="eastAsia" w:ascii="楷体" w:hAnsi="楷体" w:eastAsia="楷体"/>
          <w:sz w:val="28"/>
          <w:szCs w:val="28"/>
        </w:rPr>
        <w:t>代理人身份证明</w:t>
      </w:r>
    </w:p>
    <w:p w14:paraId="5D6FC1FF">
      <w:pPr>
        <w:spacing w:after="156" w:afterLines="50" w:line="312" w:lineRule="auto"/>
        <w:jc w:val="left"/>
        <w:rPr>
          <w:rFonts w:ascii="楷体" w:hAnsi="楷体" w:eastAsia="楷体"/>
          <w:sz w:val="28"/>
          <w:szCs w:val="28"/>
        </w:rPr>
      </w:pPr>
    </w:p>
    <w:p w14:paraId="23723F50">
      <w:pPr>
        <w:spacing w:after="156" w:afterLines="50" w:line="312" w:lineRule="auto"/>
        <w:jc w:val="left"/>
        <w:rPr>
          <w:rFonts w:ascii="楷体" w:hAnsi="楷体" w:eastAsia="楷体"/>
          <w:sz w:val="28"/>
          <w:szCs w:val="28"/>
        </w:rPr>
      </w:pPr>
      <w:r>
        <w:rPr>
          <w:rFonts w:ascii="楷体" w:hAnsi="楷体" w:eastAsia="楷体"/>
          <w:sz w:val="28"/>
          <w:szCs w:val="28"/>
        </w:rPr>
        <w:tab/>
      </w:r>
      <w:r>
        <w:rPr>
          <w:rFonts w:ascii="楷体" w:hAnsi="楷体" w:eastAsia="楷体"/>
          <w:sz w:val="28"/>
          <w:szCs w:val="28"/>
        </w:rPr>
        <w:t xml:space="preserve">                             </w:t>
      </w:r>
      <w:r>
        <w:rPr>
          <w:rFonts w:hint="eastAsia" w:ascii="楷体" w:hAnsi="楷体" w:eastAsia="楷体"/>
          <w:sz w:val="28"/>
          <w:szCs w:val="28"/>
        </w:rPr>
        <w:t>授权单位：</w:t>
      </w:r>
    </w:p>
    <w:p w14:paraId="70F39436">
      <w:pPr>
        <w:spacing w:after="156" w:afterLines="50" w:line="312" w:lineRule="auto"/>
        <w:ind w:firstLine="4480" w:firstLineChars="1600"/>
        <w:jc w:val="left"/>
        <w:rPr>
          <w:rFonts w:ascii="楷体" w:hAnsi="楷体" w:eastAsia="楷体"/>
          <w:sz w:val="28"/>
          <w:szCs w:val="28"/>
        </w:rPr>
      </w:pPr>
      <w:r>
        <w:rPr>
          <w:rFonts w:hint="eastAsia" w:ascii="楷体" w:hAnsi="楷体" w:eastAsia="楷体"/>
          <w:sz w:val="28"/>
          <w:szCs w:val="28"/>
        </w:rPr>
        <w:t>法定代表人：</w:t>
      </w:r>
    </w:p>
    <w:p w14:paraId="1180BA60">
      <w:pPr>
        <w:spacing w:after="156" w:afterLines="50" w:line="312" w:lineRule="auto"/>
        <w:ind w:firstLine="4480" w:firstLineChars="1600"/>
        <w:jc w:val="left"/>
        <w:rPr>
          <w:rFonts w:hint="eastAsia" w:ascii="楷体" w:hAnsi="楷体" w:eastAsia="楷体"/>
          <w:sz w:val="28"/>
          <w:szCs w:val="28"/>
        </w:rPr>
      </w:pPr>
      <w:r>
        <w:rPr>
          <w:rFonts w:hint="eastAsia" w:ascii="楷体" w:hAnsi="楷体" w:eastAsia="楷体"/>
          <w:sz w:val="28"/>
          <w:szCs w:val="28"/>
          <w:u w:val="single"/>
        </w:rPr>
        <w:t xml:space="preserve">   </w:t>
      </w:r>
      <w:r>
        <w:rPr>
          <w:rFonts w:hint="eastAsia" w:ascii="楷体" w:hAnsi="楷体" w:eastAsia="楷体"/>
          <w:sz w:val="28"/>
          <w:szCs w:val="28"/>
        </w:rPr>
        <w:t>年</w:t>
      </w:r>
      <w:r>
        <w:rPr>
          <w:rFonts w:hint="eastAsia" w:ascii="楷体" w:hAnsi="楷体" w:eastAsia="楷体"/>
          <w:sz w:val="28"/>
          <w:szCs w:val="28"/>
          <w:u w:val="single"/>
        </w:rPr>
        <w:t xml:space="preserve">   </w:t>
      </w:r>
      <w:r>
        <w:rPr>
          <w:rFonts w:hint="eastAsia" w:ascii="楷体" w:hAnsi="楷体" w:eastAsia="楷体"/>
          <w:sz w:val="28"/>
          <w:szCs w:val="28"/>
        </w:rPr>
        <w:t>月</w:t>
      </w:r>
      <w:r>
        <w:rPr>
          <w:rFonts w:hint="eastAsia" w:ascii="楷体" w:hAnsi="楷体" w:eastAsia="楷体"/>
          <w:sz w:val="28"/>
          <w:szCs w:val="28"/>
          <w:u w:val="single"/>
        </w:rPr>
        <w:t xml:space="preserve">   </w:t>
      </w:r>
      <w:r>
        <w:rPr>
          <w:rFonts w:hint="eastAsia" w:ascii="楷体" w:hAnsi="楷体" w:eastAsia="楷体"/>
          <w:sz w:val="28"/>
          <w:szCs w:val="28"/>
        </w:rPr>
        <w:t>日</w:t>
      </w:r>
    </w:p>
    <w:p w14:paraId="44BAF60C">
      <w:pPr>
        <w:spacing w:after="156" w:afterLines="50" w:line="312" w:lineRule="auto"/>
        <w:ind w:firstLine="4480" w:firstLineChars="1600"/>
        <w:jc w:val="left"/>
        <w:rPr>
          <w:rFonts w:hint="eastAsia" w:ascii="楷体" w:hAnsi="楷体" w:eastAsia="楷体"/>
          <w:sz w:val="28"/>
          <w:szCs w:val="28"/>
        </w:rPr>
      </w:pPr>
    </w:p>
    <w:p w14:paraId="2ECBA6D8">
      <w:pPr>
        <w:spacing w:after="156" w:afterLines="50" w:line="312" w:lineRule="auto"/>
        <w:ind w:firstLine="4480" w:firstLineChars="1600"/>
        <w:jc w:val="left"/>
        <w:rPr>
          <w:rFonts w:hint="eastAsia" w:ascii="楷体" w:hAnsi="楷体" w:eastAsia="楷体"/>
          <w:sz w:val="28"/>
          <w:szCs w:val="28"/>
        </w:rPr>
      </w:pPr>
    </w:p>
    <w:p w14:paraId="0BDD1708">
      <w:pPr>
        <w:spacing w:after="156" w:afterLines="50" w:line="312" w:lineRule="auto"/>
        <w:ind w:firstLine="4480" w:firstLineChars="1600"/>
        <w:jc w:val="left"/>
        <w:rPr>
          <w:rFonts w:hint="eastAsia" w:ascii="楷体" w:hAnsi="楷体" w:eastAsia="楷体"/>
          <w:sz w:val="28"/>
          <w:szCs w:val="28"/>
        </w:rPr>
      </w:pPr>
    </w:p>
    <w:tbl>
      <w:tblPr>
        <w:tblStyle w:val="11"/>
        <w:tblW w:w="106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60"/>
        <w:gridCol w:w="2816"/>
        <w:gridCol w:w="960"/>
        <w:gridCol w:w="5240"/>
        <w:gridCol w:w="960"/>
      </w:tblGrid>
      <w:tr w14:paraId="7FD0A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42A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BF70D">
            <w:pPr>
              <w:jc w:val="center"/>
              <w:rPr>
                <w:rFonts w:hint="eastAsia" w:ascii="宋体" w:hAnsi="宋体" w:eastAsia="宋体" w:cs="宋体"/>
                <w:i w:val="0"/>
                <w:iCs w:val="0"/>
                <w:color w:val="000000"/>
                <w:sz w:val="20"/>
                <w:szCs w:val="20"/>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FBB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预计数量</w:t>
            </w:r>
          </w:p>
        </w:tc>
        <w:tc>
          <w:tcPr>
            <w:tcW w:w="5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481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内容/材质/用途/描述/规格</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244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r>
      <w:tr w14:paraId="348CC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5DF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8EB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卓越营销团队超大奖杯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BBC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D43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金属质感，树脂填充奖杯，高度740cm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四方体，带底座，厚重，能刻获奖人员名字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0E3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r>
      <w:tr w14:paraId="03F22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172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97D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优秀营销团队奖杯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872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5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341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金属质感，树脂填充奖杯，高度30cm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5C5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r>
      <w:tr w14:paraId="4DD5B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4C6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3A7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轻卡先锋团队奖杯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599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652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金属质感，树脂填充奖杯，高度30cm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8BF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r>
      <w:tr w14:paraId="3E527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65C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65E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优秀支持团队奖杯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D6C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662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金属质感，树脂填充奖杯，高度30cm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2A7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r>
      <w:tr w14:paraId="50B51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515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233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廿载功勋奖奖杯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2C4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5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B1F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金属质感，树脂填充奖杯，高度30cm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4AC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r>
      <w:tr w14:paraId="5DAD7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915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EEE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功勋家庭奖杯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A64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5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D15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金属质感，树脂填充奖杯，高度30cm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596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r>
      <w:tr w14:paraId="48C11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240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F60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优秀营销团队纯银勋章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508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77</w:t>
            </w:r>
          </w:p>
        </w:tc>
        <w:tc>
          <w:tcPr>
            <w:tcW w:w="52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4273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参考集团党群部为退休人员发放的奖章</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材质：上章合金，下章999纯银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规格：上章直径40mm，高24mm，下章直径50mm，克重45克足克；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颜色：上章logo为红色烤漆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技术要求：徽章正门与背面均为高浮雕设计，中间桥形，凸起；每个勋章刻有奖项名称。</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鉴定：国家认可第三方检测中心提供999纯银证书；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包装：亚克力盒、外包装盒及手提袋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制作周期：设计、调整、制作、运输，约40天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0D1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2F105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AD9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2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7DA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轻卡先锋团队纯银勋章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DFF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2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F6736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5DE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6F582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E1E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F93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优秀支持团队纯银勋章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5C1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52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FE1240">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0A0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2392F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8240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667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市场开拓奖勋章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29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2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FCBCC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F61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4A437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8FC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6BE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卓越营销团队纯银勋章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39B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A23B46">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528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13658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C58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0B0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最佳服务经理纯银勋章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9E5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FE7AA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81F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18904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FAD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DBF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最佳配件经理纯银勋章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C87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EDCB26">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89E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3E479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938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E42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最佳海外子公司CEO纯银勋章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9FB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261520">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09E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077C1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DA6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2DC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餐票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E00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47C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10*15cm铜版纸印刷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077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r>
      <w:tr w14:paraId="180D2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EA1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F2A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定制活动帆布袋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EBD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CE2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定制logo帆布袋40*30*10cm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C86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r>
      <w:tr w14:paraId="42CDE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2FF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4FF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种子纸创意证件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F73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A3D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定制种子纸证件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126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r>
      <w:tr w14:paraId="5F638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72E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6EF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活动手册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D4E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856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不超过10p</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D65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w:t>
            </w:r>
          </w:p>
        </w:tc>
      </w:tr>
      <w:tr w14:paraId="5E730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A8A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229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笔</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EBC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FFA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晨光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444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w:t>
            </w:r>
          </w:p>
        </w:tc>
      </w:tr>
      <w:tr w14:paraId="737A7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2C5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B2F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拼图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791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7A3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定制拼图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F07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10114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D87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24F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卡车贴纸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B38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5C1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定制贴纸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FC4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r>
      <w:tr w14:paraId="2A63E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48A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9AC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暖手宝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54F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5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7DE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磁吸暖手宝充电款二合一暖手宝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3F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7847E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F14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D3B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木制小卡车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361DB">
            <w:pPr>
              <w:jc w:val="center"/>
              <w:rPr>
                <w:rFonts w:hint="eastAsia" w:ascii="宋体" w:hAnsi="宋体" w:eastAsia="宋体" w:cs="宋体"/>
                <w:i w:val="0"/>
                <w:iCs w:val="0"/>
                <w:color w:val="000000"/>
                <w:sz w:val="20"/>
                <w:szCs w:val="20"/>
                <w:u w:val="none"/>
              </w:rPr>
            </w:pPr>
          </w:p>
        </w:tc>
        <w:tc>
          <w:tcPr>
            <w:tcW w:w="5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3F3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定制款，100*85*68mm，材质是荷木+榉木+密度板。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41E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43BE9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A89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322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零食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CF6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C8F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士力架，坚果，小面包等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59D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305F9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04A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94F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巧克力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531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6F7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德芙巧克力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625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1C086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B28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4CC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热水桶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349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6DE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保温热水桶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536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r>
      <w:tr w14:paraId="3DDA8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B10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156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博物馆外氛围布置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006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8FB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双面异形木制作+写真画面3.5m*12m*1mW</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055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28AC5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57D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66E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博物馆外合影墙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97A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437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双面异形木制作+写真画面3.5m*10m*1mW</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AAF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4B367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2FC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98B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博物馆知识问答墙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7C8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485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双面异形木制作+写真画面3.5m*8.5m*1mW</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EC1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7DBA7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8C3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D78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博物馆世界地图大展板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DAA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F82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双面异形木制作+写真画面3.5m*14m*1mW</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999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2E274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1DD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2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9D0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博物馆录音区布置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A71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B4C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双面异形木制作+写真画面3.5m*10m*1mW</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0B9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49EE0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F61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FE3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玩偶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247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D31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定制玩偶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339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r>
      <w:tr w14:paraId="33430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8FF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2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0A7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套圈（10种东西+设备）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56F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DDA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各类小玩具，含套圈设备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013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3D4E6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3E4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6AC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电动遥控卡车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364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F36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RC遥控车模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利用现有重汽车模改装成RC遥控车模，用于现场互动，要求持续运营4小时以上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708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7761F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C7A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B3B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愤怒的小鸟（含设备）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261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159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双面异形木制作+写真画面3m*6m*1mW</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901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4BA85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6CA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9F0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食堂内涂鸦墙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C2E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A14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双面异形木制作+写真画面3m*7m*80W</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0DA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平米</w:t>
            </w:r>
          </w:p>
        </w:tc>
      </w:tr>
      <w:tr w14:paraId="20E92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419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71C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杯子蛋糕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560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32F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新鲜植物奶油蛋糕，150人/份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DC1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760B3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D33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E77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食堂氛围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B04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F93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气球装饰10组，kt板装饰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F92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24244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3A0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73D8CAA5">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Style w:val="27"/>
                <w:lang w:val="en-US" w:eastAsia="zh-CN" w:bidi="ar"/>
              </w:rPr>
              <w:t>西方乐器</w:t>
            </w:r>
            <w:r>
              <w:rPr>
                <w:rStyle w:val="28"/>
                <w:rFonts w:eastAsia="宋体"/>
                <w:lang w:val="en-US" w:eastAsia="zh-CN" w:bidi="ar"/>
              </w:rPr>
              <w:t>(</w:t>
            </w:r>
            <w:r>
              <w:rPr>
                <w:rStyle w:val="27"/>
                <w:lang w:val="en-US" w:eastAsia="zh-CN" w:bidi="ar"/>
              </w:rPr>
              <w:t>小型</w:t>
            </w:r>
            <w:r>
              <w:rPr>
                <w:rStyle w:val="28"/>
                <w:rFonts w:eastAsia="宋体"/>
                <w:lang w:val="en-US" w:eastAsia="zh-CN" w:bidi="ar"/>
              </w:rPr>
              <w:t>)</w:t>
            </w:r>
            <w:r>
              <w:rPr>
                <w:rStyle w:val="27"/>
                <w:lang w:val="en-US" w:eastAsia="zh-CN" w:bidi="ar"/>
              </w:rPr>
              <w:t>演奏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91D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EE1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小提琴，萨克斯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CEB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w:t>
            </w:r>
          </w:p>
        </w:tc>
      </w:tr>
      <w:tr w14:paraId="38130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C3D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2934E29E">
            <w:pPr>
              <w:keepNext w:val="0"/>
              <w:keepLines w:val="0"/>
              <w:widowControl/>
              <w:suppressLineNumbers w:val="0"/>
              <w:jc w:val="center"/>
              <w:textAlignment w:val="bottom"/>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指引导视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3D4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C31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木质导视，含画面80cm*180cm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DBE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1EC68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D74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6D44C227">
            <w:pPr>
              <w:keepNext w:val="0"/>
              <w:keepLines w:val="0"/>
              <w:widowControl/>
              <w:suppressLineNumbers w:val="0"/>
              <w:jc w:val="center"/>
              <w:textAlignment w:val="bottom"/>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演讲台包装</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DCE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7B2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kt板包装</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5DA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428F3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877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4BF8FD">
            <w:pPr>
              <w:keepNext w:val="0"/>
              <w:keepLines w:val="0"/>
              <w:widowControl/>
              <w:suppressLineNumbers w:val="0"/>
              <w:jc w:val="center"/>
              <w:textAlignment w:val="bottom"/>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摄像师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654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7CA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专业摄像师含设备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CFD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w:t>
            </w:r>
          </w:p>
        </w:tc>
      </w:tr>
      <w:tr w14:paraId="0A0C4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210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B3DCC8">
            <w:pPr>
              <w:keepNext w:val="0"/>
              <w:keepLines w:val="0"/>
              <w:widowControl/>
              <w:suppressLineNumbers w:val="0"/>
              <w:jc w:val="center"/>
              <w:textAlignment w:val="bottom"/>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摄影师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911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1F6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专业摄影师含设备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5C8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w:t>
            </w:r>
          </w:p>
        </w:tc>
      </w:tr>
      <w:tr w14:paraId="29CB7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B31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8F9951">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云相册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1BB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4FC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专业修图师含平台费用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D26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3013B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933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9AF1FE">
            <w:pPr>
              <w:keepNext w:val="0"/>
              <w:keepLines w:val="0"/>
              <w:widowControl/>
              <w:suppressLineNumbers w:val="0"/>
              <w:jc w:val="center"/>
              <w:textAlignment w:val="bottom"/>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航拍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A90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432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专业航拍师含设备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F5B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04270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438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1EE13E">
            <w:pPr>
              <w:keepNext w:val="0"/>
              <w:keepLines w:val="0"/>
              <w:widowControl/>
              <w:suppressLineNumbers w:val="0"/>
              <w:jc w:val="center"/>
              <w:textAlignment w:val="bottom"/>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活动视频剪辑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C86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EB2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505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分钟</w:t>
            </w:r>
          </w:p>
        </w:tc>
      </w:tr>
      <w:tr w14:paraId="5D63C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E03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7DD18A31">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活动执行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DFC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2AD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专业执行人员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14F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w:t>
            </w:r>
          </w:p>
        </w:tc>
      </w:tr>
      <w:tr w14:paraId="0A189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793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682E779C">
            <w:pPr>
              <w:keepNext w:val="0"/>
              <w:keepLines w:val="0"/>
              <w:widowControl/>
              <w:suppressLineNumbers w:val="0"/>
              <w:jc w:val="center"/>
              <w:textAlignment w:val="bottom"/>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活动主KV设计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3EE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67E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活动主kv含延展设计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0B7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22061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07F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5B2ADCAB">
            <w:pPr>
              <w:keepNext w:val="0"/>
              <w:keepLines w:val="0"/>
              <w:widowControl/>
              <w:suppressLineNumbers w:val="0"/>
              <w:jc w:val="center"/>
              <w:textAlignment w:val="bottom"/>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活动长图设计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7F7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599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活动长图设计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02F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60E47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3D9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F552181">
            <w:pPr>
              <w:keepNext w:val="0"/>
              <w:keepLines w:val="0"/>
              <w:widowControl/>
              <w:suppressLineNumbers w:val="0"/>
              <w:jc w:val="center"/>
              <w:textAlignment w:val="bottom"/>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活动海报设计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A2E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564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活动海报定制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35E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r>
      <w:tr w14:paraId="7EC54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61C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2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25506">
            <w:pPr>
              <w:keepNext w:val="0"/>
              <w:keepLines w:val="0"/>
              <w:widowControl/>
              <w:suppressLineNumbers w:val="0"/>
              <w:jc w:val="center"/>
              <w:textAlignment w:val="center"/>
              <w:rPr>
                <w:rFonts w:hint="eastAsia" w:ascii="宋体" w:hAnsi="宋体" w:eastAsia="宋体" w:cs="宋体"/>
                <w:i w:val="0"/>
                <w:iCs w:val="0"/>
                <w:color w:val="FF0000"/>
                <w:sz w:val="22"/>
                <w:szCs w:val="22"/>
                <w:u w:val="none"/>
              </w:rPr>
            </w:pPr>
            <w:r>
              <w:rPr>
                <w:rFonts w:hint="eastAsia" w:ascii="宋体" w:hAnsi="宋体" w:eastAsia="宋体" w:cs="宋体"/>
                <w:i w:val="0"/>
                <w:iCs w:val="0"/>
                <w:color w:val="FF0000"/>
                <w:kern w:val="0"/>
                <w:sz w:val="22"/>
                <w:szCs w:val="22"/>
                <w:u w:val="none"/>
                <w:lang w:val="en-US" w:eastAsia="zh-CN" w:bidi="ar"/>
              </w:rPr>
              <w:t>演员、主持人服装租赁、化妆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2D3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845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演员服装*10套，主持人服装*2套，演员及主持人妆造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662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r>
      <w:tr w14:paraId="73151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CC1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2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23F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吹风机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3CA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979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徕芬高速润发吹风机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D69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r w14:paraId="0F13B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24C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2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83A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运动相机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0EB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C7C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大疆运动相机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2F9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w:t>
            </w:r>
          </w:p>
        </w:tc>
      </w:tr>
      <w:tr w14:paraId="0F294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A5B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2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C15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手写本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78E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D43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手写本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292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r>
    </w:tbl>
    <w:p w14:paraId="3EEF5A92">
      <w:pPr>
        <w:spacing w:after="156" w:afterLines="50" w:line="312" w:lineRule="auto"/>
        <w:jc w:val="left"/>
        <w:rPr>
          <w:rFonts w:hint="eastAsia" w:ascii="楷体" w:hAnsi="楷体" w:eastAsia="楷体"/>
          <w:sz w:val="28"/>
          <w:szCs w:val="28"/>
        </w:rPr>
      </w:pPr>
    </w:p>
    <w:p w14:paraId="472DD5F1">
      <w:pPr>
        <w:pStyle w:val="5"/>
        <w:outlineLvl w:val="2"/>
        <w:rPr>
          <w:rFonts w:hint="eastAsia" w:hAnsi="宋体" w:eastAsia="宋体" w:cs="宋体"/>
          <w:b/>
          <w:bCs/>
          <w:color w:val="000000"/>
          <w:sz w:val="24"/>
          <w:szCs w:val="24"/>
          <w:highlight w:val="none"/>
        </w:rPr>
      </w:pPr>
    </w:p>
    <w:p w14:paraId="28A7B473">
      <w:pPr>
        <w:pStyle w:val="5"/>
        <w:outlineLvl w:val="2"/>
        <w:rPr>
          <w:rFonts w:hint="eastAsia" w:hAnsi="宋体" w:eastAsia="宋体" w:cs="宋体"/>
          <w:b/>
          <w:bCs/>
          <w:color w:val="000000"/>
          <w:sz w:val="24"/>
          <w:szCs w:val="24"/>
          <w:highlight w:val="none"/>
        </w:rPr>
      </w:pPr>
    </w:p>
    <w:p w14:paraId="140381D2">
      <w:pPr>
        <w:pStyle w:val="5"/>
        <w:outlineLvl w:val="2"/>
        <w:rPr>
          <w:rFonts w:hint="eastAsia" w:hAnsi="宋体" w:eastAsia="宋体" w:cs="宋体"/>
          <w:b/>
          <w:bCs/>
          <w:color w:val="000000"/>
          <w:sz w:val="24"/>
          <w:szCs w:val="24"/>
          <w:highlight w:val="none"/>
        </w:rPr>
      </w:pPr>
    </w:p>
    <w:p w14:paraId="0EF8F638">
      <w:pPr>
        <w:pStyle w:val="5"/>
        <w:outlineLvl w:val="2"/>
        <w:rPr>
          <w:rFonts w:hint="eastAsia" w:hAnsi="宋体" w:eastAsia="宋体" w:cs="宋体"/>
          <w:b/>
          <w:bCs/>
          <w:color w:val="000000"/>
          <w:sz w:val="24"/>
          <w:szCs w:val="24"/>
          <w:highlight w:val="none"/>
        </w:rPr>
      </w:pPr>
    </w:p>
    <w:p w14:paraId="1663F233">
      <w:pPr>
        <w:pStyle w:val="5"/>
        <w:outlineLvl w:val="2"/>
        <w:rPr>
          <w:rFonts w:hint="eastAsia" w:hAnsi="宋体" w:eastAsia="宋体" w:cs="宋体"/>
          <w:b/>
          <w:bCs/>
          <w:color w:val="000000"/>
          <w:sz w:val="24"/>
          <w:szCs w:val="24"/>
          <w:highlight w:val="none"/>
        </w:rPr>
      </w:pPr>
    </w:p>
    <w:p w14:paraId="31C13360">
      <w:pPr>
        <w:pStyle w:val="5"/>
        <w:outlineLvl w:val="2"/>
        <w:rPr>
          <w:rFonts w:hint="eastAsia" w:hAnsi="宋体" w:eastAsia="宋体" w:cs="宋体"/>
          <w:b/>
          <w:bCs/>
          <w:color w:val="000000"/>
          <w:sz w:val="24"/>
          <w:szCs w:val="24"/>
          <w:highlight w:val="none"/>
        </w:rPr>
      </w:pPr>
    </w:p>
    <w:p w14:paraId="691DB62A">
      <w:pPr>
        <w:pStyle w:val="5"/>
        <w:outlineLvl w:val="2"/>
        <w:rPr>
          <w:rFonts w:hint="eastAsia" w:hAnsi="宋体" w:eastAsia="宋体" w:cs="宋体"/>
          <w:b/>
          <w:bCs/>
          <w:color w:val="000000"/>
          <w:sz w:val="24"/>
          <w:szCs w:val="24"/>
          <w:highlight w:val="none"/>
        </w:rPr>
      </w:pPr>
    </w:p>
    <w:p w14:paraId="5866E9A5">
      <w:pPr>
        <w:pStyle w:val="5"/>
        <w:outlineLvl w:val="2"/>
        <w:rPr>
          <w:rFonts w:hint="eastAsia" w:hAnsi="宋体" w:eastAsia="宋体" w:cs="宋体"/>
          <w:b/>
          <w:bCs/>
          <w:color w:val="000000"/>
          <w:sz w:val="24"/>
          <w:szCs w:val="24"/>
          <w:highlight w:val="none"/>
        </w:rPr>
      </w:pPr>
    </w:p>
    <w:p w14:paraId="711C2F7E">
      <w:pPr>
        <w:pStyle w:val="5"/>
        <w:outlineLvl w:val="2"/>
        <w:rPr>
          <w:rFonts w:hint="eastAsia" w:hAnsi="宋体" w:eastAsia="宋体" w:cs="宋体"/>
          <w:b/>
          <w:bCs/>
          <w:color w:val="000000"/>
          <w:sz w:val="24"/>
          <w:szCs w:val="24"/>
          <w:highlight w:val="none"/>
        </w:rPr>
      </w:pPr>
    </w:p>
    <w:p w14:paraId="4E8B8F7B">
      <w:pPr>
        <w:pStyle w:val="5"/>
        <w:outlineLvl w:val="2"/>
        <w:rPr>
          <w:rFonts w:hint="eastAsia" w:hAnsi="宋体" w:eastAsia="宋体" w:cs="宋体"/>
          <w:b/>
          <w:bCs/>
          <w:color w:val="000000"/>
          <w:sz w:val="24"/>
          <w:szCs w:val="24"/>
          <w:highlight w:val="none"/>
        </w:rPr>
      </w:pPr>
    </w:p>
    <w:p w14:paraId="7ECA1731">
      <w:pPr>
        <w:pStyle w:val="5"/>
        <w:outlineLvl w:val="2"/>
        <w:rPr>
          <w:rFonts w:hint="eastAsia" w:hAnsi="宋体" w:eastAsia="宋体" w:cs="宋体"/>
          <w:b/>
          <w:bCs/>
          <w:color w:val="000000"/>
          <w:sz w:val="24"/>
          <w:szCs w:val="24"/>
          <w:highlight w:val="none"/>
        </w:rPr>
      </w:pPr>
    </w:p>
    <w:p w14:paraId="0A1FAB15">
      <w:pPr>
        <w:pStyle w:val="5"/>
        <w:outlineLvl w:val="2"/>
        <w:rPr>
          <w:rFonts w:hint="eastAsia" w:hAnsi="宋体" w:eastAsia="宋体" w:cs="宋体"/>
          <w:b/>
          <w:bCs/>
          <w:color w:val="000000"/>
          <w:sz w:val="24"/>
          <w:szCs w:val="24"/>
          <w:highlight w:val="none"/>
        </w:rPr>
      </w:pPr>
    </w:p>
    <w:p w14:paraId="16C614A8">
      <w:pPr>
        <w:pStyle w:val="5"/>
        <w:outlineLvl w:val="2"/>
        <w:rPr>
          <w:rFonts w:hint="eastAsia" w:hAnsi="宋体" w:eastAsia="宋体" w:cs="宋体"/>
          <w:b/>
          <w:bCs/>
          <w:color w:val="000000"/>
          <w:sz w:val="24"/>
          <w:szCs w:val="24"/>
          <w:highlight w:val="none"/>
        </w:rPr>
      </w:pPr>
    </w:p>
    <w:p w14:paraId="2F40BB6A">
      <w:pPr>
        <w:pStyle w:val="5"/>
        <w:outlineLvl w:val="2"/>
        <w:rPr>
          <w:rFonts w:hint="eastAsia" w:hAnsi="宋体" w:eastAsia="宋体" w:cs="宋体"/>
          <w:b/>
          <w:bCs/>
          <w:color w:val="000000"/>
          <w:sz w:val="24"/>
          <w:szCs w:val="24"/>
          <w:highlight w:val="none"/>
        </w:rPr>
      </w:pPr>
    </w:p>
    <w:p w14:paraId="368129D7">
      <w:pPr>
        <w:pStyle w:val="5"/>
        <w:outlineLvl w:val="2"/>
        <w:rPr>
          <w:rFonts w:hint="eastAsia" w:hAnsi="宋体" w:eastAsia="宋体" w:cs="宋体"/>
          <w:b/>
          <w:bCs/>
          <w:color w:val="000000"/>
          <w:sz w:val="24"/>
          <w:szCs w:val="24"/>
          <w:highlight w:val="none"/>
        </w:rPr>
      </w:pPr>
    </w:p>
    <w:p w14:paraId="48E3D3FD">
      <w:pPr>
        <w:pStyle w:val="5"/>
        <w:outlineLvl w:val="2"/>
        <w:rPr>
          <w:rFonts w:hint="eastAsia" w:hAnsi="宋体" w:eastAsia="宋体" w:cs="宋体"/>
          <w:b/>
          <w:bCs/>
          <w:color w:val="000000"/>
          <w:sz w:val="24"/>
          <w:szCs w:val="24"/>
          <w:highlight w:val="none"/>
        </w:rPr>
      </w:pPr>
    </w:p>
    <w:p w14:paraId="6CA8AF6B">
      <w:pPr>
        <w:pStyle w:val="5"/>
        <w:outlineLvl w:val="2"/>
        <w:rPr>
          <w:rFonts w:hint="eastAsia" w:hAnsi="宋体" w:eastAsia="宋体" w:cs="宋体"/>
          <w:b/>
          <w:bCs/>
          <w:color w:val="000000"/>
          <w:sz w:val="24"/>
          <w:szCs w:val="24"/>
          <w:highlight w:val="none"/>
        </w:rPr>
      </w:pPr>
    </w:p>
    <w:p w14:paraId="53A8A9D6">
      <w:pPr>
        <w:pStyle w:val="5"/>
        <w:outlineLvl w:val="2"/>
        <w:rPr>
          <w:rFonts w:hint="eastAsia" w:hAnsi="宋体" w:eastAsia="宋体" w:cs="宋体"/>
          <w:b/>
          <w:bCs/>
          <w:color w:val="000000"/>
          <w:sz w:val="24"/>
          <w:szCs w:val="24"/>
          <w:highlight w:val="none"/>
        </w:rPr>
      </w:pPr>
    </w:p>
    <w:p w14:paraId="3BDE9EB3">
      <w:pPr>
        <w:pStyle w:val="5"/>
        <w:outlineLvl w:val="2"/>
        <w:rPr>
          <w:rFonts w:hint="eastAsia" w:hAnsi="宋体" w:eastAsia="宋体" w:cs="宋体"/>
          <w:b/>
          <w:bCs/>
          <w:color w:val="000000"/>
          <w:sz w:val="24"/>
          <w:szCs w:val="24"/>
          <w:highlight w:val="none"/>
        </w:rPr>
      </w:pPr>
    </w:p>
    <w:p w14:paraId="37634BBC">
      <w:pPr>
        <w:pStyle w:val="5"/>
        <w:outlineLvl w:val="2"/>
        <w:rPr>
          <w:rFonts w:hint="eastAsia" w:hAnsi="宋体" w:eastAsia="宋体" w:cs="宋体"/>
          <w:b/>
          <w:bCs/>
          <w:color w:val="000000"/>
          <w:sz w:val="24"/>
          <w:szCs w:val="24"/>
          <w:highlight w:val="none"/>
        </w:rPr>
      </w:pPr>
    </w:p>
    <w:p w14:paraId="020A006C">
      <w:pPr>
        <w:pStyle w:val="5"/>
        <w:outlineLvl w:val="2"/>
        <w:rPr>
          <w:rFonts w:hint="eastAsia" w:hAnsi="宋体" w:eastAsia="宋体" w:cs="宋体"/>
          <w:b/>
          <w:bCs/>
          <w:color w:val="000000"/>
          <w:sz w:val="24"/>
          <w:szCs w:val="24"/>
          <w:highlight w:val="none"/>
        </w:rPr>
      </w:pPr>
    </w:p>
    <w:p w14:paraId="2EEA864A">
      <w:pPr>
        <w:pStyle w:val="5"/>
        <w:outlineLvl w:val="2"/>
        <w:rPr>
          <w:rFonts w:hint="eastAsia" w:hAnsi="宋体" w:eastAsia="宋体" w:cs="宋体"/>
          <w:b/>
          <w:bCs/>
          <w:color w:val="000000"/>
          <w:sz w:val="24"/>
          <w:szCs w:val="24"/>
          <w:highlight w:val="none"/>
        </w:rPr>
      </w:pPr>
    </w:p>
    <w:p w14:paraId="0415B43C">
      <w:pPr>
        <w:pStyle w:val="5"/>
        <w:outlineLvl w:val="2"/>
        <w:rPr>
          <w:rFonts w:hint="eastAsia" w:hAnsi="宋体" w:eastAsia="宋体" w:cs="宋体"/>
          <w:b/>
          <w:bCs/>
          <w:color w:val="000000"/>
          <w:sz w:val="24"/>
          <w:szCs w:val="24"/>
          <w:highlight w:val="none"/>
        </w:rPr>
      </w:pPr>
    </w:p>
    <w:p w14:paraId="5FC459D9">
      <w:pPr>
        <w:pStyle w:val="5"/>
        <w:outlineLvl w:val="2"/>
        <w:rPr>
          <w:rFonts w:hint="eastAsia" w:hAnsi="宋体" w:eastAsia="宋体" w:cs="宋体"/>
          <w:b/>
          <w:bCs/>
          <w:color w:val="000000"/>
          <w:sz w:val="24"/>
          <w:szCs w:val="24"/>
          <w:highlight w:val="none"/>
        </w:rPr>
      </w:pPr>
    </w:p>
    <w:p w14:paraId="0CC42223">
      <w:pPr>
        <w:pStyle w:val="5"/>
        <w:outlineLvl w:val="2"/>
        <w:rPr>
          <w:rFonts w:hint="eastAsia" w:hAnsi="宋体" w:eastAsia="宋体" w:cs="宋体"/>
          <w:b/>
          <w:bCs/>
          <w:color w:val="000000"/>
          <w:sz w:val="24"/>
          <w:szCs w:val="24"/>
          <w:highlight w:val="none"/>
        </w:rPr>
      </w:pPr>
    </w:p>
    <w:p w14:paraId="5082C03A">
      <w:pPr>
        <w:pStyle w:val="5"/>
        <w:outlineLvl w:val="2"/>
        <w:rPr>
          <w:rFonts w:hint="eastAsia" w:hAnsi="宋体" w:eastAsia="宋体" w:cs="宋体"/>
          <w:b/>
          <w:bCs/>
          <w:color w:val="000000"/>
          <w:sz w:val="24"/>
          <w:szCs w:val="24"/>
          <w:highlight w:val="none"/>
        </w:rPr>
      </w:pPr>
    </w:p>
    <w:p w14:paraId="1B467C68">
      <w:pPr>
        <w:pStyle w:val="5"/>
        <w:outlineLvl w:val="2"/>
        <w:rPr>
          <w:rFonts w:hint="eastAsia" w:hAnsi="宋体" w:eastAsia="宋体" w:cs="宋体"/>
          <w:b/>
          <w:bCs/>
          <w:color w:val="000000"/>
          <w:sz w:val="24"/>
          <w:szCs w:val="24"/>
          <w:highlight w:val="none"/>
        </w:rPr>
      </w:pPr>
    </w:p>
    <w:p w14:paraId="7F7233A4">
      <w:pPr>
        <w:pStyle w:val="5"/>
        <w:outlineLvl w:val="2"/>
        <w:rPr>
          <w:rFonts w:hAnsi="宋体" w:eastAsia="宋体" w:cs="宋体"/>
          <w:b/>
          <w:bCs/>
          <w:color w:val="000000"/>
          <w:sz w:val="24"/>
          <w:szCs w:val="24"/>
        </w:rPr>
      </w:pPr>
      <w:r>
        <w:rPr>
          <w:rFonts w:hint="eastAsia" w:hAnsi="宋体" w:eastAsia="宋体" w:cs="宋体"/>
          <w:b/>
          <w:bCs/>
          <w:color w:val="000000"/>
          <w:sz w:val="24"/>
          <w:szCs w:val="24"/>
          <w:highlight w:val="none"/>
        </w:rPr>
        <w:t xml:space="preserve">附件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8"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9"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0"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1" cstate="print">
                      <a:lum bright="-6000"/>
                    </a:blip>
                    <a:srcRect/>
                    <a:stretch>
                      <a:fillRect/>
                    </a:stretch>
                  </pic:blipFill>
                  <pic:spPr>
                    <a:xfrm>
                      <a:off x="0" y="0"/>
                      <a:ext cx="5760085" cy="2853055"/>
                    </a:xfrm>
                    <a:prstGeom prst="rect">
                      <a:avLst/>
                    </a:prstGeom>
                  </pic:spPr>
                </pic:pic>
              </a:graphicData>
            </a:graphic>
          </wp:inline>
        </w:drawing>
      </w:r>
    </w:p>
    <w:p w14:paraId="17346439">
      <w:pPr>
        <w:numPr>
          <w:ilvl w:val="0"/>
          <w:numId w:val="2"/>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7F10E754">
      <w:pPr>
        <w:numPr>
          <w:ilvl w:val="0"/>
          <w:numId w:val="0"/>
        </w:numPr>
        <w:spacing w:line="360" w:lineRule="auto"/>
        <w:rPr>
          <w:rFonts w:hint="default" w:ascii="宋体" w:hAnsi="宋体" w:eastAsia="宋体" w:cs="宋体"/>
          <w:color w:val="000000"/>
          <w:sz w:val="24"/>
          <w:szCs w:val="28"/>
          <w:lang w:val="en-US" w:eastAsia="zh-CN"/>
        </w:rPr>
      </w:pP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非生产-直管-直管）</w:t>
      </w:r>
    </w:p>
    <w:p w14:paraId="344240B0">
      <w:pPr>
        <w:pStyle w:val="5"/>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2" cstate="print"/>
                    <a:srcRect/>
                    <a:stretch>
                      <a:fillRect/>
                    </a:stretch>
                  </pic:blipFill>
                  <pic:spPr>
                    <a:xfrm>
                      <a:off x="0" y="0"/>
                      <a:ext cx="5760085" cy="2809875"/>
                    </a:xfrm>
                    <a:prstGeom prst="rect">
                      <a:avLst/>
                    </a:prstGeom>
                  </pic:spPr>
                </pic:pic>
              </a:graphicData>
            </a:graphic>
          </wp:inline>
        </w:drawing>
      </w:r>
    </w:p>
    <w:p w14:paraId="5F803865">
      <w:pPr>
        <w:pStyle w:val="5"/>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3" cstate="print"/>
                    <a:srcRect/>
                    <a:stretch>
                      <a:fillRect/>
                    </a:stretch>
                  </pic:blipFill>
                  <pic:spPr>
                    <a:xfrm>
                      <a:off x="0" y="0"/>
                      <a:ext cx="5760085" cy="2820035"/>
                    </a:xfrm>
                    <a:prstGeom prst="rect">
                      <a:avLst/>
                    </a:prstGeom>
                  </pic:spPr>
                </pic:pic>
              </a:graphicData>
            </a:graphic>
          </wp:inline>
        </w:drawing>
      </w:r>
    </w:p>
    <w:p w14:paraId="1B088E0A">
      <w:pPr>
        <w:pStyle w:val="5"/>
      </w:pPr>
    </w:p>
    <w:p w14:paraId="7AAAB53F">
      <w:pPr>
        <w:pStyle w:val="5"/>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5"/>
        <w:rPr>
          <w:highlight w:val="none"/>
        </w:rPr>
      </w:pPr>
      <w:r>
        <w:rPr>
          <w:rFonts w:hint="eastAsia" w:hAnsi="宋体" w:eastAsia="宋体" w:cs="宋体"/>
          <w:b/>
          <w:bCs/>
          <w:color w:val="000000"/>
          <w:sz w:val="24"/>
          <w:szCs w:val="28"/>
          <w:highlight w:val="none"/>
        </w:rPr>
        <w:t>2.配套能力“供货类别”填“</w:t>
      </w:r>
      <w:r>
        <w:rPr>
          <w:rFonts w:hint="eastAsia" w:hAnsi="宋体" w:eastAsia="宋体" w:cs="宋体"/>
          <w:b/>
          <w:bCs/>
          <w:color w:val="000000"/>
          <w:sz w:val="24"/>
          <w:szCs w:val="28"/>
          <w:highlight w:val="yellow"/>
        </w:rPr>
        <w:t>直管单位非生产招标 / 服务 / 品牌宣传</w:t>
      </w:r>
      <w:r>
        <w:rPr>
          <w:rFonts w:hint="eastAsia" w:hAnsi="宋体" w:eastAsia="宋体" w:cs="宋体"/>
          <w:b/>
          <w:bCs/>
          <w:color w:val="000000"/>
          <w:sz w:val="24"/>
          <w:szCs w:val="28"/>
          <w:highlight w:val="none"/>
        </w:rPr>
        <w:t>”，业务主管部门选择“</w:t>
      </w:r>
      <w:r>
        <w:rPr>
          <w:rFonts w:hint="eastAsia" w:hAnsi="宋体" w:eastAsia="宋体" w:cs="宋体"/>
          <w:b/>
          <w:bCs/>
          <w:color w:val="000000"/>
          <w:sz w:val="24"/>
          <w:szCs w:val="28"/>
          <w:highlight w:val="yellow"/>
        </w:rPr>
        <w:t>品牌与市场管理部</w:t>
      </w:r>
      <w:r>
        <w:rPr>
          <w:rFonts w:hint="eastAsia" w:hAnsi="宋体" w:eastAsia="宋体" w:cs="宋体"/>
          <w:b/>
          <w:bCs/>
          <w:color w:val="000000"/>
          <w:sz w:val="24"/>
          <w:szCs w:val="28"/>
          <w:highlight w:val="none"/>
        </w:rPr>
        <w:t>”。</w:t>
      </w:r>
    </w:p>
    <w:p w14:paraId="74E184CE">
      <w:pPr>
        <w:pStyle w:val="5"/>
        <w:sectPr>
          <w:headerReference r:id="rId4" w:type="first"/>
          <w:footerReference r:id="rId6" w:type="first"/>
          <w:headerReference r:id="rId3" w:type="default"/>
          <w:footerReference r:id="rId5" w:type="default"/>
          <w:pgSz w:w="11906" w:h="16838"/>
          <w:pgMar w:top="1588" w:right="1418" w:bottom="1134" w:left="1418" w:header="851" w:footer="992" w:gutter="0"/>
          <w:cols w:space="720" w:num="1"/>
          <w:titlePg/>
          <w:docGrid w:type="lines" w:linePitch="312" w:charSpace="0"/>
        </w:sectPr>
      </w:pPr>
    </w:p>
    <w:p w14:paraId="75321FE7">
      <w:pPr>
        <w:pStyle w:val="5"/>
        <w:outlineLvl w:val="2"/>
        <w:rPr>
          <w:rFonts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cs="宋体"/>
          <w:b/>
          <w:bCs/>
          <w:color w:val="000000"/>
          <w:sz w:val="24"/>
          <w:szCs w:val="24"/>
          <w:lang w:val="en-US" w:eastAsia="zh-CN"/>
        </w:rPr>
        <w:t>9</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4"/>
          <w:rFonts w:hint="eastAsia" w:ascii="宋体" w:hAnsi="宋体" w:eastAsia="宋体" w:cs="宋体"/>
          <w:sz w:val="24"/>
          <w:szCs w:val="24"/>
        </w:rPr>
        <w:t>http</w:t>
      </w:r>
      <w:r>
        <w:rPr>
          <w:rStyle w:val="14"/>
          <w:rFonts w:hint="eastAsia" w:ascii="宋体" w:hAnsi="宋体" w:eastAsia="宋体" w:cs="宋体"/>
          <w:sz w:val="24"/>
          <w:szCs w:val="24"/>
          <w:lang w:val="en-US" w:eastAsia="zh-CN"/>
        </w:rPr>
        <w:t>s</w:t>
      </w:r>
      <w:r>
        <w:rPr>
          <w:rStyle w:val="14"/>
          <w:rFonts w:hint="eastAsia" w:ascii="宋体" w:hAnsi="宋体" w:eastAsia="宋体" w:cs="宋体"/>
          <w:sz w:val="24"/>
          <w:szCs w:val="24"/>
        </w:rPr>
        <w:t>://ecaitong.sinotruk.com:8012/</w:t>
      </w:r>
      <w:r>
        <w:rPr>
          <w:rStyle w:val="14"/>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4"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5"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5"/>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6"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17"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18"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19" cstate="print"/>
                    <a:srcRect/>
                    <a:stretch>
                      <a:fillRect/>
                    </a:stretch>
                  </pic:blipFill>
                  <pic:spPr>
                    <a:xfrm>
                      <a:off x="0" y="0"/>
                      <a:ext cx="5760085" cy="1956435"/>
                    </a:xfrm>
                    <a:prstGeom prst="rect">
                      <a:avLst/>
                    </a:prstGeom>
                  </pic:spPr>
                </pic:pic>
              </a:graphicData>
            </a:graphic>
          </wp:inline>
        </w:drawing>
      </w:r>
    </w:p>
    <w:p w14:paraId="1BA320C9">
      <w:pPr>
        <w:pStyle w:val="5"/>
        <w:rPr>
          <w:rFonts w:hAnsi="宋体" w:eastAsia="宋体" w:cs="Times New Roman"/>
          <w:b/>
          <w:color w:val="000000"/>
          <w:sz w:val="24"/>
          <w:szCs w:val="24"/>
        </w:rPr>
      </w:pPr>
    </w:p>
    <w:p w14:paraId="380218D1">
      <w:pPr>
        <w:pStyle w:val="5"/>
        <w:rPr>
          <w:rFonts w:hAnsi="宋体" w:eastAsia="宋体" w:cs="Times New Roman"/>
          <w:b/>
          <w:color w:val="000000"/>
          <w:sz w:val="24"/>
          <w:szCs w:val="24"/>
        </w:rPr>
      </w:pPr>
    </w:p>
    <w:p w14:paraId="66308F9E">
      <w:pPr>
        <w:pStyle w:val="26"/>
        <w:rPr>
          <w:rFonts w:hint="default" w:hAnsi="宋体"/>
          <w:sz w:val="24"/>
          <w:lang w:val="en-US"/>
        </w:rPr>
      </w:pPr>
    </w:p>
    <w:p w14:paraId="02AD392A">
      <w:pPr>
        <w:spacing w:after="156" w:afterLines="50" w:line="312" w:lineRule="auto"/>
        <w:jc w:val="left"/>
        <w:rPr>
          <w:rFonts w:hint="eastAsia" w:ascii="楷体" w:hAnsi="楷体" w:eastAsia="楷体"/>
          <w:sz w:val="28"/>
          <w:szCs w:val="28"/>
        </w:rPr>
      </w:pPr>
    </w:p>
    <w:sectPr>
      <w:pgSz w:w="11906" w:h="16838"/>
      <w:pgMar w:top="1440" w:right="1077" w:bottom="1440" w:left="1077"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A9DCFF"/>
    <w:multiLevelType w:val="singleLevel"/>
    <w:tmpl w:val="C9A9DCFF"/>
    <w:lvl w:ilvl="0" w:tentative="0">
      <w:start w:val="1"/>
      <w:numFmt w:val="decimal"/>
      <w:suff w:val="nothing"/>
      <w:lvlText w:val="%1）"/>
      <w:lvlJc w:val="left"/>
    </w:lvl>
  </w:abstractNum>
  <w:abstractNum w:abstractNumId="1">
    <w:nsid w:val="00000003"/>
    <w:multiLevelType w:val="singleLevel"/>
    <w:tmpl w:val="00000003"/>
    <w:lvl w:ilvl="0" w:tentative="0">
      <w:start w:val="5"/>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doNotCompress"/>
  <w:compat>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ljM2IxM2M4MTdhM2E2M2M2YWMzODhhYWM5N2ZlOTkifQ=="/>
  </w:docVars>
  <w:rsids>
    <w:rsidRoot w:val="0089584F"/>
    <w:rsid w:val="00000628"/>
    <w:rsid w:val="00015947"/>
    <w:rsid w:val="00023063"/>
    <w:rsid w:val="00025564"/>
    <w:rsid w:val="00033290"/>
    <w:rsid w:val="00040330"/>
    <w:rsid w:val="00061454"/>
    <w:rsid w:val="000719D0"/>
    <w:rsid w:val="000778B2"/>
    <w:rsid w:val="00085672"/>
    <w:rsid w:val="00096BB4"/>
    <w:rsid w:val="00097468"/>
    <w:rsid w:val="000B3925"/>
    <w:rsid w:val="000D051A"/>
    <w:rsid w:val="000D79EA"/>
    <w:rsid w:val="000F09C4"/>
    <w:rsid w:val="001255C2"/>
    <w:rsid w:val="00140626"/>
    <w:rsid w:val="00156F03"/>
    <w:rsid w:val="001605D5"/>
    <w:rsid w:val="00160808"/>
    <w:rsid w:val="001B3B64"/>
    <w:rsid w:val="001C26D6"/>
    <w:rsid w:val="001F083E"/>
    <w:rsid w:val="001F3BD7"/>
    <w:rsid w:val="001F4477"/>
    <w:rsid w:val="00250202"/>
    <w:rsid w:val="00253833"/>
    <w:rsid w:val="00257B85"/>
    <w:rsid w:val="002678A0"/>
    <w:rsid w:val="002B367D"/>
    <w:rsid w:val="002C2D5F"/>
    <w:rsid w:val="002D6213"/>
    <w:rsid w:val="002E524F"/>
    <w:rsid w:val="002F014D"/>
    <w:rsid w:val="002F32A1"/>
    <w:rsid w:val="00301C69"/>
    <w:rsid w:val="003072E9"/>
    <w:rsid w:val="003316A5"/>
    <w:rsid w:val="003618E0"/>
    <w:rsid w:val="00372DFC"/>
    <w:rsid w:val="0037673B"/>
    <w:rsid w:val="00377268"/>
    <w:rsid w:val="00381F7A"/>
    <w:rsid w:val="00384B8F"/>
    <w:rsid w:val="003902AD"/>
    <w:rsid w:val="003922C7"/>
    <w:rsid w:val="00396543"/>
    <w:rsid w:val="003E6EA1"/>
    <w:rsid w:val="003F1A4C"/>
    <w:rsid w:val="004158E7"/>
    <w:rsid w:val="00444484"/>
    <w:rsid w:val="004463BA"/>
    <w:rsid w:val="004720CE"/>
    <w:rsid w:val="004F3A97"/>
    <w:rsid w:val="004F3C5C"/>
    <w:rsid w:val="00555425"/>
    <w:rsid w:val="0055599D"/>
    <w:rsid w:val="005611C2"/>
    <w:rsid w:val="00561D5C"/>
    <w:rsid w:val="00572B40"/>
    <w:rsid w:val="005A7330"/>
    <w:rsid w:val="005B088A"/>
    <w:rsid w:val="005E1B9A"/>
    <w:rsid w:val="005E6279"/>
    <w:rsid w:val="005F2A02"/>
    <w:rsid w:val="0060187A"/>
    <w:rsid w:val="00605722"/>
    <w:rsid w:val="00611E4A"/>
    <w:rsid w:val="00630C4A"/>
    <w:rsid w:val="00663D0B"/>
    <w:rsid w:val="006643D6"/>
    <w:rsid w:val="00671B03"/>
    <w:rsid w:val="00677B91"/>
    <w:rsid w:val="006954BA"/>
    <w:rsid w:val="006B1BB7"/>
    <w:rsid w:val="006B5EAA"/>
    <w:rsid w:val="006C7FBF"/>
    <w:rsid w:val="006E3CB6"/>
    <w:rsid w:val="00721E07"/>
    <w:rsid w:val="00732729"/>
    <w:rsid w:val="00743D66"/>
    <w:rsid w:val="007474D3"/>
    <w:rsid w:val="00760898"/>
    <w:rsid w:val="007A651E"/>
    <w:rsid w:val="007B030B"/>
    <w:rsid w:val="007C7A7F"/>
    <w:rsid w:val="00835C72"/>
    <w:rsid w:val="0084522B"/>
    <w:rsid w:val="008536DA"/>
    <w:rsid w:val="00862F84"/>
    <w:rsid w:val="00873843"/>
    <w:rsid w:val="0088312D"/>
    <w:rsid w:val="0089584F"/>
    <w:rsid w:val="00897AB0"/>
    <w:rsid w:val="008A1A14"/>
    <w:rsid w:val="008B08DA"/>
    <w:rsid w:val="008D4609"/>
    <w:rsid w:val="008E1ED7"/>
    <w:rsid w:val="008E5C32"/>
    <w:rsid w:val="008F5A26"/>
    <w:rsid w:val="00906F21"/>
    <w:rsid w:val="009164E9"/>
    <w:rsid w:val="00936F14"/>
    <w:rsid w:val="0094384E"/>
    <w:rsid w:val="00944977"/>
    <w:rsid w:val="00947779"/>
    <w:rsid w:val="00953F11"/>
    <w:rsid w:val="009608D7"/>
    <w:rsid w:val="00986517"/>
    <w:rsid w:val="009A6497"/>
    <w:rsid w:val="009C7267"/>
    <w:rsid w:val="009E18D3"/>
    <w:rsid w:val="009E3823"/>
    <w:rsid w:val="009F2B4B"/>
    <w:rsid w:val="00A27927"/>
    <w:rsid w:val="00A35D70"/>
    <w:rsid w:val="00A36ACA"/>
    <w:rsid w:val="00A5655D"/>
    <w:rsid w:val="00A87A8D"/>
    <w:rsid w:val="00A913FB"/>
    <w:rsid w:val="00AA004D"/>
    <w:rsid w:val="00AC1F0B"/>
    <w:rsid w:val="00AC42D3"/>
    <w:rsid w:val="00AD59C1"/>
    <w:rsid w:val="00AE35C8"/>
    <w:rsid w:val="00AF2531"/>
    <w:rsid w:val="00B0705E"/>
    <w:rsid w:val="00B11AE1"/>
    <w:rsid w:val="00B30775"/>
    <w:rsid w:val="00B520B8"/>
    <w:rsid w:val="00B76040"/>
    <w:rsid w:val="00B83E27"/>
    <w:rsid w:val="00B840FC"/>
    <w:rsid w:val="00B8614E"/>
    <w:rsid w:val="00BA6B9E"/>
    <w:rsid w:val="00BB530D"/>
    <w:rsid w:val="00BC798A"/>
    <w:rsid w:val="00BD32B6"/>
    <w:rsid w:val="00BF04B2"/>
    <w:rsid w:val="00BF1803"/>
    <w:rsid w:val="00C16067"/>
    <w:rsid w:val="00C246F9"/>
    <w:rsid w:val="00C316E2"/>
    <w:rsid w:val="00C5234F"/>
    <w:rsid w:val="00C7387A"/>
    <w:rsid w:val="00C83679"/>
    <w:rsid w:val="00C84A6F"/>
    <w:rsid w:val="00C972BD"/>
    <w:rsid w:val="00CC186A"/>
    <w:rsid w:val="00CD25B7"/>
    <w:rsid w:val="00D11533"/>
    <w:rsid w:val="00D24CA1"/>
    <w:rsid w:val="00D44FCE"/>
    <w:rsid w:val="00D46513"/>
    <w:rsid w:val="00D937A1"/>
    <w:rsid w:val="00DC7A50"/>
    <w:rsid w:val="00DF316F"/>
    <w:rsid w:val="00E16B3C"/>
    <w:rsid w:val="00E17B2B"/>
    <w:rsid w:val="00E24A34"/>
    <w:rsid w:val="00E67348"/>
    <w:rsid w:val="00E704FB"/>
    <w:rsid w:val="00E856B3"/>
    <w:rsid w:val="00E9105B"/>
    <w:rsid w:val="00EB7A1B"/>
    <w:rsid w:val="00ED7B1E"/>
    <w:rsid w:val="00F063F7"/>
    <w:rsid w:val="00F51AC0"/>
    <w:rsid w:val="00F55584"/>
    <w:rsid w:val="01805CF1"/>
    <w:rsid w:val="019E0173"/>
    <w:rsid w:val="01A761C5"/>
    <w:rsid w:val="025340DF"/>
    <w:rsid w:val="0320472C"/>
    <w:rsid w:val="03C44833"/>
    <w:rsid w:val="046B7C4C"/>
    <w:rsid w:val="049479D9"/>
    <w:rsid w:val="04E64171"/>
    <w:rsid w:val="05653940"/>
    <w:rsid w:val="05BF7EE5"/>
    <w:rsid w:val="05C36005"/>
    <w:rsid w:val="05D14557"/>
    <w:rsid w:val="05ED2A0D"/>
    <w:rsid w:val="0644429B"/>
    <w:rsid w:val="064829DB"/>
    <w:rsid w:val="06844DBE"/>
    <w:rsid w:val="06AC26FF"/>
    <w:rsid w:val="06B00790"/>
    <w:rsid w:val="072510C4"/>
    <w:rsid w:val="08507A15"/>
    <w:rsid w:val="090515DA"/>
    <w:rsid w:val="09444437"/>
    <w:rsid w:val="09822228"/>
    <w:rsid w:val="098B6E1B"/>
    <w:rsid w:val="09E85450"/>
    <w:rsid w:val="0B565626"/>
    <w:rsid w:val="0BE979E8"/>
    <w:rsid w:val="0C4B4C3A"/>
    <w:rsid w:val="0C623BC9"/>
    <w:rsid w:val="0CE02499"/>
    <w:rsid w:val="0D0C4CF8"/>
    <w:rsid w:val="0D760ECF"/>
    <w:rsid w:val="0D8E0749"/>
    <w:rsid w:val="0E220FBD"/>
    <w:rsid w:val="0E230755"/>
    <w:rsid w:val="0E573A15"/>
    <w:rsid w:val="0F4C5F6E"/>
    <w:rsid w:val="0FBD67DF"/>
    <w:rsid w:val="0FCC6B45"/>
    <w:rsid w:val="0FE1351C"/>
    <w:rsid w:val="103E57BC"/>
    <w:rsid w:val="10927324"/>
    <w:rsid w:val="10A50CDB"/>
    <w:rsid w:val="10BB2E7F"/>
    <w:rsid w:val="10BC19A2"/>
    <w:rsid w:val="10D053A3"/>
    <w:rsid w:val="11165B17"/>
    <w:rsid w:val="114762E6"/>
    <w:rsid w:val="118A7219"/>
    <w:rsid w:val="11E72F5B"/>
    <w:rsid w:val="11ED44F6"/>
    <w:rsid w:val="12435284"/>
    <w:rsid w:val="128072E8"/>
    <w:rsid w:val="129E2CD7"/>
    <w:rsid w:val="132A3BD3"/>
    <w:rsid w:val="14476C53"/>
    <w:rsid w:val="144F4060"/>
    <w:rsid w:val="14DE264A"/>
    <w:rsid w:val="150B6303"/>
    <w:rsid w:val="15700740"/>
    <w:rsid w:val="166746CF"/>
    <w:rsid w:val="16676E8B"/>
    <w:rsid w:val="16BE59A3"/>
    <w:rsid w:val="16D31800"/>
    <w:rsid w:val="16EE7E2B"/>
    <w:rsid w:val="170A775C"/>
    <w:rsid w:val="175E3962"/>
    <w:rsid w:val="17787D90"/>
    <w:rsid w:val="1929372D"/>
    <w:rsid w:val="19E52087"/>
    <w:rsid w:val="1A0D57CA"/>
    <w:rsid w:val="1A630B0E"/>
    <w:rsid w:val="1ADE207C"/>
    <w:rsid w:val="1AFF18DB"/>
    <w:rsid w:val="1B764D9C"/>
    <w:rsid w:val="1BC93522"/>
    <w:rsid w:val="1C087DF1"/>
    <w:rsid w:val="1C9F5B04"/>
    <w:rsid w:val="1D13223F"/>
    <w:rsid w:val="1D271FEC"/>
    <w:rsid w:val="1D5E18FD"/>
    <w:rsid w:val="1E336FD0"/>
    <w:rsid w:val="1ECC1F97"/>
    <w:rsid w:val="1FAA2283"/>
    <w:rsid w:val="203E4CF5"/>
    <w:rsid w:val="207D47DA"/>
    <w:rsid w:val="211A388B"/>
    <w:rsid w:val="21A345BC"/>
    <w:rsid w:val="21F06123"/>
    <w:rsid w:val="220973AD"/>
    <w:rsid w:val="233649D3"/>
    <w:rsid w:val="243812E0"/>
    <w:rsid w:val="248E2A06"/>
    <w:rsid w:val="24CB1A2A"/>
    <w:rsid w:val="24D56BDB"/>
    <w:rsid w:val="25E62A2D"/>
    <w:rsid w:val="261367D3"/>
    <w:rsid w:val="261B228B"/>
    <w:rsid w:val="2643397D"/>
    <w:rsid w:val="26B11406"/>
    <w:rsid w:val="26E02DFC"/>
    <w:rsid w:val="27050E6C"/>
    <w:rsid w:val="273A38E9"/>
    <w:rsid w:val="27B70BBB"/>
    <w:rsid w:val="27E82B9C"/>
    <w:rsid w:val="28A357E3"/>
    <w:rsid w:val="28D914B2"/>
    <w:rsid w:val="28EB78DB"/>
    <w:rsid w:val="2A015B98"/>
    <w:rsid w:val="2A6C0D0C"/>
    <w:rsid w:val="2AD875D8"/>
    <w:rsid w:val="2B397041"/>
    <w:rsid w:val="2B6739C3"/>
    <w:rsid w:val="2B7F106A"/>
    <w:rsid w:val="2C850598"/>
    <w:rsid w:val="2D3277B7"/>
    <w:rsid w:val="2DE22AD7"/>
    <w:rsid w:val="2DF65B1D"/>
    <w:rsid w:val="2E063012"/>
    <w:rsid w:val="2E1135A2"/>
    <w:rsid w:val="2E50690A"/>
    <w:rsid w:val="2EC43746"/>
    <w:rsid w:val="2ED13545"/>
    <w:rsid w:val="2EEA49CC"/>
    <w:rsid w:val="2EF20691"/>
    <w:rsid w:val="2F2238D9"/>
    <w:rsid w:val="2F963995"/>
    <w:rsid w:val="2F9D43AD"/>
    <w:rsid w:val="2FBF0841"/>
    <w:rsid w:val="2FDD65B8"/>
    <w:rsid w:val="301F75A7"/>
    <w:rsid w:val="31490052"/>
    <w:rsid w:val="32F708AC"/>
    <w:rsid w:val="33AC70D6"/>
    <w:rsid w:val="34406F4D"/>
    <w:rsid w:val="34D6203C"/>
    <w:rsid w:val="35AB266A"/>
    <w:rsid w:val="35AC681C"/>
    <w:rsid w:val="35C8614C"/>
    <w:rsid w:val="361B3181"/>
    <w:rsid w:val="36A77D38"/>
    <w:rsid w:val="36CF5679"/>
    <w:rsid w:val="36D42E93"/>
    <w:rsid w:val="37141655"/>
    <w:rsid w:val="379B0819"/>
    <w:rsid w:val="37A30753"/>
    <w:rsid w:val="37E518D4"/>
    <w:rsid w:val="38173412"/>
    <w:rsid w:val="39175FEC"/>
    <w:rsid w:val="3A844811"/>
    <w:rsid w:val="3A8520E3"/>
    <w:rsid w:val="3B0F3498"/>
    <w:rsid w:val="3D037D04"/>
    <w:rsid w:val="3D19224B"/>
    <w:rsid w:val="3D237F9D"/>
    <w:rsid w:val="3D2B45D1"/>
    <w:rsid w:val="3D417B8C"/>
    <w:rsid w:val="3D5742AE"/>
    <w:rsid w:val="3DAE273F"/>
    <w:rsid w:val="3DDF5C0E"/>
    <w:rsid w:val="3DED132A"/>
    <w:rsid w:val="3E0456CC"/>
    <w:rsid w:val="3E0D17CA"/>
    <w:rsid w:val="3E2E6510"/>
    <w:rsid w:val="3ED969A9"/>
    <w:rsid w:val="3EE44D3A"/>
    <w:rsid w:val="3F1F63C9"/>
    <w:rsid w:val="3F6D2A4E"/>
    <w:rsid w:val="3FB47094"/>
    <w:rsid w:val="3FD633C9"/>
    <w:rsid w:val="402F14D9"/>
    <w:rsid w:val="41483F38"/>
    <w:rsid w:val="41715182"/>
    <w:rsid w:val="419A3FAE"/>
    <w:rsid w:val="41C323E2"/>
    <w:rsid w:val="41EA08B5"/>
    <w:rsid w:val="42354A19"/>
    <w:rsid w:val="4281708B"/>
    <w:rsid w:val="431E17E0"/>
    <w:rsid w:val="435B30F2"/>
    <w:rsid w:val="43BE3CB3"/>
    <w:rsid w:val="443B107F"/>
    <w:rsid w:val="444F5124"/>
    <w:rsid w:val="44AE35BC"/>
    <w:rsid w:val="457F5907"/>
    <w:rsid w:val="45AA6CD7"/>
    <w:rsid w:val="461230FF"/>
    <w:rsid w:val="46424080"/>
    <w:rsid w:val="46726720"/>
    <w:rsid w:val="4682326A"/>
    <w:rsid w:val="46E81BE2"/>
    <w:rsid w:val="47A91261"/>
    <w:rsid w:val="484C2B2E"/>
    <w:rsid w:val="48C3628D"/>
    <w:rsid w:val="48F11FB7"/>
    <w:rsid w:val="494C6E4D"/>
    <w:rsid w:val="495132D5"/>
    <w:rsid w:val="495A6762"/>
    <w:rsid w:val="499B1A55"/>
    <w:rsid w:val="49A43A02"/>
    <w:rsid w:val="4A180BD0"/>
    <w:rsid w:val="4B840262"/>
    <w:rsid w:val="4BA6467C"/>
    <w:rsid w:val="4BFB0CB5"/>
    <w:rsid w:val="4C0B4C9A"/>
    <w:rsid w:val="4C0C69D1"/>
    <w:rsid w:val="4C731F98"/>
    <w:rsid w:val="4D3A3BC0"/>
    <w:rsid w:val="4D6169BE"/>
    <w:rsid w:val="4D705C92"/>
    <w:rsid w:val="4D8D02A1"/>
    <w:rsid w:val="4E616A29"/>
    <w:rsid w:val="4FFD46C8"/>
    <w:rsid w:val="5051105B"/>
    <w:rsid w:val="50BB1603"/>
    <w:rsid w:val="50E930D8"/>
    <w:rsid w:val="51122012"/>
    <w:rsid w:val="51556929"/>
    <w:rsid w:val="518C55E7"/>
    <w:rsid w:val="526712BE"/>
    <w:rsid w:val="54140080"/>
    <w:rsid w:val="54475CEE"/>
    <w:rsid w:val="546A778A"/>
    <w:rsid w:val="54CD732D"/>
    <w:rsid w:val="55253137"/>
    <w:rsid w:val="56054FAD"/>
    <w:rsid w:val="56915AEA"/>
    <w:rsid w:val="56E755A0"/>
    <w:rsid w:val="57B2157C"/>
    <w:rsid w:val="57F4005C"/>
    <w:rsid w:val="58335093"/>
    <w:rsid w:val="58784A31"/>
    <w:rsid w:val="588734BB"/>
    <w:rsid w:val="58E31EE2"/>
    <w:rsid w:val="59415E58"/>
    <w:rsid w:val="595D0F93"/>
    <w:rsid w:val="59F40E27"/>
    <w:rsid w:val="5AD84ED9"/>
    <w:rsid w:val="5BFF437E"/>
    <w:rsid w:val="5C14521D"/>
    <w:rsid w:val="5D1773C9"/>
    <w:rsid w:val="5D3B0ECD"/>
    <w:rsid w:val="5D641266"/>
    <w:rsid w:val="5D9D5C01"/>
    <w:rsid w:val="5DAD1ABB"/>
    <w:rsid w:val="5DF51CFB"/>
    <w:rsid w:val="5E261785"/>
    <w:rsid w:val="5E482FBE"/>
    <w:rsid w:val="5EDF3132"/>
    <w:rsid w:val="5EE83A41"/>
    <w:rsid w:val="5F7002B6"/>
    <w:rsid w:val="605A0420"/>
    <w:rsid w:val="617D4D85"/>
    <w:rsid w:val="61DF3A9F"/>
    <w:rsid w:val="62030E3A"/>
    <w:rsid w:val="62715339"/>
    <w:rsid w:val="62F55B32"/>
    <w:rsid w:val="62F830D6"/>
    <w:rsid w:val="63331540"/>
    <w:rsid w:val="63442293"/>
    <w:rsid w:val="64F3053C"/>
    <w:rsid w:val="65282282"/>
    <w:rsid w:val="657E520F"/>
    <w:rsid w:val="67001B4B"/>
    <w:rsid w:val="67375865"/>
    <w:rsid w:val="68375408"/>
    <w:rsid w:val="68DD5AD4"/>
    <w:rsid w:val="68F56AC0"/>
    <w:rsid w:val="69270594"/>
    <w:rsid w:val="69351AA8"/>
    <w:rsid w:val="69E057C4"/>
    <w:rsid w:val="6A0A2D85"/>
    <w:rsid w:val="6ABC062A"/>
    <w:rsid w:val="6B932C0C"/>
    <w:rsid w:val="6B9C2854"/>
    <w:rsid w:val="6BEA5819"/>
    <w:rsid w:val="6C3F2D24"/>
    <w:rsid w:val="6CA517CF"/>
    <w:rsid w:val="6CC24FC8"/>
    <w:rsid w:val="6D4B73D4"/>
    <w:rsid w:val="6DB25864"/>
    <w:rsid w:val="6E6736D0"/>
    <w:rsid w:val="6EC244F5"/>
    <w:rsid w:val="6F3F3691"/>
    <w:rsid w:val="6F734DE5"/>
    <w:rsid w:val="71D85583"/>
    <w:rsid w:val="71F827B4"/>
    <w:rsid w:val="72B701A5"/>
    <w:rsid w:val="72F80286"/>
    <w:rsid w:val="72FE0BBA"/>
    <w:rsid w:val="739E3BBB"/>
    <w:rsid w:val="751148E0"/>
    <w:rsid w:val="756979AE"/>
    <w:rsid w:val="772C458D"/>
    <w:rsid w:val="774777DB"/>
    <w:rsid w:val="776C6933"/>
    <w:rsid w:val="782D3D3A"/>
    <w:rsid w:val="78BB23F8"/>
    <w:rsid w:val="78C673B0"/>
    <w:rsid w:val="79695CC0"/>
    <w:rsid w:val="7A9863B2"/>
    <w:rsid w:val="7AD420C5"/>
    <w:rsid w:val="7ADD5821"/>
    <w:rsid w:val="7B7711C5"/>
    <w:rsid w:val="7B862AE5"/>
    <w:rsid w:val="7BC06859"/>
    <w:rsid w:val="7C3F4164"/>
    <w:rsid w:val="7CA7288F"/>
    <w:rsid w:val="7EB006E5"/>
    <w:rsid w:val="7EDA4E72"/>
    <w:rsid w:val="7F063673"/>
    <w:rsid w:val="7F674D20"/>
    <w:rsid w:val="7FE15F3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Theme="minorEastAsia" w:cstheme="minorBidi"/>
      <w:kern w:val="2"/>
      <w:sz w:val="21"/>
      <w:szCs w:val="22"/>
      <w:lang w:val="en-US" w:eastAsia="zh-CN" w:bidi="ar-SA"/>
    </w:rPr>
  </w:style>
  <w:style w:type="paragraph" w:styleId="3">
    <w:name w:val="heading 1"/>
    <w:basedOn w:val="1"/>
    <w:next w:val="1"/>
    <w:link w:val="16"/>
    <w:qFormat/>
    <w:uiPriority w:val="9"/>
    <w:pPr>
      <w:keepNext/>
      <w:keepLines/>
      <w:spacing w:before="340" w:after="330" w:line="576" w:lineRule="auto"/>
      <w:outlineLvl w:val="0"/>
    </w:pPr>
    <w:rPr>
      <w:b/>
      <w:kern w:val="44"/>
      <w:sz w:val="44"/>
    </w:rPr>
  </w:style>
  <w:style w:type="paragraph" w:styleId="2">
    <w:name w:val="heading 2"/>
    <w:basedOn w:val="1"/>
    <w:next w:val="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17"/>
    <w:semiHidden/>
    <w:unhideWhenUsed/>
    <w:qFormat/>
    <w:uiPriority w:val="99"/>
    <w:pPr>
      <w:jc w:val="left"/>
    </w:pPr>
  </w:style>
  <w:style w:type="paragraph" w:styleId="5">
    <w:name w:val="Plain Text"/>
    <w:basedOn w:val="1"/>
    <w:link w:val="18"/>
    <w:qFormat/>
    <w:uiPriority w:val="0"/>
    <w:rPr>
      <w:rFonts w:ascii="宋体" w:hAnsi="Courier New" w:eastAsia="宋体"/>
    </w:rPr>
  </w:style>
  <w:style w:type="paragraph" w:styleId="6">
    <w:name w:val="Balloon Text"/>
    <w:basedOn w:val="1"/>
    <w:link w:val="19"/>
    <w:semiHidden/>
    <w:unhideWhenUsed/>
    <w:qFormat/>
    <w:uiPriority w:val="99"/>
    <w:rPr>
      <w:sz w:val="18"/>
      <w:szCs w:val="18"/>
    </w:rPr>
  </w:style>
  <w:style w:type="paragraph" w:styleId="7">
    <w:name w:val="footer"/>
    <w:basedOn w:val="1"/>
    <w:link w:val="20"/>
    <w:unhideWhenUsed/>
    <w:qFormat/>
    <w:uiPriority w:val="99"/>
    <w:pPr>
      <w:tabs>
        <w:tab w:val="center" w:pos="4153"/>
        <w:tab w:val="right" w:pos="8306"/>
      </w:tabs>
      <w:snapToGrid w:val="0"/>
      <w:jc w:val="left"/>
    </w:pPr>
    <w:rPr>
      <w:sz w:val="18"/>
      <w:szCs w:val="18"/>
    </w:rPr>
  </w:style>
  <w:style w:type="paragraph" w:styleId="8">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jc w:val="left"/>
    </w:pPr>
    <w:rPr>
      <w:rFonts w:eastAsia="宋体" w:cs="Times New Roman"/>
      <w:kern w:val="0"/>
      <w:sz w:val="24"/>
      <w:szCs w:val="24"/>
    </w:rPr>
  </w:style>
  <w:style w:type="paragraph" w:styleId="10">
    <w:name w:val="annotation subject"/>
    <w:basedOn w:val="4"/>
    <w:next w:val="4"/>
    <w:link w:val="25"/>
    <w:semiHidden/>
    <w:unhideWhenUsed/>
    <w:qFormat/>
    <w:uiPriority w:val="99"/>
    <w:rPr>
      <w:b/>
      <w:bCs/>
    </w:rPr>
  </w:style>
  <w:style w:type="table" w:styleId="12">
    <w:name w:val="Table Grid"/>
    <w:basedOn w:val="1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Hyperlink"/>
    <w:basedOn w:val="13"/>
    <w:semiHidden/>
    <w:qFormat/>
    <w:uiPriority w:val="99"/>
    <w:rPr>
      <w:rFonts w:cs="Times New Roman"/>
      <w:color w:val="1F4F88"/>
      <w:u w:val="none"/>
    </w:rPr>
  </w:style>
  <w:style w:type="character" w:styleId="15">
    <w:name w:val="annotation reference"/>
    <w:basedOn w:val="13"/>
    <w:semiHidden/>
    <w:unhideWhenUsed/>
    <w:qFormat/>
    <w:uiPriority w:val="99"/>
    <w:rPr>
      <w:sz w:val="21"/>
      <w:szCs w:val="21"/>
    </w:rPr>
  </w:style>
  <w:style w:type="character" w:customStyle="1" w:styleId="16">
    <w:name w:val="标题 1 字符"/>
    <w:basedOn w:val="13"/>
    <w:link w:val="3"/>
    <w:qFormat/>
    <w:uiPriority w:val="9"/>
    <w:rPr>
      <w:rFonts w:ascii="Calibri" w:hAnsi="Calibri"/>
      <w:b/>
      <w:kern w:val="44"/>
      <w:sz w:val="44"/>
    </w:rPr>
  </w:style>
  <w:style w:type="character" w:customStyle="1" w:styleId="17">
    <w:name w:val="批注文字 字符"/>
    <w:basedOn w:val="13"/>
    <w:link w:val="4"/>
    <w:semiHidden/>
    <w:qFormat/>
    <w:uiPriority w:val="99"/>
    <w:rPr>
      <w:rFonts w:ascii="Calibri" w:hAnsi="Calibri"/>
    </w:rPr>
  </w:style>
  <w:style w:type="character" w:customStyle="1" w:styleId="18">
    <w:name w:val="纯文本 字符"/>
    <w:basedOn w:val="13"/>
    <w:link w:val="5"/>
    <w:qFormat/>
    <w:uiPriority w:val="0"/>
    <w:rPr>
      <w:rFonts w:ascii="宋体" w:hAnsi="Courier New" w:eastAsia="宋体"/>
    </w:rPr>
  </w:style>
  <w:style w:type="character" w:customStyle="1" w:styleId="19">
    <w:name w:val="批注框文本 字符"/>
    <w:basedOn w:val="13"/>
    <w:link w:val="6"/>
    <w:semiHidden/>
    <w:qFormat/>
    <w:uiPriority w:val="99"/>
    <w:rPr>
      <w:rFonts w:ascii="Calibri" w:hAnsi="Calibri"/>
      <w:sz w:val="18"/>
      <w:szCs w:val="18"/>
    </w:rPr>
  </w:style>
  <w:style w:type="character" w:customStyle="1" w:styleId="20">
    <w:name w:val="页脚 字符"/>
    <w:basedOn w:val="13"/>
    <w:link w:val="7"/>
    <w:qFormat/>
    <w:uiPriority w:val="99"/>
    <w:rPr>
      <w:rFonts w:ascii="Calibri" w:hAnsi="Calibri"/>
      <w:sz w:val="18"/>
      <w:szCs w:val="18"/>
    </w:rPr>
  </w:style>
  <w:style w:type="character" w:customStyle="1" w:styleId="21">
    <w:name w:val="页眉 字符"/>
    <w:basedOn w:val="13"/>
    <w:link w:val="8"/>
    <w:qFormat/>
    <w:uiPriority w:val="99"/>
    <w:rPr>
      <w:rFonts w:ascii="Calibri" w:hAnsi="Calibri"/>
      <w:sz w:val="18"/>
      <w:szCs w:val="18"/>
    </w:rPr>
  </w:style>
  <w:style w:type="paragraph" w:customStyle="1" w:styleId="22">
    <w:name w:val="列出段落1"/>
    <w:basedOn w:val="1"/>
    <w:qFormat/>
    <w:uiPriority w:val="0"/>
    <w:pPr>
      <w:ind w:firstLine="420" w:firstLineChars="200"/>
    </w:pPr>
  </w:style>
  <w:style w:type="paragraph" w:styleId="23">
    <w:name w:val="List Paragraph"/>
    <w:basedOn w:val="1"/>
    <w:qFormat/>
    <w:uiPriority w:val="34"/>
    <w:pPr>
      <w:ind w:firstLine="420" w:firstLineChars="200"/>
    </w:pPr>
  </w:style>
  <w:style w:type="character" w:customStyle="1" w:styleId="24">
    <w:name w:val="未处理的提及1"/>
    <w:basedOn w:val="13"/>
    <w:semiHidden/>
    <w:unhideWhenUsed/>
    <w:qFormat/>
    <w:uiPriority w:val="99"/>
    <w:rPr>
      <w:color w:val="605E5C"/>
      <w:shd w:val="clear" w:color="auto" w:fill="E1DFDD"/>
    </w:rPr>
  </w:style>
  <w:style w:type="character" w:customStyle="1" w:styleId="25">
    <w:name w:val="批注主题 字符"/>
    <w:basedOn w:val="17"/>
    <w:link w:val="10"/>
    <w:semiHidden/>
    <w:qFormat/>
    <w:uiPriority w:val="99"/>
    <w:rPr>
      <w:rFonts w:ascii="Calibri" w:hAnsi="Calibri" w:eastAsiaTheme="minorEastAsia" w:cstheme="minorBidi"/>
      <w:b/>
      <w:bCs/>
      <w:kern w:val="2"/>
      <w:sz w:val="21"/>
      <w:szCs w:val="22"/>
    </w:rPr>
  </w:style>
  <w:style w:type="paragraph" w:customStyle="1" w:styleId="26">
    <w:name w:val="标书正文"/>
    <w:basedOn w:val="5"/>
    <w:qFormat/>
    <w:uiPriority w:val="9"/>
    <w:pPr>
      <w:spacing w:line="360" w:lineRule="auto"/>
      <w:jc w:val="left"/>
    </w:pPr>
  </w:style>
  <w:style w:type="character" w:customStyle="1" w:styleId="27">
    <w:name w:val="font21"/>
    <w:basedOn w:val="13"/>
    <w:qFormat/>
    <w:uiPriority w:val="0"/>
    <w:rPr>
      <w:rFonts w:hint="eastAsia" w:ascii="宋体" w:hAnsi="宋体" w:eastAsia="宋体" w:cs="宋体"/>
      <w:color w:val="000000"/>
      <w:sz w:val="22"/>
      <w:szCs w:val="22"/>
      <w:u w:val="none"/>
    </w:rPr>
  </w:style>
  <w:style w:type="character" w:customStyle="1" w:styleId="28">
    <w:name w:val="font31"/>
    <w:basedOn w:val="13"/>
    <w:qFormat/>
    <w:uiPriority w:val="0"/>
    <w:rPr>
      <w:rFonts w:ascii="Calibri" w:hAnsi="Calibri" w:cs="Calibri"/>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5088</Words>
  <Characters>5286</Characters>
  <Lines>52</Lines>
  <Paragraphs>14</Paragraphs>
  <TotalTime>12</TotalTime>
  <ScaleCrop>false</ScaleCrop>
  <LinksUpToDate>false</LinksUpToDate>
  <CharactersWithSpaces>5447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2024-06-06T05:25:00Z</dcterms:created>
  <dc:creator>翔 李</dc:creator>
  <cp:lastModifiedBy>井</cp:lastModifiedBy>
  <cp:lastPrinted>2023-10-24T11:44:00Z</cp:lastPrinted>
  <dcterms:modified xsi:type="dcterms:W3CDTF">2025-12-31T02:59:55Z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D63073EA82464701AE9F90D0F494D3CD</vt:lpwstr>
  </property>
  <property fmtid="{D5CDD505-2E9C-101B-9397-08002B2CF9AE}" pid="4" name="KSOTemplateDocerSaveRecord">
    <vt:lpwstr>eyJoZGlkIjoiOGJlOTkwM2E2N2JkZTEzZDZiNDViYzQzOTA2NjBjMDIiLCJ1c2VySWQiOiIxNDYxMzY2NTIwIn0=</vt:lpwstr>
  </property>
</Properties>
</file>