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2"/>
          <w:szCs w:val="32"/>
        </w:rPr>
      </w:pPr>
    </w:p>
    <w:p>
      <w:pPr>
        <w:jc w:val="center"/>
        <w:rPr>
          <w:b/>
          <w:sz w:val="32"/>
          <w:szCs w:val="32"/>
        </w:rPr>
      </w:pPr>
    </w:p>
    <w:p>
      <w:pPr>
        <w:jc w:val="center"/>
        <w:rPr>
          <w:b/>
          <w:sz w:val="32"/>
          <w:szCs w:val="32"/>
        </w:rPr>
      </w:pPr>
    </w:p>
    <w:p>
      <w:pPr>
        <w:jc w:val="center"/>
        <w:rPr>
          <w:rFonts w:hint="eastAsia" w:ascii="宋体" w:hAnsi="宋体" w:eastAsia="宋体"/>
          <w:b/>
          <w:sz w:val="44"/>
          <w:szCs w:val="44"/>
          <w:lang w:val="en-US" w:eastAsia="zh-CN"/>
        </w:rPr>
      </w:pPr>
      <w:r>
        <w:rPr>
          <w:rFonts w:hint="eastAsia" w:ascii="宋体" w:hAnsi="宋体" w:eastAsia="宋体"/>
          <w:b/>
          <w:sz w:val="44"/>
          <w:szCs w:val="44"/>
        </w:rPr>
        <w:t>《重型汽车报》202</w:t>
      </w:r>
      <w:r>
        <w:rPr>
          <w:rFonts w:hint="eastAsia" w:ascii="宋体" w:hAnsi="宋体" w:eastAsia="宋体"/>
          <w:b/>
          <w:sz w:val="44"/>
          <w:szCs w:val="44"/>
          <w:lang w:val="en-US" w:eastAsia="zh-CN"/>
        </w:rPr>
        <w:t>6</w:t>
      </w:r>
      <w:r>
        <w:rPr>
          <w:rFonts w:hint="eastAsia" w:ascii="宋体" w:hAnsi="宋体" w:eastAsia="宋体"/>
          <w:b/>
          <w:sz w:val="44"/>
          <w:szCs w:val="44"/>
        </w:rPr>
        <w:t>年印刷</w:t>
      </w:r>
      <w:r>
        <w:rPr>
          <w:rFonts w:hint="eastAsia" w:ascii="宋体" w:hAnsi="宋体" w:eastAsia="宋体"/>
          <w:b/>
          <w:sz w:val="44"/>
          <w:szCs w:val="44"/>
          <w:lang w:val="en-US" w:eastAsia="zh-CN"/>
        </w:rPr>
        <w:t>项目</w:t>
      </w:r>
    </w:p>
    <w:p>
      <w:pPr>
        <w:jc w:val="center"/>
        <w:rPr>
          <w:rFonts w:hint="default" w:eastAsia="宋体"/>
          <w:b/>
          <w:sz w:val="32"/>
          <w:szCs w:val="32"/>
          <w:lang w:val="en-US" w:eastAsia="zh-CN"/>
        </w:rPr>
      </w:pPr>
      <w:r>
        <w:rPr>
          <w:rFonts w:hint="eastAsia" w:ascii="宋体" w:hAnsi="宋体" w:eastAsia="宋体"/>
          <w:b/>
          <w:sz w:val="44"/>
          <w:szCs w:val="44"/>
          <w:lang w:val="en-US" w:eastAsia="zh-CN"/>
        </w:rPr>
        <w:t>公开招标文件</w:t>
      </w: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jc w:val="center"/>
        <w:rPr>
          <w:b/>
          <w:sz w:val="32"/>
          <w:szCs w:val="32"/>
        </w:rPr>
      </w:pPr>
    </w:p>
    <w:p>
      <w:pPr>
        <w:ind w:firstLine="1928" w:firstLineChars="600"/>
        <w:jc w:val="center"/>
        <w:rPr>
          <w:rFonts w:ascii="宋体" w:hAnsi="宋体" w:eastAsia="宋体"/>
          <w:b/>
          <w:sz w:val="32"/>
          <w:szCs w:val="32"/>
        </w:rPr>
      </w:pPr>
      <w:r>
        <w:rPr>
          <w:rFonts w:hint="eastAsia" w:ascii="宋体" w:hAnsi="宋体" w:eastAsia="宋体"/>
          <w:b/>
          <w:sz w:val="32"/>
          <w:szCs w:val="32"/>
        </w:rPr>
        <w:t>招标人：中国重汽集团济南动力有限公司</w:t>
      </w:r>
    </w:p>
    <w:p>
      <w:pPr>
        <w:ind w:firstLine="1928" w:firstLineChars="600"/>
        <w:jc w:val="center"/>
        <w:rPr>
          <w:rFonts w:hint="eastAsia" w:ascii="宋体" w:hAnsi="宋体" w:eastAsia="宋体"/>
          <w:b/>
          <w:sz w:val="32"/>
          <w:szCs w:val="32"/>
          <w:lang w:eastAsia="zh-CN"/>
        </w:rPr>
      </w:pPr>
      <w:r>
        <w:rPr>
          <w:rFonts w:hint="eastAsia" w:ascii="宋体" w:hAnsi="宋体" w:eastAsia="宋体"/>
          <w:b/>
          <w:sz w:val="32"/>
          <w:szCs w:val="32"/>
        </w:rPr>
        <w:t>日  期：</w:t>
      </w:r>
      <w:r>
        <w:rPr>
          <w:rFonts w:hint="eastAsia" w:ascii="宋体" w:hAnsi="宋体" w:eastAsia="宋体"/>
          <w:b/>
          <w:sz w:val="32"/>
          <w:szCs w:val="32"/>
          <w:lang w:eastAsia="zh-CN"/>
        </w:rPr>
        <w:t>二〇二</w:t>
      </w:r>
      <w:r>
        <w:rPr>
          <w:rFonts w:hint="eastAsia" w:ascii="宋体" w:hAnsi="宋体" w:eastAsia="宋体"/>
          <w:b/>
          <w:sz w:val="32"/>
          <w:szCs w:val="32"/>
          <w:lang w:val="en-US" w:eastAsia="zh-CN"/>
        </w:rPr>
        <w:t>五</w:t>
      </w:r>
      <w:r>
        <w:rPr>
          <w:rFonts w:hint="eastAsia" w:ascii="宋体" w:hAnsi="宋体" w:eastAsia="宋体"/>
          <w:b/>
          <w:sz w:val="32"/>
          <w:szCs w:val="32"/>
          <w:lang w:eastAsia="zh-CN"/>
        </w:rPr>
        <w:t>年十</w:t>
      </w:r>
      <w:r>
        <w:rPr>
          <w:rFonts w:hint="eastAsia" w:ascii="宋体" w:hAnsi="宋体" w:eastAsia="宋体"/>
          <w:b/>
          <w:sz w:val="32"/>
          <w:szCs w:val="32"/>
          <w:lang w:val="en-US" w:eastAsia="zh-CN"/>
        </w:rPr>
        <w:t>一</w:t>
      </w:r>
      <w:r>
        <w:rPr>
          <w:rFonts w:hint="eastAsia" w:ascii="宋体" w:hAnsi="宋体" w:eastAsia="宋体"/>
          <w:b/>
          <w:sz w:val="32"/>
          <w:szCs w:val="32"/>
          <w:lang w:eastAsia="zh-CN"/>
        </w:rPr>
        <w:t>月</w:t>
      </w:r>
    </w:p>
    <w:p>
      <w:pPr>
        <w:ind w:firstLine="1928" w:firstLineChars="600"/>
        <w:rPr>
          <w:rFonts w:hint="eastAsia" w:ascii="宋体" w:hAnsi="宋体" w:eastAsia="宋体"/>
          <w:b/>
          <w:sz w:val="32"/>
          <w:szCs w:val="32"/>
          <w:lang w:eastAsia="zh-CN"/>
        </w:rPr>
      </w:pPr>
    </w:p>
    <w:p>
      <w:pPr>
        <w:rPr>
          <w:rFonts w:ascii="仿宋_GB2312" w:eastAsia="仿宋_GB2312"/>
          <w:sz w:val="28"/>
          <w:szCs w:val="28"/>
        </w:rPr>
      </w:pPr>
    </w:p>
    <w:p>
      <w:pPr>
        <w:rPr>
          <w:rFonts w:ascii="仿宋_GB2312" w:eastAsia="仿宋_GB2312"/>
          <w:sz w:val="28"/>
          <w:szCs w:val="28"/>
        </w:rPr>
      </w:pPr>
    </w:p>
    <w:p>
      <w:pPr>
        <w:rPr>
          <w:rFonts w:ascii="仿宋_GB2312" w:eastAsia="仿宋_GB2312"/>
          <w:sz w:val="28"/>
          <w:szCs w:val="28"/>
        </w:rPr>
      </w:pPr>
    </w:p>
    <w:p>
      <w:pPr>
        <w:pStyle w:val="11"/>
        <w:tabs>
          <w:tab w:val="left" w:pos="862"/>
        </w:tabs>
        <w:spacing w:line="460" w:lineRule="exact"/>
        <w:ind w:left="142" w:firstLine="643"/>
        <w:rPr>
          <w:rFonts w:ascii="仿宋_GB2312" w:hAnsi="仿宋" w:eastAsia="仿宋_GB2312"/>
          <w:b/>
          <w:sz w:val="32"/>
          <w:szCs w:val="32"/>
        </w:rPr>
      </w:pPr>
      <w:r>
        <w:rPr>
          <w:rFonts w:hint="eastAsia" w:ascii="仿宋_GB2312" w:hAnsi="仿宋" w:eastAsia="仿宋_GB2312"/>
          <w:b/>
          <w:sz w:val="32"/>
          <w:szCs w:val="32"/>
        </w:rPr>
        <w:t>一、投标须知</w:t>
      </w:r>
    </w:p>
    <w:p>
      <w:pPr>
        <w:pStyle w:val="11"/>
        <w:spacing w:line="460" w:lineRule="exact"/>
        <w:ind w:firstLine="640"/>
        <w:rPr>
          <w:rFonts w:hint="eastAsia" w:ascii="仿宋_GB2312" w:hAnsi="仿宋" w:eastAsia="仿宋_GB2312"/>
          <w:sz w:val="32"/>
          <w:szCs w:val="32"/>
          <w:lang w:eastAsia="zh-CN"/>
        </w:rPr>
      </w:pPr>
      <w:r>
        <w:rPr>
          <w:rFonts w:hint="eastAsia" w:ascii="仿宋_GB2312" w:hAnsi="仿宋" w:eastAsia="仿宋_GB2312"/>
          <w:sz w:val="32"/>
          <w:szCs w:val="32"/>
        </w:rPr>
        <w:t>1.招标人：中国重汽集团济南动力有限公司</w:t>
      </w:r>
    </w:p>
    <w:p>
      <w:pPr>
        <w:ind w:firstLine="640" w:firstLineChars="200"/>
        <w:jc w:val="both"/>
        <w:rPr>
          <w:b/>
          <w:sz w:val="32"/>
          <w:szCs w:val="32"/>
        </w:rPr>
      </w:pPr>
      <w:r>
        <w:rPr>
          <w:rFonts w:hint="eastAsia" w:ascii="仿宋_GB2312" w:hAnsi="仿宋" w:eastAsia="仿宋_GB2312"/>
          <w:sz w:val="32"/>
          <w:szCs w:val="32"/>
        </w:rPr>
        <w:t>2.项目名称：</w:t>
      </w:r>
      <w:r>
        <w:rPr>
          <w:rFonts w:hint="eastAsia" w:ascii="仿宋_GB2312" w:hAnsi="仿宋" w:eastAsia="仿宋_GB2312" w:cstheme="minorBidi"/>
          <w:kern w:val="2"/>
          <w:sz w:val="32"/>
          <w:szCs w:val="32"/>
          <w:lang w:val="en-US" w:eastAsia="zh-CN" w:bidi="ar-SA"/>
        </w:rPr>
        <w:t>《重型汽车报》2026年印刷项目</w:t>
      </w:r>
    </w:p>
    <w:p>
      <w:pPr>
        <w:pStyle w:val="11"/>
        <w:spacing w:line="460" w:lineRule="exact"/>
        <w:ind w:firstLine="640"/>
        <w:rPr>
          <w:rFonts w:hint="eastAsia"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z w:val="32"/>
          <w:szCs w:val="32"/>
          <w:lang w:val="en-US" w:eastAsia="zh-CN"/>
        </w:rPr>
        <w:t>项目</w:t>
      </w:r>
      <w:r>
        <w:rPr>
          <w:rFonts w:hint="eastAsia" w:ascii="仿宋_GB2312" w:hAnsi="仿宋" w:eastAsia="仿宋_GB2312"/>
          <w:sz w:val="32"/>
          <w:szCs w:val="32"/>
        </w:rPr>
        <w:t>内容：</w:t>
      </w:r>
    </w:p>
    <w:tbl>
      <w:tblPr>
        <w:tblStyle w:val="9"/>
        <w:tblW w:w="0" w:type="auto"/>
        <w:tblInd w:w="2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6"/>
        <w:gridCol w:w="7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2136" w:type="dxa"/>
          </w:tcPr>
          <w:p>
            <w:pPr>
              <w:spacing w:line="360" w:lineRule="auto"/>
              <w:ind w:firstLine="280" w:firstLineChars="100"/>
              <w:jc w:val="both"/>
              <w:rPr>
                <w:rFonts w:ascii="仿宋_GB2312" w:hAnsi="宋体" w:eastAsia="仿宋_GB2312" w:cs="仿宋_GB2312"/>
                <w:sz w:val="28"/>
                <w:szCs w:val="28"/>
              </w:rPr>
            </w:pPr>
            <w:r>
              <w:rPr>
                <w:rFonts w:hint="eastAsia" w:ascii="仿宋_GB2312" w:hAnsi="宋体" w:eastAsia="仿宋_GB2312" w:cs="仿宋_GB2312"/>
                <w:sz w:val="28"/>
                <w:szCs w:val="28"/>
              </w:rPr>
              <w:t>印刷品名称</w:t>
            </w:r>
          </w:p>
        </w:tc>
        <w:tc>
          <w:tcPr>
            <w:tcW w:w="7389" w:type="dxa"/>
            <w:vAlign w:val="center"/>
          </w:tcPr>
          <w:p>
            <w:pPr>
              <w:spacing w:line="360" w:lineRule="auto"/>
              <w:ind w:firstLine="560" w:firstLineChars="200"/>
              <w:jc w:val="center"/>
              <w:rPr>
                <w:rFonts w:ascii="仿宋_GB2312" w:hAnsi="宋体" w:eastAsia="仿宋_GB2312" w:cs="仿宋_GB2312"/>
                <w:sz w:val="28"/>
                <w:szCs w:val="28"/>
              </w:rPr>
            </w:pPr>
            <w:r>
              <w:rPr>
                <w:rFonts w:hint="eastAsia" w:ascii="仿宋_GB2312" w:hAnsi="宋体" w:eastAsia="仿宋_GB2312" w:cs="仿宋_GB2312"/>
                <w:sz w:val="28"/>
                <w:szCs w:val="28"/>
              </w:rPr>
              <w:t>《重型汽车报》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2136" w:type="dxa"/>
          </w:tcPr>
          <w:p>
            <w:pPr>
              <w:spacing w:line="360" w:lineRule="auto"/>
              <w:jc w:val="center"/>
              <w:rPr>
                <w:rFonts w:ascii="仿宋_GB2312" w:hAnsi="宋体" w:eastAsia="仿宋_GB2312" w:cs="仿宋_GB2312"/>
                <w:sz w:val="28"/>
                <w:szCs w:val="28"/>
              </w:rPr>
            </w:pPr>
            <w:r>
              <w:rPr>
                <w:rFonts w:hint="eastAsia" w:ascii="仿宋_GB2312" w:hAnsi="宋体" w:eastAsia="仿宋_GB2312" w:cs="仿宋_GB2312"/>
                <w:sz w:val="28"/>
                <w:szCs w:val="28"/>
              </w:rPr>
              <w:t>版数或开本</w:t>
            </w:r>
          </w:p>
        </w:tc>
        <w:tc>
          <w:tcPr>
            <w:tcW w:w="7389" w:type="dxa"/>
          </w:tcPr>
          <w:p>
            <w:pPr>
              <w:spacing w:line="360" w:lineRule="auto"/>
              <w:ind w:firstLine="560" w:firstLineChars="200"/>
              <w:jc w:val="center"/>
              <w:rPr>
                <w:rFonts w:ascii="仿宋_GB2312" w:hAnsi="宋体" w:eastAsia="仿宋_GB2312" w:cs="仿宋_GB2312"/>
                <w:sz w:val="28"/>
                <w:szCs w:val="28"/>
              </w:rPr>
            </w:pPr>
            <w:r>
              <w:rPr>
                <w:rFonts w:hint="eastAsia" w:ascii="仿宋_GB2312" w:hAnsi="宋体" w:eastAsia="仿宋_GB2312" w:cs="仿宋_GB2312"/>
                <w:sz w:val="28"/>
                <w:szCs w:val="28"/>
              </w:rPr>
              <w:t>对开四版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4" w:hRule="atLeast"/>
        </w:trPr>
        <w:tc>
          <w:tcPr>
            <w:tcW w:w="2136" w:type="dxa"/>
          </w:tcPr>
          <w:p>
            <w:pPr>
              <w:spacing w:line="360" w:lineRule="auto"/>
              <w:jc w:val="center"/>
              <w:rPr>
                <w:rFonts w:ascii="仿宋_GB2312" w:hAnsi="宋体" w:eastAsia="仿宋_GB2312" w:cs="仿宋_GB2312"/>
                <w:sz w:val="28"/>
                <w:szCs w:val="28"/>
              </w:rPr>
            </w:pPr>
            <w:r>
              <w:rPr>
                <w:rFonts w:hint="eastAsia" w:ascii="仿宋_GB2312" w:hAnsi="宋体" w:eastAsia="仿宋_GB2312" w:cs="仿宋_GB2312"/>
                <w:sz w:val="28"/>
                <w:szCs w:val="28"/>
              </w:rPr>
              <w:t>印刷数量</w:t>
            </w:r>
          </w:p>
        </w:tc>
        <w:tc>
          <w:tcPr>
            <w:tcW w:w="7389" w:type="dxa"/>
          </w:tcPr>
          <w:p>
            <w:pPr>
              <w:spacing w:line="360" w:lineRule="auto"/>
              <w:jc w:val="center"/>
              <w:rPr>
                <w:rFonts w:ascii="仿宋_GB2312" w:hAnsi="宋体" w:eastAsia="仿宋_GB2312" w:cs="Times New Roman"/>
                <w:sz w:val="28"/>
                <w:szCs w:val="28"/>
              </w:rPr>
            </w:pPr>
            <w:r>
              <w:rPr>
                <w:rFonts w:hint="eastAsia" w:ascii="仿宋_GB2312" w:hAnsi="宋体" w:eastAsia="仿宋_GB2312" w:cs="仿宋_GB2312"/>
                <w:sz w:val="28"/>
                <w:szCs w:val="28"/>
              </w:rPr>
              <w:t>11784份/期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9" w:hRule="atLeast"/>
        </w:trPr>
        <w:tc>
          <w:tcPr>
            <w:tcW w:w="2136" w:type="dxa"/>
          </w:tcPr>
          <w:p>
            <w:pPr>
              <w:spacing w:line="360" w:lineRule="auto"/>
              <w:jc w:val="center"/>
              <w:rPr>
                <w:rFonts w:ascii="仿宋_GB2312" w:hAnsi="宋体" w:eastAsia="仿宋_GB2312" w:cs="仿宋_GB2312"/>
                <w:sz w:val="28"/>
                <w:szCs w:val="28"/>
              </w:rPr>
            </w:pPr>
            <w:r>
              <w:rPr>
                <w:rFonts w:hint="eastAsia" w:ascii="仿宋_GB2312" w:hAnsi="宋体" w:eastAsia="仿宋_GB2312" w:cs="仿宋_GB2312"/>
                <w:sz w:val="28"/>
                <w:szCs w:val="28"/>
              </w:rPr>
              <w:t>印刷用纸</w:t>
            </w:r>
          </w:p>
        </w:tc>
        <w:tc>
          <w:tcPr>
            <w:tcW w:w="7389" w:type="dxa"/>
          </w:tcPr>
          <w:p>
            <w:pPr>
              <w:spacing w:line="360" w:lineRule="auto"/>
              <w:ind w:firstLine="560" w:firstLineChars="200"/>
              <w:jc w:val="center"/>
              <w:rPr>
                <w:rFonts w:ascii="仿宋_GB2312" w:hAnsi="宋体" w:eastAsia="仿宋_GB2312" w:cs="仿宋_GB2312"/>
                <w:sz w:val="28"/>
                <w:szCs w:val="28"/>
              </w:rPr>
            </w:pPr>
            <w:r>
              <w:rPr>
                <w:rFonts w:hint="eastAsia" w:ascii="仿宋_GB2312" w:hAnsi="宋体" w:eastAsia="仿宋_GB2312" w:cs="仿宋_GB2312"/>
                <w:sz w:val="28"/>
                <w:szCs w:val="28"/>
              </w:rPr>
              <w:t>新闻纸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4" w:hRule="atLeast"/>
        </w:trPr>
        <w:tc>
          <w:tcPr>
            <w:tcW w:w="2136" w:type="dxa"/>
          </w:tcPr>
          <w:p>
            <w:pPr>
              <w:spacing w:line="360" w:lineRule="auto"/>
              <w:jc w:val="center"/>
              <w:rPr>
                <w:rFonts w:ascii="仿宋_GB2312" w:hAnsi="宋体" w:eastAsia="仿宋_GB2312" w:cs="仿宋_GB2312"/>
                <w:sz w:val="28"/>
                <w:szCs w:val="28"/>
              </w:rPr>
            </w:pPr>
            <w:r>
              <w:rPr>
                <w:rFonts w:hint="eastAsia" w:ascii="仿宋_GB2312" w:hAnsi="宋体" w:eastAsia="仿宋_GB2312" w:cs="仿宋_GB2312"/>
                <w:sz w:val="28"/>
                <w:szCs w:val="28"/>
              </w:rPr>
              <w:t>印刷期数</w:t>
            </w:r>
          </w:p>
        </w:tc>
        <w:tc>
          <w:tcPr>
            <w:tcW w:w="7389" w:type="dxa"/>
          </w:tcPr>
          <w:p>
            <w:pPr>
              <w:spacing w:line="360" w:lineRule="auto"/>
              <w:ind w:firstLine="560" w:firstLineChars="200"/>
              <w:jc w:val="center"/>
              <w:rPr>
                <w:rFonts w:ascii="仿宋_GB2312" w:hAnsi="宋体" w:eastAsia="仿宋_GB2312" w:cs="仿宋_GB2312"/>
                <w:sz w:val="28"/>
                <w:szCs w:val="28"/>
              </w:rPr>
            </w:pPr>
            <w:r>
              <w:rPr>
                <w:rFonts w:ascii="仿宋_GB2312" w:hAnsi="宋体" w:eastAsia="仿宋_GB2312" w:cs="仿宋_GB2312"/>
                <w:sz w:val="28"/>
                <w:szCs w:val="28"/>
              </w:rPr>
              <w:t>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atLeast"/>
        </w:trPr>
        <w:tc>
          <w:tcPr>
            <w:tcW w:w="2136" w:type="dxa"/>
          </w:tcPr>
          <w:p>
            <w:pPr>
              <w:spacing w:line="360" w:lineRule="auto"/>
              <w:jc w:val="center"/>
              <w:rPr>
                <w:rFonts w:ascii="仿宋_GB2312" w:hAnsi="宋体" w:eastAsia="仿宋_GB2312" w:cs="仿宋_GB2312"/>
                <w:sz w:val="28"/>
                <w:szCs w:val="28"/>
              </w:rPr>
            </w:pPr>
            <w:r>
              <w:rPr>
                <w:rFonts w:hint="eastAsia" w:ascii="仿宋_GB2312" w:hAnsi="宋体" w:eastAsia="仿宋_GB2312" w:cs="仿宋_GB2312"/>
                <w:sz w:val="28"/>
                <w:szCs w:val="28"/>
              </w:rPr>
              <w:t>印刷色别</w:t>
            </w:r>
          </w:p>
        </w:tc>
        <w:tc>
          <w:tcPr>
            <w:tcW w:w="7389" w:type="dxa"/>
          </w:tcPr>
          <w:p>
            <w:pPr>
              <w:spacing w:line="360" w:lineRule="auto"/>
              <w:ind w:firstLine="560" w:firstLineChars="200"/>
              <w:jc w:val="center"/>
              <w:rPr>
                <w:rFonts w:ascii="仿宋_GB2312" w:hAnsi="宋体" w:eastAsia="仿宋_GB2312" w:cs="仿宋_GB2312"/>
                <w:sz w:val="28"/>
                <w:szCs w:val="28"/>
              </w:rPr>
            </w:pPr>
            <w:r>
              <w:rPr>
                <w:rFonts w:hint="eastAsia" w:ascii="仿宋_GB2312" w:hAnsi="宋体" w:eastAsia="仿宋_GB2312" w:cs="仿宋_GB2312"/>
                <w:sz w:val="28"/>
                <w:szCs w:val="28"/>
              </w:rPr>
              <w:t>彩色印刷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trPr>
        <w:tc>
          <w:tcPr>
            <w:tcW w:w="2136" w:type="dxa"/>
          </w:tcPr>
          <w:p>
            <w:pPr>
              <w:spacing w:line="360" w:lineRule="auto"/>
              <w:jc w:val="center"/>
              <w:rPr>
                <w:rFonts w:ascii="仿宋_GB2312" w:hAnsi="宋体" w:eastAsia="仿宋_GB2312" w:cs="仿宋_GB2312"/>
                <w:sz w:val="28"/>
                <w:szCs w:val="28"/>
              </w:rPr>
            </w:pPr>
            <w:r>
              <w:rPr>
                <w:rFonts w:hint="eastAsia" w:ascii="仿宋_GB2312" w:hAnsi="宋体" w:eastAsia="仿宋_GB2312" w:cs="仿宋_GB2312"/>
                <w:sz w:val="28"/>
                <w:szCs w:val="28"/>
              </w:rPr>
              <w:t>包装方式</w:t>
            </w:r>
          </w:p>
        </w:tc>
        <w:tc>
          <w:tcPr>
            <w:tcW w:w="7389" w:type="dxa"/>
          </w:tcPr>
          <w:p>
            <w:pPr>
              <w:spacing w:line="360" w:lineRule="auto"/>
              <w:ind w:firstLine="560" w:firstLineChars="200"/>
              <w:jc w:val="center"/>
              <w:rPr>
                <w:rFonts w:ascii="仿宋_GB2312" w:hAnsi="宋体" w:eastAsia="仿宋_GB2312" w:cs="仿宋_GB2312"/>
                <w:sz w:val="28"/>
                <w:szCs w:val="28"/>
              </w:rPr>
            </w:pPr>
            <w:r>
              <w:rPr>
                <w:rFonts w:hint="eastAsia" w:ascii="仿宋_GB2312" w:hAnsi="宋体" w:eastAsia="仿宋_GB2312" w:cs="仿宋_GB2312"/>
                <w:sz w:val="28"/>
                <w:szCs w:val="28"/>
              </w:rPr>
              <w:t>打捆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trPr>
        <w:tc>
          <w:tcPr>
            <w:tcW w:w="2136" w:type="dxa"/>
          </w:tcPr>
          <w:p>
            <w:pPr>
              <w:spacing w:line="360" w:lineRule="auto"/>
              <w:jc w:val="center"/>
              <w:rPr>
                <w:rFonts w:hint="eastAsia" w:ascii="仿宋_GB2312" w:hAnsi="宋体" w:eastAsia="仿宋_GB2312" w:cs="仿宋_GB2312"/>
                <w:sz w:val="28"/>
                <w:szCs w:val="28"/>
                <w:lang w:val="en-US" w:eastAsia="zh-CN"/>
              </w:rPr>
            </w:pPr>
            <w:r>
              <w:rPr>
                <w:rFonts w:hint="eastAsia" w:ascii="仿宋_GB2312" w:hAnsi="宋体" w:eastAsia="仿宋_GB2312" w:cs="仿宋_GB2312"/>
                <w:sz w:val="28"/>
                <w:szCs w:val="28"/>
                <w:lang w:val="en-US" w:eastAsia="zh-CN"/>
              </w:rPr>
              <w:t>发行方式</w:t>
            </w:r>
          </w:p>
        </w:tc>
        <w:tc>
          <w:tcPr>
            <w:tcW w:w="7389" w:type="dxa"/>
          </w:tcPr>
          <w:p>
            <w:pPr>
              <w:spacing w:line="360" w:lineRule="auto"/>
              <w:ind w:firstLine="560" w:firstLineChars="200"/>
              <w:jc w:val="center"/>
              <w:rPr>
                <w:rFonts w:hint="default" w:ascii="仿宋_GB2312" w:hAnsi="宋体" w:eastAsia="仿宋_GB2312" w:cs="仿宋_GB2312"/>
                <w:sz w:val="28"/>
                <w:szCs w:val="28"/>
                <w:lang w:val="en-US" w:eastAsia="zh-CN"/>
              </w:rPr>
            </w:pPr>
            <w:r>
              <w:rPr>
                <w:rFonts w:hint="eastAsia" w:ascii="仿宋_GB2312" w:hAnsi="宋体" w:eastAsia="仿宋_GB2312" w:cs="仿宋_GB2312"/>
                <w:sz w:val="28"/>
                <w:szCs w:val="28"/>
                <w:lang w:val="en-US" w:eastAsia="zh-CN"/>
              </w:rPr>
              <w:t>寄送到甲方指定地点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49" w:hRule="atLeast"/>
        </w:trPr>
        <w:tc>
          <w:tcPr>
            <w:tcW w:w="2136" w:type="dxa"/>
            <w:vAlign w:val="center"/>
          </w:tcPr>
          <w:p>
            <w:pPr>
              <w:spacing w:line="360" w:lineRule="auto"/>
              <w:jc w:val="center"/>
              <w:rPr>
                <w:rFonts w:hint="default" w:ascii="仿宋_GB2312" w:hAnsi="宋体" w:eastAsia="仿宋_GB2312" w:cs="仿宋_GB2312"/>
                <w:sz w:val="28"/>
                <w:szCs w:val="28"/>
                <w:lang w:val="en-US" w:eastAsia="zh-CN"/>
              </w:rPr>
            </w:pPr>
            <w:r>
              <w:rPr>
                <w:rFonts w:hint="eastAsia" w:ascii="仿宋_GB2312" w:hAnsi="宋体" w:eastAsia="仿宋_GB2312" w:cs="仿宋_GB2312"/>
                <w:sz w:val="28"/>
                <w:szCs w:val="28"/>
                <w:lang w:val="en-US" w:eastAsia="zh-CN"/>
              </w:rPr>
              <w:t>质量及要求</w:t>
            </w:r>
          </w:p>
        </w:tc>
        <w:tc>
          <w:tcPr>
            <w:tcW w:w="7389" w:type="dxa"/>
            <w:vAlign w:val="top"/>
          </w:tcPr>
          <w:p>
            <w:pPr>
              <w:pStyle w:val="11"/>
              <w:numPr>
                <w:ilvl w:val="0"/>
                <w:numId w:val="0"/>
              </w:numPr>
              <w:spacing w:line="460" w:lineRule="exact"/>
              <w:rPr>
                <w:rFonts w:hint="eastAsia" w:ascii="仿宋_GB2312" w:hAnsi="宋体" w:eastAsia="仿宋_GB2312" w:cs="仿宋_GB2312"/>
                <w:kern w:val="2"/>
                <w:sz w:val="28"/>
                <w:szCs w:val="28"/>
                <w:lang w:val="en-US" w:eastAsia="zh-CN" w:bidi="ar-SA"/>
              </w:rPr>
            </w:pPr>
            <w:r>
              <w:rPr>
                <w:rFonts w:hint="eastAsia" w:ascii="仿宋_GB2312" w:hAnsi="宋体" w:eastAsia="仿宋_GB2312" w:cs="仿宋_GB2312"/>
                <w:kern w:val="2"/>
                <w:sz w:val="28"/>
                <w:szCs w:val="28"/>
                <w:lang w:val="en-US" w:eastAsia="zh-CN" w:bidi="ar-SA"/>
              </w:rPr>
              <w:t>1、乙方保证根据甲方提供的稿件、图片等相关资料，按照甲方编辑人员的要求进行排版、初次校对、修改，将初校后的报纸版面小样反馈给甲方编辑人员，配合甲方进行相关修改，定版后甲方编辑人员签字付印，乙方确保保质保量完成《重型汽车报》的印刷并在次日早完成交付。</w:t>
            </w:r>
          </w:p>
          <w:p>
            <w:pPr>
              <w:pStyle w:val="11"/>
              <w:numPr>
                <w:ilvl w:val="0"/>
                <w:numId w:val="0"/>
              </w:numPr>
              <w:spacing w:line="460" w:lineRule="exact"/>
              <w:rPr>
                <w:rFonts w:hint="eastAsia" w:ascii="仿宋_GB2312" w:hAnsi="宋体" w:eastAsia="仿宋_GB2312" w:cs="仿宋_GB2312"/>
                <w:kern w:val="2"/>
                <w:sz w:val="28"/>
                <w:szCs w:val="28"/>
                <w:lang w:val="en-US" w:eastAsia="zh-CN" w:bidi="ar-SA"/>
              </w:rPr>
            </w:pPr>
            <w:r>
              <w:rPr>
                <w:rFonts w:hint="eastAsia" w:ascii="仿宋_GB2312" w:hAnsi="宋体" w:eastAsia="仿宋_GB2312" w:cs="仿宋_GB2312"/>
                <w:kern w:val="2"/>
                <w:sz w:val="28"/>
                <w:szCs w:val="28"/>
                <w:lang w:val="en-US" w:eastAsia="zh-CN" w:bidi="ar-SA"/>
              </w:rPr>
              <w:t>2、乙方承印印刷品应以国家出版总署有关报纸印刷质量规定为准，版面清晰、美观，色彩鲜亮，文字清楚，图片网点层次分明。报纸墨色均匀饱满，文字清晰，无重影，无明显缺笔、断划、糊字及坏字，各版保持一致，符合国标要求。</w:t>
            </w:r>
          </w:p>
          <w:p>
            <w:pPr>
              <w:pStyle w:val="11"/>
              <w:numPr>
                <w:ilvl w:val="0"/>
                <w:numId w:val="0"/>
              </w:numPr>
              <w:spacing w:line="460" w:lineRule="exact"/>
              <w:rPr>
                <w:rFonts w:hint="eastAsia" w:ascii="仿宋_GB2312" w:hAnsi="宋体" w:eastAsia="仿宋_GB2312" w:cs="仿宋_GB2312"/>
                <w:kern w:val="2"/>
                <w:sz w:val="28"/>
                <w:szCs w:val="28"/>
                <w:lang w:val="en-US" w:eastAsia="zh-CN" w:bidi="ar-SA"/>
              </w:rPr>
            </w:pPr>
            <w:r>
              <w:rPr>
                <w:rFonts w:hint="eastAsia" w:ascii="仿宋_GB2312" w:hAnsi="宋体" w:eastAsia="仿宋_GB2312" w:cs="仿宋_GB2312"/>
                <w:kern w:val="2"/>
                <w:sz w:val="28"/>
                <w:szCs w:val="28"/>
                <w:lang w:val="en-US" w:eastAsia="zh-CN" w:bidi="ar-SA"/>
              </w:rPr>
              <w:t>3、交付时乙方保证报纸外观整洁干净，无脏物、压痕、叠影，无边角卷折现象且严格遵守协议所订用纸要求，保质保量，不得掺用协议约定外纸张。</w:t>
            </w:r>
          </w:p>
        </w:tc>
      </w:tr>
    </w:tbl>
    <w:p>
      <w:pPr>
        <w:pStyle w:val="11"/>
        <w:spacing w:line="460" w:lineRule="exact"/>
        <w:ind w:firstLine="640"/>
        <w:rPr>
          <w:rFonts w:hint="default" w:ascii="仿宋_GB2312" w:hAnsi="仿宋" w:eastAsia="仿宋_GB2312"/>
          <w:sz w:val="32"/>
          <w:szCs w:val="32"/>
          <w:lang w:val="en-US" w:eastAsia="zh-CN"/>
        </w:rPr>
      </w:pPr>
      <w:r>
        <w:rPr>
          <w:rFonts w:hint="eastAsia" w:ascii="仿宋_GB2312" w:hAnsi="仿宋" w:eastAsia="仿宋_GB2312"/>
          <w:sz w:val="32"/>
          <w:szCs w:val="32"/>
        </w:rPr>
        <w:t>4.项目周期：202</w:t>
      </w:r>
      <w:r>
        <w:rPr>
          <w:rFonts w:hint="eastAsia" w:ascii="仿宋_GB2312" w:hAnsi="仿宋" w:eastAsia="仿宋_GB2312"/>
          <w:sz w:val="32"/>
          <w:szCs w:val="32"/>
          <w:lang w:val="en-US" w:eastAsia="zh-CN"/>
        </w:rPr>
        <w:t>6</w:t>
      </w:r>
      <w:r>
        <w:rPr>
          <w:rFonts w:hint="eastAsia" w:ascii="仿宋_GB2312" w:hAnsi="仿宋" w:eastAsia="仿宋_GB2312"/>
          <w:sz w:val="32"/>
          <w:szCs w:val="32"/>
        </w:rPr>
        <w:t>年</w:t>
      </w:r>
      <w:r>
        <w:rPr>
          <w:rFonts w:ascii="仿宋_GB2312" w:hAnsi="仿宋" w:eastAsia="仿宋_GB2312"/>
          <w:sz w:val="32"/>
          <w:szCs w:val="32"/>
        </w:rPr>
        <w:t>1</w:t>
      </w:r>
      <w:r>
        <w:rPr>
          <w:rFonts w:hint="eastAsia" w:ascii="仿宋_GB2312" w:hAnsi="仿宋" w:eastAsia="仿宋_GB2312"/>
          <w:sz w:val="32"/>
          <w:szCs w:val="32"/>
        </w:rPr>
        <w:t>月</w:t>
      </w:r>
      <w:r>
        <w:rPr>
          <w:rFonts w:hint="eastAsia" w:ascii="仿宋_GB2312" w:hAnsi="仿宋" w:eastAsia="仿宋_GB2312"/>
          <w:sz w:val="32"/>
          <w:szCs w:val="32"/>
          <w:lang w:val="en-US" w:eastAsia="zh-CN"/>
        </w:rPr>
        <w:t>1日</w:t>
      </w:r>
      <w:r>
        <w:rPr>
          <w:rFonts w:hint="eastAsia" w:ascii="仿宋_GB2312" w:hAnsi="仿宋" w:eastAsia="仿宋_GB2312"/>
          <w:sz w:val="32"/>
          <w:szCs w:val="32"/>
        </w:rPr>
        <w:t>-202</w:t>
      </w:r>
      <w:r>
        <w:rPr>
          <w:rFonts w:hint="eastAsia" w:ascii="仿宋_GB2312" w:hAnsi="仿宋" w:eastAsia="仿宋_GB2312"/>
          <w:sz w:val="32"/>
          <w:szCs w:val="32"/>
          <w:lang w:val="en-US" w:eastAsia="zh-CN"/>
        </w:rPr>
        <w:t>6</w:t>
      </w:r>
      <w:r>
        <w:rPr>
          <w:rFonts w:hint="eastAsia" w:ascii="仿宋_GB2312" w:hAnsi="仿宋" w:eastAsia="仿宋_GB2312"/>
          <w:sz w:val="32"/>
          <w:szCs w:val="32"/>
        </w:rPr>
        <w:t>年</w:t>
      </w:r>
      <w:r>
        <w:rPr>
          <w:rFonts w:ascii="仿宋_GB2312" w:hAnsi="仿宋" w:eastAsia="仿宋_GB2312"/>
          <w:sz w:val="32"/>
          <w:szCs w:val="32"/>
        </w:rPr>
        <w:t>12</w:t>
      </w:r>
      <w:r>
        <w:rPr>
          <w:rFonts w:hint="eastAsia" w:ascii="仿宋_GB2312" w:hAnsi="仿宋" w:eastAsia="仿宋_GB2312"/>
          <w:sz w:val="32"/>
          <w:szCs w:val="32"/>
        </w:rPr>
        <w:t>月</w:t>
      </w:r>
      <w:r>
        <w:rPr>
          <w:rFonts w:hint="eastAsia" w:ascii="仿宋_GB2312" w:hAnsi="仿宋" w:eastAsia="仿宋_GB2312"/>
          <w:sz w:val="32"/>
          <w:szCs w:val="32"/>
          <w:lang w:val="en-US" w:eastAsia="zh-CN"/>
        </w:rPr>
        <w:t>31日</w:t>
      </w:r>
    </w:p>
    <w:p>
      <w:pPr>
        <w:pStyle w:val="11"/>
        <w:spacing w:line="460" w:lineRule="exact"/>
        <w:ind w:firstLine="640"/>
        <w:rPr>
          <w:rFonts w:hint="eastAsia" w:ascii="仿宋_GB2312" w:hAnsi="仿宋" w:eastAsia="仿宋_GB2312"/>
          <w:sz w:val="32"/>
          <w:szCs w:val="32"/>
          <w:lang w:eastAsia="zh-CN"/>
        </w:rPr>
      </w:pPr>
      <w:r>
        <w:rPr>
          <w:rFonts w:hint="eastAsia" w:ascii="仿宋_GB2312" w:hAnsi="仿宋" w:eastAsia="仿宋_GB2312"/>
          <w:sz w:val="32"/>
          <w:szCs w:val="32"/>
        </w:rPr>
        <w:t>5.报价方式：（人民币元）报价应包括服务项目中所包含的所有费用（包含但不限于：</w:t>
      </w:r>
      <w:r>
        <w:rPr>
          <w:rFonts w:hint="eastAsia" w:ascii="仿宋" w:hAnsi="仿宋" w:eastAsia="仿宋" w:cs="Tahoma"/>
          <w:color w:val="333333"/>
          <w:sz w:val="32"/>
          <w:szCs w:val="32"/>
          <w:lang w:val="en-US" w:eastAsia="zh-CN"/>
        </w:rPr>
        <w:t>排版</w:t>
      </w:r>
      <w:r>
        <w:rPr>
          <w:rFonts w:hint="eastAsia" w:ascii="仿宋" w:hAnsi="仿宋" w:eastAsia="仿宋" w:cs="Tahoma"/>
          <w:color w:val="333333"/>
          <w:sz w:val="32"/>
          <w:szCs w:val="32"/>
        </w:rPr>
        <w:t>、</w:t>
      </w:r>
      <w:r>
        <w:rPr>
          <w:rFonts w:hint="eastAsia" w:ascii="仿宋" w:hAnsi="仿宋" w:eastAsia="仿宋" w:cs="Tahoma"/>
          <w:color w:val="333333"/>
          <w:sz w:val="32"/>
          <w:szCs w:val="32"/>
          <w:lang w:val="en-US" w:eastAsia="zh-CN"/>
        </w:rPr>
        <w:t>印刷</w:t>
      </w:r>
      <w:r>
        <w:rPr>
          <w:rFonts w:hint="eastAsia" w:ascii="仿宋" w:hAnsi="仿宋" w:eastAsia="仿宋" w:cs="Tahoma"/>
          <w:color w:val="333333"/>
          <w:sz w:val="32"/>
          <w:szCs w:val="32"/>
        </w:rPr>
        <w:t>、</w:t>
      </w:r>
      <w:r>
        <w:rPr>
          <w:rFonts w:hint="eastAsia" w:ascii="仿宋" w:hAnsi="仿宋" w:eastAsia="仿宋" w:cs="Tahoma"/>
          <w:color w:val="333333"/>
          <w:sz w:val="32"/>
          <w:szCs w:val="32"/>
          <w:lang w:val="en-US" w:eastAsia="zh-CN"/>
        </w:rPr>
        <w:t>寄送</w:t>
      </w:r>
      <w:r>
        <w:rPr>
          <w:rFonts w:hint="eastAsia" w:ascii="仿宋_GB2312" w:hAnsi="仿宋" w:eastAsia="仿宋_GB2312"/>
          <w:sz w:val="32"/>
          <w:szCs w:val="32"/>
        </w:rPr>
        <w:t>以及工商、税务、利润及人工等全部费用），注意报价需列清税率、含税数、不含税数</w:t>
      </w:r>
      <w:r>
        <w:rPr>
          <w:rFonts w:hint="eastAsia" w:ascii="仿宋_GB2312" w:hAnsi="仿宋" w:eastAsia="仿宋_GB2312"/>
          <w:sz w:val="32"/>
          <w:szCs w:val="32"/>
          <w:lang w:eastAsia="zh-CN"/>
        </w:rPr>
        <w:t>。</w:t>
      </w:r>
    </w:p>
    <w:p>
      <w:pPr>
        <w:pStyle w:val="11"/>
        <w:spacing w:line="460" w:lineRule="exact"/>
        <w:ind w:firstLine="640"/>
        <w:rPr>
          <w:rFonts w:hint="default" w:ascii="仿宋_GB2312" w:hAnsi="仿宋" w:eastAsia="仿宋_GB2312"/>
          <w:sz w:val="32"/>
          <w:szCs w:val="32"/>
          <w:lang w:val="en-US" w:eastAsia="zh-CN"/>
        </w:rPr>
      </w:pPr>
      <w:r>
        <w:rPr>
          <w:rFonts w:ascii="仿宋_GB2312" w:hAnsi="仿宋" w:eastAsia="仿宋_GB2312"/>
          <w:sz w:val="32"/>
          <w:szCs w:val="32"/>
        </w:rPr>
        <w:t>6</w:t>
      </w:r>
      <w:r>
        <w:rPr>
          <w:rFonts w:hint="eastAsia" w:ascii="仿宋_GB2312" w:hAnsi="仿宋" w:eastAsia="仿宋_GB2312"/>
          <w:sz w:val="32"/>
          <w:szCs w:val="32"/>
        </w:rPr>
        <w:t>.</w:t>
      </w:r>
      <w:r>
        <w:rPr>
          <w:rFonts w:hint="eastAsia" w:ascii="仿宋_GB2312" w:hAnsi="仿宋" w:eastAsia="仿宋_GB2312"/>
          <w:sz w:val="32"/>
          <w:szCs w:val="32"/>
          <w:lang w:val="en-US" w:eastAsia="zh-CN"/>
        </w:rPr>
        <w:t>拟开标</w:t>
      </w:r>
      <w:r>
        <w:rPr>
          <w:rFonts w:hint="eastAsia" w:ascii="仿宋_GB2312" w:hAnsi="仿宋" w:eastAsia="仿宋_GB2312"/>
          <w:sz w:val="32"/>
          <w:szCs w:val="32"/>
        </w:rPr>
        <w:t>地点</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线上开标</w:t>
      </w:r>
    </w:p>
    <w:p>
      <w:pPr>
        <w:pStyle w:val="11"/>
        <w:spacing w:line="460" w:lineRule="exact"/>
        <w:ind w:firstLine="64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7.拟开标</w:t>
      </w:r>
      <w:r>
        <w:rPr>
          <w:rFonts w:hint="eastAsia" w:ascii="仿宋_GB2312" w:hAnsi="仿宋" w:eastAsia="仿宋_GB2312"/>
          <w:sz w:val="32"/>
          <w:szCs w:val="32"/>
        </w:rPr>
        <w:t>时间：</w:t>
      </w:r>
      <w:r>
        <w:rPr>
          <w:rFonts w:ascii="仿宋_GB2312" w:hAnsi="仿宋" w:eastAsia="仿宋_GB2312"/>
          <w:sz w:val="32"/>
          <w:szCs w:val="32"/>
        </w:rPr>
        <w:t>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w:t>
      </w:r>
      <w:r>
        <w:rPr>
          <w:rFonts w:hint="eastAsia" w:ascii="仿宋_GB2312" w:hAnsi="仿宋" w:eastAsia="仿宋_GB2312"/>
          <w:sz w:val="32"/>
          <w:szCs w:val="32"/>
          <w:lang w:val="en-US" w:eastAsia="zh-CN"/>
        </w:rPr>
        <w:t>11</w:t>
      </w:r>
      <w:r>
        <w:rPr>
          <w:rFonts w:hint="eastAsia" w:ascii="仿宋_GB2312" w:hAnsi="仿宋" w:eastAsia="仿宋_GB2312"/>
          <w:sz w:val="32"/>
          <w:szCs w:val="32"/>
        </w:rPr>
        <w:t>月</w:t>
      </w:r>
      <w:r>
        <w:rPr>
          <w:rFonts w:hint="eastAsia" w:ascii="仿宋_GB2312" w:hAnsi="仿宋" w:eastAsia="仿宋_GB2312"/>
          <w:sz w:val="32"/>
          <w:szCs w:val="32"/>
          <w:lang w:val="en-US" w:eastAsia="zh-CN"/>
        </w:rPr>
        <w:t>22</w:t>
      </w:r>
      <w:r>
        <w:rPr>
          <w:rFonts w:hint="eastAsia" w:ascii="仿宋_GB2312" w:hAnsi="仿宋" w:eastAsia="仿宋_GB2312"/>
          <w:sz w:val="32"/>
          <w:szCs w:val="32"/>
        </w:rPr>
        <w:t xml:space="preserve">日 </w:t>
      </w:r>
      <w:r>
        <w:rPr>
          <w:rFonts w:ascii="仿宋_GB2312" w:hAnsi="仿宋" w:eastAsia="仿宋_GB2312"/>
          <w:sz w:val="32"/>
          <w:szCs w:val="32"/>
        </w:rPr>
        <w:t xml:space="preserve"> </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暂定，具体时间地点另行通知</w:t>
      </w:r>
      <w:r>
        <w:rPr>
          <w:rFonts w:hint="eastAsia" w:ascii="仿宋_GB2312" w:hAnsi="仿宋" w:eastAsia="仿宋_GB2312"/>
          <w:sz w:val="32"/>
          <w:szCs w:val="32"/>
          <w:lang w:eastAsia="zh-CN"/>
        </w:rPr>
        <w:t>）</w:t>
      </w:r>
    </w:p>
    <w:p>
      <w:pPr>
        <w:pStyle w:val="11"/>
        <w:spacing w:line="460" w:lineRule="exact"/>
        <w:ind w:firstLine="640"/>
        <w:rPr>
          <w:rFonts w:hint="default" w:ascii="仿宋_GB2312" w:hAnsi="仿宋" w:eastAsia="仿宋_GB2312"/>
          <w:sz w:val="32"/>
          <w:szCs w:val="32"/>
          <w:highlight w:val="yellow"/>
          <w:lang w:val="en-US" w:eastAsia="zh-CN"/>
        </w:rPr>
      </w:pPr>
      <w:r>
        <w:rPr>
          <w:rFonts w:hint="eastAsia" w:ascii="仿宋_GB2312" w:hAnsi="仿宋" w:eastAsia="仿宋_GB2312"/>
          <w:sz w:val="32"/>
          <w:szCs w:val="32"/>
          <w:highlight w:val="yellow"/>
          <w:lang w:val="en-US" w:eastAsia="zh-CN"/>
        </w:rPr>
        <w:t>应标截止时间：</w:t>
      </w:r>
      <w:r>
        <w:rPr>
          <w:rFonts w:ascii="仿宋_GB2312" w:hAnsi="仿宋" w:eastAsia="仿宋_GB2312"/>
          <w:sz w:val="32"/>
          <w:szCs w:val="32"/>
          <w:highlight w:val="yellow"/>
        </w:rPr>
        <w:t>202</w:t>
      </w:r>
      <w:r>
        <w:rPr>
          <w:rFonts w:hint="eastAsia" w:ascii="仿宋_GB2312" w:hAnsi="仿宋" w:eastAsia="仿宋_GB2312"/>
          <w:sz w:val="32"/>
          <w:szCs w:val="32"/>
          <w:highlight w:val="yellow"/>
          <w:lang w:val="en-US" w:eastAsia="zh-CN"/>
        </w:rPr>
        <w:t>5</w:t>
      </w:r>
      <w:r>
        <w:rPr>
          <w:rFonts w:hint="eastAsia" w:ascii="仿宋_GB2312" w:hAnsi="仿宋" w:eastAsia="仿宋_GB2312"/>
          <w:sz w:val="32"/>
          <w:szCs w:val="32"/>
          <w:highlight w:val="yellow"/>
        </w:rPr>
        <w:t>年</w:t>
      </w:r>
      <w:r>
        <w:rPr>
          <w:rFonts w:hint="eastAsia" w:ascii="仿宋_GB2312" w:hAnsi="仿宋" w:eastAsia="仿宋_GB2312"/>
          <w:sz w:val="32"/>
          <w:szCs w:val="32"/>
          <w:highlight w:val="yellow"/>
          <w:lang w:val="en-US" w:eastAsia="zh-CN"/>
        </w:rPr>
        <w:t>11</w:t>
      </w:r>
      <w:r>
        <w:rPr>
          <w:rFonts w:hint="eastAsia" w:ascii="仿宋_GB2312" w:hAnsi="仿宋" w:eastAsia="仿宋_GB2312"/>
          <w:sz w:val="32"/>
          <w:szCs w:val="32"/>
          <w:highlight w:val="yellow"/>
        </w:rPr>
        <w:t>月</w:t>
      </w:r>
      <w:r>
        <w:rPr>
          <w:rFonts w:hint="eastAsia" w:ascii="仿宋_GB2312" w:hAnsi="仿宋" w:eastAsia="仿宋_GB2312"/>
          <w:sz w:val="32"/>
          <w:szCs w:val="32"/>
          <w:highlight w:val="yellow"/>
          <w:lang w:val="en-US" w:eastAsia="zh-CN"/>
        </w:rPr>
        <w:t>16</w:t>
      </w:r>
      <w:r>
        <w:rPr>
          <w:rFonts w:hint="eastAsia" w:ascii="仿宋_GB2312" w:hAnsi="仿宋" w:eastAsia="仿宋_GB2312"/>
          <w:sz w:val="32"/>
          <w:szCs w:val="32"/>
          <w:highlight w:val="yellow"/>
        </w:rPr>
        <w:t>日</w:t>
      </w:r>
      <w:r>
        <w:rPr>
          <w:rFonts w:hint="eastAsia" w:ascii="仿宋_GB2312" w:hAnsi="仿宋" w:eastAsia="仿宋_GB2312"/>
          <w:sz w:val="32"/>
          <w:szCs w:val="32"/>
          <w:highlight w:val="yellow"/>
          <w:lang w:val="en-US" w:eastAsia="zh-CN"/>
        </w:rPr>
        <w:t>17：00</w:t>
      </w:r>
    </w:p>
    <w:p>
      <w:pPr>
        <w:pStyle w:val="11"/>
        <w:spacing w:line="460" w:lineRule="exact"/>
        <w:ind w:firstLine="640"/>
        <w:rPr>
          <w:rFonts w:hint="default" w:ascii="仿宋_GB2312" w:hAnsi="仿宋" w:eastAsia="仿宋_GB2312"/>
          <w:sz w:val="32"/>
          <w:szCs w:val="32"/>
          <w:highlight w:val="yellow"/>
          <w:lang w:val="en-US" w:eastAsia="zh-CN"/>
        </w:rPr>
      </w:pPr>
      <w:r>
        <w:rPr>
          <w:rFonts w:hint="eastAsia" w:ascii="仿宋_GB2312" w:hAnsi="仿宋" w:eastAsia="仿宋_GB2312"/>
          <w:sz w:val="32"/>
          <w:szCs w:val="32"/>
          <w:highlight w:val="yellow"/>
          <w:lang w:val="en-US" w:eastAsia="zh-CN"/>
        </w:rPr>
        <w:t>投标截止时间：</w:t>
      </w:r>
      <w:r>
        <w:rPr>
          <w:rFonts w:ascii="仿宋_GB2312" w:hAnsi="仿宋" w:eastAsia="仿宋_GB2312"/>
          <w:sz w:val="32"/>
          <w:szCs w:val="32"/>
          <w:highlight w:val="yellow"/>
        </w:rPr>
        <w:t>202</w:t>
      </w:r>
      <w:r>
        <w:rPr>
          <w:rFonts w:hint="eastAsia" w:ascii="仿宋_GB2312" w:hAnsi="仿宋" w:eastAsia="仿宋_GB2312"/>
          <w:sz w:val="32"/>
          <w:szCs w:val="32"/>
          <w:highlight w:val="yellow"/>
          <w:lang w:val="en-US" w:eastAsia="zh-CN"/>
        </w:rPr>
        <w:t>5</w:t>
      </w:r>
      <w:r>
        <w:rPr>
          <w:rFonts w:hint="eastAsia" w:ascii="仿宋_GB2312" w:hAnsi="仿宋" w:eastAsia="仿宋_GB2312"/>
          <w:sz w:val="32"/>
          <w:szCs w:val="32"/>
          <w:highlight w:val="yellow"/>
        </w:rPr>
        <w:t>年</w:t>
      </w:r>
      <w:r>
        <w:rPr>
          <w:rFonts w:hint="eastAsia" w:ascii="仿宋_GB2312" w:hAnsi="仿宋" w:eastAsia="仿宋_GB2312"/>
          <w:sz w:val="32"/>
          <w:szCs w:val="32"/>
          <w:highlight w:val="yellow"/>
          <w:lang w:val="en-US" w:eastAsia="zh-CN"/>
        </w:rPr>
        <w:t>11</w:t>
      </w:r>
      <w:r>
        <w:rPr>
          <w:rFonts w:hint="eastAsia" w:ascii="仿宋_GB2312" w:hAnsi="仿宋" w:eastAsia="仿宋_GB2312"/>
          <w:sz w:val="32"/>
          <w:szCs w:val="32"/>
          <w:highlight w:val="yellow"/>
        </w:rPr>
        <w:t>月</w:t>
      </w:r>
      <w:r>
        <w:rPr>
          <w:rFonts w:hint="eastAsia" w:ascii="仿宋_GB2312" w:hAnsi="仿宋" w:eastAsia="仿宋_GB2312"/>
          <w:sz w:val="32"/>
          <w:szCs w:val="32"/>
          <w:highlight w:val="yellow"/>
          <w:lang w:val="en-US" w:eastAsia="zh-CN"/>
        </w:rPr>
        <w:t>21</w:t>
      </w:r>
      <w:r>
        <w:rPr>
          <w:rFonts w:hint="eastAsia" w:ascii="仿宋_GB2312" w:hAnsi="仿宋" w:eastAsia="仿宋_GB2312"/>
          <w:sz w:val="32"/>
          <w:szCs w:val="32"/>
          <w:highlight w:val="yellow"/>
        </w:rPr>
        <w:t>日</w:t>
      </w:r>
      <w:r>
        <w:rPr>
          <w:rFonts w:hint="eastAsia" w:ascii="仿宋_GB2312" w:hAnsi="仿宋" w:eastAsia="仿宋_GB2312"/>
          <w:sz w:val="32"/>
          <w:szCs w:val="32"/>
          <w:highlight w:val="yellow"/>
          <w:lang w:val="en-US" w:eastAsia="zh-CN"/>
        </w:rPr>
        <w:t>17：00</w:t>
      </w:r>
    </w:p>
    <w:p>
      <w:pPr>
        <w:pStyle w:val="11"/>
        <w:numPr>
          <w:ilvl w:val="0"/>
          <w:numId w:val="1"/>
        </w:numPr>
        <w:spacing w:line="460" w:lineRule="exact"/>
        <w:ind w:firstLine="64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保证金</w:t>
      </w:r>
    </w:p>
    <w:p>
      <w:pPr>
        <w:tabs>
          <w:tab w:val="left" w:pos="932"/>
        </w:tabs>
        <w:ind w:firstLine="640" w:firstLineChars="200"/>
        <w:rPr>
          <w:rFonts w:hint="eastAsia" w:ascii="仿宋_GB2312" w:hAnsi="仿宋" w:eastAsia="仿宋_GB2312" w:cstheme="minorBidi"/>
          <w:kern w:val="2"/>
          <w:sz w:val="32"/>
          <w:szCs w:val="32"/>
          <w:lang w:val="en-US" w:eastAsia="zh-CN" w:bidi="ar-SA"/>
        </w:rPr>
      </w:pPr>
      <w:r>
        <w:rPr>
          <w:rFonts w:hint="eastAsia" w:ascii="仿宋_GB2312" w:hAnsi="仿宋" w:eastAsia="仿宋_GB2312" w:cstheme="minorBidi"/>
          <w:kern w:val="2"/>
          <w:sz w:val="32"/>
          <w:szCs w:val="32"/>
          <w:lang w:val="en-US" w:eastAsia="zh-CN" w:bidi="ar-SA"/>
        </w:rPr>
        <w:t>投标保证金的金额：人民币5000.00元</w:t>
      </w:r>
    </w:p>
    <w:p>
      <w:pPr>
        <w:tabs>
          <w:tab w:val="left" w:pos="932"/>
        </w:tabs>
        <w:ind w:firstLine="640" w:firstLineChars="200"/>
        <w:rPr>
          <w:rFonts w:hint="eastAsia" w:ascii="仿宋_GB2312" w:hAnsi="仿宋" w:eastAsia="仿宋_GB2312" w:cstheme="minorBidi"/>
          <w:kern w:val="2"/>
          <w:sz w:val="32"/>
          <w:szCs w:val="32"/>
          <w:lang w:val="en-US" w:eastAsia="zh-CN" w:bidi="ar-SA"/>
        </w:rPr>
      </w:pPr>
      <w:r>
        <w:rPr>
          <w:rFonts w:hint="eastAsia" w:ascii="仿宋_GB2312" w:hAnsi="仿宋" w:eastAsia="仿宋_GB2312" w:cstheme="minorBidi"/>
          <w:kern w:val="2"/>
          <w:sz w:val="32"/>
          <w:szCs w:val="32"/>
          <w:lang w:val="en-US" w:eastAsia="zh-CN" w:bidi="ar-SA"/>
        </w:rPr>
        <w:t>开户名称：中国重汽集团济南动力有限公司</w:t>
      </w:r>
    </w:p>
    <w:p>
      <w:pPr>
        <w:tabs>
          <w:tab w:val="left" w:pos="932"/>
        </w:tabs>
        <w:ind w:firstLine="640" w:firstLineChars="200"/>
        <w:rPr>
          <w:rFonts w:hint="eastAsia" w:ascii="仿宋_GB2312" w:hAnsi="仿宋" w:eastAsia="仿宋_GB2312" w:cstheme="minorBidi"/>
          <w:kern w:val="2"/>
          <w:sz w:val="32"/>
          <w:szCs w:val="32"/>
          <w:lang w:val="en-US" w:eastAsia="zh-CN" w:bidi="ar-SA"/>
        </w:rPr>
      </w:pPr>
      <w:r>
        <w:rPr>
          <w:rFonts w:hint="eastAsia" w:ascii="仿宋_GB2312" w:hAnsi="仿宋" w:eastAsia="仿宋_GB2312" w:cstheme="minorBidi"/>
          <w:kern w:val="2"/>
          <w:sz w:val="32"/>
          <w:szCs w:val="32"/>
          <w:lang w:val="en-US" w:eastAsia="zh-CN" w:bidi="ar-SA"/>
        </w:rPr>
        <w:t>开户银行：中国建设银行济南市天桥区支行</w:t>
      </w:r>
    </w:p>
    <w:p>
      <w:pPr>
        <w:tabs>
          <w:tab w:val="left" w:pos="932"/>
        </w:tabs>
        <w:ind w:firstLine="640" w:firstLineChars="200"/>
        <w:rPr>
          <w:rFonts w:hint="eastAsia" w:ascii="仿宋_GB2312" w:hAnsi="仿宋" w:eastAsia="仿宋_GB2312" w:cstheme="minorBidi"/>
          <w:kern w:val="2"/>
          <w:sz w:val="32"/>
          <w:szCs w:val="32"/>
          <w:lang w:val="en-US" w:eastAsia="zh-CN" w:bidi="ar-SA"/>
        </w:rPr>
      </w:pPr>
      <w:r>
        <w:rPr>
          <w:rFonts w:hint="eastAsia" w:ascii="仿宋_GB2312" w:hAnsi="仿宋" w:eastAsia="仿宋_GB2312" w:cstheme="minorBidi"/>
          <w:kern w:val="2"/>
          <w:sz w:val="32"/>
          <w:szCs w:val="32"/>
          <w:lang w:val="en-US" w:eastAsia="zh-CN" w:bidi="ar-SA"/>
        </w:rPr>
        <w:t>银行帐号：37001616508050150300</w:t>
      </w:r>
    </w:p>
    <w:p>
      <w:pPr>
        <w:ind w:firstLine="640" w:firstLineChars="200"/>
        <w:rPr>
          <w:rFonts w:hint="eastAsia" w:ascii="仿宋_GB2312" w:hAnsi="仿宋" w:eastAsia="仿宋_GB2312" w:cstheme="minorBidi"/>
          <w:kern w:val="2"/>
          <w:sz w:val="32"/>
          <w:szCs w:val="32"/>
          <w:lang w:val="en-US" w:eastAsia="zh-CN" w:bidi="ar-SA"/>
        </w:rPr>
      </w:pPr>
      <w:r>
        <w:rPr>
          <w:rFonts w:hint="eastAsia" w:ascii="仿宋_GB2312" w:hAnsi="仿宋" w:eastAsia="仿宋_GB2312" w:cstheme="minorBidi"/>
          <w:kern w:val="2"/>
          <w:sz w:val="32"/>
          <w:szCs w:val="32"/>
          <w:lang w:val="en-US" w:eastAsia="zh-CN" w:bidi="ar-SA"/>
        </w:rPr>
        <w:t>联行号：105451000362</w:t>
      </w:r>
    </w:p>
    <w:p>
      <w:pPr>
        <w:ind w:firstLine="640" w:firstLineChars="200"/>
        <w:rPr>
          <w:rFonts w:hint="eastAsia" w:ascii="仿宋_GB2312" w:hAnsi="仿宋" w:eastAsia="仿宋_GB2312" w:cstheme="minorBidi"/>
          <w:kern w:val="2"/>
          <w:sz w:val="32"/>
          <w:szCs w:val="32"/>
          <w:lang w:val="en-US" w:eastAsia="zh-CN" w:bidi="ar-SA"/>
        </w:rPr>
      </w:pPr>
      <w:r>
        <w:rPr>
          <w:rFonts w:hint="eastAsia" w:ascii="仿宋_GB2312" w:hAnsi="仿宋" w:eastAsia="仿宋_GB2312" w:cstheme="minorBidi"/>
          <w:kern w:val="2"/>
          <w:sz w:val="32"/>
          <w:szCs w:val="32"/>
          <w:lang w:val="en-US" w:eastAsia="zh-CN" w:bidi="ar-SA"/>
        </w:rPr>
        <w:t>投标保证金应从投标人的基本账户转出至上述账户并到账，否则视为无效投标。</w:t>
      </w:r>
    </w:p>
    <w:p>
      <w:pPr>
        <w:pStyle w:val="11"/>
        <w:numPr>
          <w:numId w:val="0"/>
        </w:numPr>
        <w:spacing w:line="460" w:lineRule="exact"/>
        <w:ind w:firstLine="420" w:firstLineChars="0"/>
        <w:rPr>
          <w:rFonts w:hint="eastAsia" w:ascii="仿宋_GB2312" w:hAnsi="仿宋" w:eastAsia="仿宋_GB2312" w:cstheme="minorBidi"/>
          <w:kern w:val="2"/>
          <w:sz w:val="32"/>
          <w:szCs w:val="32"/>
          <w:highlight w:val="yellow"/>
          <w:lang w:val="en-US" w:eastAsia="zh-CN" w:bidi="ar-SA"/>
        </w:rPr>
      </w:pPr>
      <w:r>
        <w:rPr>
          <w:rFonts w:hint="eastAsia" w:ascii="仿宋_GB2312" w:hAnsi="仿宋" w:eastAsia="仿宋_GB2312" w:cstheme="minorBidi"/>
          <w:kern w:val="2"/>
          <w:sz w:val="32"/>
          <w:szCs w:val="32"/>
          <w:highlight w:val="yellow"/>
          <w:lang w:val="en-US" w:eastAsia="zh-CN" w:bidi="ar-SA"/>
        </w:rPr>
        <w:t>转账附言：公司名称+项目名称+投标保证金。（不按要求备注，不保证保证金退还时间）</w:t>
      </w:r>
    </w:p>
    <w:p>
      <w:pPr>
        <w:pStyle w:val="11"/>
        <w:numPr>
          <w:ilvl w:val="0"/>
          <w:numId w:val="1"/>
        </w:numPr>
        <w:spacing w:line="460" w:lineRule="exact"/>
        <w:ind w:firstLine="64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联系人</w:t>
      </w:r>
    </w:p>
    <w:p>
      <w:pPr>
        <w:pStyle w:val="11"/>
        <w:numPr>
          <w:numId w:val="0"/>
        </w:numPr>
        <w:spacing w:line="460" w:lineRule="exact"/>
        <w:ind w:left="420" w:leftChars="0" w:firstLine="420" w:firstLineChars="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技术联系人：冯晓更 13656407090</w:t>
      </w:r>
    </w:p>
    <w:p>
      <w:pPr>
        <w:pStyle w:val="11"/>
        <w:numPr>
          <w:numId w:val="0"/>
        </w:numPr>
        <w:spacing w:line="460" w:lineRule="exact"/>
        <w:ind w:left="420" w:leftChars="0" w:firstLine="420" w:firstLineChars="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商务联系人：赵力 17860606595</w:t>
      </w:r>
    </w:p>
    <w:p>
      <w:pPr>
        <w:pStyle w:val="11"/>
        <w:numPr>
          <w:ilvl w:val="0"/>
          <w:numId w:val="1"/>
        </w:numPr>
        <w:spacing w:line="460" w:lineRule="exact"/>
        <w:ind w:left="0" w:leftChars="0"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报名方式</w:t>
      </w:r>
    </w:p>
    <w:p>
      <w:pPr>
        <w:numPr>
          <w:ilvl w:val="255"/>
          <w:numId w:val="0"/>
        </w:numPr>
        <w:spacing w:line="360" w:lineRule="auto"/>
        <w:ind w:firstLine="420" w:firstLineChars="0"/>
        <w:jc w:val="left"/>
        <w:rPr>
          <w:rFonts w:hint="eastAsia" w:ascii="仿宋_GB2312" w:hAnsi="仿宋" w:eastAsia="仿宋_GB2312" w:cstheme="minorBidi"/>
          <w:kern w:val="2"/>
          <w:sz w:val="32"/>
          <w:szCs w:val="32"/>
          <w:lang w:val="en-US" w:eastAsia="zh-CN" w:bidi="ar-SA"/>
        </w:rPr>
      </w:pPr>
      <w:r>
        <w:rPr>
          <w:rFonts w:hint="eastAsia" w:ascii="仿宋_GB2312" w:hAnsi="仿宋" w:eastAsia="仿宋_GB2312" w:cstheme="minorBidi"/>
          <w:kern w:val="2"/>
          <w:sz w:val="32"/>
          <w:szCs w:val="32"/>
          <w:lang w:val="en-US" w:eastAsia="zh-CN" w:bidi="ar-SA"/>
        </w:rPr>
        <w:t>本次招标注册、应标、澄清、报价全部操作需要登录E采通系统进行操作，网址如下：</w:t>
      </w:r>
      <w:r>
        <w:rPr>
          <w:rFonts w:hint="eastAsia" w:ascii="仿宋_GB2312" w:hAnsi="仿宋" w:eastAsia="仿宋_GB2312" w:cstheme="minorBidi"/>
          <w:kern w:val="2"/>
          <w:sz w:val="32"/>
          <w:szCs w:val="32"/>
          <w:lang w:val="en-US" w:eastAsia="zh-CN" w:bidi="ar-SA"/>
        </w:rPr>
        <w:fldChar w:fldCharType="begin"/>
      </w:r>
      <w:r>
        <w:rPr>
          <w:rFonts w:hint="eastAsia" w:ascii="仿宋_GB2312" w:hAnsi="仿宋" w:eastAsia="仿宋_GB2312" w:cstheme="minorBidi"/>
          <w:kern w:val="2"/>
          <w:sz w:val="32"/>
          <w:szCs w:val="32"/>
          <w:lang w:val="en-US" w:eastAsia="zh-CN" w:bidi="ar-SA"/>
        </w:rPr>
        <w:instrText xml:space="preserve">HYPERLINK "http://ecaitong.sinotruk.com:8012/，请于截止日期前完成注册、应标等操作。"</w:instrText>
      </w:r>
      <w:r>
        <w:rPr>
          <w:rFonts w:hint="eastAsia" w:ascii="仿宋_GB2312" w:hAnsi="仿宋" w:eastAsia="仿宋_GB2312" w:cstheme="minorBidi"/>
          <w:kern w:val="2"/>
          <w:sz w:val="32"/>
          <w:szCs w:val="32"/>
          <w:lang w:val="en-US" w:eastAsia="zh-CN" w:bidi="ar-SA"/>
        </w:rPr>
        <w:fldChar w:fldCharType="separate"/>
      </w:r>
      <w:r>
        <w:rPr>
          <w:rFonts w:hint="eastAsia" w:ascii="仿宋_GB2312" w:hAnsi="仿宋" w:eastAsia="仿宋_GB2312" w:cstheme="minorBidi"/>
          <w:kern w:val="2"/>
          <w:sz w:val="32"/>
          <w:szCs w:val="32"/>
          <w:lang w:val="en-US" w:eastAsia="zh-CN" w:bidi="ar-SA"/>
        </w:rPr>
        <w:t>http://ecaitong.sinotruk.com:8012/，请于截止日期前完成注册、应标、投标等操作，超过截止日期未将盖章（或电子章）技术标、商务标、资质等文件上传系统的，系统自动关闭上传入口，视为放弃应标。</w:t>
      </w:r>
      <w:r>
        <w:rPr>
          <w:rFonts w:hint="eastAsia" w:ascii="仿宋_GB2312" w:hAnsi="仿宋" w:eastAsia="仿宋_GB2312" w:cstheme="minorBidi"/>
          <w:kern w:val="2"/>
          <w:sz w:val="32"/>
          <w:szCs w:val="32"/>
          <w:lang w:val="en-US" w:eastAsia="zh-CN" w:bidi="ar-SA"/>
        </w:rPr>
        <w:fldChar w:fldCharType="end"/>
      </w:r>
    </w:p>
    <w:p>
      <w:pPr>
        <w:spacing w:line="360" w:lineRule="auto"/>
        <w:ind w:left="1890" w:hanging="1890" w:hangingChars="900"/>
        <w:rPr>
          <w:rFonts w:hint="eastAsia" w:ascii="宋体" w:hAnsi="宋体" w:eastAsia="宋体" w:cs="宋体"/>
          <w:color w:val="000000" w:themeColor="text1"/>
          <w:szCs w:val="20"/>
          <w:highlight w:val="none"/>
          <w:lang w:bidi="ar"/>
          <w14:textFill>
            <w14:solidFill>
              <w14:schemeClr w14:val="tx1"/>
            </w14:solidFill>
          </w14:textFill>
        </w:rPr>
      </w:pPr>
      <w:r>
        <w:rPr>
          <w:rFonts w:hint="eastAsia" w:ascii="宋体" w:hAnsi="Courier New" w:eastAsia="宋体" w:cs="宋体"/>
          <w:szCs w:val="20"/>
          <w:highlight w:val="none"/>
          <w:lang w:bidi="ar"/>
        </w:rPr>
        <w:t xml:space="preserve">    </w:t>
      </w:r>
      <w:r>
        <w:rPr>
          <w:rFonts w:ascii="宋体" w:hAnsi="宋体"/>
          <w:szCs w:val="20"/>
          <w:highlight w:val="none"/>
        </w:rPr>
        <w:t xml:space="preserve"> </w:t>
      </w:r>
      <w:r>
        <w:rPr>
          <w:rFonts w:hint="eastAsia" w:ascii="宋体" w:hAnsi="宋体"/>
          <w:szCs w:val="20"/>
          <w:highlight w:val="none"/>
        </w:rPr>
        <w:t xml:space="preserve"> </w:t>
      </w:r>
      <w:r>
        <w:rPr>
          <w:rFonts w:hint="eastAsia" w:ascii="宋体" w:hAnsi="宋体" w:eastAsia="宋体" w:cs="宋体"/>
          <w:color w:val="000000" w:themeColor="text1"/>
          <w:szCs w:val="20"/>
          <w:highlight w:val="none"/>
          <w:lang w:bidi="ar"/>
          <w14:textFill>
            <w14:solidFill>
              <w14:schemeClr w14:val="tx1"/>
            </w14:solidFill>
          </w14:textFill>
        </w:rPr>
        <w:object>
          <v:shape id="_x0000_i1025" o:spt="75" type="#_x0000_t75" style="height:67pt;width:72pt;" o:ole="t" filled="f" o:preferrelative="t" stroked="f" coordsize="21600,21600">
            <v:path/>
            <v:fill on="f" focussize="0,0"/>
            <v:stroke on="f" joinstyle="miter"/>
            <v:imagedata r:id="rId11" o:title=""/>
            <o:lock v:ext="edit" aspectratio="t"/>
            <w10:wrap type="none"/>
            <w10:anchorlock/>
          </v:shape>
          <o:OLEObject Type="Embed" ProgID="Package" ShapeID="_x0000_i1025" DrawAspect="Icon" ObjectID="_1468075725" r:id="rId10">
            <o:LockedField>false</o:LockedField>
          </o:OLEObject>
        </w:object>
      </w:r>
      <w:r>
        <w:rPr>
          <w:rFonts w:hint="eastAsia" w:ascii="宋体" w:hAnsi="宋体" w:eastAsia="宋体" w:cs="宋体"/>
          <w:color w:val="000000" w:themeColor="text1"/>
          <w:szCs w:val="20"/>
          <w:highlight w:val="none"/>
          <w:lang w:bidi="ar"/>
          <w14:textFill>
            <w14:solidFill>
              <w14:schemeClr w14:val="tx1"/>
            </w14:solidFill>
          </w14:textFill>
        </w:rPr>
        <w:object>
          <v:shape id="_x0000_i1026" o:spt="75" type="#_x0000_t75" style="height:67pt;width:72pt;" o:ole="t" filled="f" o:preferrelative="t" stroked="f" coordsize="21600,21600">
            <v:path/>
            <v:fill on="f" focussize="0,0"/>
            <v:stroke on="f" joinstyle="miter"/>
            <v:imagedata r:id="rId13" o:title=""/>
            <o:lock v:ext="edit" aspectratio="t"/>
            <w10:wrap type="none"/>
            <w10:anchorlock/>
          </v:shape>
          <o:OLEObject Type="Embed" ProgID="Word.Document.12" ShapeID="_x0000_i1026" DrawAspect="Icon" ObjectID="_1468075726" r:id="rId12">
            <o:LockedField>false</o:LockedField>
          </o:OLEObject>
        </w:object>
      </w:r>
    </w:p>
    <w:p>
      <w:pPr>
        <w:pStyle w:val="2"/>
      </w:pPr>
    </w:p>
    <w:p>
      <w:pPr>
        <w:pStyle w:val="11"/>
        <w:numPr>
          <w:numId w:val="0"/>
        </w:numPr>
        <w:spacing w:line="460" w:lineRule="exact"/>
        <w:ind w:leftChars="200"/>
        <w:rPr>
          <w:rFonts w:hint="default" w:ascii="仿宋_GB2312" w:hAnsi="仿宋" w:eastAsia="仿宋_GB2312"/>
          <w:sz w:val="32"/>
          <w:szCs w:val="32"/>
          <w:lang w:val="en-US" w:eastAsia="zh-CN"/>
        </w:rPr>
      </w:pPr>
    </w:p>
    <w:p>
      <w:pPr>
        <w:pStyle w:val="11"/>
        <w:spacing w:line="460" w:lineRule="exact"/>
        <w:ind w:firstLine="643"/>
        <w:rPr>
          <w:rFonts w:ascii="仿宋_GB2312" w:hAnsi="仿宋" w:eastAsia="仿宋_GB2312"/>
          <w:b/>
          <w:sz w:val="32"/>
          <w:szCs w:val="32"/>
        </w:rPr>
      </w:pPr>
      <w:r>
        <w:rPr>
          <w:rFonts w:hint="eastAsia" w:ascii="仿宋_GB2312" w:hAnsi="仿宋" w:eastAsia="仿宋_GB2312"/>
          <w:b/>
          <w:sz w:val="32"/>
          <w:szCs w:val="32"/>
          <w:lang w:val="en-US" w:eastAsia="zh-CN"/>
        </w:rPr>
        <w:t>二</w:t>
      </w:r>
      <w:r>
        <w:rPr>
          <w:rFonts w:hint="eastAsia" w:ascii="仿宋_GB2312" w:hAnsi="仿宋" w:eastAsia="仿宋_GB2312"/>
          <w:b/>
          <w:sz w:val="32"/>
          <w:szCs w:val="32"/>
        </w:rPr>
        <w:t>、付款条件及付款方式</w:t>
      </w:r>
    </w:p>
    <w:p>
      <w:pPr>
        <w:autoSpaceDE w:val="0"/>
        <w:autoSpaceDN w:val="0"/>
        <w:adjustRightInd w:val="0"/>
        <w:spacing w:line="4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zh-CN"/>
        </w:rPr>
        <w:t>1.付款条件：乙方</w:t>
      </w:r>
      <w:r>
        <w:rPr>
          <w:rFonts w:hint="eastAsia" w:ascii="仿宋_GB2312" w:hAnsi="仿宋" w:eastAsia="仿宋_GB2312"/>
          <w:sz w:val="32"/>
          <w:szCs w:val="32"/>
          <w:lang w:val="en-US" w:eastAsia="zh-CN"/>
        </w:rPr>
        <w:t>按照甲方要求</w:t>
      </w:r>
      <w:r>
        <w:rPr>
          <w:rFonts w:hint="eastAsia" w:ascii="仿宋_GB2312" w:hAnsi="仿宋" w:eastAsia="仿宋_GB2312"/>
          <w:sz w:val="32"/>
          <w:szCs w:val="32"/>
          <w:lang w:val="zh-CN"/>
        </w:rPr>
        <w:t>完成</w:t>
      </w:r>
      <w:r>
        <w:rPr>
          <w:rFonts w:hint="eastAsia" w:ascii="仿宋_GB2312" w:hAnsi="仿宋" w:eastAsia="仿宋_GB2312"/>
          <w:sz w:val="32"/>
          <w:szCs w:val="32"/>
          <w:lang w:val="en-US" w:eastAsia="zh-CN"/>
        </w:rPr>
        <w:t>每期《重型汽车报》的印刷及发行工作</w:t>
      </w:r>
      <w:r>
        <w:rPr>
          <w:rFonts w:hint="eastAsia" w:ascii="仿宋_GB2312" w:hAnsi="仿宋" w:eastAsia="仿宋_GB2312"/>
          <w:sz w:val="32"/>
          <w:szCs w:val="32"/>
          <w:lang w:val="zh-CN"/>
        </w:rPr>
        <w:t>，</w:t>
      </w:r>
      <w:r>
        <w:rPr>
          <w:rFonts w:hint="eastAsia" w:ascii="仿宋_GB2312" w:hAnsi="仿宋" w:eastAsia="仿宋_GB2312"/>
          <w:sz w:val="32"/>
          <w:szCs w:val="32"/>
          <w:lang w:val="en-US" w:eastAsia="zh-CN"/>
        </w:rPr>
        <w:t>并</w:t>
      </w:r>
      <w:r>
        <w:rPr>
          <w:rFonts w:hint="eastAsia" w:ascii="仿宋_GB2312" w:hAnsi="仿宋" w:eastAsia="仿宋_GB2312"/>
          <w:sz w:val="32"/>
          <w:szCs w:val="32"/>
          <w:lang w:val="zh-CN"/>
        </w:rPr>
        <w:t>向甲方提供增值税专用发票，甲方向乙方付清款项。</w:t>
      </w:r>
    </w:p>
    <w:p>
      <w:pPr>
        <w:autoSpaceDE w:val="0"/>
        <w:autoSpaceDN w:val="0"/>
        <w:adjustRightInd w:val="0"/>
        <w:spacing w:line="4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2.付款周期：月结</w:t>
      </w:r>
    </w:p>
    <w:p>
      <w:pPr>
        <w:spacing w:line="4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3.</w:t>
      </w:r>
      <w:r>
        <w:rPr>
          <w:rFonts w:hint="eastAsia" w:ascii="仿宋_GB2312" w:hAnsi="仿宋" w:eastAsia="仿宋_GB2312"/>
          <w:sz w:val="32"/>
          <w:szCs w:val="32"/>
        </w:rPr>
        <w:t>付款方式：</w:t>
      </w:r>
      <w:r>
        <w:rPr>
          <w:rFonts w:hint="eastAsia" w:ascii="仿宋_GB2312" w:hAnsi="仿宋" w:eastAsia="仿宋_GB2312"/>
          <w:sz w:val="32"/>
          <w:szCs w:val="32"/>
          <w:lang w:val="en-US" w:eastAsia="zh-CN"/>
        </w:rPr>
        <w:t>现款结算（或电汇）</w:t>
      </w:r>
    </w:p>
    <w:p>
      <w:pPr>
        <w:keepNext w:val="0"/>
        <w:keepLines w:val="0"/>
        <w:widowControl/>
        <w:suppressLineNumbers w:val="0"/>
        <w:jc w:val="left"/>
      </w:pPr>
      <w:r>
        <w:rPr>
          <w:rFonts w:ascii="仿宋_GB2312" w:hAnsi="仿宋_GB2312" w:eastAsia="仿宋_GB2312" w:cs="仿宋_GB2312"/>
          <w:color w:val="000000"/>
          <w:kern w:val="0"/>
          <w:sz w:val="28"/>
          <w:szCs w:val="28"/>
          <w:lang w:val="en-US" w:eastAsia="zh-CN" w:bidi="ar"/>
        </w:rPr>
        <w:t xml:space="preserve">印刷费用结算周期为：每月结算一次印刷费，甲方对交付的印刷成 </w:t>
      </w:r>
    </w:p>
    <w:p>
      <w:pPr>
        <w:keepNext w:val="0"/>
        <w:keepLines w:val="0"/>
        <w:widowControl/>
        <w:suppressLineNumbers w:val="0"/>
        <w:jc w:val="left"/>
      </w:pPr>
      <w:r>
        <w:rPr>
          <w:rFonts w:ascii="仿宋_GB2312" w:hAnsi="仿宋_GB2312" w:eastAsia="仿宋_GB2312" w:cs="仿宋_GB2312"/>
          <w:color w:val="000000"/>
          <w:kern w:val="0"/>
          <w:sz w:val="28"/>
          <w:szCs w:val="28"/>
          <w:lang w:val="en-US" w:eastAsia="zh-CN" w:bidi="ar"/>
        </w:rPr>
        <w:t>品验收合格，乙方开具当期费用的增值税专用发票后，甲方 30 日内支付款项。</w:t>
      </w:r>
      <w:r>
        <w:rPr>
          <w:rFonts w:ascii="仿宋_GB2312" w:hAnsi="仿宋_GB2312" w:eastAsia="仿宋_GB2312" w:cs="仿宋_GB2312"/>
          <w:b/>
          <w:bCs/>
          <w:color w:val="000000"/>
          <w:kern w:val="0"/>
          <w:sz w:val="28"/>
          <w:szCs w:val="28"/>
          <w:lang w:val="en-US" w:eastAsia="zh-CN" w:bidi="ar"/>
        </w:rPr>
        <w:t xml:space="preserve"> </w:t>
      </w:r>
      <w:r>
        <w:rPr>
          <w:rFonts w:ascii="仿宋_GB2312" w:hAnsi="仿宋_GB2312" w:eastAsia="仿宋_GB2312" w:cs="仿宋_GB2312"/>
          <w:color w:val="000000"/>
          <w:kern w:val="0"/>
          <w:sz w:val="28"/>
          <w:szCs w:val="28"/>
          <w:lang w:val="en-US" w:eastAsia="zh-CN" w:bidi="ar"/>
        </w:rPr>
        <w:t>因发票违规给付款方造成的增值税、所得税等损失，由开票方承担相关责任，包括但不限于税款、滞纳金、罚款及其它相关损失。</w:t>
      </w:r>
    </w:p>
    <w:p>
      <w:pPr>
        <w:spacing w:line="460" w:lineRule="exact"/>
        <w:ind w:firstLine="640" w:firstLineChars="200"/>
        <w:rPr>
          <w:rFonts w:hint="default" w:ascii="仿宋_GB2312" w:hAnsi="仿宋" w:eastAsia="仿宋_GB2312"/>
          <w:sz w:val="32"/>
          <w:szCs w:val="32"/>
          <w:lang w:val="en-US" w:eastAsia="zh-CN"/>
        </w:rPr>
      </w:pPr>
    </w:p>
    <w:p>
      <w:pPr>
        <w:pStyle w:val="11"/>
        <w:tabs>
          <w:tab w:val="left" w:pos="862"/>
        </w:tabs>
        <w:spacing w:line="460" w:lineRule="exact"/>
        <w:ind w:firstLine="643"/>
        <w:rPr>
          <w:rFonts w:ascii="仿宋_GB2312" w:hAnsi="仿宋" w:eastAsia="仿宋_GB2312"/>
          <w:b/>
          <w:sz w:val="32"/>
          <w:szCs w:val="32"/>
        </w:rPr>
      </w:pPr>
      <w:r>
        <w:rPr>
          <w:rFonts w:hint="eastAsia" w:ascii="仿宋_GB2312" w:hAnsi="仿宋" w:eastAsia="仿宋_GB2312"/>
          <w:b/>
          <w:sz w:val="32"/>
          <w:szCs w:val="32"/>
          <w:lang w:val="en-US" w:eastAsia="zh-CN"/>
        </w:rPr>
        <w:t>三</w:t>
      </w:r>
      <w:r>
        <w:rPr>
          <w:rFonts w:hint="eastAsia" w:ascii="仿宋_GB2312" w:hAnsi="仿宋" w:eastAsia="仿宋_GB2312"/>
          <w:b/>
          <w:sz w:val="32"/>
          <w:szCs w:val="32"/>
        </w:rPr>
        <w:t>、投标人资格条件及要求</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1. 投标人应遵守《中华人民共和国招投标法》及有关的法律和法规。具备独立法人资格，具有独立承担民事责任能力、良好的财务状况、一定的垫资能力，经营稳定，资质符合项目要求，具有全面履约能力。</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2. 投标人的注册资金不低于项目标的或</w:t>
      </w:r>
      <w:r>
        <w:rPr>
          <w:rFonts w:hint="eastAsia" w:ascii="仿宋_GB2312" w:hAnsi="仿宋" w:eastAsia="仿宋_GB2312"/>
          <w:sz w:val="32"/>
          <w:szCs w:val="32"/>
          <w:lang w:val="en-US" w:eastAsia="zh-CN"/>
        </w:rPr>
        <w:t>50</w:t>
      </w:r>
      <w:r>
        <w:rPr>
          <w:rFonts w:hint="eastAsia" w:ascii="仿宋_GB2312" w:hAnsi="仿宋" w:eastAsia="仿宋_GB2312"/>
          <w:sz w:val="32"/>
          <w:szCs w:val="32"/>
        </w:rPr>
        <w:t>万</w:t>
      </w:r>
      <w:r>
        <w:rPr>
          <w:rFonts w:hint="eastAsia" w:ascii="仿宋_GB2312" w:hAnsi="仿宋" w:eastAsia="仿宋_GB2312"/>
          <w:sz w:val="32"/>
          <w:szCs w:val="32"/>
          <w:lang w:val="en-US" w:eastAsia="zh-CN"/>
        </w:rPr>
        <w:t>元</w:t>
      </w:r>
      <w:r>
        <w:rPr>
          <w:rFonts w:hint="eastAsia" w:ascii="仿宋_GB2312" w:hAnsi="仿宋" w:eastAsia="仿宋_GB2312"/>
          <w:sz w:val="32"/>
          <w:szCs w:val="32"/>
        </w:rPr>
        <w:t>，事业单位法人证书在有效期内并且经营范围满足招标人需求，在国内注册三年以上（以事业单位法人证书成立日期到开标当日计算）。不符合本条款要求的视为废标项，招标人有权取消其投标资格。</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3.投标人在国家企业信用信息公示系统中有不良记录、近三年的公司财务报表异常、存在严重违规或被列入招标人“黑名单”的，招标人有权取消其投标资格。</w:t>
      </w:r>
    </w:p>
    <w:p>
      <w:pPr>
        <w:pStyle w:val="11"/>
        <w:spacing w:line="460" w:lineRule="exact"/>
        <w:ind w:firstLine="640"/>
        <w:rPr>
          <w:rFonts w:ascii="仿宋_GB2312" w:hAnsi="仿宋" w:eastAsia="仿宋_GB2312"/>
          <w:sz w:val="32"/>
          <w:szCs w:val="32"/>
        </w:rPr>
      </w:pPr>
      <w:r>
        <w:rPr>
          <w:rFonts w:ascii="仿宋_GB2312" w:hAnsi="仿宋" w:eastAsia="仿宋_GB2312"/>
          <w:sz w:val="32"/>
          <w:szCs w:val="32"/>
        </w:rPr>
        <w:t>4</w:t>
      </w:r>
      <w:r>
        <w:rPr>
          <w:rFonts w:hint="eastAsia" w:ascii="仿宋_GB2312" w:hAnsi="仿宋" w:eastAsia="仿宋_GB2312"/>
          <w:sz w:val="32"/>
          <w:szCs w:val="32"/>
        </w:rPr>
        <w:t>.投标人应认可招标人的工作指令，包括节、假日能正常开展工作的招标要求。</w:t>
      </w:r>
    </w:p>
    <w:p>
      <w:pPr>
        <w:pStyle w:val="11"/>
        <w:spacing w:line="460" w:lineRule="exact"/>
        <w:ind w:firstLine="640"/>
        <w:rPr>
          <w:rFonts w:ascii="仿宋_GB2312" w:hAnsi="仿宋" w:eastAsia="仿宋_GB2312"/>
          <w:sz w:val="32"/>
          <w:szCs w:val="32"/>
        </w:rPr>
      </w:pPr>
      <w:r>
        <w:rPr>
          <w:rFonts w:ascii="仿宋_GB2312" w:hAnsi="仿宋" w:eastAsia="仿宋_GB2312"/>
          <w:sz w:val="32"/>
          <w:szCs w:val="32"/>
        </w:rPr>
        <w:t>5</w:t>
      </w:r>
      <w:r>
        <w:rPr>
          <w:rFonts w:hint="eastAsia" w:ascii="仿宋_GB2312" w:hAnsi="仿宋" w:eastAsia="仿宋_GB2312"/>
          <w:sz w:val="32"/>
          <w:szCs w:val="32"/>
        </w:rPr>
        <w:t>.资格审查方式：资格后审，合格制。投标人应编制资格后审文件，否则视为放弃投标，内容包括：</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（1）投标人基本情况表，附带投标人事业单位法人证书副本及复印件（加盖单位公章）。</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（2）法定代表人身份证复印件，若法定代表人不能出席，需有法定代表人授权委托书（格式见附件1）及被委托人身份证（加盖公章）。</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3）财务状况报告，依法缴纳税收和社会保障资金的相关材料原件或复印件盖公章（财务状况报告：近三年财务审计报告、公司财务报表或开户银行出具的资信证明；税收材料：税收完税凭证或税务部门出具的纳税证明；社会保障资金材料：缴纳社会保险的凭据）。</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4</w:t>
      </w:r>
      <w:r>
        <w:rPr>
          <w:rFonts w:hint="eastAsia" w:ascii="仿宋_GB2312" w:hAnsi="仿宋" w:eastAsia="仿宋_GB2312"/>
          <w:sz w:val="32"/>
          <w:szCs w:val="32"/>
        </w:rPr>
        <w:t>）无重大违法记录的书面声明原件。</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5</w:t>
      </w:r>
      <w:r>
        <w:rPr>
          <w:rFonts w:hint="eastAsia" w:ascii="仿宋_GB2312" w:hAnsi="仿宋" w:eastAsia="仿宋_GB2312"/>
          <w:sz w:val="32"/>
          <w:szCs w:val="32"/>
        </w:rPr>
        <w:t>）信用承诺书原件。</w:t>
      </w:r>
    </w:p>
    <w:p>
      <w:pPr>
        <w:pStyle w:val="11"/>
        <w:spacing w:line="460" w:lineRule="exact"/>
        <w:ind w:firstLine="640"/>
        <w:rPr>
          <w:rFonts w:hint="eastAsia"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6</w:t>
      </w:r>
      <w:r>
        <w:rPr>
          <w:rFonts w:hint="eastAsia" w:ascii="仿宋_GB2312" w:hAnsi="仿宋" w:eastAsia="仿宋_GB2312"/>
          <w:sz w:val="32"/>
          <w:szCs w:val="32"/>
        </w:rPr>
        <w:t>）证明投标人资格条件的其他资质、等级证书。</w:t>
      </w:r>
    </w:p>
    <w:p>
      <w:pPr>
        <w:pStyle w:val="11"/>
        <w:spacing w:line="460" w:lineRule="exact"/>
        <w:ind w:firstLine="64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（7）投标保证金缴纳证明。</w:t>
      </w:r>
    </w:p>
    <w:p>
      <w:pPr>
        <w:pStyle w:val="11"/>
        <w:spacing w:line="460" w:lineRule="exact"/>
        <w:ind w:firstLine="640"/>
        <w:rPr>
          <w:rFonts w:ascii="仿宋_GB2312" w:hAnsi="仿宋" w:eastAsia="仿宋_GB2312"/>
          <w:sz w:val="32"/>
          <w:szCs w:val="32"/>
        </w:rPr>
      </w:pPr>
      <w:r>
        <w:rPr>
          <w:rFonts w:hint="eastAsia" w:ascii="仿宋_GB2312" w:hAnsi="仿宋" w:eastAsia="仿宋_GB2312"/>
          <w:sz w:val="32"/>
          <w:szCs w:val="32"/>
        </w:rPr>
        <w:t>开标时，投标人应携带以上原件备查，否则视为废标。</w:t>
      </w:r>
    </w:p>
    <w:p>
      <w:pPr>
        <w:widowControl/>
        <w:spacing w:line="460" w:lineRule="exact"/>
        <w:ind w:firstLine="643" w:firstLineChars="200"/>
        <w:rPr>
          <w:rFonts w:ascii="仿宋_GB2312" w:hAnsi="仿宋" w:eastAsia="仿宋_GB2312" w:cs="Times New Roman"/>
          <w:b/>
          <w:kern w:val="0"/>
          <w:sz w:val="32"/>
          <w:szCs w:val="32"/>
        </w:rPr>
      </w:pPr>
      <w:r>
        <w:rPr>
          <w:rFonts w:hint="eastAsia" w:ascii="仿宋_GB2312" w:hAnsi="仿宋" w:eastAsia="仿宋_GB2312" w:cs="仿宋"/>
          <w:b/>
          <w:bCs/>
          <w:kern w:val="0"/>
          <w:sz w:val="32"/>
          <w:szCs w:val="32"/>
          <w:lang w:val="en-US" w:eastAsia="zh-CN"/>
        </w:rPr>
        <w:t>四</w:t>
      </w:r>
      <w:r>
        <w:rPr>
          <w:rFonts w:hint="eastAsia" w:ascii="仿宋_GB2312" w:hAnsi="仿宋" w:eastAsia="仿宋_GB2312" w:cs="仿宋"/>
          <w:b/>
          <w:bCs/>
          <w:kern w:val="0"/>
          <w:sz w:val="32"/>
          <w:szCs w:val="32"/>
        </w:rPr>
        <w:t>、</w:t>
      </w:r>
      <w:r>
        <w:rPr>
          <w:rFonts w:hint="eastAsia" w:ascii="仿宋_GB2312" w:hAnsi="仿宋" w:eastAsia="仿宋_GB2312" w:cs="Times New Roman"/>
          <w:b/>
          <w:kern w:val="0"/>
          <w:sz w:val="32"/>
          <w:szCs w:val="32"/>
        </w:rPr>
        <w:t>投标书</w:t>
      </w:r>
    </w:p>
    <w:p>
      <w:pPr>
        <w:widowControl/>
        <w:spacing w:line="460" w:lineRule="exact"/>
        <w:ind w:firstLine="640" w:firstLineChars="200"/>
        <w:rPr>
          <w:rFonts w:hint="eastAsia" w:ascii="仿宋_GB2312" w:hAnsi="仿宋" w:eastAsia="仿宋_GB2312" w:cs="Times New Roman"/>
          <w:kern w:val="0"/>
          <w:sz w:val="32"/>
          <w:szCs w:val="32"/>
        </w:rPr>
      </w:pPr>
      <w:r>
        <w:rPr>
          <w:rFonts w:hint="eastAsia" w:ascii="仿宋_GB2312" w:hAnsi="仿宋" w:eastAsia="仿宋_GB2312" w:cs="Times New Roman"/>
          <w:kern w:val="0"/>
          <w:sz w:val="32"/>
          <w:szCs w:val="32"/>
        </w:rPr>
        <w:t>1.资质文件：符合标书第</w:t>
      </w:r>
      <w:r>
        <w:rPr>
          <w:rFonts w:hint="eastAsia" w:ascii="仿宋_GB2312" w:hAnsi="仿宋" w:eastAsia="仿宋_GB2312" w:cs="Times New Roman"/>
          <w:kern w:val="0"/>
          <w:sz w:val="32"/>
          <w:szCs w:val="32"/>
          <w:lang w:val="en-US" w:eastAsia="zh-CN"/>
        </w:rPr>
        <w:t>三</w:t>
      </w:r>
      <w:r>
        <w:rPr>
          <w:rFonts w:hint="eastAsia" w:ascii="仿宋_GB2312" w:hAnsi="仿宋" w:eastAsia="仿宋_GB2312" w:cs="Times New Roman"/>
          <w:kern w:val="0"/>
          <w:sz w:val="32"/>
          <w:szCs w:val="32"/>
        </w:rPr>
        <w:t>条第</w:t>
      </w:r>
      <w:r>
        <w:rPr>
          <w:rFonts w:ascii="仿宋_GB2312" w:hAnsi="仿宋" w:eastAsia="仿宋_GB2312" w:cs="Times New Roman"/>
          <w:kern w:val="0"/>
          <w:sz w:val="32"/>
          <w:szCs w:val="32"/>
        </w:rPr>
        <w:t>5</w:t>
      </w:r>
      <w:r>
        <w:rPr>
          <w:rFonts w:hint="eastAsia" w:ascii="仿宋_GB2312" w:hAnsi="仿宋" w:eastAsia="仿宋_GB2312" w:cs="Times New Roman"/>
          <w:kern w:val="0"/>
          <w:sz w:val="32"/>
          <w:szCs w:val="32"/>
        </w:rPr>
        <w:t>目的资质文件</w:t>
      </w:r>
    </w:p>
    <w:p>
      <w:pPr>
        <w:widowControl/>
        <w:spacing w:line="460" w:lineRule="exact"/>
        <w:ind w:firstLine="640" w:firstLineChars="200"/>
        <w:rPr>
          <w:rFonts w:ascii="仿宋_GB2312" w:hAnsi="仿宋" w:eastAsia="仿宋_GB2312" w:cs="Times New Roman"/>
          <w:kern w:val="0"/>
          <w:sz w:val="32"/>
          <w:szCs w:val="32"/>
        </w:rPr>
      </w:pPr>
      <w:r>
        <w:rPr>
          <w:rFonts w:hint="eastAsia" w:ascii="仿宋_GB2312" w:hAnsi="仿宋" w:eastAsia="仿宋_GB2312" w:cs="Times New Roman"/>
          <w:kern w:val="0"/>
          <w:sz w:val="32"/>
          <w:szCs w:val="32"/>
        </w:rPr>
        <w:t>2.商务部分：报价单；</w:t>
      </w:r>
    </w:p>
    <w:p>
      <w:pPr>
        <w:widowControl/>
        <w:spacing w:line="460" w:lineRule="exact"/>
        <w:ind w:firstLine="640" w:firstLineChars="200"/>
        <w:rPr>
          <w:rFonts w:ascii="仿宋_GB2312" w:hAnsi="仿宋" w:eastAsia="仿宋_GB2312" w:cs="Times New Roman"/>
          <w:kern w:val="0"/>
          <w:sz w:val="32"/>
          <w:szCs w:val="32"/>
        </w:rPr>
      </w:pPr>
      <w:r>
        <w:rPr>
          <w:rFonts w:hint="eastAsia" w:ascii="仿宋_GB2312" w:hAnsi="仿宋" w:eastAsia="仿宋_GB2312" w:cs="Times New Roman"/>
          <w:kern w:val="0"/>
          <w:sz w:val="32"/>
          <w:szCs w:val="32"/>
        </w:rPr>
        <w:t>3.技术部分：服务方案等；</w:t>
      </w:r>
    </w:p>
    <w:p>
      <w:pPr>
        <w:widowControl/>
        <w:spacing w:line="460" w:lineRule="exact"/>
        <w:ind w:firstLine="640" w:firstLineChars="200"/>
        <w:rPr>
          <w:rFonts w:ascii="仿宋_GB2312" w:hAnsi="仿宋" w:eastAsia="仿宋_GB2312" w:cs="Times New Roman"/>
          <w:kern w:val="0"/>
          <w:sz w:val="32"/>
          <w:szCs w:val="32"/>
        </w:rPr>
      </w:pPr>
      <w:r>
        <w:rPr>
          <w:rFonts w:hint="eastAsia" w:ascii="仿宋_GB2312" w:hAnsi="仿宋" w:eastAsia="仿宋_GB2312" w:cs="Times New Roman"/>
          <w:kern w:val="0"/>
          <w:sz w:val="32"/>
          <w:szCs w:val="32"/>
        </w:rPr>
        <w:t>以上三部分请独立封装，现场将根据评标办法依次拆封。</w:t>
      </w:r>
    </w:p>
    <w:p>
      <w:pPr>
        <w:widowControl/>
        <w:spacing w:line="460" w:lineRule="exact"/>
        <w:ind w:firstLine="643" w:firstLineChars="200"/>
        <w:rPr>
          <w:rFonts w:ascii="仿宋_GB2312" w:hAnsi="仿宋" w:eastAsia="仿宋_GB2312" w:cs="宋体"/>
          <w:b/>
          <w:bCs/>
          <w:kern w:val="0"/>
          <w:sz w:val="32"/>
          <w:szCs w:val="32"/>
        </w:rPr>
      </w:pPr>
      <w:r>
        <w:rPr>
          <w:rFonts w:hint="eastAsia" w:ascii="仿宋_GB2312" w:hAnsi="仿宋" w:eastAsia="仿宋_GB2312" w:cs="宋体"/>
          <w:b/>
          <w:bCs/>
          <w:kern w:val="0"/>
          <w:sz w:val="32"/>
          <w:szCs w:val="32"/>
          <w:lang w:val="en-US" w:eastAsia="zh-CN"/>
        </w:rPr>
        <w:t>五</w:t>
      </w:r>
      <w:r>
        <w:rPr>
          <w:rFonts w:hint="eastAsia" w:ascii="仿宋_GB2312" w:hAnsi="仿宋" w:eastAsia="仿宋_GB2312" w:cs="宋体"/>
          <w:b/>
          <w:bCs/>
          <w:kern w:val="0"/>
          <w:sz w:val="32"/>
          <w:szCs w:val="32"/>
        </w:rPr>
        <w:t>、方案及要求</w:t>
      </w:r>
    </w:p>
    <w:p>
      <w:pPr>
        <w:widowControl/>
        <w:spacing w:line="46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1.方案要求</w:t>
      </w:r>
    </w:p>
    <w:p>
      <w:pPr>
        <w:widowControl/>
        <w:spacing w:line="46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（1）公司简介</w:t>
      </w:r>
    </w:p>
    <w:p>
      <w:pPr>
        <w:widowControl/>
        <w:spacing w:line="460" w:lineRule="exact"/>
        <w:ind w:firstLine="640" w:firstLineChars="200"/>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rPr>
        <w:t>（2）</w:t>
      </w:r>
      <w:r>
        <w:rPr>
          <w:rFonts w:hint="eastAsia" w:ascii="仿宋_GB2312" w:hAnsi="仿宋" w:eastAsia="仿宋_GB2312" w:cs="宋体"/>
          <w:kern w:val="0"/>
          <w:sz w:val="32"/>
          <w:szCs w:val="32"/>
          <w:lang w:val="en-US" w:eastAsia="zh-CN"/>
        </w:rPr>
        <w:t>提供服务的具体方案</w:t>
      </w:r>
    </w:p>
    <w:p>
      <w:pPr>
        <w:widowControl/>
        <w:spacing w:line="46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2.述标要求</w:t>
      </w:r>
    </w:p>
    <w:p>
      <w:pPr>
        <w:widowControl/>
        <w:spacing w:line="46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投标人需派授权代表对本项目进行述标。述标时间不超过20分钟,答疑时间不超过20分钟。</w:t>
      </w:r>
    </w:p>
    <w:p>
      <w:pPr>
        <w:widowControl/>
        <w:spacing w:line="460" w:lineRule="exact"/>
        <w:ind w:firstLine="640" w:firstLineChars="200"/>
        <w:rPr>
          <w:rFonts w:ascii="仿宋_GB2312" w:hAnsi="仿宋" w:eastAsia="仿宋_GB2312" w:cs="宋体"/>
          <w:kern w:val="0"/>
          <w:sz w:val="32"/>
          <w:szCs w:val="32"/>
        </w:rPr>
      </w:pPr>
      <w:r>
        <w:rPr>
          <w:rFonts w:hint="eastAsia" w:ascii="仿宋_GB2312" w:hAnsi="仿宋" w:eastAsia="仿宋_GB2312" w:cs="宋体"/>
          <w:kern w:val="0"/>
          <w:sz w:val="32"/>
          <w:szCs w:val="32"/>
        </w:rPr>
        <w:t>投标人应充分为本项目做好现场考核答疑准备。</w:t>
      </w:r>
    </w:p>
    <w:p>
      <w:pPr>
        <w:pStyle w:val="11"/>
        <w:spacing w:line="460" w:lineRule="exact"/>
        <w:ind w:firstLine="643"/>
        <w:rPr>
          <w:rFonts w:ascii="仿宋_GB2312" w:hAnsi="仿宋" w:eastAsia="仿宋_GB2312"/>
          <w:b/>
          <w:sz w:val="32"/>
          <w:szCs w:val="32"/>
        </w:rPr>
      </w:pPr>
      <w:r>
        <w:rPr>
          <w:rFonts w:hint="eastAsia" w:ascii="仿宋_GB2312" w:hAnsi="仿宋" w:eastAsia="仿宋_GB2312"/>
          <w:b/>
          <w:sz w:val="32"/>
          <w:szCs w:val="32"/>
          <w:lang w:val="en-US" w:eastAsia="zh-CN"/>
        </w:rPr>
        <w:t>六</w:t>
      </w:r>
      <w:r>
        <w:rPr>
          <w:rFonts w:hint="eastAsia" w:ascii="仿宋_GB2312" w:hAnsi="仿宋" w:eastAsia="仿宋_GB2312"/>
          <w:b/>
          <w:sz w:val="32"/>
          <w:szCs w:val="32"/>
        </w:rPr>
        <w:t>、评标</w:t>
      </w:r>
    </w:p>
    <w:p>
      <w:pPr>
        <w:pStyle w:val="11"/>
        <w:spacing w:line="460" w:lineRule="exact"/>
        <w:ind w:firstLine="640"/>
        <w:rPr>
          <w:rFonts w:ascii="仿宋_GB2312" w:hAnsi="仿宋" w:eastAsia="仿宋_GB2312" w:cs="宋体"/>
          <w:kern w:val="0"/>
          <w:sz w:val="32"/>
          <w:szCs w:val="32"/>
        </w:rPr>
      </w:pPr>
      <w:r>
        <w:rPr>
          <w:rFonts w:ascii="仿宋_GB2312" w:hAnsi="仿宋" w:eastAsia="仿宋_GB2312" w:cs="宋体"/>
          <w:kern w:val="0"/>
          <w:sz w:val="32"/>
          <w:szCs w:val="32"/>
        </w:rPr>
        <w:t>1、评标</w:t>
      </w:r>
      <w:r>
        <w:rPr>
          <w:rFonts w:hint="eastAsia" w:ascii="仿宋_GB2312" w:hAnsi="仿宋" w:eastAsia="仿宋_GB2312" w:cs="宋体"/>
          <w:kern w:val="0"/>
          <w:sz w:val="32"/>
          <w:szCs w:val="32"/>
        </w:rPr>
        <w:t>原则及流程</w:t>
      </w:r>
    </w:p>
    <w:p>
      <w:pPr>
        <w:pStyle w:val="11"/>
        <w:spacing w:line="460" w:lineRule="exact"/>
        <w:ind w:firstLine="640"/>
        <w:rPr>
          <w:rFonts w:ascii="仿宋_GB2312" w:hAnsi="仿宋" w:eastAsia="仿宋_GB2312" w:cs="宋体"/>
          <w:kern w:val="0"/>
          <w:sz w:val="32"/>
          <w:szCs w:val="32"/>
        </w:rPr>
      </w:pPr>
      <w:r>
        <w:rPr>
          <w:rFonts w:hint="eastAsia" w:ascii="仿宋_GB2312" w:hAnsi="仿宋" w:eastAsia="仿宋_GB2312" w:cs="宋体"/>
          <w:kern w:val="0"/>
          <w:sz w:val="32"/>
          <w:szCs w:val="32"/>
        </w:rPr>
        <w:t>招标人将坚持“公开、公平、公正”原则进行招标评审，采取</w:t>
      </w:r>
      <w:r>
        <w:rPr>
          <w:rFonts w:hint="eastAsia" w:ascii="仿宋_GB2312" w:hAnsi="仿宋" w:eastAsia="仿宋_GB2312" w:cs="宋体"/>
          <w:kern w:val="0"/>
          <w:sz w:val="32"/>
          <w:szCs w:val="32"/>
          <w:lang w:val="en-US" w:eastAsia="zh-CN"/>
        </w:rPr>
        <w:t>合理最低价评标方式</w:t>
      </w:r>
      <w:r>
        <w:rPr>
          <w:rFonts w:hint="eastAsia" w:ascii="仿宋_GB2312" w:hAnsi="仿宋" w:eastAsia="仿宋_GB2312" w:cs="宋体"/>
          <w:kern w:val="0"/>
          <w:sz w:val="32"/>
          <w:szCs w:val="32"/>
        </w:rPr>
        <w:t>。评标采用多级评标模式，评标分技术标评审、商务标评审两轮进行，首轮技术标评审由招标人组织评标专家依据投标人资质、服务方案、承诺等情况进行综合评议及赋分，第二轮商务标评审进行价格谈判及赋分，根据技术标和商务标综合得分进行排名，确定推荐中标人（不保证最低价格中标），对未中标单位不做任何解释。</w:t>
      </w:r>
    </w:p>
    <w:p>
      <w:pPr>
        <w:pStyle w:val="11"/>
        <w:spacing w:line="460" w:lineRule="exact"/>
        <w:ind w:firstLine="640"/>
        <w:rPr>
          <w:rFonts w:ascii="仿宋_GB2312" w:hAnsi="仿宋" w:eastAsia="仿宋_GB2312" w:cs="宋体"/>
          <w:kern w:val="0"/>
          <w:sz w:val="32"/>
          <w:szCs w:val="32"/>
        </w:rPr>
      </w:pPr>
      <w:r>
        <w:rPr>
          <w:rFonts w:hint="eastAsia" w:ascii="仿宋_GB2312" w:hAnsi="仿宋" w:eastAsia="仿宋_GB2312" w:cs="宋体"/>
          <w:kern w:val="0"/>
          <w:sz w:val="32"/>
          <w:szCs w:val="32"/>
        </w:rPr>
        <w:t>投标文件未密封或资料不完整、投标人对招标文件的实质性要求未做出全面响应、有迹象表明投标人串通投标、中标后无正当理由在规定的时间不签订合同的、中标后不缴纳履约保证金、投标人提供的投标文件弄虚作假及其它违反法律、法规规定情形的，视为无效投标。</w:t>
      </w:r>
    </w:p>
    <w:p>
      <w:pPr>
        <w:pStyle w:val="11"/>
        <w:spacing w:line="460" w:lineRule="exact"/>
        <w:ind w:firstLine="640"/>
        <w:rPr>
          <w:rFonts w:ascii="仿宋_GB2312" w:hAnsi="仿宋" w:eastAsia="仿宋_GB2312" w:cs="宋体"/>
          <w:kern w:val="0"/>
          <w:sz w:val="32"/>
          <w:szCs w:val="32"/>
        </w:rPr>
      </w:pPr>
      <w:r>
        <w:rPr>
          <w:rFonts w:hint="eastAsia" w:ascii="仿宋_GB2312" w:hAnsi="仿宋" w:eastAsia="仿宋_GB2312" w:cs="宋体"/>
          <w:kern w:val="0"/>
          <w:sz w:val="32"/>
          <w:szCs w:val="32"/>
          <w:lang w:val="en-US" w:eastAsia="zh-CN"/>
        </w:rPr>
        <w:t>2</w:t>
      </w:r>
      <w:r>
        <w:rPr>
          <w:rFonts w:hint="eastAsia" w:ascii="仿宋_GB2312" w:hAnsi="仿宋" w:eastAsia="仿宋_GB2312" w:cs="宋体"/>
          <w:kern w:val="0"/>
          <w:sz w:val="32"/>
          <w:szCs w:val="32"/>
        </w:rPr>
        <w:t>、</w:t>
      </w:r>
      <w:r>
        <w:rPr>
          <w:rFonts w:ascii="仿宋_GB2312" w:hAnsi="仿宋" w:eastAsia="仿宋_GB2312" w:cs="宋体"/>
          <w:kern w:val="0"/>
          <w:sz w:val="32"/>
          <w:szCs w:val="32"/>
        </w:rPr>
        <w:t>评标方法</w:t>
      </w:r>
    </w:p>
    <w:p>
      <w:pPr>
        <w:pStyle w:val="11"/>
        <w:spacing w:line="460" w:lineRule="exact"/>
        <w:ind w:firstLine="640"/>
        <w:rPr>
          <w:rFonts w:ascii="仿宋_GB2312" w:hAnsi="仿宋" w:eastAsia="仿宋_GB2312" w:cs="宋体"/>
          <w:kern w:val="0"/>
          <w:sz w:val="32"/>
          <w:szCs w:val="32"/>
        </w:rPr>
      </w:pPr>
      <w:r>
        <w:rPr>
          <w:rFonts w:ascii="仿宋_GB2312" w:hAnsi="仿宋" w:eastAsia="仿宋_GB2312" w:cs="宋体"/>
          <w:kern w:val="0"/>
          <w:sz w:val="32"/>
          <w:szCs w:val="32"/>
        </w:rPr>
        <w:t>a、若出现总分并列时，比较</w:t>
      </w:r>
      <w:r>
        <w:rPr>
          <w:rFonts w:hint="eastAsia" w:ascii="仿宋_GB2312" w:hAnsi="仿宋" w:eastAsia="仿宋_GB2312" w:cs="宋体"/>
          <w:kern w:val="0"/>
          <w:sz w:val="32"/>
          <w:szCs w:val="32"/>
        </w:rPr>
        <w:t>技术标</w:t>
      </w:r>
      <w:r>
        <w:rPr>
          <w:rFonts w:ascii="仿宋_GB2312" w:hAnsi="仿宋" w:eastAsia="仿宋_GB2312" w:cs="宋体"/>
          <w:kern w:val="0"/>
          <w:sz w:val="32"/>
          <w:szCs w:val="32"/>
        </w:rPr>
        <w:t>得分，此分项得分高者排序在前；若</w:t>
      </w:r>
      <w:r>
        <w:rPr>
          <w:rFonts w:hint="eastAsia" w:ascii="仿宋_GB2312" w:hAnsi="仿宋" w:eastAsia="仿宋_GB2312" w:cs="宋体"/>
          <w:kern w:val="0"/>
          <w:sz w:val="32"/>
          <w:szCs w:val="32"/>
        </w:rPr>
        <w:t>技术标与商务标</w:t>
      </w:r>
      <w:r>
        <w:rPr>
          <w:rFonts w:ascii="仿宋_GB2312" w:hAnsi="仿宋" w:eastAsia="仿宋_GB2312" w:cs="宋体"/>
          <w:kern w:val="0"/>
          <w:sz w:val="32"/>
          <w:szCs w:val="32"/>
        </w:rPr>
        <w:t>得分</w:t>
      </w:r>
      <w:r>
        <w:rPr>
          <w:rFonts w:hint="eastAsia" w:ascii="仿宋_GB2312" w:hAnsi="仿宋" w:eastAsia="仿宋_GB2312" w:cs="宋体"/>
          <w:kern w:val="0"/>
          <w:sz w:val="32"/>
          <w:szCs w:val="32"/>
        </w:rPr>
        <w:t>均</w:t>
      </w:r>
      <w:r>
        <w:rPr>
          <w:rFonts w:ascii="仿宋_GB2312" w:hAnsi="仿宋" w:eastAsia="仿宋_GB2312" w:cs="宋体"/>
          <w:kern w:val="0"/>
          <w:sz w:val="32"/>
          <w:szCs w:val="32"/>
        </w:rPr>
        <w:t>相同</w:t>
      </w:r>
      <w:r>
        <w:rPr>
          <w:rFonts w:hint="eastAsia" w:ascii="仿宋_GB2312" w:hAnsi="仿宋" w:eastAsia="仿宋_GB2312" w:cs="宋体"/>
          <w:kern w:val="0"/>
          <w:sz w:val="32"/>
          <w:szCs w:val="32"/>
        </w:rPr>
        <w:t>，</w:t>
      </w:r>
      <w:r>
        <w:rPr>
          <w:rFonts w:ascii="仿宋_GB2312" w:hAnsi="仿宋" w:eastAsia="仿宋_GB2312" w:cs="宋体"/>
          <w:kern w:val="0"/>
          <w:sz w:val="32"/>
          <w:szCs w:val="32"/>
        </w:rPr>
        <w:t>则由全体</w:t>
      </w:r>
      <w:r>
        <w:rPr>
          <w:rFonts w:hint="eastAsia" w:ascii="仿宋_GB2312" w:hAnsi="仿宋" w:eastAsia="仿宋_GB2312" w:cs="宋体"/>
          <w:kern w:val="0"/>
          <w:sz w:val="32"/>
          <w:szCs w:val="32"/>
        </w:rPr>
        <w:t>评审专家</w:t>
      </w:r>
      <w:r>
        <w:rPr>
          <w:rFonts w:ascii="仿宋_GB2312" w:hAnsi="仿宋" w:eastAsia="仿宋_GB2312" w:cs="宋体"/>
          <w:kern w:val="0"/>
          <w:sz w:val="32"/>
          <w:szCs w:val="32"/>
        </w:rPr>
        <w:t>无记名投票，得票高者排序在前。</w:t>
      </w:r>
    </w:p>
    <w:p>
      <w:pPr>
        <w:pStyle w:val="11"/>
        <w:spacing w:line="460" w:lineRule="exact"/>
        <w:ind w:firstLine="640"/>
        <w:rPr>
          <w:rFonts w:ascii="仿宋_GB2312" w:hAnsi="仿宋" w:eastAsia="仿宋_GB2312" w:cs="宋体"/>
          <w:kern w:val="0"/>
          <w:sz w:val="32"/>
          <w:szCs w:val="32"/>
        </w:rPr>
      </w:pPr>
      <w:r>
        <w:rPr>
          <w:rFonts w:ascii="仿宋_GB2312" w:hAnsi="仿宋" w:eastAsia="仿宋_GB2312" w:cs="宋体"/>
          <w:kern w:val="0"/>
          <w:sz w:val="32"/>
          <w:szCs w:val="32"/>
        </w:rPr>
        <w:t>b、</w:t>
      </w:r>
      <w:r>
        <w:rPr>
          <w:rFonts w:hint="eastAsia" w:ascii="仿宋_GB2312" w:hAnsi="仿宋" w:eastAsia="仿宋_GB2312" w:cs="宋体"/>
          <w:kern w:val="0"/>
          <w:sz w:val="32"/>
          <w:szCs w:val="32"/>
        </w:rPr>
        <w:t>评审专家</w:t>
      </w:r>
      <w:r>
        <w:rPr>
          <w:rFonts w:ascii="仿宋_GB2312" w:hAnsi="仿宋" w:eastAsia="仿宋_GB2312" w:cs="宋体"/>
          <w:kern w:val="0"/>
          <w:sz w:val="32"/>
          <w:szCs w:val="32"/>
        </w:rPr>
        <w:t>打分超过得分界限或未按本方法赋分时，该</w:t>
      </w:r>
      <w:r>
        <w:rPr>
          <w:rFonts w:hint="eastAsia" w:ascii="仿宋_GB2312" w:hAnsi="仿宋" w:eastAsia="仿宋_GB2312" w:cs="宋体"/>
          <w:kern w:val="0"/>
          <w:sz w:val="32"/>
          <w:szCs w:val="32"/>
        </w:rPr>
        <w:t>专家</w:t>
      </w:r>
      <w:r>
        <w:rPr>
          <w:rFonts w:ascii="仿宋_GB2312" w:hAnsi="仿宋" w:eastAsia="仿宋_GB2312" w:cs="宋体"/>
          <w:kern w:val="0"/>
          <w:sz w:val="32"/>
          <w:szCs w:val="32"/>
        </w:rPr>
        <w:t>的打分按废票处理。</w:t>
      </w:r>
    </w:p>
    <w:p>
      <w:pPr>
        <w:pStyle w:val="11"/>
        <w:spacing w:line="460" w:lineRule="exact"/>
        <w:ind w:firstLine="640"/>
        <w:rPr>
          <w:rFonts w:ascii="仿宋_GB2312" w:hAnsi="仿宋" w:eastAsia="仿宋_GB2312" w:cs="宋体"/>
          <w:kern w:val="0"/>
          <w:sz w:val="32"/>
          <w:szCs w:val="32"/>
        </w:rPr>
      </w:pPr>
      <w:r>
        <w:rPr>
          <w:rFonts w:ascii="仿宋_GB2312" w:hAnsi="仿宋" w:eastAsia="仿宋_GB2312" w:cs="宋体"/>
          <w:kern w:val="0"/>
          <w:sz w:val="32"/>
          <w:szCs w:val="32"/>
        </w:rPr>
        <w:t>c、评标过程中，若出现本办法以外的特殊情况时，将暂停评标，有关情况处理意见待招标工作小组确认后，再行评定。</w:t>
      </w:r>
    </w:p>
    <w:p>
      <w:pPr>
        <w:pStyle w:val="11"/>
        <w:spacing w:line="460" w:lineRule="exact"/>
        <w:ind w:firstLine="640"/>
        <w:rPr>
          <w:rFonts w:ascii="仿宋_GB2312" w:hAnsi="仿宋" w:eastAsia="仿宋_GB2312" w:cs="宋体"/>
          <w:kern w:val="0"/>
          <w:sz w:val="32"/>
          <w:szCs w:val="32"/>
        </w:rPr>
      </w:pPr>
      <w:r>
        <w:rPr>
          <w:rFonts w:ascii="仿宋_GB2312" w:hAnsi="仿宋" w:eastAsia="仿宋_GB2312" w:cs="宋体"/>
          <w:kern w:val="0"/>
          <w:sz w:val="32"/>
          <w:szCs w:val="32"/>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则本次评标作废。</w:t>
      </w:r>
    </w:p>
    <w:p>
      <w:pPr>
        <w:spacing w:line="460" w:lineRule="exact"/>
        <w:ind w:firstLine="643" w:firstLineChars="200"/>
        <w:rPr>
          <w:rFonts w:ascii="仿宋_GB2312" w:hAnsi="仿宋" w:eastAsia="仿宋_GB2312"/>
          <w:b/>
          <w:sz w:val="32"/>
          <w:szCs w:val="32"/>
        </w:rPr>
      </w:pPr>
      <w:r>
        <w:rPr>
          <w:rFonts w:hint="eastAsia" w:ascii="仿宋_GB2312" w:hAnsi="仿宋" w:eastAsia="仿宋_GB2312"/>
          <w:b/>
          <w:sz w:val="32"/>
          <w:szCs w:val="32"/>
          <w:lang w:val="en-US" w:eastAsia="zh-CN"/>
        </w:rPr>
        <w:t>七</w:t>
      </w:r>
      <w:r>
        <w:rPr>
          <w:rFonts w:hint="eastAsia" w:ascii="仿宋_GB2312" w:hAnsi="仿宋" w:eastAsia="仿宋_GB2312"/>
          <w:b/>
          <w:sz w:val="32"/>
          <w:szCs w:val="32"/>
        </w:rPr>
        <w:t>、合同授予</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1.招标人根据评审工作小组的评标结果确定中标人，并通知中标人。</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2.中标人接到通知后，应及时与招标人联系（一般为3个工作日以内），到招标单位进行签字确认并尽快签订合同。如中标人无正当理由拒签合同或在签订合同时提出无理附加条件的，招标人有权取消该投标人中标资格，该投标人2年内不得参与该类服务的招标项目。</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3.合同订立后，中标人应当按合同约定责任履约，不得将中标项目转包或分包给他人，否则视为违约，招标人有权解除合同。</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4.若中标人在履约合同义务能力或信用有严重缺陷，招标人可终止履行本合同，并要求该中标人返还已支付的款项，招标人有权解除合同。</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5.双方的权利义务以最终签署的合同为准。</w:t>
      </w:r>
    </w:p>
    <w:p>
      <w:pPr>
        <w:spacing w:line="460" w:lineRule="exact"/>
        <w:ind w:firstLine="643" w:firstLineChars="200"/>
        <w:rPr>
          <w:rFonts w:ascii="仿宋_GB2312" w:hAnsi="仿宋" w:eastAsia="仿宋_GB2312"/>
          <w:b/>
          <w:sz w:val="32"/>
          <w:szCs w:val="32"/>
        </w:rPr>
      </w:pPr>
      <w:r>
        <w:rPr>
          <w:rFonts w:hint="eastAsia" w:ascii="仿宋_GB2312" w:hAnsi="仿宋" w:eastAsia="仿宋_GB2312"/>
          <w:b/>
          <w:sz w:val="32"/>
          <w:szCs w:val="32"/>
          <w:lang w:val="en-US" w:eastAsia="zh-CN"/>
        </w:rPr>
        <w:t>八</w:t>
      </w:r>
      <w:r>
        <w:rPr>
          <w:rFonts w:hint="eastAsia" w:ascii="仿宋_GB2312" w:hAnsi="仿宋" w:eastAsia="仿宋_GB2312"/>
          <w:b/>
          <w:sz w:val="32"/>
          <w:szCs w:val="32"/>
        </w:rPr>
        <w:t>、废标及终止招标</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1.投标人有下列情形之一的，将被视为废标，招标人将按照有关法律法规行使权力。投标人给招标人造成损失的，招标人有索赔的权力，投标人应给予赔偿。</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（1）投标人提供的有关资格、资质证明文件不全、不真实；</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（2）投标人在报价有效期内撤回投标；</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（3）在评标过程中，投标人有企图影响评标结果公正性的任何项目；</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（4）投标人以任何形式诋毁他人投标；</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（5）投标人串通投标；</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（6）以他人名义投标或以任何方式骗取中标；</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（7）投标人对招标文件做出实质性变更；</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（8）投标人被举报、检举并经招标方查实无误的；</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9</w:t>
      </w:r>
      <w:r>
        <w:rPr>
          <w:rFonts w:hint="eastAsia" w:ascii="仿宋_GB2312" w:hAnsi="仿宋" w:eastAsia="仿宋_GB2312"/>
          <w:sz w:val="32"/>
          <w:szCs w:val="32"/>
        </w:rPr>
        <w:t>）法律、法规规定的其他情况。</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2.出现下列情形，招标人有权否决所有投标人的投标，并终止招标。</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（1）出现影响评审公正性的违法、违规行为；</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2</w:t>
      </w:r>
      <w:r>
        <w:rPr>
          <w:rFonts w:hint="eastAsia" w:ascii="仿宋_GB2312" w:hAnsi="仿宋" w:eastAsia="仿宋_GB2312"/>
          <w:sz w:val="32"/>
          <w:szCs w:val="32"/>
        </w:rPr>
        <w:t>）评标委员会经评审，认为投标人不符合招标文件要求的；</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3</w:t>
      </w:r>
      <w:r>
        <w:rPr>
          <w:rFonts w:hint="eastAsia" w:ascii="仿宋_GB2312" w:hAnsi="仿宋" w:eastAsia="仿宋_GB2312"/>
          <w:sz w:val="32"/>
          <w:szCs w:val="32"/>
        </w:rPr>
        <w:t>）因重大变故，本项目取消；</w:t>
      </w:r>
    </w:p>
    <w:p>
      <w:pPr>
        <w:spacing w:line="460" w:lineRule="exact"/>
        <w:ind w:firstLine="640" w:firstLineChars="200"/>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4</w:t>
      </w:r>
      <w:r>
        <w:rPr>
          <w:rFonts w:hint="eastAsia" w:ascii="仿宋_GB2312" w:hAnsi="仿宋" w:eastAsia="仿宋_GB2312"/>
          <w:sz w:val="32"/>
          <w:szCs w:val="32"/>
        </w:rPr>
        <w:t>）招标人认为其他应终止招标的情形。</w:t>
      </w:r>
    </w:p>
    <w:p>
      <w:pPr>
        <w:spacing w:line="460" w:lineRule="exact"/>
        <w:ind w:firstLine="640" w:firstLineChars="200"/>
        <w:rPr>
          <w:rFonts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spacing w:line="460" w:lineRule="exact"/>
        <w:ind w:firstLine="643" w:firstLineChars="200"/>
        <w:rPr>
          <w:rFonts w:ascii="仿宋_GB2312" w:hAnsi="仿宋" w:eastAsia="仿宋_GB2312"/>
          <w:b/>
          <w:sz w:val="32"/>
          <w:szCs w:val="32"/>
        </w:rPr>
      </w:pPr>
      <w:r>
        <w:rPr>
          <w:rFonts w:hint="eastAsia" w:ascii="仿宋_GB2312" w:hAnsi="仿宋" w:eastAsia="仿宋_GB2312"/>
          <w:b/>
          <w:sz w:val="32"/>
          <w:szCs w:val="32"/>
          <w:lang w:val="en-US" w:eastAsia="zh-CN"/>
        </w:rPr>
        <w:t>九</w:t>
      </w:r>
      <w:r>
        <w:rPr>
          <w:rFonts w:hint="eastAsia" w:ascii="仿宋_GB2312" w:hAnsi="仿宋" w:eastAsia="仿宋_GB2312"/>
          <w:b/>
          <w:sz w:val="32"/>
          <w:szCs w:val="32"/>
        </w:rPr>
        <w:t>、解释权</w:t>
      </w:r>
    </w:p>
    <w:p>
      <w:pPr>
        <w:spacing w:line="4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本招标文件的最终解释权归招标人，当对一个问题有多种解释时以招标人的书面解释为准。招标文件未做须知明示，而又有相关法律、法规规定的，招标人对此所做解释以相关的法律、法规规定为依据。</w:t>
      </w:r>
    </w:p>
    <w:p>
      <w:pPr>
        <w:spacing w:line="460" w:lineRule="exact"/>
        <w:ind w:firstLine="640" w:firstLineChars="200"/>
        <w:rPr>
          <w:rFonts w:hint="eastAsia" w:ascii="仿宋_GB2312" w:hAnsi="仿宋" w:eastAsia="仿宋_GB2312"/>
          <w:sz w:val="32"/>
          <w:szCs w:val="32"/>
        </w:rPr>
      </w:pPr>
    </w:p>
    <w:p>
      <w:pPr>
        <w:spacing w:line="460" w:lineRule="exact"/>
        <w:ind w:firstLine="640" w:firstLineChars="200"/>
        <w:rPr>
          <w:rFonts w:hint="eastAsia" w:ascii="仿宋_GB2312" w:hAnsi="仿宋" w:eastAsia="仿宋_GB2312"/>
          <w:sz w:val="32"/>
          <w:szCs w:val="32"/>
        </w:rPr>
      </w:pPr>
    </w:p>
    <w:p>
      <w:pPr>
        <w:spacing w:line="460" w:lineRule="exact"/>
        <w:ind w:firstLine="640" w:firstLineChars="200"/>
        <w:rPr>
          <w:rFonts w:hint="eastAsia" w:ascii="仿宋_GB2312" w:hAnsi="仿宋" w:eastAsia="仿宋_GB2312"/>
          <w:sz w:val="32"/>
          <w:szCs w:val="32"/>
        </w:rPr>
      </w:pPr>
    </w:p>
    <w:p>
      <w:pPr>
        <w:spacing w:line="460" w:lineRule="exact"/>
        <w:jc w:val="right"/>
        <w:rPr>
          <w:rFonts w:ascii="仿宋_GB2312" w:hAnsi="仿宋" w:eastAsia="仿宋_GB2312"/>
          <w:sz w:val="32"/>
          <w:szCs w:val="32"/>
        </w:rPr>
      </w:pPr>
      <w:r>
        <w:rPr>
          <w:rFonts w:hint="eastAsia" w:ascii="仿宋_GB2312" w:hAnsi="仿宋" w:eastAsia="仿宋_GB2312"/>
          <w:sz w:val="32"/>
          <w:szCs w:val="32"/>
        </w:rPr>
        <w:t>中国重汽集团济南动力有限公司</w:t>
      </w:r>
    </w:p>
    <w:p>
      <w:pPr>
        <w:spacing w:line="460" w:lineRule="exact"/>
        <w:ind w:firstLine="5440" w:firstLineChars="1700"/>
        <w:jc w:val="right"/>
        <w:rPr>
          <w:rFonts w:hint="eastAsia" w:ascii="仿宋_GB2312" w:hAnsi="仿宋" w:eastAsia="仿宋_GB2312"/>
          <w:sz w:val="32"/>
          <w:szCs w:val="32"/>
          <w:lang w:val="en-US" w:eastAsia="zh-CN"/>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5</w:t>
      </w:r>
      <w:r>
        <w:rPr>
          <w:rFonts w:hint="eastAsia" w:ascii="仿宋_GB2312" w:hAnsi="仿宋" w:eastAsia="仿宋_GB2312"/>
          <w:sz w:val="32"/>
          <w:szCs w:val="32"/>
        </w:rPr>
        <w:t>.</w:t>
      </w:r>
      <w:r>
        <w:rPr>
          <w:rFonts w:ascii="仿宋_GB2312" w:hAnsi="仿宋" w:eastAsia="仿宋_GB2312"/>
          <w:sz w:val="32"/>
          <w:szCs w:val="32"/>
        </w:rPr>
        <w:t>1</w:t>
      </w:r>
      <w:r>
        <w:rPr>
          <w:rFonts w:hint="eastAsia" w:ascii="仿宋_GB2312" w:hAnsi="仿宋" w:eastAsia="仿宋_GB2312"/>
          <w:sz w:val="32"/>
          <w:szCs w:val="32"/>
          <w:lang w:val="en-US" w:eastAsia="zh-CN"/>
        </w:rPr>
        <w:t>1</w:t>
      </w:r>
    </w:p>
    <w:p>
      <w:pPr>
        <w:spacing w:line="460" w:lineRule="exact"/>
        <w:ind w:firstLine="5440" w:firstLineChars="1700"/>
        <w:jc w:val="right"/>
        <w:rPr>
          <w:rFonts w:hint="eastAsia" w:ascii="仿宋_GB2312" w:hAnsi="仿宋" w:eastAsia="仿宋_GB2312"/>
          <w:sz w:val="32"/>
          <w:szCs w:val="32"/>
          <w:lang w:val="en-US" w:eastAsia="zh-CN"/>
        </w:rPr>
      </w:pPr>
    </w:p>
    <w:p>
      <w:pPr>
        <w:spacing w:line="460" w:lineRule="exact"/>
        <w:ind w:firstLine="5440" w:firstLineChars="1700"/>
        <w:jc w:val="right"/>
        <w:rPr>
          <w:rFonts w:hint="eastAsia" w:ascii="仿宋_GB2312" w:hAnsi="仿宋" w:eastAsia="仿宋_GB2312"/>
          <w:sz w:val="32"/>
          <w:szCs w:val="32"/>
          <w:lang w:val="en-US" w:eastAsia="zh-CN"/>
        </w:rPr>
      </w:pPr>
    </w:p>
    <w:p>
      <w:pPr>
        <w:spacing w:line="460" w:lineRule="exact"/>
        <w:ind w:firstLine="5440" w:firstLineChars="1700"/>
        <w:jc w:val="right"/>
        <w:rPr>
          <w:rFonts w:hint="eastAsia" w:ascii="仿宋_GB2312" w:hAnsi="仿宋" w:eastAsia="仿宋_GB2312"/>
          <w:sz w:val="32"/>
          <w:szCs w:val="32"/>
          <w:lang w:val="en-US" w:eastAsia="zh-CN"/>
        </w:rPr>
      </w:pPr>
    </w:p>
    <w:p>
      <w:pPr>
        <w:spacing w:line="460" w:lineRule="exact"/>
        <w:ind w:firstLine="5440" w:firstLineChars="1700"/>
        <w:jc w:val="right"/>
        <w:rPr>
          <w:rFonts w:hint="eastAsia" w:ascii="仿宋_GB2312" w:hAnsi="仿宋" w:eastAsia="仿宋_GB2312"/>
          <w:sz w:val="32"/>
          <w:szCs w:val="32"/>
          <w:lang w:val="en-US" w:eastAsia="zh-CN"/>
        </w:rPr>
      </w:pPr>
    </w:p>
    <w:p>
      <w:pPr>
        <w:spacing w:line="460" w:lineRule="exact"/>
        <w:rPr>
          <w:rFonts w:hint="eastAsia" w:ascii="仿宋_GB2312" w:hAnsi="仿宋" w:eastAsia="仿宋_GB2312"/>
          <w:sz w:val="32"/>
          <w:szCs w:val="32"/>
        </w:rPr>
      </w:pPr>
      <w:r>
        <w:rPr>
          <w:rFonts w:hint="eastAsia" w:ascii="仿宋_GB2312" w:hAnsi="仿宋" w:eastAsia="仿宋_GB2312"/>
          <w:sz w:val="32"/>
          <w:szCs w:val="32"/>
        </w:rPr>
        <w:t>附件：授权书</w:t>
      </w:r>
    </w:p>
    <w:p>
      <w:pPr>
        <w:spacing w:line="460" w:lineRule="exact"/>
        <w:rPr>
          <w:rFonts w:hint="eastAsia" w:ascii="仿宋_GB2312" w:hAnsi="仿宋" w:eastAsia="仿宋_GB2312"/>
          <w:sz w:val="32"/>
          <w:szCs w:val="32"/>
        </w:rPr>
      </w:pPr>
    </w:p>
    <w:p>
      <w:pPr>
        <w:spacing w:line="460" w:lineRule="exact"/>
        <w:rPr>
          <w:rFonts w:hint="eastAsia" w:ascii="仿宋_GB2312" w:hAnsi="仿宋" w:eastAsia="仿宋_GB2312"/>
          <w:sz w:val="32"/>
          <w:szCs w:val="32"/>
        </w:rPr>
      </w:pPr>
    </w:p>
    <w:p>
      <w:pPr>
        <w:spacing w:line="460" w:lineRule="exact"/>
        <w:rPr>
          <w:rFonts w:hint="eastAsia" w:ascii="仿宋_GB2312" w:hAnsi="仿宋" w:eastAsia="仿宋_GB2312"/>
          <w:sz w:val="32"/>
          <w:szCs w:val="32"/>
        </w:rPr>
      </w:pPr>
    </w:p>
    <w:p>
      <w:pPr>
        <w:spacing w:after="156" w:afterLines="50"/>
        <w:jc w:val="left"/>
        <w:rPr>
          <w:rFonts w:ascii="楷体" w:hAnsi="楷体" w:eastAsia="楷体"/>
          <w:sz w:val="28"/>
          <w:szCs w:val="28"/>
        </w:rPr>
      </w:pPr>
    </w:p>
    <w:p>
      <w:pPr>
        <w:keepNext/>
        <w:keepLines/>
        <w:outlineLvl w:val="2"/>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1投标函</w:t>
      </w:r>
      <w:bookmarkStart w:id="0" w:name="_GoBack"/>
      <w:bookmarkEnd w:id="0"/>
    </w:p>
    <w:p>
      <w:pPr>
        <w:spacing w:after="156" w:afterLines="50"/>
        <w:jc w:val="left"/>
        <w:rPr>
          <w:rFonts w:hint="eastAsia" w:ascii="楷体" w:hAnsi="楷体" w:eastAsia="楷体"/>
          <w:sz w:val="28"/>
          <w:szCs w:val="28"/>
        </w:rPr>
      </w:pPr>
      <w:r>
        <w:rPr>
          <w:rFonts w:hint="eastAsia" w:ascii="楷体" w:hAnsi="楷体" w:eastAsia="楷体"/>
          <w:sz w:val="28"/>
          <w:szCs w:val="28"/>
        </w:rPr>
        <w:t>授权单位</w:t>
      </w:r>
    </w:p>
    <w:p>
      <w:pPr>
        <w:spacing w:after="156" w:afterLines="50"/>
        <w:jc w:val="left"/>
        <w:rPr>
          <w:rFonts w:ascii="楷体" w:hAnsi="楷体" w:eastAsia="楷体"/>
          <w:sz w:val="28"/>
          <w:szCs w:val="28"/>
        </w:rPr>
      </w:pPr>
      <w:r>
        <w:rPr>
          <w:rFonts w:hint="eastAsia" w:ascii="楷体" w:hAnsi="楷体" w:eastAsia="楷体"/>
          <w:sz w:val="28"/>
          <w:szCs w:val="28"/>
        </w:rPr>
        <w:t>法定代表人：</w:t>
      </w:r>
    </w:p>
    <w:p>
      <w:pPr>
        <w:spacing w:after="156" w:afterLines="50"/>
        <w:ind w:firstLine="4480" w:firstLineChars="1600"/>
        <w:jc w:val="left"/>
        <w:rPr>
          <w:rFonts w:hint="eastAsia" w:ascii="楷体" w:hAnsi="楷体" w:eastAsia="楷体"/>
          <w:sz w:val="28"/>
          <w:szCs w:val="28"/>
        </w:rPr>
      </w:pPr>
      <w:r>
        <w:rPr>
          <w:rFonts w:hint="eastAsia" w:ascii="楷体" w:hAnsi="楷体" w:eastAsia="楷体"/>
          <w:sz w:val="28"/>
          <w:szCs w:val="28"/>
          <w:u w:val="single"/>
        </w:rPr>
        <w:t xml:space="preserve">   </w:t>
      </w:r>
      <w:r>
        <w:rPr>
          <w:rFonts w:hint="eastAsia" w:ascii="楷体" w:hAnsi="楷体" w:eastAsia="楷体"/>
          <w:sz w:val="28"/>
          <w:szCs w:val="28"/>
        </w:rPr>
        <w:t>年</w:t>
      </w:r>
      <w:r>
        <w:rPr>
          <w:rFonts w:hint="eastAsia" w:ascii="楷体" w:hAnsi="楷体" w:eastAsia="楷体"/>
          <w:sz w:val="28"/>
          <w:szCs w:val="28"/>
          <w:u w:val="single"/>
        </w:rPr>
        <w:t xml:space="preserve">   </w:t>
      </w:r>
      <w:r>
        <w:rPr>
          <w:rFonts w:hint="eastAsia" w:ascii="楷体" w:hAnsi="楷体" w:eastAsia="楷体"/>
          <w:sz w:val="28"/>
          <w:szCs w:val="28"/>
        </w:rPr>
        <w:t>月</w:t>
      </w:r>
      <w:r>
        <w:rPr>
          <w:rFonts w:hint="eastAsia" w:ascii="楷体" w:hAnsi="楷体" w:eastAsia="楷体"/>
          <w:sz w:val="28"/>
          <w:szCs w:val="28"/>
          <w:u w:val="single"/>
        </w:rPr>
        <w:t xml:space="preserve">   </w:t>
      </w:r>
      <w:r>
        <w:rPr>
          <w:rFonts w:hint="eastAsia" w:ascii="楷体" w:hAnsi="楷体" w:eastAsia="楷体"/>
          <w:sz w:val="28"/>
          <w:szCs w:val="28"/>
        </w:rPr>
        <w:t>日</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Times New Roman"/>
          <w:b/>
          <w:color w:val="000000"/>
          <w:sz w:val="24"/>
          <w:szCs w:val="24"/>
          <w:u w:val="single"/>
        </w:rPr>
        <w:t xml:space="preserve">            </w:t>
      </w:r>
      <w:r>
        <w:rPr>
          <w:rFonts w:hint="eastAsia" w:ascii="宋体" w:hAnsi="宋体" w:eastAsia="宋体" w:cs="宋体"/>
          <w:b/>
          <w:bCs/>
          <w:sz w:val="24"/>
          <w:szCs w:val="24"/>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提交纸质投标文件：资质证明文件、商务文件和技术文件正本一份；电子版投标文件一份。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2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21"/>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21"/>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21"/>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21"/>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21"/>
              <w:spacing w:before="111"/>
              <w:ind w:left="509"/>
              <w:rPr>
                <w:rFonts w:hint="eastAsia"/>
                <w:highlight w:val="yellow"/>
              </w:rPr>
            </w:pPr>
            <w:r>
              <w:t xml:space="preserve">企业法人代表  </w:t>
            </w:r>
          </w:p>
        </w:tc>
        <w:tc>
          <w:tcPr>
            <w:tcW w:w="4680" w:type="dxa"/>
            <w:gridSpan w:val="4"/>
          </w:tcPr>
          <w:p>
            <w:pPr>
              <w:pStyle w:val="3"/>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21"/>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1"/>
              <w:spacing w:before="114"/>
              <w:ind w:left="720"/>
              <w:rPr>
                <w:rFonts w:hint="eastAsia"/>
              </w:rPr>
            </w:pPr>
            <w:r>
              <w:t xml:space="preserve">品牌区分 </w:t>
            </w:r>
          </w:p>
        </w:tc>
        <w:tc>
          <w:tcPr>
            <w:tcW w:w="7500" w:type="dxa"/>
            <w:gridSpan w:val="6"/>
          </w:tcPr>
          <w:p>
            <w:pPr>
              <w:pStyle w:val="21"/>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1"/>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21"/>
              <w:spacing w:before="15"/>
              <w:ind w:left="279"/>
              <w:rPr>
                <w:rFonts w:hint="eastAsia"/>
              </w:rPr>
            </w:pPr>
            <w:r>
              <w:rPr>
                <w:spacing w:val="-2"/>
              </w:rPr>
              <w:t>质量</w:t>
            </w:r>
            <w:r>
              <w:t xml:space="preserve"> </w:t>
            </w:r>
          </w:p>
          <w:p>
            <w:pPr>
              <w:pStyle w:val="21"/>
              <w:spacing w:before="30" w:line="277" w:lineRule="exact"/>
              <w:ind w:left="279"/>
              <w:rPr>
                <w:rFonts w:hint="eastAsia"/>
              </w:rPr>
            </w:pPr>
            <w:r>
              <w:rPr>
                <w:rFonts w:hint="eastAsia"/>
              </w:rPr>
              <w:t>体系</w:t>
            </w:r>
          </w:p>
        </w:tc>
        <w:tc>
          <w:tcPr>
            <w:tcW w:w="2820" w:type="dxa"/>
            <w:gridSpan w:val="2"/>
          </w:tcPr>
          <w:p>
            <w:pPr>
              <w:pStyle w:val="21"/>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21"/>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pPr>
        <w:pStyle w:val="2"/>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ascii="宋体" w:hAnsi="宋体" w:eastAsia="宋体" w:cs="Times New Roman"/>
          <w:b/>
          <w:color w:val="000000"/>
          <w:sz w:val="24"/>
          <w:szCs w:val="24"/>
          <w:u w:val="single"/>
        </w:rPr>
        <w:t xml:space="preserve">            </w:t>
      </w:r>
      <w:r>
        <w:rPr>
          <w:rFonts w:hint="eastAsia" w:ascii="宋体" w:hAnsi="宋体" w:eastAsia="宋体" w:cs="Times New Roman"/>
          <w:b/>
          <w:color w:val="000000"/>
          <w:sz w:val="24"/>
          <w:szCs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b/>
          <w:color w:val="000000"/>
          <w:sz w:val="24"/>
          <w:szCs w:val="24"/>
          <w:u w:val="single"/>
        </w:rPr>
        <w:t xml:space="preserve">            </w:t>
      </w:r>
      <w:r>
        <w:rPr>
          <w:rFonts w:ascii="宋体" w:hAnsi="宋体" w:eastAsia="宋体" w:cs="Times New Roman"/>
          <w:color w:val="000000"/>
          <w:sz w:val="24"/>
          <w:szCs w:val="24"/>
        </w:rPr>
        <w:t xml:space="preserve">                                                        </w:t>
      </w:r>
    </w:p>
    <w:tbl>
      <w:tblPr>
        <w:tblStyle w:val="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pPr>
        <w:pStyle w:val="2"/>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28A096"/>
    <w:multiLevelType w:val="singleLevel"/>
    <w:tmpl w:val="C628A096"/>
    <w:lvl w:ilvl="0" w:tentative="0">
      <w:start w:val="8"/>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56A"/>
    <w:rsid w:val="00014CDA"/>
    <w:rsid w:val="00047296"/>
    <w:rsid w:val="00067FE8"/>
    <w:rsid w:val="00076117"/>
    <w:rsid w:val="000803F4"/>
    <w:rsid w:val="000844E0"/>
    <w:rsid w:val="00094CDA"/>
    <w:rsid w:val="00095A13"/>
    <w:rsid w:val="000A168F"/>
    <w:rsid w:val="000A65B3"/>
    <w:rsid w:val="000B67BF"/>
    <w:rsid w:val="000E0FFE"/>
    <w:rsid w:val="000E633E"/>
    <w:rsid w:val="000F1A4D"/>
    <w:rsid w:val="000F6F18"/>
    <w:rsid w:val="00112475"/>
    <w:rsid w:val="00116B2E"/>
    <w:rsid w:val="00146E7A"/>
    <w:rsid w:val="001644E6"/>
    <w:rsid w:val="001652A3"/>
    <w:rsid w:val="00166CAB"/>
    <w:rsid w:val="001673E1"/>
    <w:rsid w:val="0018158C"/>
    <w:rsid w:val="00182AEF"/>
    <w:rsid w:val="001915F5"/>
    <w:rsid w:val="001A337C"/>
    <w:rsid w:val="001B3CBC"/>
    <w:rsid w:val="001B6911"/>
    <w:rsid w:val="001C6976"/>
    <w:rsid w:val="001C7162"/>
    <w:rsid w:val="001D7566"/>
    <w:rsid w:val="002034CE"/>
    <w:rsid w:val="00215AB7"/>
    <w:rsid w:val="00222987"/>
    <w:rsid w:val="002262A1"/>
    <w:rsid w:val="00271805"/>
    <w:rsid w:val="0027265E"/>
    <w:rsid w:val="002903AD"/>
    <w:rsid w:val="00297632"/>
    <w:rsid w:val="002A5E0C"/>
    <w:rsid w:val="002B1CDA"/>
    <w:rsid w:val="002B4226"/>
    <w:rsid w:val="002B51A4"/>
    <w:rsid w:val="002B556A"/>
    <w:rsid w:val="002B55A3"/>
    <w:rsid w:val="003048FE"/>
    <w:rsid w:val="00305EEE"/>
    <w:rsid w:val="00311EF5"/>
    <w:rsid w:val="00330238"/>
    <w:rsid w:val="00331DC6"/>
    <w:rsid w:val="00343DFC"/>
    <w:rsid w:val="0036372A"/>
    <w:rsid w:val="00365B1F"/>
    <w:rsid w:val="00392E37"/>
    <w:rsid w:val="003B48C2"/>
    <w:rsid w:val="003E0923"/>
    <w:rsid w:val="00404658"/>
    <w:rsid w:val="00407E5E"/>
    <w:rsid w:val="00416A0C"/>
    <w:rsid w:val="00417CF3"/>
    <w:rsid w:val="0042083E"/>
    <w:rsid w:val="004311BB"/>
    <w:rsid w:val="00463631"/>
    <w:rsid w:val="0048774F"/>
    <w:rsid w:val="004C1445"/>
    <w:rsid w:val="004D3D6B"/>
    <w:rsid w:val="004D4FBC"/>
    <w:rsid w:val="004E2A27"/>
    <w:rsid w:val="004E3B35"/>
    <w:rsid w:val="004E6D21"/>
    <w:rsid w:val="004E746B"/>
    <w:rsid w:val="004F51C5"/>
    <w:rsid w:val="004F74BF"/>
    <w:rsid w:val="00512B4A"/>
    <w:rsid w:val="0051583A"/>
    <w:rsid w:val="00534EC2"/>
    <w:rsid w:val="00534EF2"/>
    <w:rsid w:val="00562101"/>
    <w:rsid w:val="00572B54"/>
    <w:rsid w:val="00584E7F"/>
    <w:rsid w:val="005B3B36"/>
    <w:rsid w:val="005C0465"/>
    <w:rsid w:val="005C625F"/>
    <w:rsid w:val="005E1792"/>
    <w:rsid w:val="006154EC"/>
    <w:rsid w:val="00630F99"/>
    <w:rsid w:val="00636F66"/>
    <w:rsid w:val="00645E25"/>
    <w:rsid w:val="00646BD4"/>
    <w:rsid w:val="00663BDA"/>
    <w:rsid w:val="00692E43"/>
    <w:rsid w:val="006B687F"/>
    <w:rsid w:val="006F69A6"/>
    <w:rsid w:val="00706991"/>
    <w:rsid w:val="007137E8"/>
    <w:rsid w:val="007402FB"/>
    <w:rsid w:val="0074562C"/>
    <w:rsid w:val="00745ABF"/>
    <w:rsid w:val="007644CE"/>
    <w:rsid w:val="00766F65"/>
    <w:rsid w:val="007717C9"/>
    <w:rsid w:val="007B27B8"/>
    <w:rsid w:val="007B513B"/>
    <w:rsid w:val="007C038B"/>
    <w:rsid w:val="007D1A28"/>
    <w:rsid w:val="007D767E"/>
    <w:rsid w:val="007E0D37"/>
    <w:rsid w:val="007E267C"/>
    <w:rsid w:val="007F5822"/>
    <w:rsid w:val="00820DF0"/>
    <w:rsid w:val="00836835"/>
    <w:rsid w:val="00880269"/>
    <w:rsid w:val="008C1B55"/>
    <w:rsid w:val="008E4F9E"/>
    <w:rsid w:val="008F54A0"/>
    <w:rsid w:val="00912CC7"/>
    <w:rsid w:val="00931219"/>
    <w:rsid w:val="009322EB"/>
    <w:rsid w:val="0093342E"/>
    <w:rsid w:val="00955D0F"/>
    <w:rsid w:val="0098148F"/>
    <w:rsid w:val="009847B5"/>
    <w:rsid w:val="0099702E"/>
    <w:rsid w:val="009E4DC2"/>
    <w:rsid w:val="009E70DF"/>
    <w:rsid w:val="009F4D8E"/>
    <w:rsid w:val="00A0482F"/>
    <w:rsid w:val="00A13EAF"/>
    <w:rsid w:val="00A2213D"/>
    <w:rsid w:val="00A2231A"/>
    <w:rsid w:val="00A31A1F"/>
    <w:rsid w:val="00A40044"/>
    <w:rsid w:val="00A42615"/>
    <w:rsid w:val="00A55472"/>
    <w:rsid w:val="00A61AA6"/>
    <w:rsid w:val="00A7597B"/>
    <w:rsid w:val="00A964D7"/>
    <w:rsid w:val="00A96F03"/>
    <w:rsid w:val="00AA77A4"/>
    <w:rsid w:val="00AB0BB8"/>
    <w:rsid w:val="00AD206B"/>
    <w:rsid w:val="00AD58FA"/>
    <w:rsid w:val="00AE5537"/>
    <w:rsid w:val="00AF46AC"/>
    <w:rsid w:val="00AF7BB1"/>
    <w:rsid w:val="00B04723"/>
    <w:rsid w:val="00B156FF"/>
    <w:rsid w:val="00B2719C"/>
    <w:rsid w:val="00B30930"/>
    <w:rsid w:val="00B427DC"/>
    <w:rsid w:val="00B44220"/>
    <w:rsid w:val="00B561C4"/>
    <w:rsid w:val="00B56B1E"/>
    <w:rsid w:val="00B7062C"/>
    <w:rsid w:val="00B75D18"/>
    <w:rsid w:val="00B7728D"/>
    <w:rsid w:val="00B817CD"/>
    <w:rsid w:val="00BE62CD"/>
    <w:rsid w:val="00BF1C26"/>
    <w:rsid w:val="00BF3A7E"/>
    <w:rsid w:val="00C03520"/>
    <w:rsid w:val="00C53E0B"/>
    <w:rsid w:val="00C5446E"/>
    <w:rsid w:val="00C92BD9"/>
    <w:rsid w:val="00C965A2"/>
    <w:rsid w:val="00CA187C"/>
    <w:rsid w:val="00CC69CF"/>
    <w:rsid w:val="00D03191"/>
    <w:rsid w:val="00D124B4"/>
    <w:rsid w:val="00D32549"/>
    <w:rsid w:val="00D56392"/>
    <w:rsid w:val="00D56E3C"/>
    <w:rsid w:val="00DA39ED"/>
    <w:rsid w:val="00DC551F"/>
    <w:rsid w:val="00DD38D4"/>
    <w:rsid w:val="00DD504A"/>
    <w:rsid w:val="00DD7CB7"/>
    <w:rsid w:val="00DE19DA"/>
    <w:rsid w:val="00DF3665"/>
    <w:rsid w:val="00DF7DE7"/>
    <w:rsid w:val="00E01DC9"/>
    <w:rsid w:val="00E0407C"/>
    <w:rsid w:val="00E0587B"/>
    <w:rsid w:val="00E34DA4"/>
    <w:rsid w:val="00E363C8"/>
    <w:rsid w:val="00E46654"/>
    <w:rsid w:val="00E46C37"/>
    <w:rsid w:val="00E619E0"/>
    <w:rsid w:val="00E639B9"/>
    <w:rsid w:val="00E64F69"/>
    <w:rsid w:val="00EA176C"/>
    <w:rsid w:val="00EA38BE"/>
    <w:rsid w:val="00EB5405"/>
    <w:rsid w:val="00EF4DEE"/>
    <w:rsid w:val="00F01A72"/>
    <w:rsid w:val="00F023F3"/>
    <w:rsid w:val="00F135DB"/>
    <w:rsid w:val="00F4767D"/>
    <w:rsid w:val="00F57175"/>
    <w:rsid w:val="00F65DB6"/>
    <w:rsid w:val="00F75FDB"/>
    <w:rsid w:val="00FA5939"/>
    <w:rsid w:val="00FB19DA"/>
    <w:rsid w:val="00FD307C"/>
    <w:rsid w:val="00FF36C2"/>
    <w:rsid w:val="02715699"/>
    <w:rsid w:val="02A10EFD"/>
    <w:rsid w:val="02F961D3"/>
    <w:rsid w:val="04E1519B"/>
    <w:rsid w:val="068D3662"/>
    <w:rsid w:val="06B47980"/>
    <w:rsid w:val="072350F7"/>
    <w:rsid w:val="07A75E3A"/>
    <w:rsid w:val="080B079F"/>
    <w:rsid w:val="087150EF"/>
    <w:rsid w:val="0BF537AE"/>
    <w:rsid w:val="12F316F2"/>
    <w:rsid w:val="139F4658"/>
    <w:rsid w:val="1A024C0A"/>
    <w:rsid w:val="1C146536"/>
    <w:rsid w:val="1D4236A9"/>
    <w:rsid w:val="1F7A363B"/>
    <w:rsid w:val="1F7D2EAA"/>
    <w:rsid w:val="21F618A8"/>
    <w:rsid w:val="234075C7"/>
    <w:rsid w:val="244061E6"/>
    <w:rsid w:val="26CB6C26"/>
    <w:rsid w:val="29D82716"/>
    <w:rsid w:val="29F44D23"/>
    <w:rsid w:val="31080201"/>
    <w:rsid w:val="347C3F18"/>
    <w:rsid w:val="35280774"/>
    <w:rsid w:val="368C5E8A"/>
    <w:rsid w:val="39893DFD"/>
    <w:rsid w:val="445F433A"/>
    <w:rsid w:val="45810446"/>
    <w:rsid w:val="48590C41"/>
    <w:rsid w:val="4B9C2868"/>
    <w:rsid w:val="4CF62AB6"/>
    <w:rsid w:val="4F680CEB"/>
    <w:rsid w:val="523378C5"/>
    <w:rsid w:val="530F2054"/>
    <w:rsid w:val="53745029"/>
    <w:rsid w:val="560E387B"/>
    <w:rsid w:val="5B8A15A0"/>
    <w:rsid w:val="5D1C75E3"/>
    <w:rsid w:val="5EF656A8"/>
    <w:rsid w:val="615B12C7"/>
    <w:rsid w:val="63326CB4"/>
    <w:rsid w:val="635903E7"/>
    <w:rsid w:val="63867545"/>
    <w:rsid w:val="685C5A87"/>
    <w:rsid w:val="6C530A75"/>
    <w:rsid w:val="7310055E"/>
    <w:rsid w:val="77A027AE"/>
    <w:rsid w:val="78B15CB0"/>
    <w:rsid w:val="7C0130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99"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Theme="minorEastAsia" w:cstheme="minorBidi"/>
      <w:kern w:val="2"/>
      <w:sz w:val="21"/>
      <w:szCs w:val="22"/>
      <w:lang w:val="en-US" w:eastAsia="zh-CN" w:bidi="ar-SA"/>
    </w:rPr>
  </w:style>
  <w:style w:type="paragraph" w:styleId="3">
    <w:name w:val="heading 3"/>
    <w:basedOn w:val="1"/>
    <w:next w:val="1"/>
    <w:semiHidden/>
    <w:qFormat/>
    <w:uiPriority w:val="0"/>
    <w:pPr>
      <w:keepNext/>
      <w:keepLines/>
      <w:spacing w:line="416"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9"/>
    <w:qFormat/>
    <w:uiPriority w:val="0"/>
    <w:rPr>
      <w:rFonts w:ascii="宋体" w:hAnsi="Courier New" w:eastAsia="宋体"/>
      <w:szCs w:val="20"/>
    </w:rPr>
  </w:style>
  <w:style w:type="paragraph" w:styleId="4">
    <w:name w:val="Date"/>
    <w:basedOn w:val="1"/>
    <w:next w:val="1"/>
    <w:link w:val="16"/>
    <w:qFormat/>
    <w:uiPriority w:val="0"/>
    <w:pPr>
      <w:ind w:left="100" w:leftChars="2500"/>
    </w:pPr>
  </w:style>
  <w:style w:type="paragraph" w:styleId="5">
    <w:name w:val="Balloon Text"/>
    <w:basedOn w:val="1"/>
    <w:link w:val="15"/>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jc w:val="left"/>
    </w:pPr>
    <w:rPr>
      <w:rFonts w:eastAsia="宋体" w:cs="Times New Roman"/>
      <w:kern w:val="0"/>
      <w:sz w:val="24"/>
      <w:szCs w:val="24"/>
    </w:rPr>
  </w:style>
  <w:style w:type="paragraph" w:customStyle="1" w:styleId="11">
    <w:name w:val="列出段落1"/>
    <w:basedOn w:val="1"/>
    <w:qFormat/>
    <w:uiPriority w:val="0"/>
    <w:pPr>
      <w:ind w:firstLine="420" w:firstLineChars="200"/>
    </w:pPr>
  </w:style>
  <w:style w:type="paragraph" w:customStyle="1" w:styleId="12">
    <w:name w:val="列出段落2"/>
    <w:basedOn w:val="1"/>
    <w:qFormat/>
    <w:uiPriority w:val="34"/>
    <w:pPr>
      <w:ind w:firstLine="420" w:firstLineChars="200"/>
    </w:pPr>
    <w:rPr>
      <w:rFonts w:eastAsia="宋体" w:cs="Times New Roman"/>
    </w:rPr>
  </w:style>
  <w:style w:type="character" w:customStyle="1" w:styleId="13">
    <w:name w:val="页眉 字符"/>
    <w:basedOn w:val="10"/>
    <w:link w:val="7"/>
    <w:qFormat/>
    <w:uiPriority w:val="99"/>
    <w:rPr>
      <w:rFonts w:ascii="Calibri" w:hAnsi="Calibri"/>
      <w:kern w:val="2"/>
      <w:sz w:val="18"/>
      <w:szCs w:val="18"/>
    </w:rPr>
  </w:style>
  <w:style w:type="character" w:customStyle="1" w:styleId="14">
    <w:name w:val="页脚 字符"/>
    <w:basedOn w:val="10"/>
    <w:link w:val="6"/>
    <w:qFormat/>
    <w:uiPriority w:val="0"/>
    <w:rPr>
      <w:rFonts w:ascii="Calibri" w:hAnsi="Calibri"/>
      <w:kern w:val="2"/>
      <w:sz w:val="18"/>
      <w:szCs w:val="18"/>
    </w:rPr>
  </w:style>
  <w:style w:type="character" w:customStyle="1" w:styleId="15">
    <w:name w:val="批注框文本 字符"/>
    <w:basedOn w:val="10"/>
    <w:link w:val="5"/>
    <w:qFormat/>
    <w:uiPriority w:val="0"/>
    <w:rPr>
      <w:rFonts w:ascii="Calibri" w:hAnsi="Calibri"/>
      <w:kern w:val="2"/>
      <w:sz w:val="18"/>
      <w:szCs w:val="18"/>
    </w:rPr>
  </w:style>
  <w:style w:type="character" w:customStyle="1" w:styleId="16">
    <w:name w:val="日期 字符"/>
    <w:basedOn w:val="10"/>
    <w:link w:val="4"/>
    <w:qFormat/>
    <w:uiPriority w:val="0"/>
    <w:rPr>
      <w:rFonts w:ascii="Calibri" w:hAnsi="Calibri"/>
      <w:kern w:val="2"/>
      <w:sz w:val="21"/>
      <w:szCs w:val="22"/>
    </w:rPr>
  </w:style>
  <w:style w:type="paragraph" w:customStyle="1" w:styleId="17">
    <w:name w:val="Default"/>
    <w:qFormat/>
    <w:uiPriority w:val="0"/>
    <w:pPr>
      <w:widowControl w:val="0"/>
      <w:autoSpaceDE w:val="0"/>
      <w:autoSpaceDN w:val="0"/>
      <w:adjustRightInd w:val="0"/>
    </w:pPr>
    <w:rPr>
      <w:rFonts w:ascii="仿宋" w:eastAsia="仿宋" w:cs="仿宋" w:hAnsiTheme="minorHAnsi"/>
      <w:color w:val="000000"/>
      <w:sz w:val="24"/>
      <w:szCs w:val="24"/>
      <w:lang w:val="en-US" w:eastAsia="zh-CN" w:bidi="ar-SA"/>
    </w:rPr>
  </w:style>
  <w:style w:type="paragraph" w:styleId="18">
    <w:name w:val="List Paragraph"/>
    <w:basedOn w:val="1"/>
    <w:unhideWhenUsed/>
    <w:qFormat/>
    <w:uiPriority w:val="99"/>
    <w:pPr>
      <w:ind w:firstLine="420" w:firstLineChars="200"/>
    </w:pPr>
  </w:style>
  <w:style w:type="character" w:customStyle="1" w:styleId="19">
    <w:name w:val="纯文本 字符"/>
    <w:link w:val="2"/>
    <w:qFormat/>
    <w:uiPriority w:val="0"/>
    <w:rPr>
      <w:rFonts w:ascii="宋体" w:hAnsi="Courier New" w:eastAsia="宋体"/>
      <w:kern w:val="2"/>
      <w:sz w:val="21"/>
    </w:rPr>
  </w:style>
  <w:style w:type="character" w:customStyle="1" w:styleId="20">
    <w:name w:val="纯文本 字符1"/>
    <w:basedOn w:val="10"/>
    <w:semiHidden/>
    <w:qFormat/>
    <w:uiPriority w:val="0"/>
    <w:rPr>
      <w:rFonts w:hAnsi="Courier New" w:cs="Courier New" w:asciiTheme="minorEastAsia"/>
      <w:kern w:val="2"/>
      <w:sz w:val="21"/>
      <w:szCs w:val="22"/>
    </w:rPr>
  </w:style>
  <w:style w:type="paragraph" w:customStyle="1" w:styleId="21">
    <w:name w:val="Table Paragraph"/>
    <w:basedOn w:val="1"/>
    <w:qFormat/>
    <w:uiPriority w:val="1"/>
    <w:rPr>
      <w:rFonts w:ascii="Calibri" w:hAnsi="Calibri" w:eastAsia="宋体" w:cs="Times New Roman"/>
      <w:szCs w:val="22"/>
    </w:rPr>
  </w:style>
  <w:style w:type="table" w:customStyle="1" w:styleId="22">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emf"/><Relationship Id="rId12" Type="http://schemas.openxmlformats.org/officeDocument/2006/relationships/oleObject" Target="embeddings/oleObject2.bin"/><Relationship Id="rId11" Type="http://schemas.openxmlformats.org/officeDocument/2006/relationships/image" Target="media/image1.emf"/><Relationship Id="rId10" Type="http://schemas.openxmlformats.org/officeDocument/2006/relationships/oleObject" Target="embeddings/oleObject1.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3273</Words>
  <Characters>3337</Characters>
  <Lines>29</Lines>
  <Paragraphs>8</Paragraphs>
  <TotalTime>0</TotalTime>
  <ScaleCrop>false</ScaleCrop>
  <LinksUpToDate>false</LinksUpToDate>
  <CharactersWithSpaces>3479</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2021-04-07T08:30:00Z</dcterms:created>
  <dc:creator>Administrator</dc:creator>
  <cp:lastModifiedBy>赵力</cp:lastModifiedBy>
  <cp:lastPrinted>2016-08-03T06:26:00Z</cp:lastPrinted>
  <dcterms:modified xsi:type="dcterms:W3CDTF">2025-11-11T01:51:29Z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DABC390BF94F4451B9F3296AE7AAC843</vt:lpwstr>
  </property>
  <property fmtid="{D5CDD505-2E9C-101B-9397-08002B2CF9AE}" pid="4" name="KSOTemplateDocerSaveRecord">
    <vt:lpwstr>eyJoZGlkIjoiNWQ4Y2QwZDdlNWYyZmEwNmI1NDEzZWNmMWZhOGJmMmUiLCJ1c2VySWQiOiIzMDE3MjE3NjEifQ==</vt:lpwstr>
  </property>
</Properties>
</file>